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2954D" w14:textId="6054833E" w:rsidR="00207118" w:rsidRPr="00B272F4" w:rsidRDefault="00207118"/>
    <w:p w14:paraId="4FF68E07" w14:textId="77777777" w:rsidR="00207118" w:rsidRPr="00B272F4" w:rsidRDefault="00207118"/>
    <w:p w14:paraId="40B38154" w14:textId="77777777" w:rsidR="00207118" w:rsidRPr="00B272F4" w:rsidRDefault="00207118"/>
    <w:p w14:paraId="417544BD" w14:textId="77777777" w:rsidR="00207118" w:rsidRPr="00B272F4" w:rsidRDefault="00207118">
      <w:pPr>
        <w:tabs>
          <w:tab w:val="left" w:pos="6540"/>
        </w:tabs>
        <w:rPr>
          <w:sz w:val="28"/>
          <w:szCs w:val="28"/>
        </w:rPr>
      </w:pPr>
    </w:p>
    <w:p w14:paraId="4ADADC9A" w14:textId="77777777" w:rsidR="00207118" w:rsidRPr="00B272F4" w:rsidRDefault="00C579ED">
      <w:pPr>
        <w:tabs>
          <w:tab w:val="left" w:pos="6540"/>
        </w:tabs>
        <w:rPr>
          <w:color w:val="000000"/>
          <w:sz w:val="28"/>
          <w:szCs w:val="28"/>
        </w:rPr>
      </w:pPr>
      <w:r w:rsidRPr="00B272F4">
        <w:rPr>
          <w:b/>
          <w:bCs/>
          <w:color w:val="000000"/>
          <w:sz w:val="28"/>
          <w:szCs w:val="28"/>
        </w:rPr>
        <w:t>Student name</w:t>
      </w:r>
      <w:r w:rsidRPr="00B272F4">
        <w:rPr>
          <w:color w:val="000000"/>
          <w:sz w:val="28"/>
          <w:szCs w:val="28"/>
        </w:rPr>
        <w:t>:</w:t>
      </w:r>
    </w:p>
    <w:p w14:paraId="494DE6E6" w14:textId="77777777" w:rsidR="00207118" w:rsidRPr="00B272F4" w:rsidRDefault="00C579ED">
      <w:pPr>
        <w:tabs>
          <w:tab w:val="left" w:pos="6540"/>
        </w:tabs>
        <w:rPr>
          <w:color w:val="000000"/>
          <w:sz w:val="28"/>
          <w:szCs w:val="28"/>
        </w:rPr>
      </w:pPr>
      <w:r w:rsidRPr="00B272F4">
        <w:rPr>
          <w:b/>
          <w:bCs/>
          <w:color w:val="000000"/>
          <w:sz w:val="28"/>
          <w:szCs w:val="28"/>
        </w:rPr>
        <w:t>Student ID</w:t>
      </w:r>
      <w:r w:rsidRPr="00B272F4">
        <w:rPr>
          <w:color w:val="000000"/>
          <w:sz w:val="28"/>
          <w:szCs w:val="28"/>
        </w:rPr>
        <w:t>:</w:t>
      </w:r>
    </w:p>
    <w:p w14:paraId="4C9FCF0F" w14:textId="77777777" w:rsidR="00207118" w:rsidRPr="00B272F4" w:rsidRDefault="00207118">
      <w:pPr>
        <w:tabs>
          <w:tab w:val="left" w:pos="6540"/>
        </w:tabs>
        <w:rPr>
          <w:color w:val="000000"/>
          <w:sz w:val="28"/>
          <w:szCs w:val="28"/>
        </w:rPr>
      </w:pPr>
    </w:p>
    <w:p w14:paraId="29D7538F" w14:textId="77777777" w:rsidR="00207118" w:rsidRPr="00B272F4" w:rsidRDefault="00C579ED">
      <w:pPr>
        <w:tabs>
          <w:tab w:val="left" w:pos="6540"/>
        </w:tabs>
        <w:rPr>
          <w:color w:val="000000"/>
          <w:sz w:val="28"/>
          <w:szCs w:val="28"/>
        </w:rPr>
      </w:pPr>
      <w:r w:rsidRPr="00B272F4">
        <w:rPr>
          <w:b/>
          <w:bCs/>
          <w:color w:val="000000"/>
          <w:sz w:val="28"/>
          <w:szCs w:val="28"/>
        </w:rPr>
        <w:t>Module name</w:t>
      </w:r>
      <w:r w:rsidRPr="00B272F4">
        <w:rPr>
          <w:color w:val="000000"/>
          <w:sz w:val="28"/>
          <w:szCs w:val="28"/>
        </w:rPr>
        <w:t>: Principles of Health and Social Care Practice</w:t>
      </w:r>
    </w:p>
    <w:p w14:paraId="44AD5803" w14:textId="77777777" w:rsidR="00207118" w:rsidRPr="00B272F4" w:rsidRDefault="00C579ED">
      <w:pPr>
        <w:tabs>
          <w:tab w:val="left" w:pos="6540"/>
        </w:tabs>
        <w:rPr>
          <w:color w:val="000000"/>
          <w:sz w:val="28"/>
          <w:szCs w:val="28"/>
        </w:rPr>
      </w:pPr>
      <w:r w:rsidRPr="00B272F4">
        <w:rPr>
          <w:b/>
          <w:bCs/>
          <w:color w:val="000000"/>
          <w:sz w:val="28"/>
          <w:szCs w:val="28"/>
        </w:rPr>
        <w:t>Module code</w:t>
      </w:r>
      <w:r w:rsidRPr="00B272F4">
        <w:rPr>
          <w:color w:val="000000"/>
          <w:sz w:val="28"/>
          <w:szCs w:val="28"/>
        </w:rPr>
        <w:t>: BMHP5016</w:t>
      </w:r>
    </w:p>
    <w:p w14:paraId="4916345F" w14:textId="34D6E283" w:rsidR="00207118" w:rsidRPr="00B272F4" w:rsidRDefault="00C579ED">
      <w:pPr>
        <w:tabs>
          <w:tab w:val="left" w:pos="6540"/>
        </w:tabs>
        <w:rPr>
          <w:color w:val="000000"/>
          <w:sz w:val="28"/>
          <w:szCs w:val="28"/>
        </w:rPr>
      </w:pPr>
      <w:r w:rsidRPr="00B272F4">
        <w:rPr>
          <w:b/>
          <w:bCs/>
          <w:color w:val="000000"/>
          <w:sz w:val="28"/>
          <w:szCs w:val="28"/>
        </w:rPr>
        <w:t>Lecturer name</w:t>
      </w:r>
      <w:r w:rsidRPr="00B272F4">
        <w:rPr>
          <w:color w:val="000000"/>
          <w:sz w:val="28"/>
          <w:szCs w:val="28"/>
        </w:rPr>
        <w:t xml:space="preserve">: Dr </w:t>
      </w:r>
      <w:proofErr w:type="spellStart"/>
      <w:r w:rsidRPr="00B272F4">
        <w:rPr>
          <w:color w:val="000000"/>
          <w:sz w:val="28"/>
          <w:szCs w:val="28"/>
        </w:rPr>
        <w:t>Itse</w:t>
      </w:r>
      <w:proofErr w:type="spellEnd"/>
      <w:r w:rsidRPr="00B272F4">
        <w:rPr>
          <w:color w:val="000000"/>
          <w:sz w:val="28"/>
          <w:szCs w:val="28"/>
        </w:rPr>
        <w:t xml:space="preserve"> Olaoye</w:t>
      </w:r>
    </w:p>
    <w:p w14:paraId="73E3ECB6" w14:textId="77777777" w:rsidR="00207118" w:rsidRPr="00B272F4" w:rsidRDefault="00207118">
      <w:pPr>
        <w:tabs>
          <w:tab w:val="left" w:pos="6540"/>
        </w:tabs>
        <w:rPr>
          <w:sz w:val="28"/>
          <w:szCs w:val="28"/>
        </w:rPr>
      </w:pPr>
    </w:p>
    <w:p w14:paraId="09FCF7E8" w14:textId="77777777" w:rsidR="00207118" w:rsidRPr="00B272F4" w:rsidRDefault="00C579ED">
      <w:pPr>
        <w:rPr>
          <w:sz w:val="23"/>
          <w:szCs w:val="23"/>
        </w:rPr>
      </w:pPr>
      <w:r w:rsidRPr="00B272F4">
        <w:br w:type="page"/>
      </w:r>
    </w:p>
    <w:p w14:paraId="48BF4770" w14:textId="77777777" w:rsidR="00207118" w:rsidRPr="00B272F4" w:rsidRDefault="00C579ED">
      <w:pPr>
        <w:keepNext/>
        <w:keepLines/>
        <w:pBdr>
          <w:top w:val="nil"/>
          <w:left w:val="nil"/>
          <w:bottom w:val="nil"/>
          <w:right w:val="nil"/>
          <w:between w:val="nil"/>
        </w:pBdr>
        <w:spacing w:before="240" w:after="0" w:line="259" w:lineRule="auto"/>
        <w:jc w:val="center"/>
        <w:rPr>
          <w:b/>
          <w:bCs/>
          <w:color w:val="2F5496"/>
          <w:u w:val="single"/>
        </w:rPr>
      </w:pPr>
      <w:r w:rsidRPr="00B272F4">
        <w:rPr>
          <w:b/>
          <w:bCs/>
          <w:color w:val="2F5496"/>
          <w:sz w:val="32"/>
          <w:szCs w:val="32"/>
          <w:u w:val="single"/>
        </w:rPr>
        <w:lastRenderedPageBreak/>
        <w:t>Table of Contents</w:t>
      </w:r>
    </w:p>
    <w:sdt>
      <w:sdtPr>
        <w:id w:val="497247617"/>
        <w:docPartObj>
          <w:docPartGallery w:val="Table of Contents"/>
          <w:docPartUnique/>
        </w:docPartObj>
      </w:sdtPr>
      <w:sdtContent>
        <w:p w14:paraId="0EEFA08C" w14:textId="77777777" w:rsidR="00301A61" w:rsidRDefault="00C579ED">
          <w:pPr>
            <w:pStyle w:val="TOC1"/>
            <w:tabs>
              <w:tab w:val="right" w:leader="dot" w:pos="9016"/>
            </w:tabs>
            <w:rPr>
              <w:rFonts w:asciiTheme="minorHAnsi" w:eastAsiaTheme="minorEastAsia" w:hAnsiTheme="minorHAnsi" w:cstheme="minorBidi"/>
              <w:noProof/>
              <w:lang w:val="en-US" w:eastAsia="en-US"/>
            </w:rPr>
          </w:pPr>
          <w:r w:rsidRPr="00B272F4">
            <w:fldChar w:fldCharType="begin"/>
          </w:r>
          <w:r w:rsidRPr="00B272F4">
            <w:instrText xml:space="preserve"> TOC \h \u \z \t "Heading 1,1,Heading 2,2,Heading 3,3,"</w:instrText>
          </w:r>
          <w:r w:rsidRPr="00B272F4">
            <w:fldChar w:fldCharType="separate"/>
          </w:r>
          <w:hyperlink w:anchor="_Toc227722965" w:history="1">
            <w:r w:rsidR="00301A61" w:rsidRPr="00B56306">
              <w:rPr>
                <w:rStyle w:val="Hyperlink"/>
                <w:noProof/>
              </w:rPr>
              <w:t>Introduction</w:t>
            </w:r>
            <w:r w:rsidR="00301A61">
              <w:rPr>
                <w:noProof/>
                <w:webHidden/>
              </w:rPr>
              <w:tab/>
            </w:r>
            <w:r w:rsidR="00301A61">
              <w:rPr>
                <w:noProof/>
                <w:webHidden/>
              </w:rPr>
              <w:fldChar w:fldCharType="begin"/>
            </w:r>
            <w:r w:rsidR="00301A61">
              <w:rPr>
                <w:noProof/>
                <w:webHidden/>
              </w:rPr>
              <w:instrText xml:space="preserve"> PAGEREF _Toc227722965 \h </w:instrText>
            </w:r>
            <w:r w:rsidR="00301A61">
              <w:rPr>
                <w:noProof/>
                <w:webHidden/>
              </w:rPr>
            </w:r>
            <w:r w:rsidR="00301A61">
              <w:rPr>
                <w:noProof/>
                <w:webHidden/>
              </w:rPr>
              <w:fldChar w:fldCharType="separate"/>
            </w:r>
            <w:r w:rsidR="00301A61">
              <w:rPr>
                <w:noProof/>
                <w:webHidden/>
              </w:rPr>
              <w:t>2</w:t>
            </w:r>
            <w:r w:rsidR="00301A61">
              <w:rPr>
                <w:noProof/>
                <w:webHidden/>
              </w:rPr>
              <w:fldChar w:fldCharType="end"/>
            </w:r>
          </w:hyperlink>
        </w:p>
        <w:p w14:paraId="19EEE258" w14:textId="77777777" w:rsidR="00301A61" w:rsidRDefault="00301A61">
          <w:pPr>
            <w:pStyle w:val="TOC1"/>
            <w:tabs>
              <w:tab w:val="right" w:leader="dot" w:pos="9016"/>
            </w:tabs>
            <w:rPr>
              <w:rFonts w:asciiTheme="minorHAnsi" w:eastAsiaTheme="minorEastAsia" w:hAnsiTheme="minorHAnsi" w:cstheme="minorBidi"/>
              <w:noProof/>
              <w:lang w:val="en-US" w:eastAsia="en-US"/>
            </w:rPr>
          </w:pPr>
          <w:hyperlink w:anchor="_Toc227722966" w:history="1">
            <w:r w:rsidRPr="00B56306">
              <w:rPr>
                <w:rStyle w:val="Hyperlink"/>
                <w:noProof/>
              </w:rPr>
              <w:t>Discussion</w:t>
            </w:r>
            <w:r>
              <w:rPr>
                <w:noProof/>
                <w:webHidden/>
              </w:rPr>
              <w:tab/>
            </w:r>
            <w:r>
              <w:rPr>
                <w:noProof/>
                <w:webHidden/>
              </w:rPr>
              <w:fldChar w:fldCharType="begin"/>
            </w:r>
            <w:r>
              <w:rPr>
                <w:noProof/>
                <w:webHidden/>
              </w:rPr>
              <w:instrText xml:space="preserve"> PAGEREF _Toc227722966 \h </w:instrText>
            </w:r>
            <w:r>
              <w:rPr>
                <w:noProof/>
                <w:webHidden/>
              </w:rPr>
            </w:r>
            <w:r>
              <w:rPr>
                <w:noProof/>
                <w:webHidden/>
              </w:rPr>
              <w:fldChar w:fldCharType="separate"/>
            </w:r>
            <w:r>
              <w:rPr>
                <w:noProof/>
                <w:webHidden/>
              </w:rPr>
              <w:t>2</w:t>
            </w:r>
            <w:r>
              <w:rPr>
                <w:noProof/>
                <w:webHidden/>
              </w:rPr>
              <w:fldChar w:fldCharType="end"/>
            </w:r>
          </w:hyperlink>
        </w:p>
        <w:p w14:paraId="7C6E0861" w14:textId="77777777" w:rsidR="00301A61" w:rsidRDefault="00301A61">
          <w:pPr>
            <w:pStyle w:val="TOC1"/>
            <w:tabs>
              <w:tab w:val="right" w:leader="dot" w:pos="9016"/>
            </w:tabs>
            <w:rPr>
              <w:rFonts w:asciiTheme="minorHAnsi" w:eastAsiaTheme="minorEastAsia" w:hAnsiTheme="minorHAnsi" w:cstheme="minorBidi"/>
              <w:noProof/>
              <w:lang w:val="en-US" w:eastAsia="en-US"/>
            </w:rPr>
          </w:pPr>
          <w:hyperlink w:anchor="_Toc227722967" w:history="1">
            <w:r w:rsidRPr="00B56306">
              <w:rPr>
                <w:rStyle w:val="Hyperlink"/>
                <w:noProof/>
              </w:rPr>
              <w:t>Recommendations for policy and practice</w:t>
            </w:r>
            <w:r>
              <w:rPr>
                <w:noProof/>
                <w:webHidden/>
              </w:rPr>
              <w:tab/>
            </w:r>
            <w:r>
              <w:rPr>
                <w:noProof/>
                <w:webHidden/>
              </w:rPr>
              <w:fldChar w:fldCharType="begin"/>
            </w:r>
            <w:r>
              <w:rPr>
                <w:noProof/>
                <w:webHidden/>
              </w:rPr>
              <w:instrText xml:space="preserve"> PAGEREF _Toc227722967 \h </w:instrText>
            </w:r>
            <w:r>
              <w:rPr>
                <w:noProof/>
                <w:webHidden/>
              </w:rPr>
            </w:r>
            <w:r>
              <w:rPr>
                <w:noProof/>
                <w:webHidden/>
              </w:rPr>
              <w:fldChar w:fldCharType="separate"/>
            </w:r>
            <w:r>
              <w:rPr>
                <w:noProof/>
                <w:webHidden/>
              </w:rPr>
              <w:t>5</w:t>
            </w:r>
            <w:r>
              <w:rPr>
                <w:noProof/>
                <w:webHidden/>
              </w:rPr>
              <w:fldChar w:fldCharType="end"/>
            </w:r>
          </w:hyperlink>
        </w:p>
        <w:p w14:paraId="24447D35" w14:textId="77777777" w:rsidR="00301A61" w:rsidRDefault="00301A61">
          <w:pPr>
            <w:pStyle w:val="TOC1"/>
            <w:tabs>
              <w:tab w:val="right" w:leader="dot" w:pos="9016"/>
            </w:tabs>
            <w:rPr>
              <w:rFonts w:asciiTheme="minorHAnsi" w:eastAsiaTheme="minorEastAsia" w:hAnsiTheme="minorHAnsi" w:cstheme="minorBidi"/>
              <w:noProof/>
              <w:lang w:val="en-US" w:eastAsia="en-US"/>
            </w:rPr>
          </w:pPr>
          <w:hyperlink w:anchor="_Toc227722968" w:history="1">
            <w:r w:rsidRPr="00B56306">
              <w:rPr>
                <w:rStyle w:val="Hyperlink"/>
                <w:noProof/>
              </w:rPr>
              <w:t>Conclusion</w:t>
            </w:r>
            <w:r>
              <w:rPr>
                <w:noProof/>
                <w:webHidden/>
              </w:rPr>
              <w:tab/>
            </w:r>
            <w:r>
              <w:rPr>
                <w:noProof/>
                <w:webHidden/>
              </w:rPr>
              <w:fldChar w:fldCharType="begin"/>
            </w:r>
            <w:r>
              <w:rPr>
                <w:noProof/>
                <w:webHidden/>
              </w:rPr>
              <w:instrText xml:space="preserve"> PAGEREF _Toc227722968 \h </w:instrText>
            </w:r>
            <w:r>
              <w:rPr>
                <w:noProof/>
                <w:webHidden/>
              </w:rPr>
            </w:r>
            <w:r>
              <w:rPr>
                <w:noProof/>
                <w:webHidden/>
              </w:rPr>
              <w:fldChar w:fldCharType="separate"/>
            </w:r>
            <w:r>
              <w:rPr>
                <w:noProof/>
                <w:webHidden/>
              </w:rPr>
              <w:t>6</w:t>
            </w:r>
            <w:r>
              <w:rPr>
                <w:noProof/>
                <w:webHidden/>
              </w:rPr>
              <w:fldChar w:fldCharType="end"/>
            </w:r>
          </w:hyperlink>
        </w:p>
        <w:p w14:paraId="7284196A" w14:textId="77777777" w:rsidR="00301A61" w:rsidRDefault="00301A61">
          <w:pPr>
            <w:pStyle w:val="TOC1"/>
            <w:tabs>
              <w:tab w:val="right" w:leader="dot" w:pos="9016"/>
            </w:tabs>
            <w:rPr>
              <w:rFonts w:asciiTheme="minorHAnsi" w:eastAsiaTheme="minorEastAsia" w:hAnsiTheme="minorHAnsi" w:cstheme="minorBidi"/>
              <w:noProof/>
              <w:lang w:val="en-US" w:eastAsia="en-US"/>
            </w:rPr>
          </w:pPr>
          <w:hyperlink w:anchor="_Toc227722969" w:history="1">
            <w:r w:rsidRPr="00B56306">
              <w:rPr>
                <w:rStyle w:val="Hyperlink"/>
                <w:noProof/>
              </w:rPr>
              <w:t>Appendices</w:t>
            </w:r>
            <w:r>
              <w:rPr>
                <w:noProof/>
                <w:webHidden/>
              </w:rPr>
              <w:tab/>
            </w:r>
            <w:r>
              <w:rPr>
                <w:noProof/>
                <w:webHidden/>
              </w:rPr>
              <w:fldChar w:fldCharType="begin"/>
            </w:r>
            <w:r>
              <w:rPr>
                <w:noProof/>
                <w:webHidden/>
              </w:rPr>
              <w:instrText xml:space="preserve"> PAGEREF _Toc227722969 \h </w:instrText>
            </w:r>
            <w:r>
              <w:rPr>
                <w:noProof/>
                <w:webHidden/>
              </w:rPr>
            </w:r>
            <w:r>
              <w:rPr>
                <w:noProof/>
                <w:webHidden/>
              </w:rPr>
              <w:fldChar w:fldCharType="separate"/>
            </w:r>
            <w:r>
              <w:rPr>
                <w:noProof/>
                <w:webHidden/>
              </w:rPr>
              <w:t>10</w:t>
            </w:r>
            <w:r>
              <w:rPr>
                <w:noProof/>
                <w:webHidden/>
              </w:rPr>
              <w:fldChar w:fldCharType="end"/>
            </w:r>
          </w:hyperlink>
        </w:p>
        <w:p w14:paraId="4C321806" w14:textId="7EDE8D7E" w:rsidR="00207118" w:rsidRPr="00B272F4" w:rsidRDefault="00C579ED">
          <w:r w:rsidRPr="00B272F4">
            <w:fldChar w:fldCharType="end"/>
          </w:r>
        </w:p>
      </w:sdtContent>
    </w:sdt>
    <w:p w14:paraId="38D086EE" w14:textId="77777777" w:rsidR="00207118" w:rsidRPr="00B272F4" w:rsidRDefault="00C579ED">
      <w:pPr>
        <w:spacing w:line="259" w:lineRule="auto"/>
        <w:rPr>
          <w:b/>
          <w:bCs/>
          <w:color w:val="000000"/>
        </w:rPr>
      </w:pPr>
      <w:r w:rsidRPr="00B272F4">
        <w:br w:type="page"/>
      </w:r>
    </w:p>
    <w:p w14:paraId="32D52FC1" w14:textId="77777777" w:rsidR="00207118" w:rsidRPr="00B272F4" w:rsidRDefault="00C579ED">
      <w:pPr>
        <w:pStyle w:val="Heading1"/>
        <w:rPr>
          <w:color w:val="FF0000"/>
        </w:rPr>
      </w:pPr>
      <w:bookmarkStart w:id="0" w:name="_Toc227722965"/>
      <w:r w:rsidRPr="00B272F4">
        <w:lastRenderedPageBreak/>
        <w:t>Introduction</w:t>
      </w:r>
      <w:bookmarkEnd w:id="0"/>
      <w:r w:rsidRPr="00B272F4">
        <w:t xml:space="preserve"> </w:t>
      </w:r>
    </w:p>
    <w:p w14:paraId="3795CA0B" w14:textId="77777777" w:rsidR="00207118" w:rsidRPr="00B272F4" w:rsidRDefault="00C579ED">
      <w:pPr>
        <w:rPr>
          <w:color w:val="000000"/>
        </w:rPr>
      </w:pPr>
      <w:bookmarkStart w:id="1" w:name="_heading=h.o1r05igsbfrf" w:colFirst="0" w:colLast="0"/>
      <w:bookmarkEnd w:id="1"/>
      <w:r w:rsidRPr="00B272F4">
        <w:t xml:space="preserve">The social model of disability states that disability is something that has been created by society rather than physical differences or medical conditions. The model is important since it influenced the beginning of the study about disability in the field of academia and also encouraged disability-based activism globally. Even currently, it fuels seminal movements related to disability globally, such as the Equality Act 2010 in the UK (United Kingdom) (Inclusion Scotland, 2022). This study aims to understand the development of the chosen concept and barriers to its implementation. The essay begins with an introduction to the social model of disability and explains how the concept was developed, after which the application of the concept is also discussed in detail, after which recommendations to improve the practice and concluding remarks are provided. </w:t>
      </w:r>
    </w:p>
    <w:p w14:paraId="0874D40D" w14:textId="77777777" w:rsidR="00207118" w:rsidRPr="00B272F4" w:rsidRDefault="00C579ED">
      <w:pPr>
        <w:pStyle w:val="Heading1"/>
      </w:pPr>
      <w:bookmarkStart w:id="2" w:name="_Toc227722966"/>
      <w:r w:rsidRPr="00B272F4">
        <w:t>Discussion</w:t>
      </w:r>
      <w:bookmarkEnd w:id="2"/>
    </w:p>
    <w:p w14:paraId="04F7B837" w14:textId="77777777" w:rsidR="00207118" w:rsidRPr="00B272F4" w:rsidRDefault="00C579ED">
      <w:pPr>
        <w:rPr>
          <w:color w:val="FF0000"/>
        </w:rPr>
      </w:pPr>
      <w:r w:rsidRPr="00B272F4">
        <w:rPr>
          <w:b/>
          <w:bCs/>
        </w:rPr>
        <w:t>The development of the chosen concept (or theory or model)</w:t>
      </w:r>
    </w:p>
    <w:p w14:paraId="2E62C004" w14:textId="77777777" w:rsidR="00207118" w:rsidRPr="00B272F4" w:rsidRDefault="00C579ED">
      <w:r w:rsidRPr="00B272F4">
        <w:t xml:space="preserve">The social model of disability had originally been derived from disability rights in the latter part of the 20th century (Scope, 2022). This movement aimed to give individuals with disabilities more autonomy and freedom. Many events took place that changed the way disability was understood after that, such as the popularisation of the phrase social model of disability by sociologist and activist Mike Oliver in 1983 (Akhtar, 2013). Before this, advocacy groups in London had noticed that many individuals with disabilities preferred to be admitted to residential institutions such as care homes. Activist organisations, as of post 1960, began to rephrase disability as a civil rights and social issue, thereby focusing on the ways to remove societal barriers to reduce disability (GOV.UK, 2026). Some of the criticisms levelled at this model were that it failed to explain properly what disability was; however, many ignored this criticism since the model was gaining popularity. Critics have even stated that this model </w:t>
      </w:r>
      <w:proofErr w:type="gramStart"/>
      <w:r w:rsidRPr="00B272F4">
        <w:t>is capable of oversimplifying</w:t>
      </w:r>
      <w:proofErr w:type="gramEnd"/>
      <w:r w:rsidRPr="00B272F4">
        <w:t xml:space="preserve"> the experiences of living with an impairment, although it has been instrumental in creating changes that individuals benefit from even today. Some of these changes include the formation of the Equality Act 2010, which ensures that disabled individuals have a job in the UK (Bartley, 2016). </w:t>
      </w:r>
    </w:p>
    <w:p w14:paraId="1D6D2F79" w14:textId="77777777" w:rsidR="00207118" w:rsidRPr="00B272F4" w:rsidRDefault="00C579ED">
      <w:proofErr w:type="spellStart"/>
      <w:r w:rsidRPr="00B272F4">
        <w:t>Slorach</w:t>
      </w:r>
      <w:proofErr w:type="spellEnd"/>
      <w:r w:rsidRPr="00B272F4">
        <w:t xml:space="preserve"> (2026), states that the social model of disability began with the Fundamental Principles that were developed by the Union of Physically Impaired Against Segregation (UPIAS) in 1976. These were a radical but small group of wheelchair-bound individuals who were highly influential. Therefore, this model has been understood to have been highly debatable since it is often regarded as an article of faith; however, when it is separated from its radical core, it substitutes the demarcation line between impairment and disability (under the Equality Act 2010) (Brown, Flint and </w:t>
      </w:r>
      <w:proofErr w:type="spellStart"/>
      <w:r w:rsidRPr="00B272F4">
        <w:t>Batterham</w:t>
      </w:r>
      <w:proofErr w:type="spellEnd"/>
      <w:r w:rsidRPr="00B272F4">
        <w:t xml:space="preserve">, 2022). Critics have stated that disability </w:t>
      </w:r>
      <w:r w:rsidRPr="00B272F4">
        <w:lastRenderedPageBreak/>
        <w:t xml:space="preserve">is a condition faced by individuals with an impairment, such as the loss of a limb, which excludes them from mainstream social activities. It is thus understood that disabled individuals are oppressed in society. Mike Oliver has himself claimed that this model has been incorporated to be used by welfare agencies, charities, quasi-non-government organisations and governments without any substantial changes to its practices (Oliver, 2023). The applicability of this theory has been questioned since it has been observed that many instances of unfairness exist for the disabled in all aspects of life, such as accessing courtrooms to grocery shopping. This indicates that there is still a need to address the chasm existent in employment, skills and education.   </w:t>
      </w:r>
    </w:p>
    <w:p w14:paraId="00C2FC85" w14:textId="77777777" w:rsidR="00207118" w:rsidRPr="00B272F4" w:rsidRDefault="00C579ED">
      <w:r w:rsidRPr="00B272F4">
        <w:t>The social model had mainly been developed so that the insights could be used in practice in training social workers and as the main mechanism for the delivery of disability equality training. This model has, however, faced criticism due to the fact that it states that investments are to be made in interventions that are individual-based and their returns are understood to be ever-diminishing (Zaks, 2024). It has been understood that the environmental modifications are often neglected in an under-resourced setting, although the potential benefits of such investments could be much greater. It is thus understood that problems of implementation could be overcome if a barrier-free environment were achieved, especially for those who have mobility impairments and other groups such as mothers with trolleys, porters, pushchairs and prams (</w:t>
      </w:r>
      <w:proofErr w:type="spellStart"/>
      <w:r w:rsidRPr="00B272F4">
        <w:t>Gouzman</w:t>
      </w:r>
      <w:proofErr w:type="spellEnd"/>
      <w:r w:rsidRPr="00B272F4">
        <w:t xml:space="preserve">, Dekel and </w:t>
      </w:r>
      <w:proofErr w:type="spellStart"/>
      <w:r w:rsidRPr="00B272F4">
        <w:t>Soskolne</w:t>
      </w:r>
      <w:proofErr w:type="spellEnd"/>
      <w:r w:rsidRPr="00B272F4">
        <w:t xml:space="preserve">, 2024). The model fails to recognise that if only physical rehabilitation is understood to be one of the solutions for disability, then it will only benefit those who have the resources to access the same. Thus, the efficient usage of scarce resources should have been underscored by the model (Edwards </w:t>
      </w:r>
      <w:r w:rsidRPr="00B272F4">
        <w:rPr>
          <w:i/>
          <w:iCs/>
        </w:rPr>
        <w:t>et al.</w:t>
      </w:r>
      <w:r w:rsidRPr="00B272F4">
        <w:t xml:space="preserve">, 2022). The problems of implementation are serious since the definitions of autonomy for the professionals and the disabled are often different and give rise to conflicts at both the levels of policy and practice.  </w:t>
      </w:r>
    </w:p>
    <w:p w14:paraId="535E1956" w14:textId="77777777" w:rsidR="00207118" w:rsidRDefault="00C579ED">
      <w:pPr>
        <w:rPr>
          <w:b/>
          <w:bCs/>
        </w:rPr>
      </w:pPr>
      <w:r w:rsidRPr="00B272F4">
        <w:rPr>
          <w:b/>
          <w:bCs/>
        </w:rPr>
        <w:t xml:space="preserve">Application of the concept in practice </w:t>
      </w:r>
    </w:p>
    <w:p w14:paraId="74647AB0" w14:textId="77777777" w:rsidR="00340FF0" w:rsidRDefault="00340FF0" w:rsidP="00340FF0">
      <w:pPr>
        <w:rPr>
          <w:sz w:val="23"/>
          <w:szCs w:val="23"/>
        </w:rPr>
      </w:pPr>
      <w:r w:rsidRPr="002627EE">
        <w:rPr>
          <w:sz w:val="23"/>
          <w:szCs w:val="23"/>
        </w:rPr>
        <w:t>The social model of disability has significant applications in health and social care policy especially in framing disability and thereby making adjustments to the health and social care services and environment</w:t>
      </w:r>
      <w:r>
        <w:rPr>
          <w:sz w:val="23"/>
          <w:szCs w:val="23"/>
        </w:rPr>
        <w:t xml:space="preserve"> </w:t>
      </w:r>
      <w:r w:rsidRPr="00F67D27">
        <w:rPr>
          <w:sz w:val="23"/>
          <w:szCs w:val="23"/>
        </w:rPr>
        <w:t>(Barnes, 2019)</w:t>
      </w:r>
      <w:r w:rsidRPr="002627EE">
        <w:rPr>
          <w:sz w:val="23"/>
          <w:szCs w:val="23"/>
        </w:rPr>
        <w:t xml:space="preserve">. In the UK health and social care policy environment, the social model of disability has influenced the reframing of disability as a consequence of societal barriers rather than considering being an individual impairment. For example, the Equality Act 2010 focuses on the anti-discriminatory practices, inclusion and accessibility which shape the health and social care services through reasonable adjustments. The shift in the policy perspective due to the social model of disability has prioritised inclusive health and social care environments, removed </w:t>
      </w:r>
      <w:r w:rsidRPr="002627EE">
        <w:rPr>
          <w:sz w:val="23"/>
          <w:szCs w:val="23"/>
        </w:rPr>
        <w:lastRenderedPageBreak/>
        <w:t>structural inequalities while also ensured that there is equal access to services</w:t>
      </w:r>
      <w:r>
        <w:rPr>
          <w:sz w:val="23"/>
          <w:szCs w:val="23"/>
        </w:rPr>
        <w:t xml:space="preserve"> </w:t>
      </w:r>
      <w:r w:rsidRPr="00F67D27">
        <w:rPr>
          <w:sz w:val="23"/>
          <w:szCs w:val="23"/>
        </w:rPr>
        <w:t>(Howarth, 2025)</w:t>
      </w:r>
      <w:r w:rsidRPr="002627EE">
        <w:rPr>
          <w:sz w:val="23"/>
          <w:szCs w:val="23"/>
        </w:rPr>
        <w:t xml:space="preserve">. </w:t>
      </w:r>
      <w:r>
        <w:rPr>
          <w:sz w:val="23"/>
          <w:szCs w:val="23"/>
        </w:rPr>
        <w:t xml:space="preserve">The policy orientation is in line with the person-centred principles entailing promoting dignity, respect and personalised adjustments to meet the needs of the services and this highlights the key strength of person-centred care which is to advance equity and inclusion in health and social care services </w:t>
      </w:r>
      <w:r w:rsidRPr="0024616B">
        <w:rPr>
          <w:sz w:val="23"/>
          <w:szCs w:val="23"/>
        </w:rPr>
        <w:t>(</w:t>
      </w:r>
      <w:proofErr w:type="spellStart"/>
      <w:r w:rsidRPr="0024616B">
        <w:rPr>
          <w:sz w:val="23"/>
          <w:szCs w:val="23"/>
        </w:rPr>
        <w:t>Mccormack</w:t>
      </w:r>
      <w:proofErr w:type="spellEnd"/>
      <w:r w:rsidRPr="0024616B">
        <w:rPr>
          <w:sz w:val="23"/>
          <w:szCs w:val="23"/>
        </w:rPr>
        <w:t xml:space="preserve"> and </w:t>
      </w:r>
      <w:proofErr w:type="spellStart"/>
      <w:r w:rsidRPr="0024616B">
        <w:rPr>
          <w:sz w:val="23"/>
          <w:szCs w:val="23"/>
        </w:rPr>
        <w:t>Mccance</w:t>
      </w:r>
      <w:proofErr w:type="spellEnd"/>
      <w:r w:rsidRPr="0024616B">
        <w:rPr>
          <w:sz w:val="23"/>
          <w:szCs w:val="23"/>
        </w:rPr>
        <w:t>, 2017a)</w:t>
      </w:r>
      <w:r>
        <w:rPr>
          <w:sz w:val="23"/>
          <w:szCs w:val="23"/>
        </w:rPr>
        <w:t>.</w:t>
      </w:r>
    </w:p>
    <w:p w14:paraId="4DC3A39A" w14:textId="14B27A5B" w:rsidR="00340FF0" w:rsidRDefault="00340FF0" w:rsidP="00340FF0">
      <w:pPr>
        <w:rPr>
          <w:sz w:val="23"/>
          <w:szCs w:val="23"/>
        </w:rPr>
      </w:pPr>
      <w:r w:rsidRPr="002627EE">
        <w:rPr>
          <w:sz w:val="23"/>
          <w:szCs w:val="23"/>
        </w:rPr>
        <w:t xml:space="preserve">However, the policy rhetoric is strong enough aligning with social model of disability but the </w:t>
      </w:r>
      <w:r>
        <w:rPr>
          <w:sz w:val="23"/>
          <w:szCs w:val="23"/>
        </w:rPr>
        <w:t>translation</w:t>
      </w:r>
      <w:r w:rsidRPr="002627EE">
        <w:rPr>
          <w:sz w:val="23"/>
          <w:szCs w:val="23"/>
        </w:rPr>
        <w:t xml:space="preserve"> into real-world practice is limited </w:t>
      </w:r>
      <w:r w:rsidR="00285C3B">
        <w:rPr>
          <w:sz w:val="23"/>
          <w:szCs w:val="23"/>
        </w:rPr>
        <w:t>and consistent since</w:t>
      </w:r>
      <w:r w:rsidRPr="002627EE">
        <w:rPr>
          <w:sz w:val="23"/>
          <w:szCs w:val="23"/>
        </w:rPr>
        <w:t xml:space="preserve"> policies are perceived to be symbolic </w:t>
      </w:r>
      <w:r w:rsidR="00285C3B">
        <w:rPr>
          <w:sz w:val="23"/>
          <w:szCs w:val="23"/>
        </w:rPr>
        <w:t>due to lack of</w:t>
      </w:r>
      <w:r w:rsidRPr="002627EE">
        <w:rPr>
          <w:sz w:val="23"/>
          <w:szCs w:val="23"/>
        </w:rPr>
        <w:t xml:space="preserve"> allocation of resources and funds for its actual implementation </w:t>
      </w:r>
      <w:r w:rsidRPr="00382D1A">
        <w:rPr>
          <w:sz w:val="23"/>
          <w:szCs w:val="23"/>
        </w:rPr>
        <w:t>(Imtiaz-Umer and Frain, 2023)</w:t>
      </w:r>
      <w:r w:rsidRPr="002627EE">
        <w:rPr>
          <w:sz w:val="23"/>
          <w:szCs w:val="23"/>
        </w:rPr>
        <w:t xml:space="preserve">. </w:t>
      </w:r>
      <w:r>
        <w:rPr>
          <w:sz w:val="23"/>
          <w:szCs w:val="23"/>
        </w:rPr>
        <w:t xml:space="preserve">This is been a significant limitation in person-centred care where the lack of coordination and resources undermines the delivery of personalised and holistic care to the service users </w:t>
      </w:r>
      <w:r w:rsidRPr="00CE6087">
        <w:rPr>
          <w:sz w:val="23"/>
          <w:szCs w:val="23"/>
        </w:rPr>
        <w:t>(</w:t>
      </w:r>
      <w:proofErr w:type="spellStart"/>
      <w:r w:rsidRPr="00CE6087">
        <w:rPr>
          <w:sz w:val="23"/>
          <w:szCs w:val="23"/>
        </w:rPr>
        <w:t>Mccormack</w:t>
      </w:r>
      <w:proofErr w:type="spellEnd"/>
      <w:r w:rsidRPr="00CE6087">
        <w:rPr>
          <w:sz w:val="23"/>
          <w:szCs w:val="23"/>
        </w:rPr>
        <w:t xml:space="preserve"> and </w:t>
      </w:r>
      <w:proofErr w:type="spellStart"/>
      <w:r w:rsidRPr="00CE6087">
        <w:rPr>
          <w:sz w:val="23"/>
          <w:szCs w:val="23"/>
        </w:rPr>
        <w:t>Mccance</w:t>
      </w:r>
      <w:proofErr w:type="spellEnd"/>
      <w:r w:rsidRPr="00CE6087">
        <w:rPr>
          <w:sz w:val="23"/>
          <w:szCs w:val="23"/>
        </w:rPr>
        <w:t>, 2017a)</w:t>
      </w:r>
      <w:r>
        <w:rPr>
          <w:sz w:val="23"/>
          <w:szCs w:val="23"/>
        </w:rPr>
        <w:t xml:space="preserve">. </w:t>
      </w:r>
      <w:r w:rsidRPr="002627EE">
        <w:rPr>
          <w:sz w:val="23"/>
          <w:szCs w:val="23"/>
        </w:rPr>
        <w:t xml:space="preserve">The health and social care policies shaped by the social model of disability may be inadequately applied since complexities of the lived experiences of the services are not adequately addressed especially when the medical needs intersect with the social barriers. </w:t>
      </w:r>
      <w:r>
        <w:rPr>
          <w:sz w:val="23"/>
          <w:szCs w:val="23"/>
        </w:rPr>
        <w:t xml:space="preserve">Therefore, the social model of disability has partial adoption in health and social care policy given the gap between the legislative intent and the practical enforcement </w:t>
      </w:r>
      <w:r w:rsidRPr="00652ECB">
        <w:rPr>
          <w:sz w:val="23"/>
          <w:szCs w:val="23"/>
        </w:rPr>
        <w:t xml:space="preserve">(Kreuter </w:t>
      </w:r>
      <w:r w:rsidRPr="00652ECB">
        <w:rPr>
          <w:i/>
          <w:iCs/>
          <w:sz w:val="23"/>
          <w:szCs w:val="23"/>
        </w:rPr>
        <w:t>et al.</w:t>
      </w:r>
      <w:r w:rsidRPr="00652ECB">
        <w:rPr>
          <w:sz w:val="23"/>
          <w:szCs w:val="23"/>
        </w:rPr>
        <w:t>, 2021)</w:t>
      </w:r>
      <w:r>
        <w:rPr>
          <w:sz w:val="23"/>
          <w:szCs w:val="23"/>
        </w:rPr>
        <w:t xml:space="preserve">. </w:t>
      </w:r>
    </w:p>
    <w:p w14:paraId="656839EA" w14:textId="21C21C3C" w:rsidR="00340FF0" w:rsidRDefault="00340FF0" w:rsidP="00340FF0">
      <w:pPr>
        <w:rPr>
          <w:sz w:val="23"/>
          <w:szCs w:val="23"/>
        </w:rPr>
      </w:pPr>
      <w:r>
        <w:rPr>
          <w:sz w:val="23"/>
          <w:szCs w:val="23"/>
        </w:rPr>
        <w:t xml:space="preserve">The social model of disability also has applications in health and social care practices informing the approaches which aim to remove the structural, attitudinal and communication barriers within the healthcare environments. This entails improving physical accessibility, staff attitudes and communication strategies to adapt the services as per the diverse needs of the service users. However, the application has been uneven considering the biomedical priorities and institutional routines which dominate the care delivery practices </w:t>
      </w:r>
      <w:r w:rsidRPr="000A6732">
        <w:rPr>
          <w:sz w:val="23"/>
          <w:szCs w:val="23"/>
        </w:rPr>
        <w:t>(Farre and Rapley, 2017)</w:t>
      </w:r>
      <w:r>
        <w:rPr>
          <w:sz w:val="23"/>
          <w:szCs w:val="23"/>
        </w:rPr>
        <w:t xml:space="preserve">. Considering one practice setting, social model of disability has shifted attention towards environmental challenges within the autistic care which includes lack of awareness about autism and its care among the staff, rigid service structures and sensory overload. For example, social model of disability explains autism-related challenges as the social, environmental and attitudinal barriers rather than the condition itself. There is more emphasis on the communication, inclusive and anti-discriminatory services and surroundings that meet the diverse needs of the autistic service users promoting independence, inclusion and equal participation within the society </w:t>
      </w:r>
      <w:r w:rsidRPr="0019578D">
        <w:rPr>
          <w:sz w:val="23"/>
          <w:szCs w:val="23"/>
        </w:rPr>
        <w:t>(</w:t>
      </w:r>
      <w:proofErr w:type="spellStart"/>
      <w:r w:rsidRPr="0019578D">
        <w:rPr>
          <w:sz w:val="23"/>
          <w:szCs w:val="23"/>
        </w:rPr>
        <w:t>Sharby</w:t>
      </w:r>
      <w:proofErr w:type="spellEnd"/>
      <w:r w:rsidRPr="0019578D">
        <w:rPr>
          <w:sz w:val="23"/>
          <w:szCs w:val="23"/>
        </w:rPr>
        <w:t>, Martire and Iversen, 2015)</w:t>
      </w:r>
      <w:r>
        <w:rPr>
          <w:sz w:val="23"/>
          <w:szCs w:val="23"/>
        </w:rPr>
        <w:t xml:space="preserve">. In case of adapting to the clinical environments in autistic care, the social model of disability ascertains addressing the </w:t>
      </w:r>
      <w:r>
        <w:rPr>
          <w:sz w:val="23"/>
          <w:szCs w:val="23"/>
        </w:rPr>
        <w:lastRenderedPageBreak/>
        <w:t xml:space="preserve">environmental barriers by reducing noise, arranging for flexible appointments, staff training for autism awareness and inclusive approaches to care. This reflects person-centred care approach in which personalised support and coordinated care is provided to the service users with autism while also fostering their independence and autonomy. The strength of person-centred care in this highlights the empowerment and enhancing participation of the service users </w:t>
      </w:r>
      <w:r w:rsidRPr="00096EBE">
        <w:rPr>
          <w:sz w:val="23"/>
          <w:szCs w:val="23"/>
        </w:rPr>
        <w:t>(</w:t>
      </w:r>
      <w:proofErr w:type="spellStart"/>
      <w:r w:rsidRPr="00096EBE">
        <w:rPr>
          <w:sz w:val="23"/>
          <w:szCs w:val="23"/>
        </w:rPr>
        <w:t>Mccormack</w:t>
      </w:r>
      <w:proofErr w:type="spellEnd"/>
      <w:r w:rsidRPr="00096EBE">
        <w:rPr>
          <w:sz w:val="23"/>
          <w:szCs w:val="23"/>
        </w:rPr>
        <w:t xml:space="preserve"> and </w:t>
      </w:r>
      <w:proofErr w:type="spellStart"/>
      <w:r w:rsidRPr="00096EBE">
        <w:rPr>
          <w:sz w:val="23"/>
          <w:szCs w:val="23"/>
        </w:rPr>
        <w:t>Mccance</w:t>
      </w:r>
      <w:proofErr w:type="spellEnd"/>
      <w:r w:rsidRPr="00096EBE">
        <w:rPr>
          <w:sz w:val="23"/>
          <w:szCs w:val="23"/>
        </w:rPr>
        <w:t>, 2017b)</w:t>
      </w:r>
      <w:r w:rsidR="00285C3B">
        <w:rPr>
          <w:sz w:val="23"/>
          <w:szCs w:val="23"/>
        </w:rPr>
        <w:t>.</w:t>
      </w:r>
      <w:r>
        <w:rPr>
          <w:sz w:val="23"/>
          <w:szCs w:val="23"/>
        </w:rPr>
        <w:t xml:space="preserve"> However, social support and adjustments are not sufficient to meet the diverse needs of the autistic service users since they have neurological challenges requiring medical and clinical support. Therefore, overreliance on the social model could underestimate their neurological needs thereby undermining the social model of disability to fully capture of the complexity of providing care in practice. This has been a key limitation of person-centred care where insufficient integration of clinical needs and inconsistency in practice could undermine the social and personalised adaptations for the service users </w:t>
      </w:r>
      <w:r w:rsidRPr="00533026">
        <w:rPr>
          <w:sz w:val="23"/>
          <w:szCs w:val="23"/>
        </w:rPr>
        <w:t>(</w:t>
      </w:r>
      <w:proofErr w:type="spellStart"/>
      <w:r w:rsidRPr="00533026">
        <w:rPr>
          <w:sz w:val="23"/>
          <w:szCs w:val="23"/>
        </w:rPr>
        <w:t>Mccormack</w:t>
      </w:r>
      <w:proofErr w:type="spellEnd"/>
      <w:r w:rsidRPr="00533026">
        <w:rPr>
          <w:sz w:val="23"/>
          <w:szCs w:val="23"/>
        </w:rPr>
        <w:t xml:space="preserve"> and </w:t>
      </w:r>
      <w:proofErr w:type="spellStart"/>
      <w:r w:rsidRPr="00533026">
        <w:rPr>
          <w:sz w:val="23"/>
          <w:szCs w:val="23"/>
        </w:rPr>
        <w:t>Mccance</w:t>
      </w:r>
      <w:proofErr w:type="spellEnd"/>
      <w:r w:rsidRPr="00533026">
        <w:rPr>
          <w:sz w:val="23"/>
          <w:szCs w:val="23"/>
        </w:rPr>
        <w:t>, 2017b)</w:t>
      </w:r>
      <w:r>
        <w:rPr>
          <w:sz w:val="23"/>
          <w:szCs w:val="23"/>
        </w:rPr>
        <w:t xml:space="preserve">. </w:t>
      </w:r>
    </w:p>
    <w:p w14:paraId="6A82A038" w14:textId="77777777" w:rsidR="00340FF0" w:rsidRPr="002627EE" w:rsidRDefault="00340FF0" w:rsidP="00340FF0">
      <w:pPr>
        <w:rPr>
          <w:sz w:val="23"/>
          <w:szCs w:val="23"/>
        </w:rPr>
      </w:pPr>
      <w:r>
        <w:rPr>
          <w:sz w:val="23"/>
          <w:szCs w:val="23"/>
        </w:rPr>
        <w:t xml:space="preserve">Considering the influence and application of the social model of disability in health and social care practice, the problem lay in the disconnection between the real-world constraints and the policy aspirations caused by workforce shortages, limited funding and competing clinical priorities </w:t>
      </w:r>
      <w:r w:rsidRPr="00F65F27">
        <w:rPr>
          <w:sz w:val="23"/>
          <w:szCs w:val="23"/>
        </w:rPr>
        <w:t xml:space="preserve">(Petras </w:t>
      </w:r>
      <w:r w:rsidRPr="00F65F27">
        <w:rPr>
          <w:i/>
          <w:iCs/>
          <w:sz w:val="23"/>
          <w:szCs w:val="23"/>
        </w:rPr>
        <w:t>et al.</w:t>
      </w:r>
      <w:r w:rsidRPr="00F65F27">
        <w:rPr>
          <w:sz w:val="23"/>
          <w:szCs w:val="23"/>
        </w:rPr>
        <w:t>, 2025)</w:t>
      </w:r>
      <w:r>
        <w:rPr>
          <w:sz w:val="23"/>
          <w:szCs w:val="23"/>
        </w:rPr>
        <w:t xml:space="preserve">. While environmental modification and inclusive practices within the health and social care could offer person-centred care but it often deprioritise the immediate clinical demands of the service users. This highlights the limitation of the social model of disability which focuses more on social barriers underplaying the role of medical and therapeutic interventions thereby creating tension between biomedical and social approaches to care </w:t>
      </w:r>
      <w:r w:rsidRPr="004D1F28">
        <w:rPr>
          <w:sz w:val="23"/>
          <w:szCs w:val="23"/>
        </w:rPr>
        <w:t>(</w:t>
      </w:r>
      <w:proofErr w:type="spellStart"/>
      <w:r w:rsidRPr="004D1F28">
        <w:rPr>
          <w:sz w:val="23"/>
          <w:szCs w:val="23"/>
        </w:rPr>
        <w:t>Sharby</w:t>
      </w:r>
      <w:proofErr w:type="spellEnd"/>
      <w:r w:rsidRPr="004D1F28">
        <w:rPr>
          <w:sz w:val="23"/>
          <w:szCs w:val="23"/>
        </w:rPr>
        <w:t>, Martire and Iversen, 2015)</w:t>
      </w:r>
      <w:r>
        <w:rPr>
          <w:sz w:val="23"/>
          <w:szCs w:val="23"/>
        </w:rPr>
        <w:t xml:space="preserve">. Another problem is related to variability in training and awareness about the social and clinical needs of the patients which lead to inconsistent implementation across services while the institutional cultures could resistant change to the services from being clinical to addressing the social barriers </w:t>
      </w:r>
      <w:r w:rsidRPr="0063260D">
        <w:rPr>
          <w:sz w:val="23"/>
          <w:szCs w:val="23"/>
        </w:rPr>
        <w:t>(Bartley, 2017)</w:t>
      </w:r>
      <w:r>
        <w:rPr>
          <w:sz w:val="23"/>
          <w:szCs w:val="23"/>
        </w:rPr>
        <w:t xml:space="preserve">. </w:t>
      </w:r>
    </w:p>
    <w:p w14:paraId="5BFED9B9" w14:textId="77777777" w:rsidR="00207118" w:rsidRPr="00B272F4" w:rsidRDefault="00C579ED">
      <w:pPr>
        <w:pStyle w:val="Heading1"/>
        <w:rPr>
          <w:color w:val="FF0000"/>
        </w:rPr>
      </w:pPr>
      <w:bookmarkStart w:id="3" w:name="_Toc227722967"/>
      <w:r w:rsidRPr="00B272F4">
        <w:t>Recommendations for policy and practice</w:t>
      </w:r>
      <w:bookmarkEnd w:id="3"/>
      <w:r w:rsidRPr="00B272F4">
        <w:t xml:space="preserve"> </w:t>
      </w:r>
    </w:p>
    <w:p w14:paraId="5AF37F92" w14:textId="77777777" w:rsidR="00207118" w:rsidRDefault="00C579ED">
      <w:pPr>
        <w:numPr>
          <w:ilvl w:val="0"/>
          <w:numId w:val="1"/>
        </w:numPr>
      </w:pPr>
      <w:r w:rsidRPr="00B272F4">
        <w:t xml:space="preserve">A relevant recommendation in this case could be making public areas more accessible to the disabled, such as having ramps and disability-friendly bathrooms in as many locations as possible, such as hospitals and courts. This not only helps the ones with mobility impairments but also other groups of the population, such as mothers with prams and trolleys </w:t>
      </w:r>
      <w:r w:rsidRPr="00B272F4">
        <w:rPr>
          <w:rFonts w:ascii="Times New Roman" w:eastAsia="Times New Roman" w:hAnsi="Times New Roman" w:cs="Times New Roman"/>
          <w:sz w:val="24"/>
          <w:szCs w:val="24"/>
        </w:rPr>
        <w:t>(</w:t>
      </w:r>
      <w:r w:rsidRPr="00B272F4">
        <w:t xml:space="preserve">Brinkman </w:t>
      </w:r>
      <w:r w:rsidRPr="00B272F4">
        <w:rPr>
          <w:i/>
          <w:iCs/>
        </w:rPr>
        <w:t>et al.</w:t>
      </w:r>
      <w:r w:rsidRPr="00B272F4">
        <w:t xml:space="preserve">, 2023). This helps the disabled to be more independent in terms of their personal autonomy and be able to have more </w:t>
      </w:r>
      <w:r w:rsidRPr="00B272F4">
        <w:lastRenderedPageBreak/>
        <w:t xml:space="preserve">control over some aspects of their lives. From an economic standpoint, this is understood to be the most prudent way to utilise scarce resources in society (Park </w:t>
      </w:r>
      <w:r w:rsidRPr="00B272F4">
        <w:rPr>
          <w:i/>
          <w:iCs/>
        </w:rPr>
        <w:t>et al.</w:t>
      </w:r>
      <w:r w:rsidRPr="00B272F4">
        <w:t xml:space="preserve">, 2023). There are, however, limitations of this recommendation as well since putting this recommendation into practice shall imply making higher amounts of investments by Governments and other public bodies. </w:t>
      </w:r>
    </w:p>
    <w:p w14:paraId="6A3B8368" w14:textId="77777777" w:rsidR="00D022C2" w:rsidRPr="00D022C2" w:rsidRDefault="00D022C2" w:rsidP="00D022C2">
      <w:pPr>
        <w:pStyle w:val="ListParagraph"/>
        <w:numPr>
          <w:ilvl w:val="0"/>
          <w:numId w:val="1"/>
        </w:numPr>
        <w:rPr>
          <w:sz w:val="23"/>
          <w:szCs w:val="23"/>
        </w:rPr>
      </w:pPr>
      <w:r w:rsidRPr="00D022C2">
        <w:rPr>
          <w:sz w:val="23"/>
          <w:szCs w:val="23"/>
        </w:rPr>
        <w:t xml:space="preserve">In health and social care practice, it is recommended to enhance staff training on disability awareness and identifying the specific needs of the disabled service users. This will benefit the service users by promoting their dignity, respect and personalised care using improved communication and reducing attitudinal barriers. However, there could be limitations related to time constraints and variable staff uptake due to work pressure (Rotenberg </w:t>
      </w:r>
      <w:r w:rsidRPr="00D022C2">
        <w:rPr>
          <w:i/>
          <w:iCs/>
          <w:sz w:val="23"/>
          <w:szCs w:val="23"/>
        </w:rPr>
        <w:t>et al.</w:t>
      </w:r>
      <w:r w:rsidRPr="00D022C2">
        <w:rPr>
          <w:sz w:val="23"/>
          <w:szCs w:val="23"/>
        </w:rPr>
        <w:t xml:space="preserve">, 2022). </w:t>
      </w:r>
    </w:p>
    <w:p w14:paraId="739D07A7" w14:textId="0A08249F" w:rsidR="00D022C2" w:rsidRPr="00D022C2" w:rsidRDefault="00D022C2" w:rsidP="00D022C2">
      <w:pPr>
        <w:pStyle w:val="ListParagraph"/>
        <w:numPr>
          <w:ilvl w:val="0"/>
          <w:numId w:val="1"/>
        </w:numPr>
        <w:rPr>
          <w:sz w:val="23"/>
          <w:szCs w:val="23"/>
        </w:rPr>
      </w:pPr>
      <w:r w:rsidRPr="00D022C2">
        <w:rPr>
          <w:sz w:val="23"/>
          <w:szCs w:val="23"/>
        </w:rPr>
        <w:t xml:space="preserve">It also recommended that the health and social care policy implementation is strengthened through accountability and monitoring mechanisms. This would ensure that there is coordinated support and equitable care with the policies enforcing reasonable adjustments for the disabled service users. The benefit of this recommendation is to reduce inequality and facilitate access while the organisational resistance would be a limitation for realising the effectiveness of the policy monitoring and accountability mechanism (Rambau </w:t>
      </w:r>
      <w:r w:rsidRPr="00D022C2">
        <w:rPr>
          <w:i/>
          <w:iCs/>
          <w:sz w:val="23"/>
          <w:szCs w:val="23"/>
        </w:rPr>
        <w:t>et al.</w:t>
      </w:r>
      <w:r w:rsidRPr="00D022C2">
        <w:rPr>
          <w:sz w:val="23"/>
          <w:szCs w:val="23"/>
        </w:rPr>
        <w:t xml:space="preserve">, 2024). </w:t>
      </w:r>
    </w:p>
    <w:p w14:paraId="4A71FD6C" w14:textId="77777777" w:rsidR="00207118" w:rsidRPr="00B272F4" w:rsidRDefault="00C579ED">
      <w:pPr>
        <w:pStyle w:val="Heading1"/>
        <w:rPr>
          <w:color w:val="0070C0"/>
        </w:rPr>
      </w:pPr>
      <w:bookmarkStart w:id="4" w:name="_Toc227722968"/>
      <w:r w:rsidRPr="00B272F4">
        <w:t>Conclusion</w:t>
      </w:r>
      <w:bookmarkEnd w:id="4"/>
      <w:r w:rsidRPr="00B272F4">
        <w:t xml:space="preserve"> </w:t>
      </w:r>
    </w:p>
    <w:p w14:paraId="27953EB0" w14:textId="77777777" w:rsidR="00AC60CB" w:rsidRPr="0031456A" w:rsidRDefault="00C579ED" w:rsidP="00AC60CB">
      <w:pPr>
        <w:rPr>
          <w:sz w:val="23"/>
          <w:szCs w:val="23"/>
        </w:rPr>
      </w:pPr>
      <w:r w:rsidRPr="00B272F4">
        <w:t xml:space="preserve">In conclusion, it is understood that the social model of disability blurs the lines between physical disability and the problems related to access to opportunities in society. This has not been appreciated by many, which is why other models have often been referred to </w:t>
      </w:r>
      <w:r w:rsidR="00857629" w:rsidRPr="00B272F4">
        <w:t>such</w:t>
      </w:r>
      <w:r w:rsidRPr="00B272F4">
        <w:t xml:space="preserve"> as the medical model of disability that states that impairment and disability are the same. Using the social model of disability, one can advocate for the creation of a barrier-free environment in public places, at least; however, that will entail the expenditure of a higher amount of overhead. </w:t>
      </w:r>
      <w:r w:rsidR="00AC60CB" w:rsidRPr="0031456A">
        <w:rPr>
          <w:sz w:val="23"/>
          <w:szCs w:val="23"/>
        </w:rPr>
        <w:t xml:space="preserve">Social model of disability has influence on the inclusive policy and practice in health and social care but with inconsistent application due to constraints and gaps in funding, training and coordination. In autism care, the environmental adaptations align with social model but the overreliance on social factors undermines clinical needs. In terms of recommendations, implementing staff training for disability awareness and strengthening policy with monitoring and accountability mechanisms would be suitable for benefiting the service users. </w:t>
      </w:r>
    </w:p>
    <w:p w14:paraId="0E2486B5" w14:textId="77777777" w:rsidR="000604A4" w:rsidRDefault="000604A4">
      <w:pPr>
        <w:rPr>
          <w:b/>
          <w:bCs/>
        </w:rPr>
      </w:pPr>
      <w:r>
        <w:rPr>
          <w:b/>
          <w:bCs/>
        </w:rPr>
        <w:br w:type="page"/>
      </w:r>
    </w:p>
    <w:p w14:paraId="11834B42" w14:textId="77777777" w:rsidR="00207118" w:rsidRPr="00B272F4" w:rsidRDefault="00207118">
      <w:pPr>
        <w:spacing w:after="240"/>
      </w:pPr>
    </w:p>
    <w:p w14:paraId="74EAD4CD" w14:textId="77777777" w:rsidR="00207118" w:rsidRPr="00B272F4" w:rsidRDefault="00207118">
      <w:pPr>
        <w:spacing w:after="240"/>
      </w:pPr>
    </w:p>
    <w:p w14:paraId="6FF2B4A8" w14:textId="77777777" w:rsidR="00207118" w:rsidRPr="00B272F4" w:rsidRDefault="00C579ED">
      <w:pPr>
        <w:spacing w:line="259" w:lineRule="auto"/>
        <w:rPr>
          <w:color w:val="00B0F0"/>
        </w:rPr>
      </w:pPr>
      <w:r w:rsidRPr="00B272F4">
        <w:br w:type="page"/>
      </w:r>
    </w:p>
    <w:p w14:paraId="4D09785B" w14:textId="77777777" w:rsidR="00207118" w:rsidRPr="00B272F4" w:rsidRDefault="00C579ED">
      <w:pPr>
        <w:pStyle w:val="Heading1"/>
      </w:pPr>
      <w:bookmarkStart w:id="5" w:name="_Toc227722969"/>
      <w:r w:rsidRPr="00B272F4">
        <w:lastRenderedPageBreak/>
        <w:t>Appendices</w:t>
      </w:r>
      <w:bookmarkEnd w:id="5"/>
    </w:p>
    <w:sectPr w:rsidR="00207118" w:rsidRPr="00B272F4">
      <w:footerReference w:type="default" r:id="rId11"/>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16E3E6" w14:textId="77777777" w:rsidR="00815E49" w:rsidRDefault="00815E49">
      <w:pPr>
        <w:spacing w:after="0" w:line="240" w:lineRule="auto"/>
      </w:pPr>
      <w:r>
        <w:separator/>
      </w:r>
    </w:p>
  </w:endnote>
  <w:endnote w:type="continuationSeparator" w:id="0">
    <w:p w14:paraId="14A233B4" w14:textId="77777777" w:rsidR="00815E49" w:rsidRDefault="00815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78142975-55FA-4723-BAE2-A980773ACC3B}"/>
  </w:font>
  <w:font w:name="Tahoma">
    <w:panose1 w:val="020B0604030504040204"/>
    <w:charset w:val="00"/>
    <w:family w:val="swiss"/>
    <w:pitch w:val="variable"/>
    <w:sig w:usb0="E1002EFF" w:usb1="C000605B" w:usb2="00000029" w:usb3="00000000" w:csb0="000101FF" w:csb1="00000000"/>
    <w:embedRegular r:id="rId2" w:fontKey="{01DC9FC0-70D4-4301-9912-35F70C627791}"/>
  </w:font>
  <w:font w:name="Cambria">
    <w:panose1 w:val="02040503050406030204"/>
    <w:charset w:val="00"/>
    <w:family w:val="roman"/>
    <w:pitch w:val="variable"/>
    <w:sig w:usb0="E00006FF" w:usb1="420024FF" w:usb2="02000000" w:usb3="00000000" w:csb0="0000019F" w:csb1="00000000"/>
    <w:embedRegular r:id="rId3" w:fontKey="{0D4C1079-7445-455E-9662-B92ED7461FB1}"/>
  </w:font>
  <w:font w:name="Calibri">
    <w:panose1 w:val="020F0502020204030204"/>
    <w:charset w:val="00"/>
    <w:family w:val="swiss"/>
    <w:pitch w:val="variable"/>
    <w:sig w:usb0="E4002EFF" w:usb1="C200ACFF" w:usb2="00000009" w:usb3="00000000" w:csb0="000001FF" w:csb1="00000000"/>
    <w:embedRegular r:id="rId4" w:fontKey="{533FBDF5-7C9D-498C-8696-BEAD2C95944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5304CF" w14:textId="77777777" w:rsidR="00207118" w:rsidRDefault="00C579ED">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301A61">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7FEC1B70" w14:textId="77777777" w:rsidR="00207118" w:rsidRDefault="00207118">
    <w:pPr>
      <w:pBdr>
        <w:top w:val="nil"/>
        <w:left w:val="nil"/>
        <w:bottom w:val="nil"/>
        <w:right w:val="nil"/>
        <w:between w:val="nil"/>
      </w:pBdr>
      <w:tabs>
        <w:tab w:val="center" w:pos="4513"/>
        <w:tab w:val="right" w:pos="9026"/>
      </w:tabs>
      <w:spacing w:after="0" w:line="240" w:lineRule="auto"/>
      <w:jc w:val="left"/>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6262C9" w14:textId="77777777" w:rsidR="00815E49" w:rsidRDefault="00815E49">
      <w:pPr>
        <w:spacing w:after="0" w:line="240" w:lineRule="auto"/>
      </w:pPr>
      <w:r>
        <w:separator/>
      </w:r>
    </w:p>
  </w:footnote>
  <w:footnote w:type="continuationSeparator" w:id="0">
    <w:p w14:paraId="2685565F" w14:textId="77777777" w:rsidR="00815E49" w:rsidRDefault="00815E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FA340F"/>
    <w:multiLevelType w:val="multilevel"/>
    <w:tmpl w:val="DB2E19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14917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07118"/>
    <w:rsid w:val="000604A4"/>
    <w:rsid w:val="000624C5"/>
    <w:rsid w:val="00063ED8"/>
    <w:rsid w:val="000E4DC5"/>
    <w:rsid w:val="001C4CAB"/>
    <w:rsid w:val="00207118"/>
    <w:rsid w:val="00285C3B"/>
    <w:rsid w:val="00301A61"/>
    <w:rsid w:val="00340FF0"/>
    <w:rsid w:val="003B3802"/>
    <w:rsid w:val="004174C1"/>
    <w:rsid w:val="004F6267"/>
    <w:rsid w:val="005834B0"/>
    <w:rsid w:val="005A0D99"/>
    <w:rsid w:val="00815E49"/>
    <w:rsid w:val="00857629"/>
    <w:rsid w:val="00AC60CB"/>
    <w:rsid w:val="00B20B2C"/>
    <w:rsid w:val="00B272F4"/>
    <w:rsid w:val="00B436B8"/>
    <w:rsid w:val="00BD4BB9"/>
    <w:rsid w:val="00C45535"/>
    <w:rsid w:val="00C579ED"/>
    <w:rsid w:val="00CD3F36"/>
    <w:rsid w:val="00CF259B"/>
    <w:rsid w:val="00D022C2"/>
    <w:rsid w:val="00EB5F92"/>
    <w:rsid w:val="00EE5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CE411"/>
  <w15:docId w15:val="{11F84E32-05AB-4D5D-85DC-5A7FE13F8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bCs/>
      <w:color w:val="000000"/>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OC1">
    <w:name w:val="toc 1"/>
    <w:basedOn w:val="Normal"/>
    <w:next w:val="Normal"/>
    <w:autoRedefine/>
    <w:uiPriority w:val="39"/>
    <w:unhideWhenUsed/>
    <w:rsid w:val="000624C5"/>
    <w:pPr>
      <w:spacing w:after="100"/>
    </w:pPr>
  </w:style>
  <w:style w:type="character" w:styleId="Hyperlink">
    <w:name w:val="Hyperlink"/>
    <w:basedOn w:val="DefaultParagraphFont"/>
    <w:uiPriority w:val="99"/>
    <w:unhideWhenUsed/>
    <w:rsid w:val="000624C5"/>
    <w:rPr>
      <w:color w:val="0000FF" w:themeColor="hyperlink"/>
      <w:u w:val="single"/>
    </w:rPr>
  </w:style>
  <w:style w:type="paragraph" w:styleId="BalloonText">
    <w:name w:val="Balloon Text"/>
    <w:basedOn w:val="Normal"/>
    <w:link w:val="BalloonTextChar"/>
    <w:uiPriority w:val="99"/>
    <w:semiHidden/>
    <w:unhideWhenUsed/>
    <w:rsid w:val="00340F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0FF0"/>
    <w:rPr>
      <w:rFonts w:ascii="Tahoma" w:hAnsi="Tahoma" w:cs="Tahoma"/>
      <w:sz w:val="16"/>
      <w:szCs w:val="16"/>
    </w:rPr>
  </w:style>
  <w:style w:type="paragraph" w:styleId="ListParagraph">
    <w:name w:val="List Paragraph"/>
    <w:basedOn w:val="Normal"/>
    <w:uiPriority w:val="34"/>
    <w:qFormat/>
    <w:rsid w:val="00D022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X71nRO11HLY64UjOYpxw7fuzaA==">CgMxLjAyDmgucmxjZHAwNXBqMXB1Mg5oLm8xcjA1aWdzYmZyZjIOaC5pZjc0NHNjeWZiOXQyDmguNXNxZzljYnExaXJoMg5oLjR6ZmQzaXZid2lrNTIOaC5mb2M1ZjI2bmZoOGo4AHIhMS01dnBMYXFTVVdWOGEyOEFLaTNmcldzcV8tTlFUelJW</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9" ma:contentTypeDescription="Create a new document." ma:contentTypeScope="" ma:versionID="fbe83feb2f5f299a25518be642f8eb02">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55f707125de122b64552b2c225ce414e"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DCDCA48-24A7-440F-BF66-D761C039B0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E0EA8D-BC02-44B2-A856-CF106E7C4500}">
  <ds:schemaRefs>
    <ds:schemaRef ds:uri="http://schemas.microsoft.com/sharepoint/v3/contenttype/forms"/>
  </ds:schemaRefs>
</ds:datastoreItem>
</file>

<file path=customXml/itemProps4.xml><?xml version="1.0" encoding="utf-8"?>
<ds:datastoreItem xmlns:ds="http://schemas.openxmlformats.org/officeDocument/2006/customXml" ds:itemID="{198CF7A4-3265-457C-AE2A-03491909936E}">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2191</Words>
  <Characters>12490</Characters>
  <Application>Microsoft Office Word</Application>
  <DocSecurity>0</DocSecurity>
  <Lines>104</Lines>
  <Paragraphs>29</Paragraphs>
  <ScaleCrop>false</ScaleCrop>
  <Company/>
  <LinksUpToDate>false</LinksUpToDate>
  <CharactersWithSpaces>14652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Charlotte Mikano (2325743)</cp:lastModifiedBy>
  <cp:revision>3</cp:revision>
  <dcterms:created xsi:type="dcterms:W3CDTF">2026-04-27T12:05:00Z</dcterms:created>
  <dcterms:modified xsi:type="dcterms:W3CDTF">2026-04-27T12:14:00Z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