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8094C87" w:rsidR="00DB116D" w:rsidRPr="00A406E5" w:rsidRDefault="00A9086A" w:rsidP="00E51AAC">
            <w:pPr>
              <w:spacing w:before="120" w:after="120"/>
              <w:jc w:val="both"/>
              <w:rPr>
                <w:rFonts w:ascii="Arial" w:hAnsi="Arial" w:cs="Arial"/>
                <w:b/>
                <w:sz w:val="22"/>
                <w:szCs w:val="22"/>
              </w:rPr>
            </w:pPr>
            <w:r>
              <w:rPr>
                <w:rFonts w:ascii="Arial" w:hAnsi="Arial" w:cs="Arial"/>
                <w:b/>
                <w:sz w:val="22"/>
                <w:szCs w:val="22"/>
              </w:rPr>
              <w:t>BA English (Joint Honours)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118BD519" w:rsidR="008F1308" w:rsidRPr="00A406E5" w:rsidRDefault="00A9086A" w:rsidP="00E51AAC">
            <w:pPr>
              <w:spacing w:before="120" w:after="120"/>
              <w:jc w:val="both"/>
              <w:rPr>
                <w:rFonts w:ascii="Arial" w:hAnsi="Arial" w:cs="Arial"/>
                <w:b/>
                <w:sz w:val="22"/>
                <w:szCs w:val="22"/>
              </w:rPr>
            </w:pPr>
            <w:r w:rsidRPr="00A9086A">
              <w:rPr>
                <w:rFonts w:ascii="Arial" w:hAnsi="Arial" w:cs="Arial"/>
                <w:b/>
                <w:sz w:val="22"/>
                <w:szCs w:val="22"/>
              </w:rPr>
              <w:t>Error and Sweet Violence: Shakespeare and Renaissance Comedy and Tragedy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0938BAE" w:rsidR="00B84B5B" w:rsidRPr="00A406E5" w:rsidRDefault="00A9086A" w:rsidP="00152E9D">
            <w:pPr>
              <w:spacing w:before="120" w:after="120"/>
              <w:jc w:val="both"/>
              <w:rPr>
                <w:rFonts w:ascii="Arial" w:hAnsi="Arial" w:cs="Arial"/>
                <w:b/>
                <w:sz w:val="22"/>
                <w:szCs w:val="22"/>
              </w:rPr>
            </w:pPr>
            <w:r>
              <w:rPr>
                <w:rFonts w:ascii="Arial" w:hAnsi="Arial" w:cs="Arial"/>
                <w:b/>
                <w:sz w:val="22"/>
                <w:szCs w:val="22"/>
              </w:rPr>
              <w:t>HPEN6033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C84E4E3" w:rsidR="00B84B5B" w:rsidRPr="00A406E5" w:rsidRDefault="00A9086A"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4D38268" w:rsidR="00DB116D" w:rsidRPr="00A406E5" w:rsidRDefault="00A9086A"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B7EC590" w:rsidR="00DB116D" w:rsidRPr="00A406E5" w:rsidRDefault="00D550FC" w:rsidP="00A9086A">
            <w:pPr>
              <w:spacing w:before="120" w:after="120"/>
              <w:rPr>
                <w:rFonts w:ascii="Arial" w:hAnsi="Arial" w:cs="Arial"/>
                <w:b/>
                <w:sz w:val="22"/>
                <w:szCs w:val="22"/>
              </w:rPr>
            </w:pPr>
            <w:r>
              <w:rPr>
                <w:rFonts w:ascii="Arial" w:hAnsi="Arial" w:cs="Arial"/>
                <w:b/>
                <w:sz w:val="22"/>
                <w:szCs w:val="22"/>
              </w:rPr>
              <w:t>Theatre review</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9C957AB" w:rsidR="00DB116D" w:rsidRPr="00A406E5" w:rsidRDefault="00A9086A" w:rsidP="00E51AAC">
            <w:pPr>
              <w:spacing w:before="120" w:after="120"/>
              <w:jc w:val="both"/>
              <w:rPr>
                <w:rFonts w:ascii="Arial" w:hAnsi="Arial" w:cs="Arial"/>
                <w:b/>
                <w:sz w:val="22"/>
                <w:szCs w:val="22"/>
              </w:rPr>
            </w:pPr>
            <w:r>
              <w:rPr>
                <w:rFonts w:ascii="Arial" w:hAnsi="Arial" w:cs="Arial"/>
                <w:b/>
                <w:sz w:val="22"/>
                <w:szCs w:val="22"/>
              </w:rPr>
              <w:t>1,250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99DC2A5" w:rsidR="00B84B5B" w:rsidRPr="00A406E5" w:rsidRDefault="00A9086A" w:rsidP="00A9086A">
            <w:pPr>
              <w:spacing w:before="120" w:after="120"/>
              <w:rPr>
                <w:rFonts w:ascii="Arial" w:hAnsi="Arial" w:cs="Arial"/>
                <w:b/>
                <w:sz w:val="22"/>
                <w:szCs w:val="22"/>
              </w:rPr>
            </w:pPr>
            <w:r w:rsidRPr="00A9086A">
              <w:rPr>
                <w:rFonts w:ascii="Arial" w:hAnsi="Arial" w:cs="Arial"/>
                <w:b/>
                <w:sz w:val="22"/>
                <w:szCs w:val="22"/>
              </w:rPr>
              <w:t xml:space="preserve">11.59 p.m. Thursday </w:t>
            </w:r>
            <w:r w:rsidR="00D550FC">
              <w:rPr>
                <w:rFonts w:ascii="Arial" w:hAnsi="Arial" w:cs="Arial"/>
                <w:b/>
                <w:sz w:val="22"/>
                <w:szCs w:val="22"/>
              </w:rPr>
              <w:t>3rd</w:t>
            </w:r>
            <w:r w:rsidRPr="00A9086A">
              <w:rPr>
                <w:rFonts w:ascii="Arial" w:hAnsi="Arial" w:cs="Arial"/>
                <w:b/>
                <w:sz w:val="22"/>
                <w:szCs w:val="22"/>
              </w:rPr>
              <w:t xml:space="preserve"> </w:t>
            </w:r>
            <w:r w:rsidR="00D550FC">
              <w:rPr>
                <w:rFonts w:ascii="Arial" w:hAnsi="Arial" w:cs="Arial"/>
                <w:b/>
                <w:sz w:val="22"/>
                <w:szCs w:val="22"/>
              </w:rPr>
              <w:t>Octo</w:t>
            </w:r>
            <w:r w:rsidRPr="00A9086A">
              <w:rPr>
                <w:rFonts w:ascii="Arial" w:hAnsi="Arial" w:cs="Arial"/>
                <w:b/>
                <w:sz w:val="22"/>
                <w:szCs w:val="22"/>
              </w:rPr>
              <w:t>ber 2024</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9BAC635" w:rsidR="00B84B5B" w:rsidRPr="00A406E5" w:rsidRDefault="00A9086A" w:rsidP="00A9086A">
            <w:pPr>
              <w:spacing w:before="120" w:after="120"/>
              <w:rPr>
                <w:rFonts w:ascii="Arial" w:hAnsi="Arial" w:cs="Arial"/>
                <w:b/>
                <w:sz w:val="22"/>
                <w:szCs w:val="22"/>
              </w:rPr>
            </w:pPr>
            <w:r>
              <w:rPr>
                <w:rFonts w:ascii="Arial" w:hAnsi="Arial" w:cs="Arial"/>
                <w:b/>
                <w:sz w:val="22"/>
                <w:szCs w:val="22"/>
              </w:rPr>
              <w:t xml:space="preserve">9.00 a.m. Wed </w:t>
            </w:r>
            <w:r w:rsidR="00D550FC">
              <w:rPr>
                <w:rFonts w:ascii="Arial" w:hAnsi="Arial" w:cs="Arial"/>
                <w:b/>
                <w:sz w:val="22"/>
                <w:szCs w:val="22"/>
              </w:rPr>
              <w:t>9th</w:t>
            </w:r>
            <w:r>
              <w:rPr>
                <w:rFonts w:ascii="Arial" w:hAnsi="Arial" w:cs="Arial"/>
                <w:b/>
                <w:sz w:val="22"/>
                <w:szCs w:val="22"/>
              </w:rPr>
              <w:t xml:space="preserve"> October 2024</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CAF9D7B" w14:textId="77777777" w:rsidR="00A9086A" w:rsidRPr="00B1208A" w:rsidRDefault="00A9086A" w:rsidP="00A9086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68394DC6" w14:textId="77777777" w:rsidR="00A9086A" w:rsidRDefault="00A9086A" w:rsidP="00A9086A">
            <w:pPr>
              <w:pStyle w:val="bullet"/>
              <w:overflowPunct/>
              <w:autoSpaceDE/>
              <w:autoSpaceDN/>
              <w:adjustRightInd/>
              <w:spacing w:before="0"/>
              <w:ind w:left="851" w:firstLine="0"/>
              <w:textAlignment w:val="auto"/>
              <w:rPr>
                <w:rFonts w:ascii="Arial" w:hAnsi="Arial" w:cs="Arial"/>
                <w:sz w:val="22"/>
                <w:szCs w:val="22"/>
              </w:rPr>
            </w:pPr>
          </w:p>
          <w:p w14:paraId="796999D1" w14:textId="77777777" w:rsidR="00A9086A" w:rsidRPr="00D16AB8" w:rsidRDefault="00A9086A" w:rsidP="00A9086A">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D16AB8">
              <w:rPr>
                <w:rFonts w:ascii="Arial" w:hAnsi="Arial" w:cs="Arial"/>
                <w:sz w:val="22"/>
                <w:szCs w:val="22"/>
              </w:rPr>
              <w:t xml:space="preserve">demonstrate a detailed and </w:t>
            </w:r>
            <w:r>
              <w:rPr>
                <w:rFonts w:ascii="Arial" w:hAnsi="Arial" w:cs="Arial"/>
                <w:sz w:val="22"/>
                <w:szCs w:val="22"/>
              </w:rPr>
              <w:t>systematic</w:t>
            </w:r>
            <w:r w:rsidRPr="00D16AB8">
              <w:rPr>
                <w:rFonts w:ascii="Arial" w:hAnsi="Arial" w:cs="Arial"/>
                <w:sz w:val="22"/>
                <w:szCs w:val="22"/>
              </w:rPr>
              <w:t xml:space="preserve"> understanding of a range of English Renaissance drama, the genres of comedy (including romance) and tragedy, and topics intrinsic to the understanding this </w:t>
            </w:r>
            <w:proofErr w:type="gramStart"/>
            <w:r w:rsidRPr="00D16AB8">
              <w:rPr>
                <w:rFonts w:ascii="Arial" w:hAnsi="Arial" w:cs="Arial"/>
                <w:sz w:val="22"/>
                <w:szCs w:val="22"/>
              </w:rPr>
              <w:t>subject;</w:t>
            </w:r>
            <w:proofErr w:type="gramEnd"/>
          </w:p>
          <w:p w14:paraId="633ECE8D" w14:textId="77777777" w:rsidR="00A9086A" w:rsidRDefault="00A9086A" w:rsidP="00A9086A">
            <w:pPr>
              <w:pStyle w:val="bullet"/>
              <w:overflowPunct/>
              <w:autoSpaceDE/>
              <w:autoSpaceDN/>
              <w:adjustRightInd/>
              <w:spacing w:before="0"/>
              <w:ind w:left="851" w:firstLine="0"/>
              <w:textAlignment w:val="auto"/>
              <w:rPr>
                <w:rFonts w:ascii="Arial" w:hAnsi="Arial" w:cs="Arial"/>
                <w:sz w:val="22"/>
                <w:szCs w:val="22"/>
              </w:rPr>
            </w:pPr>
          </w:p>
          <w:p w14:paraId="7B86D927" w14:textId="77777777" w:rsidR="00A9086A" w:rsidRPr="00D16AB8" w:rsidRDefault="00A9086A" w:rsidP="00A9086A">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D16AB8">
              <w:rPr>
                <w:rFonts w:ascii="Arial" w:hAnsi="Arial" w:cs="Arial"/>
                <w:sz w:val="22"/>
                <w:szCs w:val="22"/>
              </w:rPr>
              <w:t xml:space="preserve">demonstrate </w:t>
            </w:r>
            <w:r>
              <w:rPr>
                <w:rFonts w:ascii="Arial" w:hAnsi="Arial" w:cs="Arial"/>
                <w:sz w:val="22"/>
                <w:szCs w:val="22"/>
              </w:rPr>
              <w:t>coherent and</w:t>
            </w:r>
            <w:r w:rsidRPr="00D16AB8">
              <w:rPr>
                <w:rFonts w:ascii="Arial" w:hAnsi="Arial" w:cs="Arial"/>
                <w:sz w:val="22"/>
                <w:szCs w:val="22"/>
              </w:rPr>
              <w:t xml:space="preserve"> detailed knowledge of a range of Shakespearean drama and of traditions of Shakespeare criticism, and a theoretically informed and critical understanding of the role of the canon of English literature and the central place of Shakespeare within </w:t>
            </w:r>
            <w:proofErr w:type="gramStart"/>
            <w:r w:rsidRPr="00D16AB8">
              <w:rPr>
                <w:rFonts w:ascii="Arial" w:hAnsi="Arial" w:cs="Arial"/>
                <w:sz w:val="22"/>
                <w:szCs w:val="22"/>
              </w:rPr>
              <w:t>it;</w:t>
            </w:r>
            <w:proofErr w:type="gramEnd"/>
          </w:p>
          <w:p w14:paraId="7F459683" w14:textId="77777777" w:rsidR="00A9086A" w:rsidRDefault="00A9086A" w:rsidP="00A9086A">
            <w:pPr>
              <w:pStyle w:val="bullet"/>
              <w:overflowPunct/>
              <w:autoSpaceDE/>
              <w:autoSpaceDN/>
              <w:adjustRightInd/>
              <w:spacing w:before="0"/>
              <w:ind w:left="851" w:firstLine="0"/>
              <w:textAlignment w:val="auto"/>
              <w:rPr>
                <w:rFonts w:ascii="Arial" w:hAnsi="Arial" w:cs="Arial"/>
                <w:sz w:val="22"/>
                <w:szCs w:val="22"/>
              </w:rPr>
            </w:pPr>
          </w:p>
          <w:p w14:paraId="2BAC2EC8" w14:textId="77777777" w:rsidR="00A9086A" w:rsidRPr="00D16AB8" w:rsidRDefault="00A9086A" w:rsidP="00A9086A">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D16AB8">
              <w:rPr>
                <w:rFonts w:ascii="Arial" w:hAnsi="Arial" w:cs="Arial"/>
                <w:sz w:val="22"/>
                <w:szCs w:val="22"/>
              </w:rPr>
              <w:t xml:space="preserve">demonstrate an ability systematically to interrelate the theatre with other aspects of English Renaissance culture and with social, political, intellectual, and religious </w:t>
            </w:r>
            <w:proofErr w:type="gramStart"/>
            <w:r w:rsidRPr="00D16AB8">
              <w:rPr>
                <w:rFonts w:ascii="Arial" w:hAnsi="Arial" w:cs="Arial"/>
                <w:sz w:val="22"/>
                <w:szCs w:val="22"/>
              </w:rPr>
              <w:t>history;</w:t>
            </w:r>
            <w:proofErr w:type="gramEnd"/>
          </w:p>
          <w:p w14:paraId="078B66A2" w14:textId="77777777" w:rsidR="00A9086A" w:rsidRDefault="00A9086A" w:rsidP="00A9086A">
            <w:pPr>
              <w:pStyle w:val="bullet"/>
              <w:overflowPunct/>
              <w:autoSpaceDE/>
              <w:autoSpaceDN/>
              <w:adjustRightInd/>
              <w:spacing w:before="0"/>
              <w:ind w:left="851" w:firstLine="0"/>
              <w:textAlignment w:val="auto"/>
              <w:rPr>
                <w:rFonts w:ascii="Arial" w:hAnsi="Arial" w:cs="Arial"/>
                <w:sz w:val="22"/>
                <w:szCs w:val="22"/>
              </w:rPr>
            </w:pPr>
          </w:p>
          <w:p w14:paraId="09ECFC44" w14:textId="77777777" w:rsidR="00A9086A" w:rsidRPr="000243D0" w:rsidRDefault="00A9086A" w:rsidP="00A9086A">
            <w:pPr>
              <w:pStyle w:val="bullet"/>
              <w:numPr>
                <w:ilvl w:val="0"/>
                <w:numId w:val="17"/>
              </w:numPr>
              <w:overflowPunct/>
              <w:autoSpaceDE/>
              <w:autoSpaceDN/>
              <w:adjustRightInd/>
              <w:spacing w:before="0"/>
              <w:ind w:left="851" w:hanging="567"/>
              <w:textAlignment w:val="auto"/>
              <w:rPr>
                <w:rFonts w:ascii="Arial" w:hAnsi="Arial" w:cs="Arial"/>
                <w:sz w:val="22"/>
                <w:szCs w:val="22"/>
              </w:rPr>
            </w:pPr>
            <w:r w:rsidRPr="00D16AB8">
              <w:rPr>
                <w:rFonts w:ascii="Arial" w:hAnsi="Arial" w:cs="Arial"/>
                <w:sz w:val="22"/>
                <w:szCs w:val="22"/>
              </w:rPr>
              <w:t>demonstrate an ability to discuss English Renaissance drama coherently from a variety of critical, scholarly, bibliographical, and theoretically informed perspectives.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2CCF1C7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6345E0E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545A9E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89B3FF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283AE3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958254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FBCCC3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9086A">
                  <w:rPr>
                    <w:rFonts w:ascii="MS Gothic" w:eastAsia="MS Gothic" w:hAnsi="MS Gothic" w:cs="Arial" w:hint="eastAsia"/>
                    <w:sz w:val="22"/>
                    <w:szCs w:val="22"/>
                  </w:rPr>
                  <w:t>☒</w:t>
                </w:r>
              </w:sdtContent>
            </w:sdt>
          </w:p>
        </w:tc>
      </w:tr>
    </w:tbl>
    <w:p w14:paraId="39728C65" w14:textId="77777777" w:rsidR="00152E9D" w:rsidRPr="00A406E5" w:rsidRDefault="00152E9D" w:rsidP="00A67FB1">
      <w:pPr>
        <w:ind w:left="720"/>
        <w:rPr>
          <w:rFonts w:ascii="Arial" w:hAnsi="Arial" w:cs="Arial"/>
          <w:sz w:val="24"/>
          <w:szCs w:val="24"/>
        </w:rPr>
      </w:pPr>
    </w:p>
    <w:p w14:paraId="67D30C86" w14:textId="77777777" w:rsidR="00D550FC" w:rsidRDefault="00D550FC" w:rsidP="00D550FC">
      <w:pPr>
        <w:rPr>
          <w:rFonts w:ascii="Sylfaen" w:hAnsi="Sylfaen" w:cs="Arial"/>
          <w:sz w:val="22"/>
          <w:szCs w:val="22"/>
        </w:rPr>
      </w:pPr>
      <w:r w:rsidRPr="00386317">
        <w:rPr>
          <w:rFonts w:ascii="Sylfaen" w:hAnsi="Sylfaen" w:cs="Aparajita"/>
          <w:sz w:val="22"/>
          <w:szCs w:val="22"/>
        </w:rPr>
        <w:lastRenderedPageBreak/>
        <w:t>Th</w:t>
      </w:r>
      <w:r>
        <w:rPr>
          <w:rFonts w:ascii="Sylfaen" w:hAnsi="Sylfaen" w:cs="Aparajita"/>
          <w:sz w:val="22"/>
          <w:szCs w:val="22"/>
        </w:rPr>
        <w:t xml:space="preserve">e exercise requires students individually to write a theatre review of 1,250 words in length. </w:t>
      </w:r>
      <w:r>
        <w:rPr>
          <w:rFonts w:ascii="Sylfaen" w:hAnsi="Sylfaen" w:cs="Arial"/>
          <w:sz w:val="22"/>
          <w:szCs w:val="22"/>
        </w:rPr>
        <w:t>Each student will need to choose one of the following recorded performances to review (please note that you must not write your review on the same play as you later write your essay):</w:t>
      </w:r>
    </w:p>
    <w:p w14:paraId="26945F47" w14:textId="77777777" w:rsidR="00D550FC" w:rsidRPr="00B34EC7" w:rsidRDefault="00D550FC" w:rsidP="00D550FC">
      <w:pPr>
        <w:rPr>
          <w:rFonts w:ascii="Sylfaen" w:hAnsi="Sylfaen" w:cs="Arial"/>
        </w:rPr>
      </w:pPr>
    </w:p>
    <w:p w14:paraId="2517DE2B" w14:textId="77777777" w:rsidR="00D550FC" w:rsidRPr="00B34EC7" w:rsidRDefault="00D550FC" w:rsidP="00D550FC">
      <w:pPr>
        <w:pStyle w:val="ListParagraph"/>
        <w:numPr>
          <w:ilvl w:val="0"/>
          <w:numId w:val="19"/>
        </w:numPr>
        <w:rPr>
          <w:rFonts w:ascii="Sylfaen" w:hAnsi="Sylfaen" w:cs="Arial"/>
        </w:rPr>
      </w:pPr>
      <w:r w:rsidRPr="00B34EC7">
        <w:rPr>
          <w:rFonts w:ascii="Sylfaen" w:hAnsi="Sylfaen" w:cs="Arial"/>
        </w:rPr>
        <w:t xml:space="preserve">Christopher Marlowe, </w:t>
      </w:r>
      <w:r w:rsidRPr="00B34EC7">
        <w:rPr>
          <w:rFonts w:ascii="Sylfaen" w:hAnsi="Sylfaen" w:cs="Arial"/>
          <w:i/>
        </w:rPr>
        <w:t>Doctor Faustus</w:t>
      </w:r>
      <w:r>
        <w:rPr>
          <w:rFonts w:ascii="Sylfaen" w:hAnsi="Sylfaen" w:cs="Arial"/>
        </w:rPr>
        <w:t>, Globe Theatre production, dir. Matthew Dunster, 2011</w:t>
      </w:r>
    </w:p>
    <w:p w14:paraId="1FB2D404" w14:textId="77777777" w:rsidR="00D550FC" w:rsidRPr="00B34EC7" w:rsidRDefault="00D550FC" w:rsidP="00D550FC">
      <w:pPr>
        <w:pStyle w:val="ListParagraph"/>
        <w:numPr>
          <w:ilvl w:val="0"/>
          <w:numId w:val="19"/>
        </w:numPr>
        <w:rPr>
          <w:rFonts w:ascii="Sylfaen" w:hAnsi="Sylfaen" w:cs="Arial"/>
        </w:rPr>
      </w:pPr>
      <w:r w:rsidRPr="00B34EC7">
        <w:rPr>
          <w:rFonts w:ascii="Sylfaen" w:hAnsi="Sylfaen" w:cs="Arial"/>
        </w:rPr>
        <w:t xml:space="preserve">William Shakespeare, </w:t>
      </w:r>
      <w:r>
        <w:rPr>
          <w:rFonts w:ascii="Sylfaen" w:hAnsi="Sylfaen" w:cs="Arial"/>
          <w:i/>
        </w:rPr>
        <w:t>Twelfth Night</w:t>
      </w:r>
      <w:r>
        <w:rPr>
          <w:rFonts w:ascii="Sylfaen" w:hAnsi="Sylfaen" w:cs="Arial"/>
        </w:rPr>
        <w:t>, Globe Theatre production, dir. Tim Carroll, 2012</w:t>
      </w:r>
    </w:p>
    <w:p w14:paraId="2A7C605E" w14:textId="77777777" w:rsidR="00D550FC" w:rsidRPr="00B34EC7" w:rsidRDefault="00D550FC" w:rsidP="00D550FC">
      <w:pPr>
        <w:rPr>
          <w:rFonts w:ascii="Sylfaen" w:hAnsi="Sylfaen" w:cs="Arial"/>
        </w:rPr>
      </w:pPr>
    </w:p>
    <w:p w14:paraId="0089B17F" w14:textId="77777777" w:rsidR="00D550FC" w:rsidRDefault="00D550FC" w:rsidP="00D550FC">
      <w:pPr>
        <w:jc w:val="both"/>
        <w:rPr>
          <w:rFonts w:ascii="Sylfaen" w:hAnsi="Sylfaen" w:cs="Aparajita"/>
          <w:sz w:val="22"/>
          <w:szCs w:val="22"/>
        </w:rPr>
      </w:pPr>
      <w:r>
        <w:rPr>
          <w:rFonts w:ascii="Sylfaen" w:hAnsi="Sylfaen" w:cs="Aparajita"/>
          <w:sz w:val="22"/>
          <w:szCs w:val="22"/>
        </w:rPr>
        <w:t xml:space="preserve">A theatre production is an event (consisting of a run of performances) that stands in relation to the printed play-text as a reiteration and an interpretation that may also edit the text for performance. The theatrical interpretation is collaboration, involving direction, acting, staging, set design, and theatre space, among other contributions in varying proportions, though the overall event of a performance is also affected by the character, composition, and response of the audience. Writing a thorough theatre review requires comment on each of the salient elements of the production and the measure to which they each contribute to the production, the extent to which they come together to enable the communication of a coherent interpretation, usually in one observed performance. </w:t>
      </w:r>
      <w:proofErr w:type="gramStart"/>
      <w:r>
        <w:rPr>
          <w:rFonts w:ascii="Sylfaen" w:hAnsi="Sylfaen" w:cs="Aparajita"/>
          <w:sz w:val="22"/>
          <w:szCs w:val="22"/>
        </w:rPr>
        <w:t>Therefore</w:t>
      </w:r>
      <w:proofErr w:type="gramEnd"/>
      <w:r>
        <w:rPr>
          <w:rFonts w:ascii="Sylfaen" w:hAnsi="Sylfaen" w:cs="Aparajita"/>
          <w:sz w:val="22"/>
          <w:szCs w:val="22"/>
        </w:rPr>
        <w:t xml:space="preserve"> students should ask, for example, what possible readings or interpretations of the play-text does the performance emphasise or de-emphasise? Does the performance do this through</w:t>
      </w:r>
      <w:r w:rsidRPr="009A6A02">
        <w:rPr>
          <w:rFonts w:ascii="Sylfaen" w:hAnsi="Sylfaen" w:cs="Aparajita"/>
          <w:sz w:val="22"/>
          <w:szCs w:val="22"/>
        </w:rPr>
        <w:t xml:space="preserve"> </w:t>
      </w:r>
      <w:r>
        <w:rPr>
          <w:rFonts w:ascii="Sylfaen" w:hAnsi="Sylfaen" w:cs="Aparajita"/>
          <w:sz w:val="22"/>
          <w:szCs w:val="22"/>
        </w:rPr>
        <w:t xml:space="preserve">emphasising/de-emphasising parts (playing parts but also passages of text), by making cuts to the printed play-text, through voice, intonation, or use of dialect, through casting or acting decisions, through costume or staging? Students should consider how clearly an interpretation is communicated in their selected recorded performance, and how this interpretation coheres with, challenges, or modifies their prior understanding of the play. How far does the production integrate or allow alternative interpretations, or conversely, how much does it exclude them? A theatre review should </w:t>
      </w:r>
      <w:r w:rsidRPr="00591A46">
        <w:rPr>
          <w:rFonts w:ascii="Sylfaen" w:hAnsi="Sylfaen" w:cs="Aparajita"/>
          <w:i/>
          <w:sz w:val="22"/>
          <w:szCs w:val="22"/>
        </w:rPr>
        <w:t>distil</w:t>
      </w:r>
      <w:r>
        <w:rPr>
          <w:rFonts w:ascii="Sylfaen" w:hAnsi="Sylfaen" w:cs="Aparajita"/>
          <w:sz w:val="22"/>
          <w:szCs w:val="22"/>
        </w:rPr>
        <w:t xml:space="preserve"> a considerable amount of perceptive analysis, reflection, and relevant knowledge into relatively few words. It should not overwhelm the reader with scholarly reference, but it may include discussion of relevant scholarly publications, and where students wish to do so they should provide publication details (publisher and date) in parentheses in the text (theatre reviews do not normally include footnotes or lists of works cited).</w:t>
      </w:r>
    </w:p>
    <w:p w14:paraId="3D6B0338" w14:textId="77777777" w:rsidR="00D550FC" w:rsidRDefault="00D550FC" w:rsidP="00D550FC">
      <w:pPr>
        <w:jc w:val="both"/>
        <w:rPr>
          <w:rFonts w:ascii="Sylfaen" w:hAnsi="Sylfaen" w:cs="Aparajita"/>
          <w:sz w:val="22"/>
          <w:szCs w:val="22"/>
        </w:rPr>
      </w:pPr>
    </w:p>
    <w:p w14:paraId="4D674A05" w14:textId="77777777" w:rsidR="00D550FC" w:rsidRDefault="00D550FC" w:rsidP="00D550FC">
      <w:pPr>
        <w:jc w:val="both"/>
        <w:rPr>
          <w:rFonts w:ascii="Sylfaen" w:hAnsi="Sylfaen" w:cs="Aparajita"/>
          <w:sz w:val="22"/>
          <w:szCs w:val="22"/>
        </w:rPr>
      </w:pPr>
      <w:r>
        <w:rPr>
          <w:rFonts w:ascii="Sylfaen" w:hAnsi="Sylfaen" w:cs="Aparajita"/>
          <w:sz w:val="22"/>
          <w:szCs w:val="22"/>
        </w:rPr>
        <w:t>In order that each of the salient aspects of the two recorded performances may be properly and thoroughly considered in discussion after the performance (or rather after viewing the performances), it will be necessary for each student to post at least one comment of at least 200 words on the Theatre Review Discussion Forum, either beginning a discussion thread or responding to another student’s post on the discussion form. Please be aware that contribution to the discussion forum is a necessary requirement of this assignment. Although individual contributions to the discussion forum will not be assessed, and therefore will not contribute to a student’s mark for the assignment, failure to contribute will result in a mark of 0 for the assignment as it will be considered that not all parts of the assignment have been attempted. Therefore, in terms of time management, it will be necessary for students to attend the appropriate class or classes and observe the recorded performances, leaving themselves sufficient time to formulate a comment or response for the discussion forum, and to write their review assignment by the submission deadline.</w:t>
      </w:r>
    </w:p>
    <w:p w14:paraId="0E8F7C7C" w14:textId="77777777" w:rsidR="00D550FC" w:rsidRPr="007072CF" w:rsidRDefault="00D550FC" w:rsidP="00D550FC">
      <w:pPr>
        <w:rPr>
          <w:rFonts w:ascii="Sylfaen" w:hAnsi="Sylfaen"/>
          <w:sz w:val="22"/>
          <w:szCs w:val="22"/>
        </w:rPr>
      </w:pPr>
    </w:p>
    <w:p w14:paraId="7A80E471" w14:textId="77777777" w:rsidR="00152E9D" w:rsidRDefault="00152E9D" w:rsidP="00A67FB1">
      <w:pPr>
        <w:ind w:left="720"/>
        <w:rPr>
          <w:rFonts w:ascii="Arial" w:hAnsi="Arial" w:cs="Arial"/>
          <w:sz w:val="24"/>
          <w:szCs w:val="24"/>
        </w:rPr>
      </w:pPr>
    </w:p>
    <w:p w14:paraId="0366BE90" w14:textId="77777777" w:rsidR="00A3505D" w:rsidRDefault="00A3505D" w:rsidP="00D22D9C">
      <w:pPr>
        <w:jc w:val="both"/>
        <w:rPr>
          <w:rFonts w:ascii="Arial" w:hAnsi="Arial" w:cs="Arial"/>
          <w:sz w:val="22"/>
          <w:szCs w:val="22"/>
        </w:rPr>
      </w:pPr>
    </w:p>
    <w:p w14:paraId="0BA90C8C" w14:textId="77777777" w:rsidR="00A9086A" w:rsidRPr="00A406E5" w:rsidRDefault="00A9086A"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w:t>
      </w:r>
      <w:r w:rsidRPr="00A406E5">
        <w:rPr>
          <w:rFonts w:ascii="Arial" w:hAnsi="Arial" w:cs="Arial"/>
          <w:sz w:val="22"/>
          <w:szCs w:val="22"/>
        </w:rPr>
        <w:lastRenderedPageBreak/>
        <w:t xml:space="preserve">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03D7"/>
    <w:multiLevelType w:val="hybridMultilevel"/>
    <w:tmpl w:val="EEF2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F47"/>
    <w:multiLevelType w:val="hybridMultilevel"/>
    <w:tmpl w:val="B25887F8"/>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3"/>
  </w:num>
  <w:num w:numId="2" w16cid:durableId="1697583224">
    <w:abstractNumId w:val="11"/>
  </w:num>
  <w:num w:numId="3" w16cid:durableId="1129662898">
    <w:abstractNumId w:val="17"/>
  </w:num>
  <w:num w:numId="4" w16cid:durableId="1149709272">
    <w:abstractNumId w:val="13"/>
  </w:num>
  <w:num w:numId="5" w16cid:durableId="578830593">
    <w:abstractNumId w:val="9"/>
  </w:num>
  <w:num w:numId="6" w16cid:durableId="905066771">
    <w:abstractNumId w:val="16"/>
  </w:num>
  <w:num w:numId="7" w16cid:durableId="112411671">
    <w:abstractNumId w:val="4"/>
  </w:num>
  <w:num w:numId="8" w16cid:durableId="785201029">
    <w:abstractNumId w:val="15"/>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4"/>
  </w:num>
  <w:num w:numId="14" w16cid:durableId="1807967875">
    <w:abstractNumId w:val="5"/>
  </w:num>
  <w:num w:numId="15" w16cid:durableId="500390440">
    <w:abstractNumId w:val="0"/>
  </w:num>
  <w:num w:numId="16" w16cid:durableId="507791675">
    <w:abstractNumId w:val="8"/>
  </w:num>
  <w:num w:numId="17" w16cid:durableId="605187800">
    <w:abstractNumId w:val="18"/>
  </w:num>
  <w:num w:numId="18" w16cid:durableId="630131328">
    <w:abstractNumId w:val="2"/>
  </w:num>
  <w:num w:numId="19" w16cid:durableId="183252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359"/>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3A7"/>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7A2E"/>
    <w:rsid w:val="00A3505D"/>
    <w:rsid w:val="00A4036F"/>
    <w:rsid w:val="00A406E5"/>
    <w:rsid w:val="00A4641C"/>
    <w:rsid w:val="00A55876"/>
    <w:rsid w:val="00A67FB1"/>
    <w:rsid w:val="00A85BFE"/>
    <w:rsid w:val="00A9086A"/>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50FC"/>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A9086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9086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2.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67053-D187-4756-B1B9-33D136BB298D}">
  <ds:schemaRefs>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9f8783c0-c358-4ee3-aa51-3e5b6a0988c7"/>
    <ds:schemaRef ds:uri="http://schemas.microsoft.com/office/2006/documentManagement/types"/>
    <ds:schemaRef ds:uri="b284688c-e99d-4c21-bef3-5c95a03109b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4185</Words>
  <Characters>23859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27989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2</cp:revision>
  <cp:lastPrinted>2014-10-10T07:42:00Z</cp:lastPrinted>
  <dcterms:created xsi:type="dcterms:W3CDTF">2024-09-16T22:25:00Z</dcterms:created>
  <dcterms:modified xsi:type="dcterms:W3CDTF">2024-09-16T22:25:00Z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