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85BD1C" w14:textId="2ED0A1FC" w:rsidR="00B93785" w:rsidRPr="00425D98" w:rsidRDefault="00235F40" w:rsidP="00425D98">
      <w:pPr>
        <w:pStyle w:val="Title"/>
      </w:pPr>
      <w:bookmarkStart w:id="0" w:name="_Hlk216880826"/>
      <w:r w:rsidRPr="00235F40">
        <w:rPr>
          <w:rFonts w:eastAsia="Calibri" w:cs="Times New Roman"/>
          <w:noProof/>
          <w:kern w:val="2"/>
          <w:sz w:val="24"/>
          <w:szCs w:val="24"/>
          <w14:ligatures w14:val="standardContextual"/>
        </w:rPr>
        <w:drawing>
          <wp:inline distT="0" distB="0" distL="0" distR="0" wp14:anchorId="14E31080" wp14:editId="65FCAAB5">
            <wp:extent cx="4716983" cy="1966826"/>
            <wp:effectExtent l="0" t="0" r="7620" b="0"/>
            <wp:docPr id="1496852822" name="Picture 1496852822" descr="University of Wales Trinity Saint David - myday">
              <a:extLst xmlns:a="http://schemas.openxmlformats.org/drawingml/2006/main">
                <a:ext uri="{FF2B5EF4-FFF2-40B4-BE49-F238E27FC236}">
                  <a16:creationId xmlns:a16="http://schemas.microsoft.com/office/drawing/2014/main" id="{802FBB6E-FFC9-12B3-FFAA-B4ED3DA822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niversity of Wales Trinity Saint David - myday">
                      <a:extLst>
                        <a:ext uri="{FF2B5EF4-FFF2-40B4-BE49-F238E27FC236}">
                          <a16:creationId xmlns:a16="http://schemas.microsoft.com/office/drawing/2014/main" id="{802FBB6E-FFC9-12B3-FFAA-B4ED3DA8223D}"/>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16983" cy="1966826"/>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bookmarkEnd w:id="0"/>
    <w:p w14:paraId="37B4AE31" w14:textId="77777777" w:rsidR="00B93785" w:rsidRDefault="00B93785" w:rsidP="00B93785">
      <w:pPr>
        <w:rPr>
          <w:lang w:eastAsia="en-GB"/>
        </w:rPr>
      </w:pPr>
    </w:p>
    <w:p w14:paraId="1B11928F" w14:textId="77777777" w:rsidR="008F614D" w:rsidRDefault="008F614D" w:rsidP="00B93785">
      <w:pPr>
        <w:rPr>
          <w:lang w:eastAsia="en-GB"/>
        </w:rPr>
      </w:pPr>
    </w:p>
    <w:p w14:paraId="31156E37" w14:textId="77777777" w:rsidR="008F614D" w:rsidRDefault="008F614D" w:rsidP="00B93785">
      <w:pPr>
        <w:rPr>
          <w:lang w:eastAsia="en-GB"/>
        </w:rPr>
      </w:pPr>
    </w:p>
    <w:p w14:paraId="43779A35" w14:textId="0DDFF82D" w:rsidR="00425D98" w:rsidRDefault="00223D48" w:rsidP="00223D48">
      <w:pPr>
        <w:pStyle w:val="ListParagraph"/>
        <w:jc w:val="both"/>
        <w:rPr>
          <w:lang w:eastAsia="en-GB"/>
        </w:rPr>
      </w:pPr>
      <w:r>
        <w:rPr>
          <w:b/>
          <w:bCs/>
          <w:sz w:val="24"/>
          <w:szCs w:val="24"/>
          <w:lang w:eastAsia="en-GB"/>
        </w:rPr>
        <w:t>Module:</w:t>
      </w:r>
      <w:r w:rsidR="00235F40" w:rsidRPr="00223D48">
        <w:rPr>
          <w:b/>
          <w:bCs/>
          <w:sz w:val="24"/>
          <w:szCs w:val="24"/>
          <w:lang w:eastAsia="en-GB"/>
        </w:rPr>
        <w:t xml:space="preserve"> Global Business Enviromen</w:t>
      </w:r>
      <w:r>
        <w:rPr>
          <w:b/>
          <w:bCs/>
          <w:sz w:val="24"/>
          <w:szCs w:val="24"/>
          <w:lang w:eastAsia="en-GB"/>
        </w:rPr>
        <w:t>t</w:t>
      </w:r>
    </w:p>
    <w:p w14:paraId="5E63BC91" w14:textId="224A2FDD" w:rsidR="00425D98" w:rsidRPr="00497312" w:rsidRDefault="00223D48" w:rsidP="00223D48">
      <w:pPr>
        <w:ind w:firstLine="720"/>
        <w:jc w:val="both"/>
        <w:rPr>
          <w:b/>
          <w:bCs/>
          <w:lang w:eastAsia="en-GB"/>
        </w:rPr>
      </w:pPr>
      <w:r w:rsidRPr="00497312">
        <w:rPr>
          <w:b/>
          <w:bCs/>
          <w:lang w:eastAsia="en-GB"/>
        </w:rPr>
        <w:t>Module Lecture : Dr Prithwa Bhattachrya</w:t>
      </w:r>
    </w:p>
    <w:p w14:paraId="5302C218" w14:textId="44E172D7" w:rsidR="00223D48" w:rsidRPr="00497312" w:rsidRDefault="00223D48" w:rsidP="00223D48">
      <w:pPr>
        <w:ind w:firstLine="720"/>
        <w:jc w:val="both"/>
        <w:rPr>
          <w:b/>
          <w:bCs/>
          <w:lang w:eastAsia="en-GB"/>
        </w:rPr>
      </w:pPr>
      <w:r w:rsidRPr="00497312">
        <w:rPr>
          <w:b/>
          <w:bCs/>
          <w:lang w:eastAsia="en-GB"/>
        </w:rPr>
        <w:t>Module Code :LCBB4016</w:t>
      </w:r>
    </w:p>
    <w:p w14:paraId="3FE3BD58" w14:textId="2C4F8F14" w:rsidR="00223D48" w:rsidRPr="00497312" w:rsidRDefault="008F614D" w:rsidP="00223D48">
      <w:pPr>
        <w:ind w:firstLine="720"/>
        <w:jc w:val="both"/>
        <w:rPr>
          <w:b/>
          <w:bCs/>
          <w:lang w:eastAsia="en-GB"/>
        </w:rPr>
      </w:pPr>
      <w:r w:rsidRPr="00497312">
        <w:rPr>
          <w:b/>
          <w:bCs/>
          <w:lang w:eastAsia="en-GB"/>
        </w:rPr>
        <w:t>Student Name : Ventsislav Karov</w:t>
      </w:r>
    </w:p>
    <w:p w14:paraId="7EE85DF2" w14:textId="4D5B85BC" w:rsidR="008F614D" w:rsidRPr="00497312" w:rsidRDefault="008F614D" w:rsidP="00223D48">
      <w:pPr>
        <w:ind w:firstLine="720"/>
        <w:jc w:val="both"/>
        <w:rPr>
          <w:b/>
          <w:bCs/>
          <w:lang w:eastAsia="en-GB"/>
        </w:rPr>
      </w:pPr>
      <w:r w:rsidRPr="00497312">
        <w:rPr>
          <w:b/>
          <w:bCs/>
          <w:lang w:eastAsia="en-GB"/>
        </w:rPr>
        <w:t>ID Number :2321719</w:t>
      </w:r>
    </w:p>
    <w:p w14:paraId="3345F44C" w14:textId="3D4E4F8A" w:rsidR="00425D98" w:rsidRPr="00497312" w:rsidRDefault="00425D98" w:rsidP="00223D48">
      <w:pPr>
        <w:rPr>
          <w:lang w:eastAsia="en-GB"/>
        </w:rPr>
      </w:pPr>
    </w:p>
    <w:p w14:paraId="1DB9D77C" w14:textId="77777777" w:rsidR="00425D98" w:rsidRPr="00497312" w:rsidRDefault="00425D98" w:rsidP="00B93785">
      <w:pPr>
        <w:rPr>
          <w:lang w:eastAsia="en-GB"/>
        </w:rPr>
      </w:pPr>
    </w:p>
    <w:p w14:paraId="7D8C7BA5" w14:textId="77777777" w:rsidR="00425D98" w:rsidRPr="00497312" w:rsidRDefault="00425D98" w:rsidP="00B93785">
      <w:pPr>
        <w:rPr>
          <w:lang w:eastAsia="en-GB"/>
        </w:rPr>
      </w:pPr>
    </w:p>
    <w:p w14:paraId="117073B6" w14:textId="77777777" w:rsidR="00425D98" w:rsidRPr="00497312" w:rsidRDefault="00425D98" w:rsidP="00B93785">
      <w:pPr>
        <w:rPr>
          <w:lang w:eastAsia="en-GB"/>
        </w:rPr>
      </w:pPr>
    </w:p>
    <w:p w14:paraId="2213CFE1" w14:textId="5E2CF786" w:rsidR="00425D98" w:rsidRPr="00497312" w:rsidRDefault="00425D98" w:rsidP="00B93785">
      <w:pPr>
        <w:rPr>
          <w:lang w:eastAsia="en-GB"/>
        </w:rPr>
      </w:pPr>
    </w:p>
    <w:p w14:paraId="6D1ABE81" w14:textId="77777777" w:rsidR="00425D98" w:rsidRPr="00497312" w:rsidRDefault="00425D98" w:rsidP="00B93785">
      <w:pPr>
        <w:rPr>
          <w:lang w:eastAsia="en-GB"/>
        </w:rPr>
      </w:pPr>
    </w:p>
    <w:p w14:paraId="5A74AC87" w14:textId="273157B3" w:rsidR="00425D98" w:rsidRPr="00497312" w:rsidRDefault="00235F40" w:rsidP="00497312">
      <w:pPr>
        <w:pStyle w:val="Title"/>
      </w:pPr>
      <w:r w:rsidRPr="00425D98">
        <w:t>The Influence of Global Forces on AstraZeneca’s International Strategy in 2024</w:t>
      </w:r>
    </w:p>
    <w:p w14:paraId="490BAEC7" w14:textId="77777777" w:rsidR="00B93785" w:rsidRDefault="00B93785" w:rsidP="00B93785">
      <w:pPr>
        <w:rPr>
          <w:lang w:eastAsia="en-GB"/>
        </w:rPr>
      </w:pPr>
      <w:r>
        <w:rPr>
          <w:lang w:eastAsia="en-GB"/>
        </w:rPr>
        <w:br w:type="page"/>
      </w:r>
    </w:p>
    <w:sdt>
      <w:sdtPr>
        <w:rPr>
          <w:rFonts w:asciiTheme="minorHAnsi" w:eastAsiaTheme="minorHAnsi" w:hAnsiTheme="minorHAnsi" w:cstheme="minorBidi"/>
          <w:b/>
          <w:color w:val="auto"/>
          <w:sz w:val="22"/>
          <w:szCs w:val="22"/>
          <w:lang w:val="en-GB"/>
        </w:rPr>
        <w:id w:val="2088107312"/>
        <w:docPartObj>
          <w:docPartGallery w:val="Table of Contents"/>
          <w:docPartUnique/>
        </w:docPartObj>
      </w:sdtPr>
      <w:sdtEndPr>
        <w:rPr>
          <w:bCs/>
          <w:noProof/>
        </w:rPr>
      </w:sdtEndPr>
      <w:sdtContent>
        <w:p w14:paraId="603CEC2C" w14:textId="77777777" w:rsidR="00E53938" w:rsidRPr="00167069" w:rsidRDefault="00E53938">
          <w:pPr>
            <w:pStyle w:val="TOCHeading"/>
            <w:rPr>
              <w:b/>
            </w:rPr>
          </w:pPr>
          <w:r w:rsidRPr="00167069">
            <w:rPr>
              <w:b/>
            </w:rPr>
            <w:t>Table of Contents</w:t>
          </w:r>
        </w:p>
        <w:p w14:paraId="6EE87324" w14:textId="2D0F114C" w:rsidR="00986D38" w:rsidRDefault="00E53938">
          <w:pPr>
            <w:pStyle w:val="TOC1"/>
            <w:tabs>
              <w:tab w:val="right" w:leader="dot" w:pos="9736"/>
            </w:tabs>
            <w:rPr>
              <w:rFonts w:eastAsiaTheme="minorEastAsia"/>
              <w:noProof/>
              <w:kern w:val="2"/>
              <w:sz w:val="24"/>
              <w:szCs w:val="24"/>
              <w:lang w:val="bg-BG" w:eastAsia="bg-BG"/>
              <w14:ligatures w14:val="standardContextual"/>
            </w:rPr>
          </w:pPr>
          <w:r w:rsidRPr="00167069">
            <w:rPr>
              <w:b/>
              <w:bCs/>
              <w:noProof/>
            </w:rPr>
            <w:fldChar w:fldCharType="begin"/>
          </w:r>
          <w:r w:rsidRPr="00167069">
            <w:rPr>
              <w:b/>
              <w:bCs/>
              <w:noProof/>
            </w:rPr>
            <w:instrText xml:space="preserve"> TOC \o "1-3" \h \z \u </w:instrText>
          </w:r>
          <w:r w:rsidRPr="00167069">
            <w:rPr>
              <w:b/>
              <w:bCs/>
              <w:noProof/>
            </w:rPr>
            <w:fldChar w:fldCharType="separate"/>
          </w:r>
          <w:hyperlink w:anchor="_Toc216681154" w:history="1">
            <w:r w:rsidR="00986D38" w:rsidRPr="00C62438">
              <w:rPr>
                <w:rStyle w:val="Hyperlink"/>
                <w:noProof/>
              </w:rPr>
              <w:t>Introduction</w:t>
            </w:r>
            <w:r w:rsidR="00986D38">
              <w:rPr>
                <w:noProof/>
                <w:webHidden/>
              </w:rPr>
              <w:tab/>
            </w:r>
            <w:r w:rsidR="00986D38">
              <w:rPr>
                <w:noProof/>
                <w:webHidden/>
              </w:rPr>
              <w:fldChar w:fldCharType="begin"/>
            </w:r>
            <w:r w:rsidR="00986D38">
              <w:rPr>
                <w:noProof/>
                <w:webHidden/>
              </w:rPr>
              <w:instrText xml:space="preserve"> PAGEREF _Toc216681154 \h </w:instrText>
            </w:r>
            <w:r w:rsidR="00986D38">
              <w:rPr>
                <w:noProof/>
                <w:webHidden/>
              </w:rPr>
            </w:r>
            <w:r w:rsidR="00986D38">
              <w:rPr>
                <w:noProof/>
                <w:webHidden/>
              </w:rPr>
              <w:fldChar w:fldCharType="separate"/>
            </w:r>
            <w:r w:rsidR="00986D38">
              <w:rPr>
                <w:noProof/>
                <w:webHidden/>
              </w:rPr>
              <w:t>3</w:t>
            </w:r>
            <w:r w:rsidR="00986D38">
              <w:rPr>
                <w:noProof/>
                <w:webHidden/>
              </w:rPr>
              <w:fldChar w:fldCharType="end"/>
            </w:r>
          </w:hyperlink>
        </w:p>
        <w:p w14:paraId="669619B2" w14:textId="3B642F10" w:rsidR="00986D38" w:rsidRDefault="00986D38">
          <w:pPr>
            <w:pStyle w:val="TOC1"/>
            <w:tabs>
              <w:tab w:val="right" w:leader="dot" w:pos="9736"/>
            </w:tabs>
            <w:rPr>
              <w:rFonts w:eastAsiaTheme="minorEastAsia"/>
              <w:noProof/>
              <w:kern w:val="2"/>
              <w:sz w:val="24"/>
              <w:szCs w:val="24"/>
              <w:lang w:val="bg-BG" w:eastAsia="bg-BG"/>
              <w14:ligatures w14:val="standardContextual"/>
            </w:rPr>
          </w:pPr>
          <w:hyperlink w:anchor="_Toc216681155" w:history="1">
            <w:r w:rsidRPr="00C62438">
              <w:rPr>
                <w:rStyle w:val="Hyperlink"/>
                <w:noProof/>
              </w:rPr>
              <w:t>Opportunities and Challenges</w:t>
            </w:r>
            <w:r>
              <w:rPr>
                <w:noProof/>
                <w:webHidden/>
              </w:rPr>
              <w:tab/>
            </w:r>
            <w:r>
              <w:rPr>
                <w:noProof/>
                <w:webHidden/>
              </w:rPr>
              <w:fldChar w:fldCharType="begin"/>
            </w:r>
            <w:r>
              <w:rPr>
                <w:noProof/>
                <w:webHidden/>
              </w:rPr>
              <w:instrText xml:space="preserve"> PAGEREF _Toc216681155 \h </w:instrText>
            </w:r>
            <w:r>
              <w:rPr>
                <w:noProof/>
                <w:webHidden/>
              </w:rPr>
            </w:r>
            <w:r>
              <w:rPr>
                <w:noProof/>
                <w:webHidden/>
              </w:rPr>
              <w:fldChar w:fldCharType="separate"/>
            </w:r>
            <w:r>
              <w:rPr>
                <w:noProof/>
                <w:webHidden/>
              </w:rPr>
              <w:t>3</w:t>
            </w:r>
            <w:r>
              <w:rPr>
                <w:noProof/>
                <w:webHidden/>
              </w:rPr>
              <w:fldChar w:fldCharType="end"/>
            </w:r>
          </w:hyperlink>
        </w:p>
        <w:p w14:paraId="2764B7FA" w14:textId="5A7A1874"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56" w:history="1">
            <w:r w:rsidRPr="00C62438">
              <w:rPr>
                <w:rStyle w:val="Hyperlink"/>
                <w:noProof/>
              </w:rPr>
              <w:t>Opportunities</w:t>
            </w:r>
            <w:r>
              <w:rPr>
                <w:noProof/>
                <w:webHidden/>
              </w:rPr>
              <w:tab/>
            </w:r>
            <w:r>
              <w:rPr>
                <w:noProof/>
                <w:webHidden/>
              </w:rPr>
              <w:fldChar w:fldCharType="begin"/>
            </w:r>
            <w:r>
              <w:rPr>
                <w:noProof/>
                <w:webHidden/>
              </w:rPr>
              <w:instrText xml:space="preserve"> PAGEREF _Toc216681156 \h </w:instrText>
            </w:r>
            <w:r>
              <w:rPr>
                <w:noProof/>
                <w:webHidden/>
              </w:rPr>
            </w:r>
            <w:r>
              <w:rPr>
                <w:noProof/>
                <w:webHidden/>
              </w:rPr>
              <w:fldChar w:fldCharType="separate"/>
            </w:r>
            <w:r>
              <w:rPr>
                <w:noProof/>
                <w:webHidden/>
              </w:rPr>
              <w:t>3</w:t>
            </w:r>
            <w:r>
              <w:rPr>
                <w:noProof/>
                <w:webHidden/>
              </w:rPr>
              <w:fldChar w:fldCharType="end"/>
            </w:r>
          </w:hyperlink>
        </w:p>
        <w:p w14:paraId="5DF2C464" w14:textId="0992BE31" w:rsidR="00986D38" w:rsidRDefault="00986D38">
          <w:pPr>
            <w:pStyle w:val="TOC3"/>
            <w:tabs>
              <w:tab w:val="right" w:leader="dot" w:pos="9736"/>
            </w:tabs>
            <w:rPr>
              <w:rFonts w:eastAsiaTheme="minorEastAsia"/>
              <w:noProof/>
              <w:kern w:val="2"/>
              <w:sz w:val="24"/>
              <w:szCs w:val="24"/>
              <w:lang w:val="bg-BG" w:eastAsia="bg-BG"/>
              <w14:ligatures w14:val="standardContextual"/>
            </w:rPr>
          </w:pPr>
          <w:hyperlink w:anchor="_Toc216681157" w:history="1">
            <w:r w:rsidRPr="00C62438">
              <w:rPr>
                <w:rStyle w:val="Hyperlink"/>
                <w:noProof/>
              </w:rPr>
              <w:t>AI-enabled drug discovery and clinical optimisation</w:t>
            </w:r>
            <w:r>
              <w:rPr>
                <w:noProof/>
                <w:webHidden/>
              </w:rPr>
              <w:tab/>
            </w:r>
            <w:r>
              <w:rPr>
                <w:noProof/>
                <w:webHidden/>
              </w:rPr>
              <w:fldChar w:fldCharType="begin"/>
            </w:r>
            <w:r>
              <w:rPr>
                <w:noProof/>
                <w:webHidden/>
              </w:rPr>
              <w:instrText xml:space="preserve"> PAGEREF _Toc216681157 \h </w:instrText>
            </w:r>
            <w:r>
              <w:rPr>
                <w:noProof/>
                <w:webHidden/>
              </w:rPr>
            </w:r>
            <w:r>
              <w:rPr>
                <w:noProof/>
                <w:webHidden/>
              </w:rPr>
              <w:fldChar w:fldCharType="separate"/>
            </w:r>
            <w:r>
              <w:rPr>
                <w:noProof/>
                <w:webHidden/>
              </w:rPr>
              <w:t>3</w:t>
            </w:r>
            <w:r>
              <w:rPr>
                <w:noProof/>
                <w:webHidden/>
              </w:rPr>
              <w:fldChar w:fldCharType="end"/>
            </w:r>
          </w:hyperlink>
        </w:p>
        <w:p w14:paraId="4565109C" w14:textId="09646C9D" w:rsidR="00986D38" w:rsidRDefault="00986D38">
          <w:pPr>
            <w:pStyle w:val="TOC3"/>
            <w:tabs>
              <w:tab w:val="right" w:leader="dot" w:pos="9736"/>
            </w:tabs>
            <w:rPr>
              <w:rFonts w:eastAsiaTheme="minorEastAsia"/>
              <w:noProof/>
              <w:kern w:val="2"/>
              <w:sz w:val="24"/>
              <w:szCs w:val="24"/>
              <w:lang w:val="bg-BG" w:eastAsia="bg-BG"/>
              <w14:ligatures w14:val="standardContextual"/>
            </w:rPr>
          </w:pPr>
          <w:hyperlink w:anchor="_Toc216681158" w:history="1">
            <w:r w:rsidRPr="00C62438">
              <w:rPr>
                <w:rStyle w:val="Hyperlink"/>
                <w:noProof/>
              </w:rPr>
              <w:t>Supply-chain reshoring and diversification</w:t>
            </w:r>
            <w:r>
              <w:rPr>
                <w:noProof/>
                <w:webHidden/>
              </w:rPr>
              <w:tab/>
            </w:r>
            <w:r>
              <w:rPr>
                <w:noProof/>
                <w:webHidden/>
              </w:rPr>
              <w:fldChar w:fldCharType="begin"/>
            </w:r>
            <w:r>
              <w:rPr>
                <w:noProof/>
                <w:webHidden/>
              </w:rPr>
              <w:instrText xml:space="preserve"> PAGEREF _Toc216681158 \h </w:instrText>
            </w:r>
            <w:r>
              <w:rPr>
                <w:noProof/>
                <w:webHidden/>
              </w:rPr>
            </w:r>
            <w:r>
              <w:rPr>
                <w:noProof/>
                <w:webHidden/>
              </w:rPr>
              <w:fldChar w:fldCharType="separate"/>
            </w:r>
            <w:r>
              <w:rPr>
                <w:noProof/>
                <w:webHidden/>
              </w:rPr>
              <w:t>4</w:t>
            </w:r>
            <w:r>
              <w:rPr>
                <w:noProof/>
                <w:webHidden/>
              </w:rPr>
              <w:fldChar w:fldCharType="end"/>
            </w:r>
          </w:hyperlink>
        </w:p>
        <w:p w14:paraId="513B1A2C" w14:textId="6E85FC40" w:rsidR="00986D38" w:rsidRDefault="00986D38">
          <w:pPr>
            <w:pStyle w:val="TOC3"/>
            <w:tabs>
              <w:tab w:val="right" w:leader="dot" w:pos="9736"/>
            </w:tabs>
            <w:rPr>
              <w:rFonts w:eastAsiaTheme="minorEastAsia"/>
              <w:noProof/>
              <w:kern w:val="2"/>
              <w:sz w:val="24"/>
              <w:szCs w:val="24"/>
              <w:lang w:val="bg-BG" w:eastAsia="bg-BG"/>
              <w14:ligatures w14:val="standardContextual"/>
            </w:rPr>
          </w:pPr>
          <w:hyperlink w:anchor="_Toc216681159" w:history="1">
            <w:r w:rsidRPr="00C62438">
              <w:rPr>
                <w:rStyle w:val="Hyperlink"/>
                <w:noProof/>
              </w:rPr>
              <w:t>Sustainability and CSRD leadership</w:t>
            </w:r>
            <w:r>
              <w:rPr>
                <w:noProof/>
                <w:webHidden/>
              </w:rPr>
              <w:tab/>
            </w:r>
            <w:r>
              <w:rPr>
                <w:noProof/>
                <w:webHidden/>
              </w:rPr>
              <w:fldChar w:fldCharType="begin"/>
            </w:r>
            <w:r>
              <w:rPr>
                <w:noProof/>
                <w:webHidden/>
              </w:rPr>
              <w:instrText xml:space="preserve"> PAGEREF _Toc216681159 \h </w:instrText>
            </w:r>
            <w:r>
              <w:rPr>
                <w:noProof/>
                <w:webHidden/>
              </w:rPr>
            </w:r>
            <w:r>
              <w:rPr>
                <w:noProof/>
                <w:webHidden/>
              </w:rPr>
              <w:fldChar w:fldCharType="separate"/>
            </w:r>
            <w:r>
              <w:rPr>
                <w:noProof/>
                <w:webHidden/>
              </w:rPr>
              <w:t>4</w:t>
            </w:r>
            <w:r>
              <w:rPr>
                <w:noProof/>
                <w:webHidden/>
              </w:rPr>
              <w:fldChar w:fldCharType="end"/>
            </w:r>
          </w:hyperlink>
        </w:p>
        <w:p w14:paraId="6367DA3B" w14:textId="03AE22E0"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60" w:history="1">
            <w:r w:rsidRPr="00C62438">
              <w:rPr>
                <w:rStyle w:val="Hyperlink"/>
                <w:noProof/>
              </w:rPr>
              <w:t>Challenges</w:t>
            </w:r>
            <w:r>
              <w:rPr>
                <w:noProof/>
                <w:webHidden/>
              </w:rPr>
              <w:tab/>
            </w:r>
            <w:r>
              <w:rPr>
                <w:noProof/>
                <w:webHidden/>
              </w:rPr>
              <w:fldChar w:fldCharType="begin"/>
            </w:r>
            <w:r>
              <w:rPr>
                <w:noProof/>
                <w:webHidden/>
              </w:rPr>
              <w:instrText xml:space="preserve"> PAGEREF _Toc216681160 \h </w:instrText>
            </w:r>
            <w:r>
              <w:rPr>
                <w:noProof/>
                <w:webHidden/>
              </w:rPr>
            </w:r>
            <w:r>
              <w:rPr>
                <w:noProof/>
                <w:webHidden/>
              </w:rPr>
              <w:fldChar w:fldCharType="separate"/>
            </w:r>
            <w:r>
              <w:rPr>
                <w:noProof/>
                <w:webHidden/>
              </w:rPr>
              <w:t>4</w:t>
            </w:r>
            <w:r>
              <w:rPr>
                <w:noProof/>
                <w:webHidden/>
              </w:rPr>
              <w:fldChar w:fldCharType="end"/>
            </w:r>
          </w:hyperlink>
        </w:p>
        <w:p w14:paraId="222BF7E1" w14:textId="27156354" w:rsidR="00986D38" w:rsidRDefault="00986D38">
          <w:pPr>
            <w:pStyle w:val="TOC3"/>
            <w:tabs>
              <w:tab w:val="right" w:leader="dot" w:pos="9736"/>
            </w:tabs>
            <w:rPr>
              <w:rFonts w:eastAsiaTheme="minorEastAsia"/>
              <w:noProof/>
              <w:kern w:val="2"/>
              <w:sz w:val="24"/>
              <w:szCs w:val="24"/>
              <w:lang w:val="bg-BG" w:eastAsia="bg-BG"/>
              <w14:ligatures w14:val="standardContextual"/>
            </w:rPr>
          </w:pPr>
          <w:hyperlink w:anchor="_Toc216681161" w:history="1">
            <w:r w:rsidRPr="00C62438">
              <w:rPr>
                <w:rStyle w:val="Hyperlink"/>
                <w:noProof/>
              </w:rPr>
              <w:t>Geopolitical tensions affecting ingredient supply</w:t>
            </w:r>
            <w:r>
              <w:rPr>
                <w:noProof/>
                <w:webHidden/>
              </w:rPr>
              <w:tab/>
            </w:r>
            <w:r>
              <w:rPr>
                <w:noProof/>
                <w:webHidden/>
              </w:rPr>
              <w:fldChar w:fldCharType="begin"/>
            </w:r>
            <w:r>
              <w:rPr>
                <w:noProof/>
                <w:webHidden/>
              </w:rPr>
              <w:instrText xml:space="preserve"> PAGEREF _Toc216681161 \h </w:instrText>
            </w:r>
            <w:r>
              <w:rPr>
                <w:noProof/>
                <w:webHidden/>
              </w:rPr>
            </w:r>
            <w:r>
              <w:rPr>
                <w:noProof/>
                <w:webHidden/>
              </w:rPr>
              <w:fldChar w:fldCharType="separate"/>
            </w:r>
            <w:r>
              <w:rPr>
                <w:noProof/>
                <w:webHidden/>
              </w:rPr>
              <w:t>4</w:t>
            </w:r>
            <w:r>
              <w:rPr>
                <w:noProof/>
                <w:webHidden/>
              </w:rPr>
              <w:fldChar w:fldCharType="end"/>
            </w:r>
          </w:hyperlink>
        </w:p>
        <w:p w14:paraId="0BD1428A" w14:textId="109202F8" w:rsidR="00986D38" w:rsidRDefault="00986D38">
          <w:pPr>
            <w:pStyle w:val="TOC3"/>
            <w:tabs>
              <w:tab w:val="right" w:leader="dot" w:pos="9736"/>
            </w:tabs>
            <w:rPr>
              <w:rFonts w:eastAsiaTheme="minorEastAsia"/>
              <w:noProof/>
              <w:kern w:val="2"/>
              <w:sz w:val="24"/>
              <w:szCs w:val="24"/>
              <w:lang w:val="bg-BG" w:eastAsia="bg-BG"/>
              <w14:ligatures w14:val="standardContextual"/>
            </w:rPr>
          </w:pPr>
          <w:hyperlink w:anchor="_Toc216681162" w:history="1">
            <w:r w:rsidRPr="00C62438">
              <w:rPr>
                <w:rStyle w:val="Hyperlink"/>
                <w:noProof/>
              </w:rPr>
              <w:t>AI regulation and data governance</w:t>
            </w:r>
            <w:r>
              <w:rPr>
                <w:noProof/>
                <w:webHidden/>
              </w:rPr>
              <w:tab/>
            </w:r>
            <w:r>
              <w:rPr>
                <w:noProof/>
                <w:webHidden/>
              </w:rPr>
              <w:fldChar w:fldCharType="begin"/>
            </w:r>
            <w:r>
              <w:rPr>
                <w:noProof/>
                <w:webHidden/>
              </w:rPr>
              <w:instrText xml:space="preserve"> PAGEREF _Toc216681162 \h </w:instrText>
            </w:r>
            <w:r>
              <w:rPr>
                <w:noProof/>
                <w:webHidden/>
              </w:rPr>
            </w:r>
            <w:r>
              <w:rPr>
                <w:noProof/>
                <w:webHidden/>
              </w:rPr>
              <w:fldChar w:fldCharType="separate"/>
            </w:r>
            <w:r>
              <w:rPr>
                <w:noProof/>
                <w:webHidden/>
              </w:rPr>
              <w:t>5</w:t>
            </w:r>
            <w:r>
              <w:rPr>
                <w:noProof/>
                <w:webHidden/>
              </w:rPr>
              <w:fldChar w:fldCharType="end"/>
            </w:r>
          </w:hyperlink>
        </w:p>
        <w:p w14:paraId="75F26CC4" w14:textId="2D4E632E" w:rsidR="00986D38" w:rsidRDefault="00986D38">
          <w:pPr>
            <w:pStyle w:val="TOC3"/>
            <w:tabs>
              <w:tab w:val="right" w:leader="dot" w:pos="9736"/>
            </w:tabs>
            <w:rPr>
              <w:rFonts w:eastAsiaTheme="minorEastAsia"/>
              <w:noProof/>
              <w:kern w:val="2"/>
              <w:sz w:val="24"/>
              <w:szCs w:val="24"/>
              <w:lang w:val="bg-BG" w:eastAsia="bg-BG"/>
              <w14:ligatures w14:val="standardContextual"/>
            </w:rPr>
          </w:pPr>
          <w:hyperlink w:anchor="_Toc216681163" w:history="1">
            <w:r w:rsidRPr="00C62438">
              <w:rPr>
                <w:rStyle w:val="Hyperlink"/>
                <w:noProof/>
              </w:rPr>
              <w:t>Increasing sustainability requirements under CSRD</w:t>
            </w:r>
            <w:r>
              <w:rPr>
                <w:noProof/>
                <w:webHidden/>
              </w:rPr>
              <w:tab/>
            </w:r>
            <w:r>
              <w:rPr>
                <w:noProof/>
                <w:webHidden/>
              </w:rPr>
              <w:fldChar w:fldCharType="begin"/>
            </w:r>
            <w:r>
              <w:rPr>
                <w:noProof/>
                <w:webHidden/>
              </w:rPr>
              <w:instrText xml:space="preserve"> PAGEREF _Toc216681163 \h </w:instrText>
            </w:r>
            <w:r>
              <w:rPr>
                <w:noProof/>
                <w:webHidden/>
              </w:rPr>
            </w:r>
            <w:r>
              <w:rPr>
                <w:noProof/>
                <w:webHidden/>
              </w:rPr>
              <w:fldChar w:fldCharType="separate"/>
            </w:r>
            <w:r>
              <w:rPr>
                <w:noProof/>
                <w:webHidden/>
              </w:rPr>
              <w:t>5</w:t>
            </w:r>
            <w:r>
              <w:rPr>
                <w:noProof/>
                <w:webHidden/>
              </w:rPr>
              <w:fldChar w:fldCharType="end"/>
            </w:r>
          </w:hyperlink>
        </w:p>
        <w:p w14:paraId="704383BA" w14:textId="2D1C3FCB" w:rsidR="00986D38" w:rsidRDefault="00986D38">
          <w:pPr>
            <w:pStyle w:val="TOC1"/>
            <w:tabs>
              <w:tab w:val="right" w:leader="dot" w:pos="9736"/>
            </w:tabs>
            <w:rPr>
              <w:rFonts w:eastAsiaTheme="minorEastAsia"/>
              <w:noProof/>
              <w:kern w:val="2"/>
              <w:sz w:val="24"/>
              <w:szCs w:val="24"/>
              <w:lang w:val="bg-BG" w:eastAsia="bg-BG"/>
              <w14:ligatures w14:val="standardContextual"/>
            </w:rPr>
          </w:pPr>
          <w:hyperlink w:anchor="_Toc216681164" w:history="1">
            <w:r w:rsidRPr="00C62438">
              <w:rPr>
                <w:rStyle w:val="Hyperlink"/>
                <w:noProof/>
              </w:rPr>
              <w:t>PESTEL Analysis</w:t>
            </w:r>
            <w:r>
              <w:rPr>
                <w:noProof/>
                <w:webHidden/>
              </w:rPr>
              <w:tab/>
            </w:r>
            <w:r>
              <w:rPr>
                <w:noProof/>
                <w:webHidden/>
              </w:rPr>
              <w:fldChar w:fldCharType="begin"/>
            </w:r>
            <w:r>
              <w:rPr>
                <w:noProof/>
                <w:webHidden/>
              </w:rPr>
              <w:instrText xml:space="preserve"> PAGEREF _Toc216681164 \h </w:instrText>
            </w:r>
            <w:r>
              <w:rPr>
                <w:noProof/>
                <w:webHidden/>
              </w:rPr>
            </w:r>
            <w:r>
              <w:rPr>
                <w:noProof/>
                <w:webHidden/>
              </w:rPr>
              <w:fldChar w:fldCharType="separate"/>
            </w:r>
            <w:r>
              <w:rPr>
                <w:noProof/>
                <w:webHidden/>
              </w:rPr>
              <w:t>5</w:t>
            </w:r>
            <w:r>
              <w:rPr>
                <w:noProof/>
                <w:webHidden/>
              </w:rPr>
              <w:fldChar w:fldCharType="end"/>
            </w:r>
          </w:hyperlink>
        </w:p>
        <w:p w14:paraId="69215F65" w14:textId="2C0C1CB3"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65" w:history="1">
            <w:r w:rsidRPr="00C62438">
              <w:rPr>
                <w:rStyle w:val="Hyperlink"/>
                <w:noProof/>
              </w:rPr>
              <w:t>Political</w:t>
            </w:r>
            <w:r>
              <w:rPr>
                <w:noProof/>
                <w:webHidden/>
              </w:rPr>
              <w:tab/>
            </w:r>
            <w:r>
              <w:rPr>
                <w:noProof/>
                <w:webHidden/>
              </w:rPr>
              <w:fldChar w:fldCharType="begin"/>
            </w:r>
            <w:r>
              <w:rPr>
                <w:noProof/>
                <w:webHidden/>
              </w:rPr>
              <w:instrText xml:space="preserve"> PAGEREF _Toc216681165 \h </w:instrText>
            </w:r>
            <w:r>
              <w:rPr>
                <w:noProof/>
                <w:webHidden/>
              </w:rPr>
            </w:r>
            <w:r>
              <w:rPr>
                <w:noProof/>
                <w:webHidden/>
              </w:rPr>
              <w:fldChar w:fldCharType="separate"/>
            </w:r>
            <w:r>
              <w:rPr>
                <w:noProof/>
                <w:webHidden/>
              </w:rPr>
              <w:t>5</w:t>
            </w:r>
            <w:r>
              <w:rPr>
                <w:noProof/>
                <w:webHidden/>
              </w:rPr>
              <w:fldChar w:fldCharType="end"/>
            </w:r>
          </w:hyperlink>
        </w:p>
        <w:p w14:paraId="40558407" w14:textId="46C08926"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66" w:history="1">
            <w:r w:rsidRPr="00C62438">
              <w:rPr>
                <w:rStyle w:val="Hyperlink"/>
                <w:noProof/>
              </w:rPr>
              <w:t>Economic</w:t>
            </w:r>
            <w:r>
              <w:rPr>
                <w:noProof/>
                <w:webHidden/>
              </w:rPr>
              <w:tab/>
            </w:r>
            <w:r>
              <w:rPr>
                <w:noProof/>
                <w:webHidden/>
              </w:rPr>
              <w:fldChar w:fldCharType="begin"/>
            </w:r>
            <w:r>
              <w:rPr>
                <w:noProof/>
                <w:webHidden/>
              </w:rPr>
              <w:instrText xml:space="preserve"> PAGEREF _Toc216681166 \h </w:instrText>
            </w:r>
            <w:r>
              <w:rPr>
                <w:noProof/>
                <w:webHidden/>
              </w:rPr>
            </w:r>
            <w:r>
              <w:rPr>
                <w:noProof/>
                <w:webHidden/>
              </w:rPr>
              <w:fldChar w:fldCharType="separate"/>
            </w:r>
            <w:r>
              <w:rPr>
                <w:noProof/>
                <w:webHidden/>
              </w:rPr>
              <w:t>5</w:t>
            </w:r>
            <w:r>
              <w:rPr>
                <w:noProof/>
                <w:webHidden/>
              </w:rPr>
              <w:fldChar w:fldCharType="end"/>
            </w:r>
          </w:hyperlink>
        </w:p>
        <w:p w14:paraId="2BB6CE52" w14:textId="190E700D"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67" w:history="1">
            <w:r w:rsidRPr="00C62438">
              <w:rPr>
                <w:rStyle w:val="Hyperlink"/>
                <w:noProof/>
              </w:rPr>
              <w:t>Social</w:t>
            </w:r>
            <w:r>
              <w:rPr>
                <w:noProof/>
                <w:webHidden/>
              </w:rPr>
              <w:tab/>
            </w:r>
            <w:r>
              <w:rPr>
                <w:noProof/>
                <w:webHidden/>
              </w:rPr>
              <w:fldChar w:fldCharType="begin"/>
            </w:r>
            <w:r>
              <w:rPr>
                <w:noProof/>
                <w:webHidden/>
              </w:rPr>
              <w:instrText xml:space="preserve"> PAGEREF _Toc216681167 \h </w:instrText>
            </w:r>
            <w:r>
              <w:rPr>
                <w:noProof/>
                <w:webHidden/>
              </w:rPr>
            </w:r>
            <w:r>
              <w:rPr>
                <w:noProof/>
                <w:webHidden/>
              </w:rPr>
              <w:fldChar w:fldCharType="separate"/>
            </w:r>
            <w:r>
              <w:rPr>
                <w:noProof/>
                <w:webHidden/>
              </w:rPr>
              <w:t>6</w:t>
            </w:r>
            <w:r>
              <w:rPr>
                <w:noProof/>
                <w:webHidden/>
              </w:rPr>
              <w:fldChar w:fldCharType="end"/>
            </w:r>
          </w:hyperlink>
        </w:p>
        <w:p w14:paraId="1F15E819" w14:textId="00D736CA"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68" w:history="1">
            <w:r w:rsidRPr="00C62438">
              <w:rPr>
                <w:rStyle w:val="Hyperlink"/>
                <w:noProof/>
              </w:rPr>
              <w:t>Technological</w:t>
            </w:r>
            <w:r>
              <w:rPr>
                <w:noProof/>
                <w:webHidden/>
              </w:rPr>
              <w:tab/>
            </w:r>
            <w:r>
              <w:rPr>
                <w:noProof/>
                <w:webHidden/>
              </w:rPr>
              <w:fldChar w:fldCharType="begin"/>
            </w:r>
            <w:r>
              <w:rPr>
                <w:noProof/>
                <w:webHidden/>
              </w:rPr>
              <w:instrText xml:space="preserve"> PAGEREF _Toc216681168 \h </w:instrText>
            </w:r>
            <w:r>
              <w:rPr>
                <w:noProof/>
                <w:webHidden/>
              </w:rPr>
            </w:r>
            <w:r>
              <w:rPr>
                <w:noProof/>
                <w:webHidden/>
              </w:rPr>
              <w:fldChar w:fldCharType="separate"/>
            </w:r>
            <w:r>
              <w:rPr>
                <w:noProof/>
                <w:webHidden/>
              </w:rPr>
              <w:t>6</w:t>
            </w:r>
            <w:r>
              <w:rPr>
                <w:noProof/>
                <w:webHidden/>
              </w:rPr>
              <w:fldChar w:fldCharType="end"/>
            </w:r>
          </w:hyperlink>
        </w:p>
        <w:p w14:paraId="2675C56D" w14:textId="313A7E8B"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69" w:history="1">
            <w:r w:rsidRPr="00C62438">
              <w:rPr>
                <w:rStyle w:val="Hyperlink"/>
                <w:noProof/>
              </w:rPr>
              <w:t>Environmental</w:t>
            </w:r>
            <w:r>
              <w:rPr>
                <w:noProof/>
                <w:webHidden/>
              </w:rPr>
              <w:tab/>
            </w:r>
            <w:r>
              <w:rPr>
                <w:noProof/>
                <w:webHidden/>
              </w:rPr>
              <w:fldChar w:fldCharType="begin"/>
            </w:r>
            <w:r>
              <w:rPr>
                <w:noProof/>
                <w:webHidden/>
              </w:rPr>
              <w:instrText xml:space="preserve"> PAGEREF _Toc216681169 \h </w:instrText>
            </w:r>
            <w:r>
              <w:rPr>
                <w:noProof/>
                <w:webHidden/>
              </w:rPr>
            </w:r>
            <w:r>
              <w:rPr>
                <w:noProof/>
                <w:webHidden/>
              </w:rPr>
              <w:fldChar w:fldCharType="separate"/>
            </w:r>
            <w:r>
              <w:rPr>
                <w:noProof/>
                <w:webHidden/>
              </w:rPr>
              <w:t>6</w:t>
            </w:r>
            <w:r>
              <w:rPr>
                <w:noProof/>
                <w:webHidden/>
              </w:rPr>
              <w:fldChar w:fldCharType="end"/>
            </w:r>
          </w:hyperlink>
        </w:p>
        <w:p w14:paraId="0F239EDF" w14:textId="4CC6C84E"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70" w:history="1">
            <w:r w:rsidRPr="00C62438">
              <w:rPr>
                <w:rStyle w:val="Hyperlink"/>
                <w:noProof/>
              </w:rPr>
              <w:t>Legal</w:t>
            </w:r>
            <w:r>
              <w:rPr>
                <w:noProof/>
                <w:webHidden/>
              </w:rPr>
              <w:tab/>
            </w:r>
            <w:r>
              <w:rPr>
                <w:noProof/>
                <w:webHidden/>
              </w:rPr>
              <w:fldChar w:fldCharType="begin"/>
            </w:r>
            <w:r>
              <w:rPr>
                <w:noProof/>
                <w:webHidden/>
              </w:rPr>
              <w:instrText xml:space="preserve"> PAGEREF _Toc216681170 \h </w:instrText>
            </w:r>
            <w:r>
              <w:rPr>
                <w:noProof/>
                <w:webHidden/>
              </w:rPr>
            </w:r>
            <w:r>
              <w:rPr>
                <w:noProof/>
                <w:webHidden/>
              </w:rPr>
              <w:fldChar w:fldCharType="separate"/>
            </w:r>
            <w:r>
              <w:rPr>
                <w:noProof/>
                <w:webHidden/>
              </w:rPr>
              <w:t>6</w:t>
            </w:r>
            <w:r>
              <w:rPr>
                <w:noProof/>
                <w:webHidden/>
              </w:rPr>
              <w:fldChar w:fldCharType="end"/>
            </w:r>
          </w:hyperlink>
        </w:p>
        <w:p w14:paraId="6492944C" w14:textId="57E46926" w:rsidR="00986D38" w:rsidRDefault="00986D38">
          <w:pPr>
            <w:pStyle w:val="TOC1"/>
            <w:tabs>
              <w:tab w:val="right" w:leader="dot" w:pos="9736"/>
            </w:tabs>
            <w:rPr>
              <w:rFonts w:eastAsiaTheme="minorEastAsia"/>
              <w:noProof/>
              <w:kern w:val="2"/>
              <w:sz w:val="24"/>
              <w:szCs w:val="24"/>
              <w:lang w:val="bg-BG" w:eastAsia="bg-BG"/>
              <w14:ligatures w14:val="standardContextual"/>
            </w:rPr>
          </w:pPr>
          <w:hyperlink w:anchor="_Toc216681171" w:history="1">
            <w:r w:rsidRPr="00C62438">
              <w:rPr>
                <w:rStyle w:val="Hyperlink"/>
                <w:noProof/>
              </w:rPr>
              <w:t>Impact on AstraZeneca</w:t>
            </w:r>
            <w:r>
              <w:rPr>
                <w:noProof/>
                <w:webHidden/>
              </w:rPr>
              <w:tab/>
            </w:r>
            <w:r>
              <w:rPr>
                <w:noProof/>
                <w:webHidden/>
              </w:rPr>
              <w:fldChar w:fldCharType="begin"/>
            </w:r>
            <w:r>
              <w:rPr>
                <w:noProof/>
                <w:webHidden/>
              </w:rPr>
              <w:instrText xml:space="preserve"> PAGEREF _Toc216681171 \h </w:instrText>
            </w:r>
            <w:r>
              <w:rPr>
                <w:noProof/>
                <w:webHidden/>
              </w:rPr>
            </w:r>
            <w:r>
              <w:rPr>
                <w:noProof/>
                <w:webHidden/>
              </w:rPr>
              <w:fldChar w:fldCharType="separate"/>
            </w:r>
            <w:r>
              <w:rPr>
                <w:noProof/>
                <w:webHidden/>
              </w:rPr>
              <w:t>6</w:t>
            </w:r>
            <w:r>
              <w:rPr>
                <w:noProof/>
                <w:webHidden/>
              </w:rPr>
              <w:fldChar w:fldCharType="end"/>
            </w:r>
          </w:hyperlink>
        </w:p>
        <w:p w14:paraId="665005CB" w14:textId="2F92C239"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72" w:history="1">
            <w:r w:rsidRPr="00C62438">
              <w:rPr>
                <w:rStyle w:val="Hyperlink"/>
                <w:noProof/>
              </w:rPr>
              <w:t>Market Positioning</w:t>
            </w:r>
            <w:r>
              <w:rPr>
                <w:noProof/>
                <w:webHidden/>
              </w:rPr>
              <w:tab/>
            </w:r>
            <w:r>
              <w:rPr>
                <w:noProof/>
                <w:webHidden/>
              </w:rPr>
              <w:fldChar w:fldCharType="begin"/>
            </w:r>
            <w:r>
              <w:rPr>
                <w:noProof/>
                <w:webHidden/>
              </w:rPr>
              <w:instrText xml:space="preserve"> PAGEREF _Toc216681172 \h </w:instrText>
            </w:r>
            <w:r>
              <w:rPr>
                <w:noProof/>
                <w:webHidden/>
              </w:rPr>
            </w:r>
            <w:r>
              <w:rPr>
                <w:noProof/>
                <w:webHidden/>
              </w:rPr>
              <w:fldChar w:fldCharType="separate"/>
            </w:r>
            <w:r>
              <w:rPr>
                <w:noProof/>
                <w:webHidden/>
              </w:rPr>
              <w:t>6</w:t>
            </w:r>
            <w:r>
              <w:rPr>
                <w:noProof/>
                <w:webHidden/>
              </w:rPr>
              <w:fldChar w:fldCharType="end"/>
            </w:r>
          </w:hyperlink>
        </w:p>
        <w:p w14:paraId="26FB22F3" w14:textId="0B6529E3"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73" w:history="1">
            <w:r w:rsidRPr="00C62438">
              <w:rPr>
                <w:rStyle w:val="Hyperlink"/>
                <w:noProof/>
              </w:rPr>
              <w:t>Innovation Capability</w:t>
            </w:r>
            <w:r>
              <w:rPr>
                <w:noProof/>
                <w:webHidden/>
              </w:rPr>
              <w:tab/>
            </w:r>
            <w:r>
              <w:rPr>
                <w:noProof/>
                <w:webHidden/>
              </w:rPr>
              <w:fldChar w:fldCharType="begin"/>
            </w:r>
            <w:r>
              <w:rPr>
                <w:noProof/>
                <w:webHidden/>
              </w:rPr>
              <w:instrText xml:space="preserve"> PAGEREF _Toc216681173 \h </w:instrText>
            </w:r>
            <w:r>
              <w:rPr>
                <w:noProof/>
                <w:webHidden/>
              </w:rPr>
            </w:r>
            <w:r>
              <w:rPr>
                <w:noProof/>
                <w:webHidden/>
              </w:rPr>
              <w:fldChar w:fldCharType="separate"/>
            </w:r>
            <w:r>
              <w:rPr>
                <w:noProof/>
                <w:webHidden/>
              </w:rPr>
              <w:t>6</w:t>
            </w:r>
            <w:r>
              <w:rPr>
                <w:noProof/>
                <w:webHidden/>
              </w:rPr>
              <w:fldChar w:fldCharType="end"/>
            </w:r>
          </w:hyperlink>
        </w:p>
        <w:p w14:paraId="0B7894D4" w14:textId="22D1DD8D"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74" w:history="1">
            <w:r w:rsidRPr="00C62438">
              <w:rPr>
                <w:rStyle w:val="Hyperlink"/>
                <w:noProof/>
              </w:rPr>
              <w:t>Talent Management</w:t>
            </w:r>
            <w:r>
              <w:rPr>
                <w:noProof/>
                <w:webHidden/>
              </w:rPr>
              <w:tab/>
            </w:r>
            <w:r>
              <w:rPr>
                <w:noProof/>
                <w:webHidden/>
              </w:rPr>
              <w:fldChar w:fldCharType="begin"/>
            </w:r>
            <w:r>
              <w:rPr>
                <w:noProof/>
                <w:webHidden/>
              </w:rPr>
              <w:instrText xml:space="preserve"> PAGEREF _Toc216681174 \h </w:instrText>
            </w:r>
            <w:r>
              <w:rPr>
                <w:noProof/>
                <w:webHidden/>
              </w:rPr>
            </w:r>
            <w:r>
              <w:rPr>
                <w:noProof/>
                <w:webHidden/>
              </w:rPr>
              <w:fldChar w:fldCharType="separate"/>
            </w:r>
            <w:r>
              <w:rPr>
                <w:noProof/>
                <w:webHidden/>
              </w:rPr>
              <w:t>7</w:t>
            </w:r>
            <w:r>
              <w:rPr>
                <w:noProof/>
                <w:webHidden/>
              </w:rPr>
              <w:fldChar w:fldCharType="end"/>
            </w:r>
          </w:hyperlink>
        </w:p>
        <w:p w14:paraId="2BF2469C" w14:textId="2B25F0A9"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75" w:history="1">
            <w:r w:rsidRPr="00C62438">
              <w:rPr>
                <w:rStyle w:val="Hyperlink"/>
                <w:noProof/>
              </w:rPr>
              <w:t>Global Competitiveness</w:t>
            </w:r>
            <w:r>
              <w:rPr>
                <w:noProof/>
                <w:webHidden/>
              </w:rPr>
              <w:tab/>
            </w:r>
            <w:r>
              <w:rPr>
                <w:noProof/>
                <w:webHidden/>
              </w:rPr>
              <w:fldChar w:fldCharType="begin"/>
            </w:r>
            <w:r>
              <w:rPr>
                <w:noProof/>
                <w:webHidden/>
              </w:rPr>
              <w:instrText xml:space="preserve"> PAGEREF _Toc216681175 \h </w:instrText>
            </w:r>
            <w:r>
              <w:rPr>
                <w:noProof/>
                <w:webHidden/>
              </w:rPr>
            </w:r>
            <w:r>
              <w:rPr>
                <w:noProof/>
                <w:webHidden/>
              </w:rPr>
              <w:fldChar w:fldCharType="separate"/>
            </w:r>
            <w:r>
              <w:rPr>
                <w:noProof/>
                <w:webHidden/>
              </w:rPr>
              <w:t>7</w:t>
            </w:r>
            <w:r>
              <w:rPr>
                <w:noProof/>
                <w:webHidden/>
              </w:rPr>
              <w:fldChar w:fldCharType="end"/>
            </w:r>
          </w:hyperlink>
        </w:p>
        <w:p w14:paraId="088B8DFD" w14:textId="117F87CE" w:rsidR="00986D38" w:rsidRDefault="00986D38">
          <w:pPr>
            <w:pStyle w:val="TOC1"/>
            <w:tabs>
              <w:tab w:val="right" w:leader="dot" w:pos="9736"/>
            </w:tabs>
            <w:rPr>
              <w:rFonts w:eastAsiaTheme="minorEastAsia"/>
              <w:noProof/>
              <w:kern w:val="2"/>
              <w:sz w:val="24"/>
              <w:szCs w:val="24"/>
              <w:lang w:val="bg-BG" w:eastAsia="bg-BG"/>
              <w14:ligatures w14:val="standardContextual"/>
            </w:rPr>
          </w:pPr>
          <w:hyperlink w:anchor="_Toc216681176" w:history="1">
            <w:r w:rsidRPr="00C62438">
              <w:rPr>
                <w:rStyle w:val="Hyperlink"/>
                <w:noProof/>
              </w:rPr>
              <w:t>Strategic Recommendations</w:t>
            </w:r>
            <w:r>
              <w:rPr>
                <w:noProof/>
                <w:webHidden/>
              </w:rPr>
              <w:tab/>
            </w:r>
            <w:r>
              <w:rPr>
                <w:noProof/>
                <w:webHidden/>
              </w:rPr>
              <w:fldChar w:fldCharType="begin"/>
            </w:r>
            <w:r>
              <w:rPr>
                <w:noProof/>
                <w:webHidden/>
              </w:rPr>
              <w:instrText xml:space="preserve"> PAGEREF _Toc216681176 \h </w:instrText>
            </w:r>
            <w:r>
              <w:rPr>
                <w:noProof/>
                <w:webHidden/>
              </w:rPr>
            </w:r>
            <w:r>
              <w:rPr>
                <w:noProof/>
                <w:webHidden/>
              </w:rPr>
              <w:fldChar w:fldCharType="separate"/>
            </w:r>
            <w:r>
              <w:rPr>
                <w:noProof/>
                <w:webHidden/>
              </w:rPr>
              <w:t>7</w:t>
            </w:r>
            <w:r>
              <w:rPr>
                <w:noProof/>
                <w:webHidden/>
              </w:rPr>
              <w:fldChar w:fldCharType="end"/>
            </w:r>
          </w:hyperlink>
        </w:p>
        <w:p w14:paraId="6CD2E90A" w14:textId="10254390"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77" w:history="1">
            <w:r w:rsidRPr="00C62438">
              <w:rPr>
                <w:rStyle w:val="Hyperlink"/>
                <w:noProof/>
              </w:rPr>
              <w:t>Augment AI Governance and Accelerate Digital R&amp;D</w:t>
            </w:r>
            <w:r>
              <w:rPr>
                <w:noProof/>
                <w:webHidden/>
              </w:rPr>
              <w:tab/>
            </w:r>
            <w:r>
              <w:rPr>
                <w:noProof/>
                <w:webHidden/>
              </w:rPr>
              <w:fldChar w:fldCharType="begin"/>
            </w:r>
            <w:r>
              <w:rPr>
                <w:noProof/>
                <w:webHidden/>
              </w:rPr>
              <w:instrText xml:space="preserve"> PAGEREF _Toc216681177 \h </w:instrText>
            </w:r>
            <w:r>
              <w:rPr>
                <w:noProof/>
                <w:webHidden/>
              </w:rPr>
            </w:r>
            <w:r>
              <w:rPr>
                <w:noProof/>
                <w:webHidden/>
              </w:rPr>
              <w:fldChar w:fldCharType="separate"/>
            </w:r>
            <w:r>
              <w:rPr>
                <w:noProof/>
                <w:webHidden/>
              </w:rPr>
              <w:t>7</w:t>
            </w:r>
            <w:r>
              <w:rPr>
                <w:noProof/>
                <w:webHidden/>
              </w:rPr>
              <w:fldChar w:fldCharType="end"/>
            </w:r>
          </w:hyperlink>
        </w:p>
        <w:p w14:paraId="7243256F" w14:textId="3B34ADCB"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78" w:history="1">
            <w:r w:rsidRPr="00C62438">
              <w:rPr>
                <w:rStyle w:val="Hyperlink"/>
                <w:noProof/>
              </w:rPr>
              <w:t>Build a geopolitically resilient supply chain</w:t>
            </w:r>
            <w:r>
              <w:rPr>
                <w:noProof/>
                <w:webHidden/>
              </w:rPr>
              <w:tab/>
            </w:r>
            <w:r>
              <w:rPr>
                <w:noProof/>
                <w:webHidden/>
              </w:rPr>
              <w:fldChar w:fldCharType="begin"/>
            </w:r>
            <w:r>
              <w:rPr>
                <w:noProof/>
                <w:webHidden/>
              </w:rPr>
              <w:instrText xml:space="preserve"> PAGEREF _Toc216681178 \h </w:instrText>
            </w:r>
            <w:r>
              <w:rPr>
                <w:noProof/>
                <w:webHidden/>
              </w:rPr>
            </w:r>
            <w:r>
              <w:rPr>
                <w:noProof/>
                <w:webHidden/>
              </w:rPr>
              <w:fldChar w:fldCharType="separate"/>
            </w:r>
            <w:r>
              <w:rPr>
                <w:noProof/>
                <w:webHidden/>
              </w:rPr>
              <w:t>8</w:t>
            </w:r>
            <w:r>
              <w:rPr>
                <w:noProof/>
                <w:webHidden/>
              </w:rPr>
              <w:fldChar w:fldCharType="end"/>
            </w:r>
          </w:hyperlink>
        </w:p>
        <w:p w14:paraId="14FFF675" w14:textId="5AFA28EF"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79" w:history="1">
            <w:r w:rsidRPr="00C62438">
              <w:rPr>
                <w:rStyle w:val="Hyperlink"/>
                <w:noProof/>
              </w:rPr>
              <w:t>Lead the Pharmaceutical Sector in CSRD Compliance</w:t>
            </w:r>
            <w:r>
              <w:rPr>
                <w:noProof/>
                <w:webHidden/>
              </w:rPr>
              <w:tab/>
            </w:r>
            <w:r>
              <w:rPr>
                <w:noProof/>
                <w:webHidden/>
              </w:rPr>
              <w:fldChar w:fldCharType="begin"/>
            </w:r>
            <w:r>
              <w:rPr>
                <w:noProof/>
                <w:webHidden/>
              </w:rPr>
              <w:instrText xml:space="preserve"> PAGEREF _Toc216681179 \h </w:instrText>
            </w:r>
            <w:r>
              <w:rPr>
                <w:noProof/>
                <w:webHidden/>
              </w:rPr>
            </w:r>
            <w:r>
              <w:rPr>
                <w:noProof/>
                <w:webHidden/>
              </w:rPr>
              <w:fldChar w:fldCharType="separate"/>
            </w:r>
            <w:r>
              <w:rPr>
                <w:noProof/>
                <w:webHidden/>
              </w:rPr>
              <w:t>8</w:t>
            </w:r>
            <w:r>
              <w:rPr>
                <w:noProof/>
                <w:webHidden/>
              </w:rPr>
              <w:fldChar w:fldCharType="end"/>
            </w:r>
          </w:hyperlink>
        </w:p>
        <w:p w14:paraId="3A9EA5F8" w14:textId="2E6B4E1E" w:rsidR="00986D38" w:rsidRDefault="00986D38">
          <w:pPr>
            <w:pStyle w:val="TOC2"/>
            <w:tabs>
              <w:tab w:val="right" w:leader="dot" w:pos="9736"/>
            </w:tabs>
            <w:rPr>
              <w:rFonts w:eastAsiaTheme="minorEastAsia"/>
              <w:noProof/>
              <w:kern w:val="2"/>
              <w:sz w:val="24"/>
              <w:szCs w:val="24"/>
              <w:lang w:val="bg-BG" w:eastAsia="bg-BG"/>
              <w14:ligatures w14:val="standardContextual"/>
            </w:rPr>
          </w:pPr>
          <w:hyperlink w:anchor="_Toc216681180" w:history="1">
            <w:r w:rsidRPr="00C62438">
              <w:rPr>
                <w:rStyle w:val="Hyperlink"/>
                <w:noProof/>
              </w:rPr>
              <w:t>Invest in a Global Talent Strategy</w:t>
            </w:r>
            <w:r>
              <w:rPr>
                <w:noProof/>
                <w:webHidden/>
              </w:rPr>
              <w:tab/>
            </w:r>
            <w:r>
              <w:rPr>
                <w:noProof/>
                <w:webHidden/>
              </w:rPr>
              <w:fldChar w:fldCharType="begin"/>
            </w:r>
            <w:r>
              <w:rPr>
                <w:noProof/>
                <w:webHidden/>
              </w:rPr>
              <w:instrText xml:space="preserve"> PAGEREF _Toc216681180 \h </w:instrText>
            </w:r>
            <w:r>
              <w:rPr>
                <w:noProof/>
                <w:webHidden/>
              </w:rPr>
            </w:r>
            <w:r>
              <w:rPr>
                <w:noProof/>
                <w:webHidden/>
              </w:rPr>
              <w:fldChar w:fldCharType="separate"/>
            </w:r>
            <w:r>
              <w:rPr>
                <w:noProof/>
                <w:webHidden/>
              </w:rPr>
              <w:t>8</w:t>
            </w:r>
            <w:r>
              <w:rPr>
                <w:noProof/>
                <w:webHidden/>
              </w:rPr>
              <w:fldChar w:fldCharType="end"/>
            </w:r>
          </w:hyperlink>
        </w:p>
        <w:p w14:paraId="7351EF29" w14:textId="5C85468F" w:rsidR="00986D38" w:rsidRDefault="00986D38">
          <w:pPr>
            <w:pStyle w:val="TOC1"/>
            <w:tabs>
              <w:tab w:val="right" w:leader="dot" w:pos="9736"/>
            </w:tabs>
            <w:rPr>
              <w:rFonts w:eastAsiaTheme="minorEastAsia"/>
              <w:noProof/>
              <w:kern w:val="2"/>
              <w:sz w:val="24"/>
              <w:szCs w:val="24"/>
              <w:lang w:val="bg-BG" w:eastAsia="bg-BG"/>
              <w14:ligatures w14:val="standardContextual"/>
            </w:rPr>
          </w:pPr>
          <w:hyperlink w:anchor="_Toc216681181" w:history="1">
            <w:r w:rsidRPr="00C62438">
              <w:rPr>
                <w:rStyle w:val="Hyperlink"/>
                <w:noProof/>
              </w:rPr>
              <w:t>Conclusion</w:t>
            </w:r>
            <w:r>
              <w:rPr>
                <w:noProof/>
                <w:webHidden/>
              </w:rPr>
              <w:tab/>
            </w:r>
            <w:r>
              <w:rPr>
                <w:noProof/>
                <w:webHidden/>
              </w:rPr>
              <w:fldChar w:fldCharType="begin"/>
            </w:r>
            <w:r>
              <w:rPr>
                <w:noProof/>
                <w:webHidden/>
              </w:rPr>
              <w:instrText xml:space="preserve"> PAGEREF _Toc216681181 \h </w:instrText>
            </w:r>
            <w:r>
              <w:rPr>
                <w:noProof/>
                <w:webHidden/>
              </w:rPr>
            </w:r>
            <w:r>
              <w:rPr>
                <w:noProof/>
                <w:webHidden/>
              </w:rPr>
              <w:fldChar w:fldCharType="separate"/>
            </w:r>
            <w:r>
              <w:rPr>
                <w:noProof/>
                <w:webHidden/>
              </w:rPr>
              <w:t>8</w:t>
            </w:r>
            <w:r>
              <w:rPr>
                <w:noProof/>
                <w:webHidden/>
              </w:rPr>
              <w:fldChar w:fldCharType="end"/>
            </w:r>
          </w:hyperlink>
        </w:p>
        <w:p w14:paraId="2950F075" w14:textId="54A827F2" w:rsidR="00986D38" w:rsidRDefault="00986D38">
          <w:pPr>
            <w:pStyle w:val="TOC1"/>
            <w:tabs>
              <w:tab w:val="right" w:leader="dot" w:pos="9736"/>
            </w:tabs>
            <w:rPr>
              <w:rFonts w:eastAsiaTheme="minorEastAsia"/>
              <w:noProof/>
              <w:kern w:val="2"/>
              <w:sz w:val="24"/>
              <w:szCs w:val="24"/>
              <w:lang w:val="bg-BG" w:eastAsia="bg-BG"/>
              <w14:ligatures w14:val="standardContextual"/>
            </w:rPr>
          </w:pPr>
          <w:hyperlink w:anchor="_Toc216681182" w:history="1">
            <w:r w:rsidRPr="00C62438">
              <w:rPr>
                <w:rStyle w:val="Hyperlink"/>
                <w:noProof/>
              </w:rPr>
              <w:t>Reference List</w:t>
            </w:r>
            <w:r>
              <w:rPr>
                <w:noProof/>
                <w:webHidden/>
              </w:rPr>
              <w:tab/>
            </w:r>
            <w:r>
              <w:rPr>
                <w:noProof/>
                <w:webHidden/>
              </w:rPr>
              <w:fldChar w:fldCharType="begin"/>
            </w:r>
            <w:r>
              <w:rPr>
                <w:noProof/>
                <w:webHidden/>
              </w:rPr>
              <w:instrText xml:space="preserve"> PAGEREF _Toc216681182 \h </w:instrText>
            </w:r>
            <w:r>
              <w:rPr>
                <w:noProof/>
                <w:webHidden/>
              </w:rPr>
            </w:r>
            <w:r>
              <w:rPr>
                <w:noProof/>
                <w:webHidden/>
              </w:rPr>
              <w:fldChar w:fldCharType="separate"/>
            </w:r>
            <w:r>
              <w:rPr>
                <w:noProof/>
                <w:webHidden/>
              </w:rPr>
              <w:t>10</w:t>
            </w:r>
            <w:r>
              <w:rPr>
                <w:noProof/>
                <w:webHidden/>
              </w:rPr>
              <w:fldChar w:fldCharType="end"/>
            </w:r>
          </w:hyperlink>
        </w:p>
        <w:p w14:paraId="3BF9748D" w14:textId="21257606" w:rsidR="00B93785" w:rsidRDefault="00E53938" w:rsidP="00B93785">
          <w:r w:rsidRPr="00167069">
            <w:rPr>
              <w:b/>
              <w:bCs/>
              <w:noProof/>
            </w:rPr>
            <w:fldChar w:fldCharType="end"/>
          </w:r>
        </w:p>
      </w:sdtContent>
    </w:sdt>
    <w:p w14:paraId="6BF90B81" w14:textId="77777777" w:rsidR="00B93785" w:rsidRDefault="00B93785" w:rsidP="00B93785">
      <w:pPr>
        <w:rPr>
          <w:lang w:eastAsia="en-GB"/>
        </w:rPr>
      </w:pPr>
      <w:r>
        <w:rPr>
          <w:lang w:eastAsia="en-GB"/>
        </w:rPr>
        <w:br w:type="page"/>
      </w:r>
    </w:p>
    <w:p w14:paraId="4C3B3C3D" w14:textId="77777777" w:rsidR="00B93785" w:rsidRPr="00B93785" w:rsidRDefault="00361206" w:rsidP="005F29E4">
      <w:pPr>
        <w:pStyle w:val="Heading1"/>
        <w:spacing w:line="360" w:lineRule="auto"/>
        <w:jc w:val="both"/>
      </w:pPr>
      <w:bookmarkStart w:id="1" w:name="_Toc216681154"/>
      <w:r>
        <w:lastRenderedPageBreak/>
        <w:t>Introduction</w:t>
      </w:r>
      <w:bookmarkEnd w:id="1"/>
    </w:p>
    <w:p w14:paraId="1782CB0D" w14:textId="77777777" w:rsidR="005F29E4" w:rsidRDefault="005F29E4" w:rsidP="005F29E4">
      <w:pPr>
        <w:pStyle w:val="NormalWeb"/>
        <w:spacing w:line="360" w:lineRule="auto"/>
        <w:jc w:val="both"/>
      </w:pPr>
      <w:r>
        <w:t>Globalisation adheres to the rising cross-border flows of capital, acknowledgement, technology, and supervisory norms and values, which vastly associate national economies to a solely global system. Moreover, it augments interrelations between markets, as well as enlarging the strategic intricacy that multinational enterprises (MNEs) encounter daily (Grosse, 2019; Dicken, 2020). Such globalising indicators are specifically utilised within the biopharmaceutical industry, characterised by innovation, regulation, and distribution, operating across various jurisdictions.</w:t>
      </w:r>
    </w:p>
    <w:p w14:paraId="0FB471DD" w14:textId="77777777" w:rsidR="005F29E4" w:rsidRDefault="005F29E4" w:rsidP="005F29E4">
      <w:pPr>
        <w:pStyle w:val="NormalWeb"/>
        <w:spacing w:line="360" w:lineRule="auto"/>
        <w:jc w:val="both"/>
      </w:pPr>
      <w:r>
        <w:t>AstraZeneca, a UK-based multinational biopharmaceutical organisation with various business operations in more than 100 countries and a substantial portfolio in oncology, vaccines, and respiratory diseases, encounters various challenges regarding the implementation of its international strategy. The revenue of 2024 was about $45 billion, accumulated by the constant demand for innovative therapeutics and expanding research and development (R&amp;D) capabilities (AstraZeneca, 2024). Considered as the leading science organisation, the international strategy of AstraZeneca should react vigorously to progressing global risks and technological progressions.</w:t>
      </w:r>
    </w:p>
    <w:p w14:paraId="1880F159" w14:textId="79EC017D" w:rsidR="005F29E4" w:rsidRDefault="005F29E4" w:rsidP="00052DA1">
      <w:pPr>
        <w:pStyle w:val="NormalWeb"/>
        <w:spacing w:line="360" w:lineRule="auto"/>
        <w:jc w:val="both"/>
      </w:pPr>
      <w:r>
        <w:t>The aim of this essay is to crucially analyse how three major global forces, such as AI acceleration, geopolitical tensions, and new sustainability regulations like the EU’s Corporate Sustainability Reporting Directive (CSRD), are reformulating opportunities, challenges, and strategic adoptions for AstraZeneca’s global operations between 2024 and 2025.</w:t>
      </w:r>
      <w:r w:rsidR="00986D38">
        <w:t xml:space="preserve"> Furthermore, it seek to explore the external environment of the business, while analysing those external factors, having impact on the business.</w:t>
      </w:r>
    </w:p>
    <w:p w14:paraId="21C2AC36" w14:textId="77777777" w:rsidR="00B93785" w:rsidRPr="00B93785" w:rsidRDefault="00B93785" w:rsidP="00FB5B77">
      <w:pPr>
        <w:pStyle w:val="Heading1"/>
        <w:spacing w:line="360" w:lineRule="auto"/>
        <w:jc w:val="both"/>
      </w:pPr>
      <w:bookmarkStart w:id="2" w:name="_Toc216681155"/>
      <w:r w:rsidRPr="00B93785">
        <w:t>Opportunities and Challenges</w:t>
      </w:r>
      <w:bookmarkEnd w:id="2"/>
    </w:p>
    <w:p w14:paraId="4455642A" w14:textId="77777777" w:rsidR="00B93785" w:rsidRPr="00B93785" w:rsidRDefault="00B93785" w:rsidP="00FB5B77">
      <w:pPr>
        <w:pStyle w:val="Heading2"/>
        <w:spacing w:line="360" w:lineRule="auto"/>
        <w:jc w:val="both"/>
      </w:pPr>
      <w:bookmarkStart w:id="3" w:name="_Toc216681156"/>
      <w:r w:rsidRPr="00B93785">
        <w:t>Opportunities</w:t>
      </w:r>
      <w:bookmarkEnd w:id="3"/>
    </w:p>
    <w:p w14:paraId="1AF08337" w14:textId="77777777" w:rsidR="00361206" w:rsidRDefault="00B93785" w:rsidP="00FB5B77">
      <w:pPr>
        <w:spacing w:before="100" w:beforeAutospacing="1" w:after="100" w:afterAutospacing="1" w:line="360" w:lineRule="auto"/>
        <w:jc w:val="both"/>
        <w:rPr>
          <w:rStyle w:val="Heading3Char"/>
          <w:rFonts w:eastAsiaTheme="minorHAnsi"/>
        </w:rPr>
      </w:pPr>
      <w:bookmarkStart w:id="4" w:name="_Toc216681157"/>
      <w:r w:rsidRPr="00361206">
        <w:rPr>
          <w:rStyle w:val="Heading3Char"/>
          <w:rFonts w:eastAsiaTheme="minorHAnsi"/>
        </w:rPr>
        <w:t>AI-enabled drug discovery and clinical optimisation</w:t>
      </w:r>
      <w:bookmarkEnd w:id="4"/>
    </w:p>
    <w:p w14:paraId="17E6944C" w14:textId="77777777" w:rsidR="00FB5B77" w:rsidRDefault="00FB5B77" w:rsidP="00867EF0">
      <w:pPr>
        <w:pStyle w:val="NormalWeb"/>
        <w:spacing w:line="360" w:lineRule="auto"/>
        <w:jc w:val="both"/>
      </w:pPr>
      <w:r>
        <w:t xml:space="preserve">Fast improvement in artificial intelligence (AI) provides a transformative opportunity for AstraZeneca’s innovation approach. Moreover, AI decreases R&amp;D cycle times by improving molecule identification, forecasting toxicity, and augmenting clinical trial schemes (McKinsey &amp; Company, 2023; Lee, 2022). Thus, AstraZeneca already cooperates with BenevolentAI, utilises Microsoft Azure AI for cloud-based analytics, and has implemented vast language models, including BioGPT, to </w:t>
      </w:r>
      <w:r>
        <w:lastRenderedPageBreak/>
        <w:t>augment hypothesis creation. Such capabilities permit faster supervisory proposals, condensed development expenses, and augmented customisation of oncology and respiratory treatments. In terms of strategic aspects, AI could decrease time-to-market and force quicker penetration into new geographical markets, firming the company’s competitive edge.</w:t>
      </w:r>
    </w:p>
    <w:p w14:paraId="03D3EDBF" w14:textId="77777777" w:rsidR="00361206" w:rsidRDefault="00B93785" w:rsidP="00867EF0">
      <w:pPr>
        <w:pStyle w:val="Heading3"/>
        <w:spacing w:line="360" w:lineRule="auto"/>
        <w:jc w:val="both"/>
      </w:pPr>
      <w:bookmarkStart w:id="5" w:name="_Toc216681158"/>
      <w:r w:rsidRPr="00B93785">
        <w:t>Supply-chain reshoring and diversification</w:t>
      </w:r>
      <w:bookmarkEnd w:id="5"/>
    </w:p>
    <w:p w14:paraId="74546C76" w14:textId="77777777" w:rsidR="00867EF0" w:rsidRDefault="00867EF0" w:rsidP="003D1C67">
      <w:pPr>
        <w:pStyle w:val="NormalWeb"/>
        <w:spacing w:line="360" w:lineRule="auto"/>
        <w:jc w:val="both"/>
      </w:pPr>
      <w:r>
        <w:t>Escalating geopolitical pressures are forcing global companies to differentiate or relocate manufacturing. AstraZeneca has expanded UK and EU production volumes, forced automatically by the COVID-19 pandemic in order to decrease reliance on intense Asian supply protuberances (Deloitte, 2024). Establishing multinational production across Europe, North America, and parts of Asia could help the organisation to empower resilience and counter trade disagreements, sanctions, and regional variability. Various sourcing of vaccine elements and active pharmaceutical ingredients (APIs) also permit AstraZeneca to react more compliantly to increased variations and regulatory disparities between major areas.</w:t>
      </w:r>
    </w:p>
    <w:p w14:paraId="65D1CDEC" w14:textId="77777777" w:rsidR="00361206" w:rsidRDefault="00B93785" w:rsidP="003D1C67">
      <w:pPr>
        <w:pStyle w:val="Heading3"/>
        <w:spacing w:line="360" w:lineRule="auto"/>
        <w:jc w:val="both"/>
      </w:pPr>
      <w:bookmarkStart w:id="6" w:name="_Toc216681159"/>
      <w:r w:rsidRPr="00B93785">
        <w:t>Sustainability and CSRD leadership</w:t>
      </w:r>
      <w:bookmarkEnd w:id="6"/>
    </w:p>
    <w:p w14:paraId="3CD5B5AB" w14:textId="77777777" w:rsidR="003D1C67" w:rsidRDefault="003D1C67" w:rsidP="00BA67D4">
      <w:pPr>
        <w:pStyle w:val="NormalWeb"/>
        <w:spacing w:line="360" w:lineRule="auto"/>
        <w:jc w:val="both"/>
      </w:pPr>
      <w:r>
        <w:t>Sustainability-based pharmaceutical investment is increasing, as global investors vigorously inspect companies in terms of climate credentials (Bloomberg, 2024). AstraZeneca has dedicated itself to becoming carbon negative by 2030 and is currently upgrading facilities, transportation, and packaging in order to decrease levels of emission (AstraZeneca, 2024).  Pre-emptive adjustment to CSRD principles provides the company larger ground in attaining first-mover advantage in the EU, improving loyalty with regulatory parties and health systems. Thus, leadership in transparent sustainability reporting could diversify AstraZeneca from global contestants like Pfizer or Novartis.</w:t>
      </w:r>
    </w:p>
    <w:p w14:paraId="6DA74047" w14:textId="77777777" w:rsidR="00B93785" w:rsidRPr="00B93785" w:rsidRDefault="00B93785" w:rsidP="00BA67D4">
      <w:pPr>
        <w:pStyle w:val="Heading2"/>
        <w:spacing w:line="360" w:lineRule="auto"/>
        <w:jc w:val="both"/>
      </w:pPr>
      <w:bookmarkStart w:id="7" w:name="_Toc216681160"/>
      <w:r w:rsidRPr="00B93785">
        <w:t>Challenges</w:t>
      </w:r>
      <w:bookmarkEnd w:id="7"/>
    </w:p>
    <w:p w14:paraId="4459D7DB" w14:textId="77777777" w:rsidR="00361206" w:rsidRDefault="00B93785" w:rsidP="00BA67D4">
      <w:pPr>
        <w:pStyle w:val="Heading3"/>
        <w:spacing w:line="360" w:lineRule="auto"/>
        <w:jc w:val="both"/>
      </w:pPr>
      <w:bookmarkStart w:id="8" w:name="_Toc216681161"/>
      <w:r w:rsidRPr="00B93785">
        <w:t>Geopolitical tensions affecting ingredient supply</w:t>
      </w:r>
      <w:bookmarkEnd w:id="8"/>
    </w:p>
    <w:p w14:paraId="45BAD456" w14:textId="77777777" w:rsidR="00BA67D4" w:rsidRDefault="00BA67D4" w:rsidP="00BA67D4">
      <w:pPr>
        <w:pStyle w:val="NormalWeb"/>
        <w:spacing w:line="360" w:lineRule="auto"/>
        <w:jc w:val="both"/>
      </w:pPr>
      <w:r>
        <w:t xml:space="preserve">Besides divergence, AstraZeneca is still severely dependent on China and India for API production. Geopolitical flashpoints like Red Sea attacks, Taiwan-based concerns, and sanctions could upset global shipping routes, augment freight costs, and postpone ingredient provision services (Financial Times, 2025). These disruptions intimidate production steadiness and jeopardise profit margins. Moreover, </w:t>
      </w:r>
      <w:r>
        <w:lastRenderedPageBreak/>
        <w:t>uneven geopolitical conditions might cause regulatory interruptions, depressing the consistency of global medicine supply from AstraZeneca.</w:t>
      </w:r>
    </w:p>
    <w:p w14:paraId="2B70B0AC" w14:textId="77777777" w:rsidR="009B1F11" w:rsidRDefault="00B93785" w:rsidP="00BA67D4">
      <w:pPr>
        <w:pStyle w:val="Heading3"/>
        <w:spacing w:line="360" w:lineRule="auto"/>
        <w:jc w:val="both"/>
      </w:pPr>
      <w:bookmarkStart w:id="9" w:name="_Toc216681162"/>
      <w:r w:rsidRPr="00B93785">
        <w:t>AI regulation and data governance</w:t>
      </w:r>
      <w:bookmarkEnd w:id="9"/>
    </w:p>
    <w:p w14:paraId="1D3690A0" w14:textId="77777777" w:rsidR="00523674" w:rsidRDefault="00523674" w:rsidP="00523674">
      <w:pPr>
        <w:pStyle w:val="NormalWeb"/>
        <w:spacing w:line="360" w:lineRule="auto"/>
        <w:jc w:val="both"/>
      </w:pPr>
      <w:r>
        <w:t>The representation of complex legislation like the EU AI Act enhances compliance responsibilities for businesses utilising medical AI. High-risk AI systems should showcase traceability, transparency, and algorithmic accountability (OECD, 2024; European Commission, 2023). AstraZeneca should authorise data attribution and diminish bias regarding global datasets, as well as establish substantial additional cost. Regulatory heterogeneity between the EU, US, and China increases the complexity of cross-border digital R&amp;D activities.</w:t>
      </w:r>
    </w:p>
    <w:p w14:paraId="5157114E" w14:textId="77777777" w:rsidR="009B1F11" w:rsidRDefault="00B93785" w:rsidP="00523674">
      <w:pPr>
        <w:pStyle w:val="Heading3"/>
        <w:spacing w:line="360" w:lineRule="auto"/>
        <w:jc w:val="both"/>
      </w:pPr>
      <w:bookmarkStart w:id="10" w:name="_Toc216681163"/>
      <w:r w:rsidRPr="00B93785">
        <w:t>Increasing sustainability requirements under CSRD</w:t>
      </w:r>
      <w:bookmarkEnd w:id="10"/>
    </w:p>
    <w:p w14:paraId="143FCC9C" w14:textId="77777777" w:rsidR="00084BAE" w:rsidRDefault="00084BAE" w:rsidP="00084BAE">
      <w:pPr>
        <w:pStyle w:val="NormalWeb"/>
        <w:spacing w:line="360" w:lineRule="auto"/>
        <w:jc w:val="both"/>
      </w:pPr>
      <w:r>
        <w:t>As CSRD provides strategic gains, it also creates severe operational concerns. For instance, Scope 3 emissions, consisting of upstream suppliers, logistics networks, and waste, are considered extremely difficult to quantify, particularly in the pharmaceutical sector regarding comprehensive global distribution channels (PwC, 2024). Miscarriage to offer precise reporting poses risks to AstraZeneca in terms of status damage and possible fines. Reaching complete transparency necessitates expensive system upgrades, supplier cooperation, and continuing auditing.</w:t>
      </w:r>
    </w:p>
    <w:p w14:paraId="553E0654" w14:textId="77777777" w:rsidR="00986D38" w:rsidRDefault="00986D38" w:rsidP="00986D38">
      <w:pPr>
        <w:pStyle w:val="Heading1"/>
        <w:spacing w:line="360" w:lineRule="auto"/>
        <w:jc w:val="both"/>
      </w:pPr>
      <w:bookmarkStart w:id="11" w:name="_Toc216681164"/>
      <w:r>
        <w:t>PESTEL Analysis</w:t>
      </w:r>
      <w:bookmarkEnd w:id="11"/>
    </w:p>
    <w:p w14:paraId="4785A0FA" w14:textId="77777777" w:rsidR="00986D38" w:rsidRPr="00401D33" w:rsidRDefault="00986D38" w:rsidP="00986D38">
      <w:pPr>
        <w:pStyle w:val="Heading2"/>
        <w:spacing w:line="360" w:lineRule="auto"/>
        <w:jc w:val="both"/>
        <w:rPr>
          <w:rStyle w:val="Strong"/>
          <w:b/>
        </w:rPr>
      </w:pPr>
      <w:bookmarkStart w:id="12" w:name="_Toc216681165"/>
      <w:r w:rsidRPr="00401D33">
        <w:rPr>
          <w:rStyle w:val="Strong"/>
          <w:b/>
        </w:rPr>
        <w:t>Political</w:t>
      </w:r>
      <w:bookmarkEnd w:id="12"/>
    </w:p>
    <w:p w14:paraId="6C7D7634" w14:textId="77777777" w:rsidR="00986D38" w:rsidRDefault="00986D38" w:rsidP="00986D38">
      <w:pPr>
        <w:pStyle w:val="NormalWeb"/>
        <w:spacing w:line="360" w:lineRule="auto"/>
        <w:jc w:val="both"/>
      </w:pPr>
      <w:r>
        <w:t>Geopolitical discrepancies and trade disturbances pose challenged to global API supply chains and augment operational risk (Deloitte, 2024; Financial Times, 2025).</w:t>
      </w:r>
    </w:p>
    <w:p w14:paraId="242C8B80" w14:textId="77777777" w:rsidR="00986D38" w:rsidRPr="00865DD1" w:rsidRDefault="00986D38" w:rsidP="00986D38">
      <w:pPr>
        <w:pStyle w:val="Heading2"/>
        <w:spacing w:line="360" w:lineRule="auto"/>
        <w:jc w:val="both"/>
        <w:rPr>
          <w:rStyle w:val="Strong"/>
          <w:b/>
          <w:bCs/>
        </w:rPr>
      </w:pPr>
      <w:bookmarkStart w:id="13" w:name="_Toc216681166"/>
      <w:r w:rsidRPr="00865DD1">
        <w:rPr>
          <w:rStyle w:val="Strong"/>
          <w:b/>
          <w:bCs/>
        </w:rPr>
        <w:t>Economic</w:t>
      </w:r>
      <w:bookmarkEnd w:id="13"/>
    </w:p>
    <w:p w14:paraId="5BF06279" w14:textId="77777777" w:rsidR="00986D38" w:rsidRDefault="00986D38" w:rsidP="00986D38">
      <w:pPr>
        <w:pStyle w:val="NormalWeb"/>
        <w:spacing w:line="360" w:lineRule="auto"/>
        <w:jc w:val="both"/>
      </w:pPr>
      <w:r>
        <w:t>High inflation, augmenting logistics costs, and exchange-rate instability impact on R&amp;D and production; although the demand of powerful global pharmaceutical is high (World Economic Forum, 2024).</w:t>
      </w:r>
    </w:p>
    <w:p w14:paraId="2FFEA5E8" w14:textId="77777777" w:rsidR="00986D38" w:rsidRPr="00DF377A" w:rsidRDefault="00986D38" w:rsidP="00986D38">
      <w:pPr>
        <w:pStyle w:val="Heading2"/>
        <w:spacing w:line="360" w:lineRule="auto"/>
        <w:jc w:val="both"/>
        <w:rPr>
          <w:rStyle w:val="Strong"/>
          <w:b/>
        </w:rPr>
      </w:pPr>
      <w:bookmarkStart w:id="14" w:name="_Toc216681167"/>
      <w:r w:rsidRPr="00DF377A">
        <w:rPr>
          <w:rStyle w:val="Strong"/>
          <w:b/>
        </w:rPr>
        <w:lastRenderedPageBreak/>
        <w:t>Social</w:t>
      </w:r>
      <w:bookmarkEnd w:id="14"/>
    </w:p>
    <w:p w14:paraId="572F88FA" w14:textId="77777777" w:rsidR="00986D38" w:rsidRDefault="00986D38" w:rsidP="00986D38">
      <w:pPr>
        <w:pStyle w:val="NormalWeb"/>
        <w:spacing w:line="360" w:lineRule="auto"/>
        <w:jc w:val="both"/>
      </w:pPr>
      <w:r>
        <w:t>Aging population and increased chronic disease occurrence augments necessity for innovative and ethically provided medicines (PwC, 2024).</w:t>
      </w:r>
    </w:p>
    <w:p w14:paraId="55A6B48A" w14:textId="77777777" w:rsidR="00986D38" w:rsidRPr="00CA0857" w:rsidRDefault="00986D38" w:rsidP="00986D38">
      <w:pPr>
        <w:pStyle w:val="Heading2"/>
        <w:spacing w:line="360" w:lineRule="auto"/>
        <w:jc w:val="both"/>
        <w:rPr>
          <w:rStyle w:val="Strong"/>
          <w:b/>
          <w:bCs/>
        </w:rPr>
      </w:pPr>
      <w:bookmarkStart w:id="15" w:name="_Toc216681168"/>
      <w:r w:rsidRPr="00CA0857">
        <w:rPr>
          <w:rStyle w:val="Strong"/>
          <w:b/>
          <w:bCs/>
        </w:rPr>
        <w:t>Technological</w:t>
      </w:r>
      <w:bookmarkEnd w:id="15"/>
    </w:p>
    <w:p w14:paraId="7768E42D" w14:textId="77777777" w:rsidR="00986D38" w:rsidRDefault="00986D38" w:rsidP="00986D38">
      <w:pPr>
        <w:pStyle w:val="NormalWeb"/>
        <w:spacing w:line="360" w:lineRule="auto"/>
        <w:jc w:val="both"/>
      </w:pPr>
      <w:r>
        <w:t>AI facilitates drug discovery and clinical efficacy, while raising compliance and data management issues (McKinsey &amp; Company, 2023).</w:t>
      </w:r>
    </w:p>
    <w:p w14:paraId="0E068E95" w14:textId="77777777" w:rsidR="00986D38" w:rsidRPr="0024217A" w:rsidRDefault="00986D38" w:rsidP="00986D38">
      <w:pPr>
        <w:pStyle w:val="Heading2"/>
        <w:spacing w:line="360" w:lineRule="auto"/>
        <w:jc w:val="both"/>
        <w:rPr>
          <w:rStyle w:val="Strong"/>
          <w:b/>
          <w:bCs/>
        </w:rPr>
      </w:pPr>
      <w:bookmarkStart w:id="16" w:name="_Toc216681169"/>
      <w:r w:rsidRPr="0024217A">
        <w:rPr>
          <w:rStyle w:val="Strong"/>
          <w:b/>
          <w:bCs/>
        </w:rPr>
        <w:t>Environmental</w:t>
      </w:r>
      <w:bookmarkEnd w:id="16"/>
    </w:p>
    <w:p w14:paraId="2C98A3E6" w14:textId="77777777" w:rsidR="00986D38" w:rsidRDefault="00986D38" w:rsidP="00986D38">
      <w:pPr>
        <w:pStyle w:val="NormalWeb"/>
        <w:spacing w:line="360" w:lineRule="auto"/>
        <w:jc w:val="both"/>
      </w:pPr>
      <w:r>
        <w:t>Climate targets and decrease of emission pose tension intensively towards sustainability necessities (European Commission, 2023).</w:t>
      </w:r>
    </w:p>
    <w:p w14:paraId="76D48A1D" w14:textId="77777777" w:rsidR="00986D38" w:rsidRPr="0014573E" w:rsidRDefault="00986D38" w:rsidP="00986D38">
      <w:pPr>
        <w:pStyle w:val="Heading2"/>
        <w:spacing w:line="360" w:lineRule="auto"/>
        <w:jc w:val="both"/>
        <w:rPr>
          <w:rStyle w:val="Strong"/>
          <w:b/>
          <w:bCs/>
        </w:rPr>
      </w:pPr>
      <w:bookmarkStart w:id="17" w:name="_Toc216681170"/>
      <w:r w:rsidRPr="0014573E">
        <w:rPr>
          <w:rStyle w:val="Strong"/>
          <w:b/>
          <w:bCs/>
        </w:rPr>
        <w:t>Legal</w:t>
      </w:r>
      <w:bookmarkEnd w:id="17"/>
    </w:p>
    <w:p w14:paraId="300DE1CA" w14:textId="3014B8BC" w:rsidR="00986D38" w:rsidRDefault="00986D38" w:rsidP="00084BAE">
      <w:pPr>
        <w:pStyle w:val="NormalWeb"/>
        <w:spacing w:line="360" w:lineRule="auto"/>
        <w:jc w:val="both"/>
      </w:pPr>
      <w:r>
        <w:t>CSRD and AI regulation severely enhance reporting and compliance responsibilities (OECD, 2024).</w:t>
      </w:r>
    </w:p>
    <w:p w14:paraId="6E992608" w14:textId="77777777" w:rsidR="00B93785" w:rsidRPr="00B93785" w:rsidRDefault="00B93785" w:rsidP="00084BAE">
      <w:pPr>
        <w:pStyle w:val="Heading1"/>
        <w:spacing w:line="360" w:lineRule="auto"/>
        <w:jc w:val="both"/>
      </w:pPr>
      <w:bookmarkStart w:id="18" w:name="_Toc216681171"/>
      <w:r w:rsidRPr="00B93785">
        <w:t>Impact on AstraZeneca</w:t>
      </w:r>
      <w:bookmarkEnd w:id="18"/>
    </w:p>
    <w:p w14:paraId="0454E4F1" w14:textId="77777777" w:rsidR="00B93785" w:rsidRPr="00B93785" w:rsidRDefault="00B93785" w:rsidP="00976398">
      <w:pPr>
        <w:pStyle w:val="Heading2"/>
        <w:spacing w:line="360" w:lineRule="auto"/>
        <w:jc w:val="both"/>
      </w:pPr>
      <w:bookmarkStart w:id="19" w:name="_Toc216681172"/>
      <w:r w:rsidRPr="00B93785">
        <w:t>Market Positioning</w:t>
      </w:r>
      <w:bookmarkEnd w:id="19"/>
    </w:p>
    <w:p w14:paraId="47DF918C" w14:textId="77777777" w:rsidR="00976398" w:rsidRDefault="00976398" w:rsidP="00976398">
      <w:pPr>
        <w:pStyle w:val="NormalWeb"/>
        <w:spacing w:line="360" w:lineRule="auto"/>
        <w:jc w:val="both"/>
      </w:pPr>
      <w:r>
        <w:t>AI adjustment empowers AstraZeneca’s position as a foremost innovation-based biopharma, especially in oncology and immunology. With augmentation of R&amp;D efficiency, the company underlines its strategic status as a science-led establishment, being able to provide revolutionised treatments. Temporarily, its severe decarbonisation schedule relates to changing investor anticipations and presses upon authorisation among regulatory parties (Bloomberg, 2024). Nevertheless, geopolitical uncertainty jeopardises product accessibility in the global environment. In addition, supply disruptions might momentarily weaken loyalty among governments, distributors, and healthcare providers, impacting on the competitive performance of companies with more localised manufacturing.</w:t>
      </w:r>
    </w:p>
    <w:p w14:paraId="66DF70D6" w14:textId="77777777" w:rsidR="00B93785" w:rsidRPr="00B93785" w:rsidRDefault="00B93785" w:rsidP="00976398">
      <w:pPr>
        <w:pStyle w:val="Heading2"/>
        <w:spacing w:line="360" w:lineRule="auto"/>
        <w:jc w:val="both"/>
      </w:pPr>
      <w:bookmarkStart w:id="20" w:name="_Toc216681173"/>
      <w:r w:rsidRPr="00B93785">
        <w:t>Innovation Capability</w:t>
      </w:r>
      <w:bookmarkEnd w:id="20"/>
    </w:p>
    <w:p w14:paraId="24F8BECD" w14:textId="77777777" w:rsidR="005F1356" w:rsidRDefault="005F1356" w:rsidP="00976398">
      <w:pPr>
        <w:pStyle w:val="NormalWeb"/>
        <w:spacing w:line="360" w:lineRule="auto"/>
        <w:jc w:val="both"/>
      </w:pPr>
      <w:r>
        <w:lastRenderedPageBreak/>
        <w:t>AI-enabled R&amp;D approaches severely augment the ability of AstraZeneca to reveal and authorise new molecules. Cooperation with AI biotech businesses permits availability to proprietary algorithms and dedicated expertise (Banal-Estanol &amp; Ottaviani, 2020). Nevertheless, stringent regulatory necessities for medical AI establish discrepancies regarding velocity of adjustment, and deviating global morals could diminish rollout. Despite the improving AI in terms of innovation capability, compliance burdens might harm various efficacy advantages.</w:t>
      </w:r>
    </w:p>
    <w:p w14:paraId="75BC7804" w14:textId="77777777" w:rsidR="00B93785" w:rsidRPr="00B93785" w:rsidRDefault="00B93785" w:rsidP="005F1356">
      <w:pPr>
        <w:pStyle w:val="Heading2"/>
        <w:spacing w:line="360" w:lineRule="auto"/>
        <w:jc w:val="both"/>
      </w:pPr>
      <w:bookmarkStart w:id="21" w:name="_Toc216681174"/>
      <w:r w:rsidRPr="00B93785">
        <w:t>Talent Management</w:t>
      </w:r>
      <w:bookmarkEnd w:id="21"/>
    </w:p>
    <w:p w14:paraId="5A551E79" w14:textId="77777777" w:rsidR="001E19E7" w:rsidRDefault="001E19E7" w:rsidP="001E19E7">
      <w:pPr>
        <w:pStyle w:val="NormalWeb"/>
        <w:spacing w:line="360" w:lineRule="auto"/>
        <w:jc w:val="both"/>
      </w:pPr>
      <w:r>
        <w:t>The quickening of digital R&amp;D demands applicants possessing hybrid competencies, like in bioinformatics, computational biology, and machine learning processes. Worldwide necessity for AI experts established rigid competition, augmenting recruitment and retention expenses (World Economic Forum, 2024). Thus, AstraZeneca should also handle global mobility guidelines to allure international digital experts to hubs in Cambridge, the UK, and Gothenburg, Sweden. Upskilling biomedical scientists in data-driven implementation is considered vital in evading internal capability breaks.</w:t>
      </w:r>
    </w:p>
    <w:p w14:paraId="0E7EECE4" w14:textId="77777777" w:rsidR="00B93785" w:rsidRPr="00B93785" w:rsidRDefault="00B93785" w:rsidP="001E19E7">
      <w:pPr>
        <w:pStyle w:val="Heading2"/>
        <w:spacing w:line="360" w:lineRule="auto"/>
        <w:jc w:val="both"/>
      </w:pPr>
      <w:bookmarkStart w:id="22" w:name="_Toc216681175"/>
      <w:r w:rsidRPr="00B93785">
        <w:t>Global Competitiveness</w:t>
      </w:r>
      <w:bookmarkEnd w:id="22"/>
    </w:p>
    <w:p w14:paraId="36528DA4" w14:textId="77777777" w:rsidR="00941E38" w:rsidRDefault="00941E38" w:rsidP="00941E38">
      <w:pPr>
        <w:pStyle w:val="NormalWeb"/>
        <w:spacing w:line="360" w:lineRule="auto"/>
        <w:jc w:val="both"/>
      </w:pPr>
      <w:r>
        <w:t>General worldwide competitiveness is established by positives and negatives. Moreover, AI adjustment, powerful sustainability leadership, and improved production resilience enhance AstraZeneca’s ability to compete highly on an international level (Verbeke &amp; Kano, 2021). Contrariwise, issues like cost pressures related to regulatory compliance, supply chain discrepancies, and inflationary efforts might diminish profit margins. Deviating regulatory regimes, especially between the US and EU, might jeopardise the global strategy, converting compliance into something more expensive and decreasing product representation across borders.</w:t>
      </w:r>
    </w:p>
    <w:p w14:paraId="1810A9DE" w14:textId="77777777" w:rsidR="00B93785" w:rsidRPr="00B93785" w:rsidRDefault="00B93785" w:rsidP="00941E38">
      <w:pPr>
        <w:pStyle w:val="Heading1"/>
        <w:spacing w:line="360" w:lineRule="auto"/>
        <w:jc w:val="both"/>
      </w:pPr>
      <w:bookmarkStart w:id="23" w:name="_Toc216681176"/>
      <w:r w:rsidRPr="00B93785">
        <w:t>Strategic Recommendations</w:t>
      </w:r>
      <w:bookmarkEnd w:id="23"/>
    </w:p>
    <w:p w14:paraId="52516298" w14:textId="77777777" w:rsidR="00B93785" w:rsidRPr="00B93785" w:rsidRDefault="001D3AFF" w:rsidP="00E532BA">
      <w:pPr>
        <w:pStyle w:val="Heading2"/>
        <w:spacing w:line="360" w:lineRule="auto"/>
        <w:jc w:val="both"/>
      </w:pPr>
      <w:bookmarkStart w:id="24" w:name="_Toc216681177"/>
      <w:r>
        <w:t xml:space="preserve">Augment </w:t>
      </w:r>
      <w:r w:rsidR="00B93785" w:rsidRPr="00B93785">
        <w:t xml:space="preserve">AI </w:t>
      </w:r>
      <w:r>
        <w:t>Governance and Accelerate D</w:t>
      </w:r>
      <w:r w:rsidR="00B93785" w:rsidRPr="00B93785">
        <w:t>igital R&amp;D</w:t>
      </w:r>
      <w:bookmarkEnd w:id="24"/>
    </w:p>
    <w:p w14:paraId="17403CDC" w14:textId="77777777" w:rsidR="00E532BA" w:rsidRDefault="00E532BA" w:rsidP="00E532BA">
      <w:pPr>
        <w:pStyle w:val="NormalWeb"/>
        <w:spacing w:line="360" w:lineRule="auto"/>
        <w:jc w:val="both"/>
      </w:pPr>
      <w:r>
        <w:t xml:space="preserve">AstraZeneca must create an official internal AI ethics and governance board to guarantee compliance with the EU AI Act and OECD principles, as well as endorse accountable innovation (European Commission, 2023; OECD, 2024). Improving cloud-based cross-border clinical data platforms, such </w:t>
      </w:r>
      <w:r>
        <w:lastRenderedPageBreak/>
        <w:t>as utilising secure partnerships with Microsoft Azure, could also sustain global cooperation and decrease trial timelines. Extra collaboration with AI-native biotech start-ups could differentiate technological alternatives and assist in accessing cutting-edge aptitudes (Lee, 2022).</w:t>
      </w:r>
    </w:p>
    <w:p w14:paraId="166B7D05" w14:textId="77777777" w:rsidR="00B93785" w:rsidRPr="00B93785" w:rsidRDefault="00B93785" w:rsidP="00E532BA">
      <w:pPr>
        <w:pStyle w:val="Heading2"/>
        <w:spacing w:line="360" w:lineRule="auto"/>
        <w:jc w:val="both"/>
      </w:pPr>
      <w:bookmarkStart w:id="25" w:name="_Toc216681178"/>
      <w:r w:rsidRPr="00B93785">
        <w:t>Build a geopolitically resilient supply chain</w:t>
      </w:r>
      <w:bookmarkEnd w:id="25"/>
    </w:p>
    <w:p w14:paraId="34A7EC07" w14:textId="77777777" w:rsidR="00B8603C" w:rsidRDefault="00B8603C" w:rsidP="00B8603C">
      <w:pPr>
        <w:pStyle w:val="NormalWeb"/>
        <w:spacing w:line="360" w:lineRule="auto"/>
        <w:jc w:val="both"/>
      </w:pPr>
      <w:r>
        <w:t>To handle increasing geopolitical risk, AstraZeneca must double-source APIs across the EU and Asia and properly select close-to-shore manufacturing of major vaccine elements (Deloitte, 2024; World Economic Forum, 2024). Enlargement of local warehouses in the Middle East, Europe, and Latin America would establish buffer volume against discrepancies. Investment in improved distribution analytics could assist in the prediction of risk hotspots and elevate global manufacturing flows.</w:t>
      </w:r>
    </w:p>
    <w:p w14:paraId="29169FC3" w14:textId="77777777" w:rsidR="00B93785" w:rsidRPr="00B93785" w:rsidRDefault="00B93785" w:rsidP="00B8603C">
      <w:pPr>
        <w:pStyle w:val="Heading2"/>
        <w:spacing w:line="360" w:lineRule="auto"/>
        <w:jc w:val="both"/>
      </w:pPr>
      <w:bookmarkStart w:id="26" w:name="_Toc216681179"/>
      <w:r w:rsidRPr="00B93785">
        <w:t xml:space="preserve">Lead the </w:t>
      </w:r>
      <w:r w:rsidR="002F6270" w:rsidRPr="00B93785">
        <w:t>Pharmaceutical Sector</w:t>
      </w:r>
      <w:r w:rsidRPr="00B93785">
        <w:t xml:space="preserve"> in CSRD </w:t>
      </w:r>
      <w:r w:rsidR="002F6270" w:rsidRPr="00B93785">
        <w:t>Compliance</w:t>
      </w:r>
      <w:bookmarkEnd w:id="26"/>
    </w:p>
    <w:p w14:paraId="63FBBFCC" w14:textId="77777777" w:rsidR="008B3941" w:rsidRDefault="008B3941" w:rsidP="008B3941">
      <w:pPr>
        <w:pStyle w:val="NormalWeb"/>
        <w:spacing w:line="360" w:lineRule="auto"/>
        <w:jc w:val="both"/>
      </w:pPr>
      <w:r>
        <w:t>AstraZeneca must invest in real-time emissions supervising systems, as they would augment transparency and decrease the cost of annual CSRD reporting</w:t>
      </w:r>
      <w:r w:rsidR="00DA27E6">
        <w:t xml:space="preserve"> (European Commission, 2023)</w:t>
      </w:r>
      <w:r>
        <w:t>. In addition, procurement teams would cooperate more profoundly with suppliers to cover the Scope 3 data and sustain mutual decarbonisation activities</w:t>
      </w:r>
      <w:r w:rsidR="00A76C11">
        <w:t xml:space="preserve"> (PwC, 2024)</w:t>
      </w:r>
      <w:r>
        <w:t>. Working closely with EU regulators to formulate the sector-specific reporting frameworks could also decrease compliance vagueness and enhance the sustainability leadership of AstraZeneca</w:t>
      </w:r>
      <w:r w:rsidR="00A31F57">
        <w:t xml:space="preserve"> (European Commission, 2023)</w:t>
      </w:r>
      <w:r>
        <w:t>.</w:t>
      </w:r>
    </w:p>
    <w:p w14:paraId="4BF9EBA5" w14:textId="77777777" w:rsidR="00B93785" w:rsidRPr="00B93785" w:rsidRDefault="00B93785" w:rsidP="008B3941">
      <w:pPr>
        <w:pStyle w:val="Heading2"/>
        <w:spacing w:line="360" w:lineRule="auto"/>
        <w:jc w:val="both"/>
      </w:pPr>
      <w:bookmarkStart w:id="27" w:name="_Toc216681180"/>
      <w:r w:rsidRPr="00B93785">
        <w:t xml:space="preserve">Invest in a </w:t>
      </w:r>
      <w:r w:rsidR="00FB6B48" w:rsidRPr="00B93785">
        <w:t>Global Talent Strategy</w:t>
      </w:r>
      <w:bookmarkEnd w:id="27"/>
    </w:p>
    <w:p w14:paraId="4DD2006B" w14:textId="77777777" w:rsidR="00FB6B48" w:rsidRDefault="00FB6B48" w:rsidP="00FB6B48">
      <w:pPr>
        <w:pStyle w:val="NormalWeb"/>
        <w:spacing w:line="360" w:lineRule="auto"/>
        <w:jc w:val="both"/>
      </w:pPr>
      <w:r>
        <w:t>The organisation must present specialised training programs to assist biomedical researchers in gaining more proper AI competencies</w:t>
      </w:r>
      <w:r w:rsidR="00BF470B">
        <w:t xml:space="preserve"> (World Economic Forum, 2024)</w:t>
      </w:r>
      <w:r>
        <w:t>. Creating innovation hubs in strategic areas like Sweden, Singapore, and the UK, will expand global talent sources</w:t>
      </w:r>
      <w:r w:rsidR="00081272">
        <w:t xml:space="preserve"> </w:t>
      </w:r>
      <w:r w:rsidR="006071E0">
        <w:t>(Verbeke &amp; Kano, 2021)</w:t>
      </w:r>
      <w:r>
        <w:t>. In addition, remote-first digital R&amp;D teams could also broaden recruitment pools, decrease costs, and augment cross-border research partnerships.</w:t>
      </w:r>
    </w:p>
    <w:p w14:paraId="0C66DCCB" w14:textId="77777777" w:rsidR="00B93785" w:rsidRPr="00B93785" w:rsidRDefault="00B93785" w:rsidP="00FB6B48">
      <w:pPr>
        <w:pStyle w:val="Heading1"/>
        <w:spacing w:line="360" w:lineRule="auto"/>
        <w:jc w:val="both"/>
      </w:pPr>
      <w:bookmarkStart w:id="28" w:name="_Toc216681181"/>
      <w:r w:rsidRPr="00B93785">
        <w:t>Conclusion</w:t>
      </w:r>
      <w:bookmarkEnd w:id="28"/>
    </w:p>
    <w:p w14:paraId="61311C01" w14:textId="77777777" w:rsidR="00340CF9" w:rsidRDefault="00340CF9" w:rsidP="00340CF9">
      <w:pPr>
        <w:pStyle w:val="NormalWeb"/>
        <w:spacing w:line="360" w:lineRule="auto"/>
        <w:jc w:val="both"/>
      </w:pPr>
      <w:r>
        <w:t xml:space="preserve">This essay has proved that facilitating AI innovation, geopolitical variability, and narrowing sustainability principles severely impact AstraZeneca’s international strategy. AI represents key opportunities in improving R&amp;D efficiency, toughening market positioning, and penetrating new </w:t>
      </w:r>
      <w:r>
        <w:lastRenderedPageBreak/>
        <w:t>markets, while, on the other hand, sustainability leadership could offer a durable competitive edge within an ESG-accumulated investment ambience. Nevertheless, comprehensive CSRD demands, geopolitical distribution commotions, and rigorous AI authority rules establish operational, financial, and compliance encounters. AstraZeneca’s further development resilience would rely on its abilities to empower digital components, differentiate distribution networks, manage the industry in transparent sustainability reporting, and entice worldwide competitive AI talent personnel. Thus, comprehending global business environmental dynamics is considered vital in handling strategic risk and seizing emerging opportunities within the vastly developing biopharmaceutical landscape.</w:t>
      </w:r>
    </w:p>
    <w:p w14:paraId="340C3E69" w14:textId="77777777" w:rsidR="00C625B9" w:rsidRDefault="00C625B9"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54C31923" w14:textId="77777777" w:rsidR="0017129A" w:rsidRDefault="0017129A"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5BA82922" w14:textId="77777777" w:rsidR="0017129A" w:rsidRDefault="0017129A"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5D3ED9E3" w14:textId="77777777" w:rsidR="0017129A" w:rsidRDefault="0017129A"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4F39BFD1" w14:textId="77777777" w:rsidR="0017129A" w:rsidRDefault="0017129A"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75809368" w14:textId="77777777" w:rsidR="0017129A" w:rsidRDefault="0017129A"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60A3FEDB" w14:textId="77777777" w:rsidR="0017129A" w:rsidRDefault="0017129A"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0E74FDFD" w14:textId="77777777" w:rsidR="0017129A" w:rsidRDefault="0017129A"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39409200" w14:textId="77777777" w:rsidR="00167069" w:rsidRDefault="00167069"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7D2DE196" w14:textId="77777777" w:rsidR="00167069" w:rsidRDefault="00167069"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643444A8" w14:textId="77777777" w:rsidR="00167069" w:rsidRDefault="00167069"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443AC2F6" w14:textId="77777777" w:rsidR="00167069" w:rsidRDefault="00167069"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1D5640B8" w14:textId="77777777" w:rsidR="00167069" w:rsidRDefault="00167069"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10FD9529" w14:textId="77777777" w:rsidR="00167069" w:rsidRDefault="00167069"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6B4FEFDA" w14:textId="77777777" w:rsidR="00167069" w:rsidRDefault="00167069"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74B1739B" w14:textId="77777777" w:rsidR="00167069" w:rsidRDefault="00167069"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56ACF36C" w14:textId="77777777" w:rsidR="00167069" w:rsidRDefault="00167069"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440368A6" w14:textId="77777777" w:rsidR="00167069" w:rsidRDefault="00167069"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51D29028" w14:textId="77777777" w:rsidR="006F7E00" w:rsidRPr="00B93785" w:rsidRDefault="006F7E00" w:rsidP="00B93785">
      <w:pPr>
        <w:spacing w:before="100" w:beforeAutospacing="1" w:after="100" w:afterAutospacing="1" w:line="240" w:lineRule="auto"/>
        <w:rPr>
          <w:rFonts w:ascii="Times New Roman" w:eastAsia="Times New Roman" w:hAnsi="Times New Roman" w:cs="Times New Roman"/>
          <w:sz w:val="24"/>
          <w:szCs w:val="24"/>
          <w:lang w:eastAsia="en-GB"/>
        </w:rPr>
      </w:pPr>
    </w:p>
    <w:p w14:paraId="15F11EEF" w14:textId="77777777" w:rsidR="00B93785" w:rsidRPr="00B93785" w:rsidRDefault="00B93785" w:rsidP="004A6293">
      <w:pPr>
        <w:pStyle w:val="Heading1"/>
        <w:spacing w:line="360" w:lineRule="auto"/>
        <w:jc w:val="both"/>
      </w:pPr>
      <w:bookmarkStart w:id="29" w:name="_Toc216681182"/>
      <w:r w:rsidRPr="00B93785">
        <w:t>Reference List</w:t>
      </w:r>
      <w:bookmarkEnd w:id="29"/>
    </w:p>
    <w:p w14:paraId="5E3C667A" w14:textId="77777777" w:rsidR="004A6293" w:rsidRDefault="004A6293" w:rsidP="004A6293">
      <w:pPr>
        <w:pStyle w:val="NormalWeb"/>
        <w:spacing w:line="360" w:lineRule="auto"/>
      </w:pPr>
      <w:r>
        <w:t xml:space="preserve">AstraZeneca (2024) </w:t>
      </w:r>
      <w:r>
        <w:rPr>
          <w:rStyle w:val="Emphasis"/>
        </w:rPr>
        <w:t>Annual Report 2024</w:t>
      </w:r>
      <w:r>
        <w:t>. London: AstraZeneca.</w:t>
      </w:r>
    </w:p>
    <w:p w14:paraId="4E34443D" w14:textId="77777777" w:rsidR="004A6293" w:rsidRDefault="004A6293" w:rsidP="004A6293">
      <w:pPr>
        <w:pStyle w:val="NormalWeb"/>
        <w:spacing w:line="360" w:lineRule="auto"/>
      </w:pPr>
      <w:r>
        <w:t xml:space="preserve">Banal-Estanol, A. and Ottaviani, M. (2020) ‘Innovation in the pharmaceutical industry’, </w:t>
      </w:r>
      <w:r>
        <w:rPr>
          <w:rStyle w:val="Emphasis"/>
        </w:rPr>
        <w:t>RAND Journal of Economics</w:t>
      </w:r>
      <w:r>
        <w:t>, 51(3), pp. 675–702.</w:t>
      </w:r>
    </w:p>
    <w:p w14:paraId="462AC3E8" w14:textId="77777777" w:rsidR="004A6293" w:rsidRDefault="004A6293" w:rsidP="004A6293">
      <w:pPr>
        <w:pStyle w:val="NormalWeb"/>
        <w:spacing w:line="360" w:lineRule="auto"/>
      </w:pPr>
      <w:r>
        <w:t xml:space="preserve">Bloomberg (2024) </w:t>
      </w:r>
      <w:r>
        <w:rPr>
          <w:rStyle w:val="Emphasis"/>
        </w:rPr>
        <w:t>ESG investment trends in pharmaceuticals</w:t>
      </w:r>
      <w:r>
        <w:t>. Bloomberg Intelligence Report.</w:t>
      </w:r>
    </w:p>
    <w:p w14:paraId="71AA7CC3" w14:textId="77777777" w:rsidR="004A6293" w:rsidRDefault="004A6293" w:rsidP="004A6293">
      <w:pPr>
        <w:pStyle w:val="NormalWeb"/>
        <w:spacing w:line="360" w:lineRule="auto"/>
      </w:pPr>
      <w:r>
        <w:t xml:space="preserve">Deloitte (2024) </w:t>
      </w:r>
      <w:r>
        <w:rPr>
          <w:rStyle w:val="Emphasis"/>
        </w:rPr>
        <w:t>Geopolitical Risk Outlook 2024</w:t>
      </w:r>
      <w:r>
        <w:t>. Deloitte Insights.</w:t>
      </w:r>
    </w:p>
    <w:p w14:paraId="34812ABE" w14:textId="77777777" w:rsidR="004A6293" w:rsidRDefault="004A6293" w:rsidP="004A6293">
      <w:pPr>
        <w:pStyle w:val="NormalWeb"/>
        <w:spacing w:line="360" w:lineRule="auto"/>
      </w:pPr>
      <w:r>
        <w:t xml:space="preserve">Dicken, P. (2020) </w:t>
      </w:r>
      <w:r>
        <w:rPr>
          <w:rStyle w:val="Emphasis"/>
        </w:rPr>
        <w:t>Global Shift: Mapping the Changing Contours of the World Economy</w:t>
      </w:r>
      <w:r>
        <w:t>. 8th edn. London: Sage.</w:t>
      </w:r>
    </w:p>
    <w:p w14:paraId="5A51960F" w14:textId="77777777" w:rsidR="004A6293" w:rsidRDefault="004A6293" w:rsidP="004A6293">
      <w:pPr>
        <w:pStyle w:val="NormalWeb"/>
        <w:spacing w:line="360" w:lineRule="auto"/>
      </w:pPr>
      <w:r>
        <w:t xml:space="preserve">European Commission (2023) </w:t>
      </w:r>
      <w:r>
        <w:rPr>
          <w:rStyle w:val="Emphasis"/>
        </w:rPr>
        <w:t>Corporate Sustainability Reporting Directive (CSRD) Overview</w:t>
      </w:r>
      <w:r>
        <w:t>. Brussels: European Union.</w:t>
      </w:r>
    </w:p>
    <w:p w14:paraId="06F6B1E4" w14:textId="77777777" w:rsidR="004A6293" w:rsidRDefault="004A6293" w:rsidP="004A6293">
      <w:pPr>
        <w:pStyle w:val="NormalWeb"/>
        <w:spacing w:line="360" w:lineRule="auto"/>
      </w:pPr>
      <w:r>
        <w:t xml:space="preserve">Financial Times (2025) </w:t>
      </w:r>
      <w:r>
        <w:rPr>
          <w:rStyle w:val="Emphasis"/>
        </w:rPr>
        <w:t>Articles on global supply chain disruption</w:t>
      </w:r>
      <w:r>
        <w:t>. Financial Times.</w:t>
      </w:r>
    </w:p>
    <w:p w14:paraId="411335A5" w14:textId="77777777" w:rsidR="004A6293" w:rsidRDefault="004A6293" w:rsidP="004A6293">
      <w:pPr>
        <w:pStyle w:val="NormalWeb"/>
        <w:spacing w:line="360" w:lineRule="auto"/>
      </w:pPr>
      <w:r>
        <w:t xml:space="preserve">Grosse, R. (2019) </w:t>
      </w:r>
      <w:r>
        <w:rPr>
          <w:rStyle w:val="Emphasis"/>
        </w:rPr>
        <w:t>International Business: Theory and Managerial Applications</w:t>
      </w:r>
      <w:r>
        <w:t>. London: Routledge.</w:t>
      </w:r>
    </w:p>
    <w:p w14:paraId="18FDCF2A" w14:textId="77777777" w:rsidR="004A6293" w:rsidRDefault="004A6293" w:rsidP="004A6293">
      <w:pPr>
        <w:pStyle w:val="NormalWeb"/>
        <w:spacing w:line="360" w:lineRule="auto"/>
      </w:pPr>
      <w:r>
        <w:t xml:space="preserve">Lee, S. (2022) ‘AI in pharmaceutical R&amp;D: A strategic perspective’, </w:t>
      </w:r>
      <w:r>
        <w:rPr>
          <w:rStyle w:val="Emphasis"/>
        </w:rPr>
        <w:t>Technovation</w:t>
      </w:r>
      <w:r>
        <w:t>, 118, pp. 1–12.</w:t>
      </w:r>
    </w:p>
    <w:p w14:paraId="5C013807" w14:textId="77777777" w:rsidR="004A6293" w:rsidRDefault="004A6293" w:rsidP="004A6293">
      <w:pPr>
        <w:pStyle w:val="NormalWeb"/>
        <w:spacing w:line="360" w:lineRule="auto"/>
      </w:pPr>
      <w:r>
        <w:t xml:space="preserve">McKinsey &amp; Company (2023) </w:t>
      </w:r>
      <w:r>
        <w:rPr>
          <w:rStyle w:val="Emphasis"/>
        </w:rPr>
        <w:t>AI in biopharma: Unlocking innovation</w:t>
      </w:r>
      <w:r>
        <w:t>. McKinsey Global Institute.</w:t>
      </w:r>
    </w:p>
    <w:p w14:paraId="35CF401B" w14:textId="77777777" w:rsidR="004A6293" w:rsidRDefault="004A6293" w:rsidP="004A6293">
      <w:pPr>
        <w:pStyle w:val="NormalWeb"/>
        <w:spacing w:line="360" w:lineRule="auto"/>
      </w:pPr>
      <w:r>
        <w:t xml:space="preserve">OECD (2024) </w:t>
      </w:r>
      <w:r>
        <w:rPr>
          <w:rStyle w:val="Emphasis"/>
        </w:rPr>
        <w:t>AI Governance Guidelines</w:t>
      </w:r>
      <w:r>
        <w:t>. Paris: OECD Publishing.</w:t>
      </w:r>
    </w:p>
    <w:p w14:paraId="6ADB244C" w14:textId="77777777" w:rsidR="004A6293" w:rsidRDefault="004A6293" w:rsidP="004A6293">
      <w:pPr>
        <w:pStyle w:val="NormalWeb"/>
        <w:spacing w:line="360" w:lineRule="auto"/>
      </w:pPr>
      <w:r>
        <w:t xml:space="preserve">PwC (2024) </w:t>
      </w:r>
      <w:r>
        <w:rPr>
          <w:rStyle w:val="Emphasis"/>
        </w:rPr>
        <w:t>Pharma 2030 Strategy Outlook</w:t>
      </w:r>
      <w:r>
        <w:t>. PwC Global.</w:t>
      </w:r>
    </w:p>
    <w:p w14:paraId="740C654D" w14:textId="77777777" w:rsidR="004A6293" w:rsidRDefault="004A6293" w:rsidP="004A6293">
      <w:pPr>
        <w:pStyle w:val="NormalWeb"/>
        <w:spacing w:line="360" w:lineRule="auto"/>
      </w:pPr>
      <w:r>
        <w:t xml:space="preserve">Verbeke, A. and Kano, L. (2021) ‘How globalisation continues to transform MNE strategy’, </w:t>
      </w:r>
      <w:r>
        <w:rPr>
          <w:rStyle w:val="Emphasis"/>
        </w:rPr>
        <w:t>Journal of International Business Studies</w:t>
      </w:r>
      <w:r>
        <w:t>, 52(1), pp. 1–19.</w:t>
      </w:r>
    </w:p>
    <w:p w14:paraId="1A97382E" w14:textId="77777777" w:rsidR="004A6293" w:rsidRDefault="004A6293" w:rsidP="004A6293">
      <w:pPr>
        <w:pStyle w:val="NormalWeb"/>
        <w:spacing w:line="360" w:lineRule="auto"/>
      </w:pPr>
      <w:r>
        <w:t xml:space="preserve">World Economic Forum (2024) </w:t>
      </w:r>
      <w:r>
        <w:rPr>
          <w:rStyle w:val="Emphasis"/>
        </w:rPr>
        <w:t>Global Risks Report 2024</w:t>
      </w:r>
      <w:r>
        <w:t>. Geneva: World Economic Forum.</w:t>
      </w:r>
    </w:p>
    <w:p w14:paraId="36530445" w14:textId="77777777" w:rsidR="00E323BB" w:rsidRPr="008E1310" w:rsidRDefault="00E323BB" w:rsidP="004A6293">
      <w:pPr>
        <w:spacing w:before="100" w:beforeAutospacing="1" w:after="100" w:afterAutospacing="1" w:line="360" w:lineRule="auto"/>
        <w:jc w:val="both"/>
        <w:rPr>
          <w:rFonts w:ascii="Times New Roman" w:eastAsia="Times New Roman" w:hAnsi="Times New Roman" w:cs="Times New Roman"/>
          <w:sz w:val="24"/>
          <w:szCs w:val="24"/>
          <w:lang w:eastAsia="en-GB"/>
        </w:rPr>
      </w:pPr>
    </w:p>
    <w:sectPr w:rsidR="00E323BB" w:rsidRPr="008E1310" w:rsidSect="00B932AE">
      <w:headerReference w:type="default" r:id="rId9"/>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D82B0" w14:textId="77777777" w:rsidR="008D4907" w:rsidRDefault="008D4907" w:rsidP="00AE4ED9">
      <w:pPr>
        <w:spacing w:after="0" w:line="240" w:lineRule="auto"/>
      </w:pPr>
      <w:r>
        <w:separator/>
      </w:r>
    </w:p>
  </w:endnote>
  <w:endnote w:type="continuationSeparator" w:id="0">
    <w:p w14:paraId="2CF0428F" w14:textId="77777777" w:rsidR="008D4907" w:rsidRDefault="008D4907" w:rsidP="00AE4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1B9F12" w14:textId="77777777" w:rsidR="008D4907" w:rsidRDefault="008D4907" w:rsidP="00AE4ED9">
      <w:pPr>
        <w:spacing w:after="0" w:line="240" w:lineRule="auto"/>
      </w:pPr>
      <w:r>
        <w:separator/>
      </w:r>
    </w:p>
  </w:footnote>
  <w:footnote w:type="continuationSeparator" w:id="0">
    <w:p w14:paraId="27F580EC" w14:textId="77777777" w:rsidR="008D4907" w:rsidRDefault="008D4907" w:rsidP="00AE4E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eastAsiaTheme="minorEastAsia" w:hAnsi="Times New Roman" w:cs="Times New Roman"/>
        <w:b/>
        <w:color w:val="000000" w:themeColor="text1"/>
      </w:rPr>
      <w:id w:val="2017885317"/>
      <w:docPartObj>
        <w:docPartGallery w:val="Page Numbers (Top of Page)"/>
        <w:docPartUnique/>
      </w:docPartObj>
    </w:sdtPr>
    <w:sdtEndPr>
      <w:rPr>
        <w:rFonts w:eastAsiaTheme="majorEastAsia"/>
        <w:iCs/>
        <w:sz w:val="72"/>
        <w:szCs w:val="72"/>
      </w:rPr>
    </w:sdtEndPr>
    <w:sdtContent>
      <w:p w14:paraId="54E68C2B" w14:textId="77777777" w:rsidR="00AE4ED9" w:rsidRPr="00C30C55" w:rsidRDefault="00AE4ED9" w:rsidP="00AE4ED9">
        <w:pPr>
          <w:pStyle w:val="Header"/>
          <w:ind w:right="-360"/>
          <w:jc w:val="right"/>
          <w:rPr>
            <w:rFonts w:ascii="Times New Roman" w:eastAsiaTheme="majorEastAsia" w:hAnsi="Times New Roman" w:cs="Times New Roman"/>
            <w:b/>
            <w:iCs/>
            <w:color w:val="000000" w:themeColor="text1"/>
            <w:sz w:val="72"/>
            <w:szCs w:val="72"/>
          </w:rPr>
        </w:pPr>
        <w:r w:rsidRPr="00C30C55">
          <w:rPr>
            <w:rFonts w:ascii="Times New Roman" w:eastAsiaTheme="minorEastAsia" w:hAnsi="Times New Roman" w:cs="Times New Roman"/>
            <w:b/>
            <w:color w:val="000000" w:themeColor="text1"/>
          </w:rPr>
          <w:fldChar w:fldCharType="begin"/>
        </w:r>
        <w:r w:rsidRPr="00C30C55">
          <w:rPr>
            <w:rFonts w:ascii="Times New Roman" w:hAnsi="Times New Roman" w:cs="Times New Roman"/>
            <w:b/>
            <w:color w:val="000000" w:themeColor="text1"/>
          </w:rPr>
          <w:instrText xml:space="preserve"> PAGE    \* MERGEFORMAT </w:instrText>
        </w:r>
        <w:r w:rsidRPr="00C30C55">
          <w:rPr>
            <w:rFonts w:ascii="Times New Roman" w:eastAsiaTheme="minorEastAsia" w:hAnsi="Times New Roman" w:cs="Times New Roman"/>
            <w:b/>
            <w:color w:val="000000" w:themeColor="text1"/>
          </w:rPr>
          <w:fldChar w:fldCharType="separate"/>
        </w:r>
        <w:r w:rsidR="007A2E03" w:rsidRPr="007A2E03">
          <w:rPr>
            <w:rFonts w:ascii="Times New Roman" w:eastAsiaTheme="majorEastAsia" w:hAnsi="Times New Roman" w:cs="Times New Roman"/>
            <w:b/>
            <w:iCs/>
            <w:noProof/>
            <w:color w:val="000000" w:themeColor="text1"/>
            <w:spacing w:val="-40"/>
            <w:sz w:val="72"/>
            <w:szCs w:val="72"/>
          </w:rPr>
          <w:t>10</w:t>
        </w:r>
        <w:r w:rsidRPr="00C30C55">
          <w:rPr>
            <w:rFonts w:ascii="Times New Roman" w:eastAsiaTheme="majorEastAsia" w:hAnsi="Times New Roman" w:cs="Times New Roman"/>
            <w:b/>
            <w:iCs/>
            <w:noProof/>
            <w:color w:val="000000" w:themeColor="text1"/>
            <w:spacing w:val="-40"/>
            <w:sz w:val="72"/>
            <w:szCs w:val="72"/>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2F59EE"/>
    <w:multiLevelType w:val="hybridMultilevel"/>
    <w:tmpl w:val="A30EB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5830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3785"/>
    <w:rsid w:val="000055EF"/>
    <w:rsid w:val="0002319C"/>
    <w:rsid w:val="0002377F"/>
    <w:rsid w:val="00052DA1"/>
    <w:rsid w:val="0005444C"/>
    <w:rsid w:val="00081272"/>
    <w:rsid w:val="0008252D"/>
    <w:rsid w:val="0008380B"/>
    <w:rsid w:val="00084BAE"/>
    <w:rsid w:val="00093296"/>
    <w:rsid w:val="0009476D"/>
    <w:rsid w:val="00096BE3"/>
    <w:rsid w:val="000C33FF"/>
    <w:rsid w:val="000D6B07"/>
    <w:rsid w:val="001143E1"/>
    <w:rsid w:val="00132FAB"/>
    <w:rsid w:val="00142330"/>
    <w:rsid w:val="0014573E"/>
    <w:rsid w:val="0015669D"/>
    <w:rsid w:val="00156F51"/>
    <w:rsid w:val="00165DC8"/>
    <w:rsid w:val="00167069"/>
    <w:rsid w:val="0017129A"/>
    <w:rsid w:val="00174EF6"/>
    <w:rsid w:val="00176C66"/>
    <w:rsid w:val="00193191"/>
    <w:rsid w:val="001A46F8"/>
    <w:rsid w:val="001B7945"/>
    <w:rsid w:val="001D3AFF"/>
    <w:rsid w:val="001D424D"/>
    <w:rsid w:val="001E19E7"/>
    <w:rsid w:val="001E3F2A"/>
    <w:rsid w:val="001E4CB5"/>
    <w:rsid w:val="002007B2"/>
    <w:rsid w:val="002044CA"/>
    <w:rsid w:val="00212E75"/>
    <w:rsid w:val="002163EA"/>
    <w:rsid w:val="00223D48"/>
    <w:rsid w:val="00231AF8"/>
    <w:rsid w:val="00235F40"/>
    <w:rsid w:val="0024192F"/>
    <w:rsid w:val="0024217A"/>
    <w:rsid w:val="00262678"/>
    <w:rsid w:val="00267401"/>
    <w:rsid w:val="00267BA0"/>
    <w:rsid w:val="00270A33"/>
    <w:rsid w:val="002879FE"/>
    <w:rsid w:val="002A0D71"/>
    <w:rsid w:val="002D3472"/>
    <w:rsid w:val="002F32F2"/>
    <w:rsid w:val="002F6270"/>
    <w:rsid w:val="003154EB"/>
    <w:rsid w:val="00321190"/>
    <w:rsid w:val="00330CE8"/>
    <w:rsid w:val="00331B15"/>
    <w:rsid w:val="003356BE"/>
    <w:rsid w:val="00340CF9"/>
    <w:rsid w:val="00341302"/>
    <w:rsid w:val="00361206"/>
    <w:rsid w:val="003749C2"/>
    <w:rsid w:val="00386B39"/>
    <w:rsid w:val="00386EEA"/>
    <w:rsid w:val="003946F8"/>
    <w:rsid w:val="003D1C67"/>
    <w:rsid w:val="003D4A95"/>
    <w:rsid w:val="003F1BF8"/>
    <w:rsid w:val="00401D33"/>
    <w:rsid w:val="00411BED"/>
    <w:rsid w:val="00425722"/>
    <w:rsid w:val="00425D98"/>
    <w:rsid w:val="00426244"/>
    <w:rsid w:val="0042774C"/>
    <w:rsid w:val="0043478B"/>
    <w:rsid w:val="004677F0"/>
    <w:rsid w:val="00481DA5"/>
    <w:rsid w:val="00497312"/>
    <w:rsid w:val="0049738F"/>
    <w:rsid w:val="004A5089"/>
    <w:rsid w:val="004A6293"/>
    <w:rsid w:val="004B3DF7"/>
    <w:rsid w:val="004B560E"/>
    <w:rsid w:val="004C2136"/>
    <w:rsid w:val="004C364C"/>
    <w:rsid w:val="004F5705"/>
    <w:rsid w:val="005127FB"/>
    <w:rsid w:val="00523674"/>
    <w:rsid w:val="00524C30"/>
    <w:rsid w:val="005517D8"/>
    <w:rsid w:val="00567C80"/>
    <w:rsid w:val="005758FC"/>
    <w:rsid w:val="00585ED3"/>
    <w:rsid w:val="005B25D4"/>
    <w:rsid w:val="005C5A20"/>
    <w:rsid w:val="005D61F2"/>
    <w:rsid w:val="005F1356"/>
    <w:rsid w:val="005F29E4"/>
    <w:rsid w:val="005F41B5"/>
    <w:rsid w:val="005F6DB6"/>
    <w:rsid w:val="005F7C66"/>
    <w:rsid w:val="00606CA5"/>
    <w:rsid w:val="006071E0"/>
    <w:rsid w:val="006447A8"/>
    <w:rsid w:val="00653D25"/>
    <w:rsid w:val="00680B2D"/>
    <w:rsid w:val="00681744"/>
    <w:rsid w:val="00696959"/>
    <w:rsid w:val="006A54A9"/>
    <w:rsid w:val="006A651A"/>
    <w:rsid w:val="006B1C34"/>
    <w:rsid w:val="006D52A2"/>
    <w:rsid w:val="006D5439"/>
    <w:rsid w:val="006E5184"/>
    <w:rsid w:val="006E6FFA"/>
    <w:rsid w:val="006F7E00"/>
    <w:rsid w:val="007210CF"/>
    <w:rsid w:val="007236F2"/>
    <w:rsid w:val="00737B5F"/>
    <w:rsid w:val="00740768"/>
    <w:rsid w:val="00750CF3"/>
    <w:rsid w:val="00770CC0"/>
    <w:rsid w:val="00776B8E"/>
    <w:rsid w:val="007872CB"/>
    <w:rsid w:val="00792C9A"/>
    <w:rsid w:val="00794F1B"/>
    <w:rsid w:val="007A2E03"/>
    <w:rsid w:val="007C6355"/>
    <w:rsid w:val="007E3FB5"/>
    <w:rsid w:val="007E7913"/>
    <w:rsid w:val="007F03E1"/>
    <w:rsid w:val="00802AFD"/>
    <w:rsid w:val="008046A3"/>
    <w:rsid w:val="00807724"/>
    <w:rsid w:val="008101A9"/>
    <w:rsid w:val="00817B18"/>
    <w:rsid w:val="00823DAA"/>
    <w:rsid w:val="00855E07"/>
    <w:rsid w:val="00856658"/>
    <w:rsid w:val="0086246F"/>
    <w:rsid w:val="00865DD1"/>
    <w:rsid w:val="00867EF0"/>
    <w:rsid w:val="00875355"/>
    <w:rsid w:val="008B3941"/>
    <w:rsid w:val="008C763F"/>
    <w:rsid w:val="008D4907"/>
    <w:rsid w:val="008E1310"/>
    <w:rsid w:val="008E748F"/>
    <w:rsid w:val="008F614D"/>
    <w:rsid w:val="008F75A9"/>
    <w:rsid w:val="009027C0"/>
    <w:rsid w:val="009174AC"/>
    <w:rsid w:val="00922BAB"/>
    <w:rsid w:val="00933A58"/>
    <w:rsid w:val="00941B85"/>
    <w:rsid w:val="00941E38"/>
    <w:rsid w:val="0094614D"/>
    <w:rsid w:val="00952B0A"/>
    <w:rsid w:val="009568C2"/>
    <w:rsid w:val="00976398"/>
    <w:rsid w:val="00986D38"/>
    <w:rsid w:val="009B1F11"/>
    <w:rsid w:val="009D78A3"/>
    <w:rsid w:val="00A178A8"/>
    <w:rsid w:val="00A31F57"/>
    <w:rsid w:val="00A34383"/>
    <w:rsid w:val="00A47A9C"/>
    <w:rsid w:val="00A5330F"/>
    <w:rsid w:val="00A646E4"/>
    <w:rsid w:val="00A73A72"/>
    <w:rsid w:val="00A76C11"/>
    <w:rsid w:val="00A778EC"/>
    <w:rsid w:val="00A96E24"/>
    <w:rsid w:val="00AC2707"/>
    <w:rsid w:val="00AE4ED9"/>
    <w:rsid w:val="00B2414F"/>
    <w:rsid w:val="00B51289"/>
    <w:rsid w:val="00B53B91"/>
    <w:rsid w:val="00B5438F"/>
    <w:rsid w:val="00B544AF"/>
    <w:rsid w:val="00B60236"/>
    <w:rsid w:val="00B8603C"/>
    <w:rsid w:val="00B932AE"/>
    <w:rsid w:val="00B93785"/>
    <w:rsid w:val="00BA4472"/>
    <w:rsid w:val="00BA67D4"/>
    <w:rsid w:val="00BA7F20"/>
    <w:rsid w:val="00BB0F46"/>
    <w:rsid w:val="00BB2968"/>
    <w:rsid w:val="00BD46A0"/>
    <w:rsid w:val="00BE00E9"/>
    <w:rsid w:val="00BE09F2"/>
    <w:rsid w:val="00BF0D6A"/>
    <w:rsid w:val="00BF470B"/>
    <w:rsid w:val="00BF768B"/>
    <w:rsid w:val="00C01F98"/>
    <w:rsid w:val="00C13911"/>
    <w:rsid w:val="00C2006B"/>
    <w:rsid w:val="00C2024E"/>
    <w:rsid w:val="00C21D36"/>
    <w:rsid w:val="00C30C55"/>
    <w:rsid w:val="00C37F7D"/>
    <w:rsid w:val="00C41858"/>
    <w:rsid w:val="00C52847"/>
    <w:rsid w:val="00C625B9"/>
    <w:rsid w:val="00C77606"/>
    <w:rsid w:val="00C955C3"/>
    <w:rsid w:val="00CA0857"/>
    <w:rsid w:val="00CB55B0"/>
    <w:rsid w:val="00CE0100"/>
    <w:rsid w:val="00CE6BF1"/>
    <w:rsid w:val="00D007E2"/>
    <w:rsid w:val="00D05C77"/>
    <w:rsid w:val="00D06A4E"/>
    <w:rsid w:val="00D11E0A"/>
    <w:rsid w:val="00D14033"/>
    <w:rsid w:val="00D266EA"/>
    <w:rsid w:val="00D27940"/>
    <w:rsid w:val="00D31624"/>
    <w:rsid w:val="00D33744"/>
    <w:rsid w:val="00D36BF3"/>
    <w:rsid w:val="00D62022"/>
    <w:rsid w:val="00D907C0"/>
    <w:rsid w:val="00DA27E6"/>
    <w:rsid w:val="00DC1AEA"/>
    <w:rsid w:val="00DE1941"/>
    <w:rsid w:val="00DF377A"/>
    <w:rsid w:val="00E13494"/>
    <w:rsid w:val="00E312DC"/>
    <w:rsid w:val="00E323BB"/>
    <w:rsid w:val="00E47DB8"/>
    <w:rsid w:val="00E532BA"/>
    <w:rsid w:val="00E53938"/>
    <w:rsid w:val="00EC4AEB"/>
    <w:rsid w:val="00EC7DAC"/>
    <w:rsid w:val="00EE7D5C"/>
    <w:rsid w:val="00F14D36"/>
    <w:rsid w:val="00F57111"/>
    <w:rsid w:val="00F60223"/>
    <w:rsid w:val="00F64218"/>
    <w:rsid w:val="00F6445E"/>
    <w:rsid w:val="00F67ED4"/>
    <w:rsid w:val="00F8696A"/>
    <w:rsid w:val="00F87A6E"/>
    <w:rsid w:val="00FB33FA"/>
    <w:rsid w:val="00FB5B77"/>
    <w:rsid w:val="00FB6B48"/>
    <w:rsid w:val="00FE6750"/>
    <w:rsid w:val="00FF0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F36A4"/>
  <w15:chartTrackingRefBased/>
  <w15:docId w15:val="{8E9B3D47-1F4D-4EA4-90A7-3F94AD63C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61206"/>
    <w:pPr>
      <w:spacing w:before="100" w:beforeAutospacing="1" w:after="100" w:afterAutospacing="1" w:line="240" w:lineRule="auto"/>
      <w:outlineLvl w:val="0"/>
    </w:pPr>
    <w:rPr>
      <w:rFonts w:ascii="Times New Roman" w:eastAsia="Times New Roman" w:hAnsi="Times New Roman" w:cs="Times New Roman"/>
      <w:b/>
      <w:bCs/>
      <w:color w:val="2E74B5" w:themeColor="accent1" w:themeShade="BF"/>
      <w:kern w:val="36"/>
      <w:sz w:val="40"/>
      <w:szCs w:val="48"/>
      <w:lang w:eastAsia="en-GB"/>
    </w:rPr>
  </w:style>
  <w:style w:type="paragraph" w:styleId="Heading2">
    <w:name w:val="heading 2"/>
    <w:basedOn w:val="Normal"/>
    <w:link w:val="Heading2Char"/>
    <w:uiPriority w:val="9"/>
    <w:qFormat/>
    <w:rsid w:val="00361206"/>
    <w:pPr>
      <w:spacing w:before="100" w:beforeAutospacing="1" w:after="100" w:afterAutospacing="1" w:line="240" w:lineRule="auto"/>
      <w:outlineLvl w:val="1"/>
    </w:pPr>
    <w:rPr>
      <w:rFonts w:ascii="Times New Roman" w:eastAsia="Times New Roman" w:hAnsi="Times New Roman" w:cs="Times New Roman"/>
      <w:b/>
      <w:bCs/>
      <w:color w:val="2E74B5" w:themeColor="accent1" w:themeShade="BF"/>
      <w:sz w:val="34"/>
      <w:szCs w:val="36"/>
      <w:lang w:eastAsia="en-GB"/>
    </w:rPr>
  </w:style>
  <w:style w:type="paragraph" w:styleId="Heading3">
    <w:name w:val="heading 3"/>
    <w:basedOn w:val="Normal"/>
    <w:link w:val="Heading3Char"/>
    <w:uiPriority w:val="9"/>
    <w:qFormat/>
    <w:rsid w:val="00361206"/>
    <w:pPr>
      <w:spacing w:before="100" w:beforeAutospacing="1" w:after="100" w:afterAutospacing="1" w:line="240" w:lineRule="auto"/>
      <w:outlineLvl w:val="2"/>
    </w:pPr>
    <w:rPr>
      <w:rFonts w:ascii="Times New Roman" w:eastAsia="Times New Roman" w:hAnsi="Times New Roman" w:cs="Times New Roman"/>
      <w:b/>
      <w:bCs/>
      <w:color w:val="2E74B5" w:themeColor="accent1" w:themeShade="BF"/>
      <w:sz w:val="28"/>
      <w:szCs w:val="27"/>
      <w:lang w:eastAsia="en-GB"/>
    </w:rPr>
  </w:style>
  <w:style w:type="paragraph" w:styleId="Heading4">
    <w:name w:val="heading 4"/>
    <w:basedOn w:val="Normal"/>
    <w:next w:val="Normal"/>
    <w:link w:val="Heading4Char"/>
    <w:uiPriority w:val="9"/>
    <w:semiHidden/>
    <w:unhideWhenUsed/>
    <w:qFormat/>
    <w:rsid w:val="00361206"/>
    <w:pPr>
      <w:keepNext/>
      <w:keepLines/>
      <w:spacing w:before="40" w:after="0"/>
      <w:outlineLvl w:val="3"/>
    </w:pPr>
    <w:rPr>
      <w:rFonts w:ascii="Times New Roman" w:eastAsiaTheme="majorEastAsia" w:hAnsi="Times New Roman" w:cstheme="majorBidi"/>
      <w:b/>
      <w:iCs/>
      <w:color w:val="2E74B5" w:themeColor="accent1" w:themeShade="BF"/>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206"/>
    <w:rPr>
      <w:rFonts w:ascii="Times New Roman" w:eastAsia="Times New Roman" w:hAnsi="Times New Roman" w:cs="Times New Roman"/>
      <w:b/>
      <w:bCs/>
      <w:color w:val="2E74B5" w:themeColor="accent1" w:themeShade="BF"/>
      <w:kern w:val="36"/>
      <w:sz w:val="40"/>
      <w:szCs w:val="48"/>
      <w:lang w:eastAsia="en-GB"/>
    </w:rPr>
  </w:style>
  <w:style w:type="character" w:customStyle="1" w:styleId="Heading2Char">
    <w:name w:val="Heading 2 Char"/>
    <w:basedOn w:val="DefaultParagraphFont"/>
    <w:link w:val="Heading2"/>
    <w:uiPriority w:val="9"/>
    <w:rsid w:val="00361206"/>
    <w:rPr>
      <w:rFonts w:ascii="Times New Roman" w:eastAsia="Times New Roman" w:hAnsi="Times New Roman" w:cs="Times New Roman"/>
      <w:b/>
      <w:bCs/>
      <w:color w:val="2E74B5" w:themeColor="accent1" w:themeShade="BF"/>
      <w:sz w:val="34"/>
      <w:szCs w:val="36"/>
      <w:lang w:eastAsia="en-GB"/>
    </w:rPr>
  </w:style>
  <w:style w:type="character" w:customStyle="1" w:styleId="Heading3Char">
    <w:name w:val="Heading 3 Char"/>
    <w:basedOn w:val="DefaultParagraphFont"/>
    <w:link w:val="Heading3"/>
    <w:uiPriority w:val="9"/>
    <w:rsid w:val="00361206"/>
    <w:rPr>
      <w:rFonts w:ascii="Times New Roman" w:eastAsia="Times New Roman" w:hAnsi="Times New Roman" w:cs="Times New Roman"/>
      <w:b/>
      <w:bCs/>
      <w:color w:val="2E74B5" w:themeColor="accent1" w:themeShade="BF"/>
      <w:sz w:val="28"/>
      <w:szCs w:val="27"/>
      <w:lang w:eastAsia="en-GB"/>
    </w:rPr>
  </w:style>
  <w:style w:type="paragraph" w:styleId="NormalWeb">
    <w:name w:val="Normal (Web)"/>
    <w:basedOn w:val="Normal"/>
    <w:uiPriority w:val="99"/>
    <w:unhideWhenUsed/>
    <w:rsid w:val="00B937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93785"/>
    <w:rPr>
      <w:b/>
      <w:bCs/>
    </w:rPr>
  </w:style>
  <w:style w:type="character" w:styleId="Emphasis">
    <w:name w:val="Emphasis"/>
    <w:basedOn w:val="DefaultParagraphFont"/>
    <w:uiPriority w:val="20"/>
    <w:qFormat/>
    <w:rsid w:val="00B93785"/>
    <w:rPr>
      <w:i/>
      <w:iCs/>
    </w:rPr>
  </w:style>
  <w:style w:type="paragraph" w:styleId="Title">
    <w:name w:val="Title"/>
    <w:basedOn w:val="Normal"/>
    <w:next w:val="Normal"/>
    <w:link w:val="TitleChar"/>
    <w:uiPriority w:val="10"/>
    <w:qFormat/>
    <w:rsid w:val="00425D98"/>
    <w:pPr>
      <w:spacing w:after="0" w:line="240" w:lineRule="auto"/>
      <w:contextualSpacing/>
    </w:pPr>
    <w:rPr>
      <w:rFonts w:ascii="Times New Roman" w:eastAsiaTheme="majorEastAsia" w:hAnsi="Times New Roman" w:cstheme="majorBidi"/>
      <w:b/>
      <w:spacing w:val="-10"/>
      <w:kern w:val="28"/>
      <w:sz w:val="56"/>
      <w:szCs w:val="56"/>
    </w:rPr>
  </w:style>
  <w:style w:type="character" w:customStyle="1" w:styleId="TitleChar">
    <w:name w:val="Title Char"/>
    <w:basedOn w:val="DefaultParagraphFont"/>
    <w:link w:val="Title"/>
    <w:uiPriority w:val="10"/>
    <w:rsid w:val="00425D98"/>
    <w:rPr>
      <w:rFonts w:ascii="Times New Roman" w:eastAsiaTheme="majorEastAsia" w:hAnsi="Times New Roman" w:cstheme="majorBidi"/>
      <w:b/>
      <w:spacing w:val="-10"/>
      <w:kern w:val="28"/>
      <w:sz w:val="56"/>
      <w:szCs w:val="56"/>
    </w:rPr>
  </w:style>
  <w:style w:type="character" w:customStyle="1" w:styleId="Heading4Char">
    <w:name w:val="Heading 4 Char"/>
    <w:basedOn w:val="DefaultParagraphFont"/>
    <w:link w:val="Heading4"/>
    <w:uiPriority w:val="9"/>
    <w:semiHidden/>
    <w:rsid w:val="00361206"/>
    <w:rPr>
      <w:rFonts w:ascii="Times New Roman" w:eastAsiaTheme="majorEastAsia" w:hAnsi="Times New Roman" w:cstheme="majorBidi"/>
      <w:b/>
      <w:iCs/>
      <w:color w:val="2E74B5" w:themeColor="accent1" w:themeShade="BF"/>
      <w:sz w:val="26"/>
    </w:rPr>
  </w:style>
  <w:style w:type="paragraph" w:styleId="Header">
    <w:name w:val="header"/>
    <w:basedOn w:val="Normal"/>
    <w:link w:val="HeaderChar"/>
    <w:uiPriority w:val="99"/>
    <w:unhideWhenUsed/>
    <w:rsid w:val="00AE4E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ED9"/>
  </w:style>
  <w:style w:type="paragraph" w:styleId="Footer">
    <w:name w:val="footer"/>
    <w:basedOn w:val="Normal"/>
    <w:link w:val="FooterChar"/>
    <w:uiPriority w:val="99"/>
    <w:unhideWhenUsed/>
    <w:rsid w:val="00AE4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ED9"/>
  </w:style>
  <w:style w:type="paragraph" w:styleId="TOCHeading">
    <w:name w:val="TOC Heading"/>
    <w:basedOn w:val="Heading1"/>
    <w:next w:val="Normal"/>
    <w:uiPriority w:val="39"/>
    <w:unhideWhenUsed/>
    <w:qFormat/>
    <w:rsid w:val="00E53938"/>
    <w:pPr>
      <w:keepNext/>
      <w:keepLines/>
      <w:spacing w:before="240" w:beforeAutospacing="0" w:after="0" w:afterAutospacing="0" w:line="259" w:lineRule="auto"/>
      <w:outlineLvl w:val="9"/>
    </w:pPr>
    <w:rPr>
      <w:rFonts w:asciiTheme="majorHAnsi" w:eastAsiaTheme="majorEastAsia" w:hAnsiTheme="majorHAnsi" w:cstheme="majorBidi"/>
      <w:b w:val="0"/>
      <w:bCs w:val="0"/>
      <w:kern w:val="0"/>
      <w:sz w:val="32"/>
      <w:szCs w:val="32"/>
      <w:lang w:val="en-US" w:eastAsia="en-US"/>
    </w:rPr>
  </w:style>
  <w:style w:type="paragraph" w:styleId="TOC1">
    <w:name w:val="toc 1"/>
    <w:basedOn w:val="Normal"/>
    <w:next w:val="Normal"/>
    <w:autoRedefine/>
    <w:uiPriority w:val="39"/>
    <w:unhideWhenUsed/>
    <w:rsid w:val="00E53938"/>
    <w:pPr>
      <w:spacing w:after="100"/>
    </w:pPr>
  </w:style>
  <w:style w:type="paragraph" w:styleId="TOC2">
    <w:name w:val="toc 2"/>
    <w:basedOn w:val="Normal"/>
    <w:next w:val="Normal"/>
    <w:autoRedefine/>
    <w:uiPriority w:val="39"/>
    <w:unhideWhenUsed/>
    <w:rsid w:val="00E53938"/>
    <w:pPr>
      <w:spacing w:after="100"/>
      <w:ind w:left="220"/>
    </w:pPr>
  </w:style>
  <w:style w:type="paragraph" w:styleId="TOC3">
    <w:name w:val="toc 3"/>
    <w:basedOn w:val="Normal"/>
    <w:next w:val="Normal"/>
    <w:autoRedefine/>
    <w:uiPriority w:val="39"/>
    <w:unhideWhenUsed/>
    <w:rsid w:val="00E53938"/>
    <w:pPr>
      <w:spacing w:after="100"/>
      <w:ind w:left="440"/>
    </w:pPr>
  </w:style>
  <w:style w:type="character" w:styleId="Hyperlink">
    <w:name w:val="Hyperlink"/>
    <w:basedOn w:val="DefaultParagraphFont"/>
    <w:uiPriority w:val="99"/>
    <w:unhideWhenUsed/>
    <w:rsid w:val="00E53938"/>
    <w:rPr>
      <w:color w:val="0563C1" w:themeColor="hyperlink"/>
      <w:u w:val="single"/>
    </w:rPr>
  </w:style>
  <w:style w:type="paragraph" w:styleId="ListParagraph">
    <w:name w:val="List Paragraph"/>
    <w:basedOn w:val="Normal"/>
    <w:uiPriority w:val="34"/>
    <w:qFormat/>
    <w:rsid w:val="00223D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917741">
      <w:bodyDiv w:val="1"/>
      <w:marLeft w:val="0"/>
      <w:marRight w:val="0"/>
      <w:marTop w:val="0"/>
      <w:marBottom w:val="0"/>
      <w:divBdr>
        <w:top w:val="none" w:sz="0" w:space="0" w:color="auto"/>
        <w:left w:val="none" w:sz="0" w:space="0" w:color="auto"/>
        <w:bottom w:val="none" w:sz="0" w:space="0" w:color="auto"/>
        <w:right w:val="none" w:sz="0" w:space="0" w:color="auto"/>
      </w:divBdr>
    </w:div>
    <w:div w:id="93867751">
      <w:bodyDiv w:val="1"/>
      <w:marLeft w:val="0"/>
      <w:marRight w:val="0"/>
      <w:marTop w:val="0"/>
      <w:marBottom w:val="0"/>
      <w:divBdr>
        <w:top w:val="none" w:sz="0" w:space="0" w:color="auto"/>
        <w:left w:val="none" w:sz="0" w:space="0" w:color="auto"/>
        <w:bottom w:val="none" w:sz="0" w:space="0" w:color="auto"/>
        <w:right w:val="none" w:sz="0" w:space="0" w:color="auto"/>
      </w:divBdr>
    </w:div>
    <w:div w:id="146829164">
      <w:bodyDiv w:val="1"/>
      <w:marLeft w:val="0"/>
      <w:marRight w:val="0"/>
      <w:marTop w:val="0"/>
      <w:marBottom w:val="0"/>
      <w:divBdr>
        <w:top w:val="none" w:sz="0" w:space="0" w:color="auto"/>
        <w:left w:val="none" w:sz="0" w:space="0" w:color="auto"/>
        <w:bottom w:val="none" w:sz="0" w:space="0" w:color="auto"/>
        <w:right w:val="none" w:sz="0" w:space="0" w:color="auto"/>
      </w:divBdr>
    </w:div>
    <w:div w:id="519777237">
      <w:bodyDiv w:val="1"/>
      <w:marLeft w:val="0"/>
      <w:marRight w:val="0"/>
      <w:marTop w:val="0"/>
      <w:marBottom w:val="0"/>
      <w:divBdr>
        <w:top w:val="none" w:sz="0" w:space="0" w:color="auto"/>
        <w:left w:val="none" w:sz="0" w:space="0" w:color="auto"/>
        <w:bottom w:val="none" w:sz="0" w:space="0" w:color="auto"/>
        <w:right w:val="none" w:sz="0" w:space="0" w:color="auto"/>
      </w:divBdr>
    </w:div>
    <w:div w:id="626199413">
      <w:bodyDiv w:val="1"/>
      <w:marLeft w:val="0"/>
      <w:marRight w:val="0"/>
      <w:marTop w:val="0"/>
      <w:marBottom w:val="0"/>
      <w:divBdr>
        <w:top w:val="none" w:sz="0" w:space="0" w:color="auto"/>
        <w:left w:val="none" w:sz="0" w:space="0" w:color="auto"/>
        <w:bottom w:val="none" w:sz="0" w:space="0" w:color="auto"/>
        <w:right w:val="none" w:sz="0" w:space="0" w:color="auto"/>
      </w:divBdr>
    </w:div>
    <w:div w:id="750348641">
      <w:bodyDiv w:val="1"/>
      <w:marLeft w:val="0"/>
      <w:marRight w:val="0"/>
      <w:marTop w:val="0"/>
      <w:marBottom w:val="0"/>
      <w:divBdr>
        <w:top w:val="none" w:sz="0" w:space="0" w:color="auto"/>
        <w:left w:val="none" w:sz="0" w:space="0" w:color="auto"/>
        <w:bottom w:val="none" w:sz="0" w:space="0" w:color="auto"/>
        <w:right w:val="none" w:sz="0" w:space="0" w:color="auto"/>
      </w:divBdr>
    </w:div>
    <w:div w:id="804079549">
      <w:bodyDiv w:val="1"/>
      <w:marLeft w:val="0"/>
      <w:marRight w:val="0"/>
      <w:marTop w:val="0"/>
      <w:marBottom w:val="0"/>
      <w:divBdr>
        <w:top w:val="none" w:sz="0" w:space="0" w:color="auto"/>
        <w:left w:val="none" w:sz="0" w:space="0" w:color="auto"/>
        <w:bottom w:val="none" w:sz="0" w:space="0" w:color="auto"/>
        <w:right w:val="none" w:sz="0" w:space="0" w:color="auto"/>
      </w:divBdr>
    </w:div>
    <w:div w:id="868177061">
      <w:bodyDiv w:val="1"/>
      <w:marLeft w:val="0"/>
      <w:marRight w:val="0"/>
      <w:marTop w:val="0"/>
      <w:marBottom w:val="0"/>
      <w:divBdr>
        <w:top w:val="none" w:sz="0" w:space="0" w:color="auto"/>
        <w:left w:val="none" w:sz="0" w:space="0" w:color="auto"/>
        <w:bottom w:val="none" w:sz="0" w:space="0" w:color="auto"/>
        <w:right w:val="none" w:sz="0" w:space="0" w:color="auto"/>
      </w:divBdr>
    </w:div>
    <w:div w:id="968588605">
      <w:bodyDiv w:val="1"/>
      <w:marLeft w:val="0"/>
      <w:marRight w:val="0"/>
      <w:marTop w:val="0"/>
      <w:marBottom w:val="0"/>
      <w:divBdr>
        <w:top w:val="none" w:sz="0" w:space="0" w:color="auto"/>
        <w:left w:val="none" w:sz="0" w:space="0" w:color="auto"/>
        <w:bottom w:val="none" w:sz="0" w:space="0" w:color="auto"/>
        <w:right w:val="none" w:sz="0" w:space="0" w:color="auto"/>
      </w:divBdr>
    </w:div>
    <w:div w:id="1096055102">
      <w:bodyDiv w:val="1"/>
      <w:marLeft w:val="0"/>
      <w:marRight w:val="0"/>
      <w:marTop w:val="0"/>
      <w:marBottom w:val="0"/>
      <w:divBdr>
        <w:top w:val="none" w:sz="0" w:space="0" w:color="auto"/>
        <w:left w:val="none" w:sz="0" w:space="0" w:color="auto"/>
        <w:bottom w:val="none" w:sz="0" w:space="0" w:color="auto"/>
        <w:right w:val="none" w:sz="0" w:space="0" w:color="auto"/>
      </w:divBdr>
    </w:div>
    <w:div w:id="1141925215">
      <w:bodyDiv w:val="1"/>
      <w:marLeft w:val="0"/>
      <w:marRight w:val="0"/>
      <w:marTop w:val="0"/>
      <w:marBottom w:val="0"/>
      <w:divBdr>
        <w:top w:val="none" w:sz="0" w:space="0" w:color="auto"/>
        <w:left w:val="none" w:sz="0" w:space="0" w:color="auto"/>
        <w:bottom w:val="none" w:sz="0" w:space="0" w:color="auto"/>
        <w:right w:val="none" w:sz="0" w:space="0" w:color="auto"/>
      </w:divBdr>
    </w:div>
    <w:div w:id="1174957628">
      <w:bodyDiv w:val="1"/>
      <w:marLeft w:val="0"/>
      <w:marRight w:val="0"/>
      <w:marTop w:val="0"/>
      <w:marBottom w:val="0"/>
      <w:divBdr>
        <w:top w:val="none" w:sz="0" w:space="0" w:color="auto"/>
        <w:left w:val="none" w:sz="0" w:space="0" w:color="auto"/>
        <w:bottom w:val="none" w:sz="0" w:space="0" w:color="auto"/>
        <w:right w:val="none" w:sz="0" w:space="0" w:color="auto"/>
      </w:divBdr>
    </w:div>
    <w:div w:id="1216703688">
      <w:bodyDiv w:val="1"/>
      <w:marLeft w:val="0"/>
      <w:marRight w:val="0"/>
      <w:marTop w:val="0"/>
      <w:marBottom w:val="0"/>
      <w:divBdr>
        <w:top w:val="none" w:sz="0" w:space="0" w:color="auto"/>
        <w:left w:val="none" w:sz="0" w:space="0" w:color="auto"/>
        <w:bottom w:val="none" w:sz="0" w:space="0" w:color="auto"/>
        <w:right w:val="none" w:sz="0" w:space="0" w:color="auto"/>
      </w:divBdr>
    </w:div>
    <w:div w:id="1217887178">
      <w:bodyDiv w:val="1"/>
      <w:marLeft w:val="0"/>
      <w:marRight w:val="0"/>
      <w:marTop w:val="0"/>
      <w:marBottom w:val="0"/>
      <w:divBdr>
        <w:top w:val="none" w:sz="0" w:space="0" w:color="auto"/>
        <w:left w:val="none" w:sz="0" w:space="0" w:color="auto"/>
        <w:bottom w:val="none" w:sz="0" w:space="0" w:color="auto"/>
        <w:right w:val="none" w:sz="0" w:space="0" w:color="auto"/>
      </w:divBdr>
    </w:div>
    <w:div w:id="1293291592">
      <w:bodyDiv w:val="1"/>
      <w:marLeft w:val="0"/>
      <w:marRight w:val="0"/>
      <w:marTop w:val="0"/>
      <w:marBottom w:val="0"/>
      <w:divBdr>
        <w:top w:val="none" w:sz="0" w:space="0" w:color="auto"/>
        <w:left w:val="none" w:sz="0" w:space="0" w:color="auto"/>
        <w:bottom w:val="none" w:sz="0" w:space="0" w:color="auto"/>
        <w:right w:val="none" w:sz="0" w:space="0" w:color="auto"/>
      </w:divBdr>
    </w:div>
    <w:div w:id="1463839059">
      <w:bodyDiv w:val="1"/>
      <w:marLeft w:val="0"/>
      <w:marRight w:val="0"/>
      <w:marTop w:val="0"/>
      <w:marBottom w:val="0"/>
      <w:divBdr>
        <w:top w:val="none" w:sz="0" w:space="0" w:color="auto"/>
        <w:left w:val="none" w:sz="0" w:space="0" w:color="auto"/>
        <w:bottom w:val="none" w:sz="0" w:space="0" w:color="auto"/>
        <w:right w:val="none" w:sz="0" w:space="0" w:color="auto"/>
      </w:divBdr>
    </w:div>
    <w:div w:id="1569535253">
      <w:bodyDiv w:val="1"/>
      <w:marLeft w:val="0"/>
      <w:marRight w:val="0"/>
      <w:marTop w:val="0"/>
      <w:marBottom w:val="0"/>
      <w:divBdr>
        <w:top w:val="none" w:sz="0" w:space="0" w:color="auto"/>
        <w:left w:val="none" w:sz="0" w:space="0" w:color="auto"/>
        <w:bottom w:val="none" w:sz="0" w:space="0" w:color="auto"/>
        <w:right w:val="none" w:sz="0" w:space="0" w:color="auto"/>
      </w:divBdr>
    </w:div>
    <w:div w:id="1921911579">
      <w:bodyDiv w:val="1"/>
      <w:marLeft w:val="0"/>
      <w:marRight w:val="0"/>
      <w:marTop w:val="0"/>
      <w:marBottom w:val="0"/>
      <w:divBdr>
        <w:top w:val="none" w:sz="0" w:space="0" w:color="auto"/>
        <w:left w:val="none" w:sz="0" w:space="0" w:color="auto"/>
        <w:bottom w:val="none" w:sz="0" w:space="0" w:color="auto"/>
        <w:right w:val="none" w:sz="0" w:space="0" w:color="auto"/>
      </w:divBdr>
    </w:div>
    <w:div w:id="2118407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81DFAC-CFF5-429B-AA6E-847F11AE19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2542</Words>
  <Characters>14492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ventsislav karov</cp:lastModifiedBy>
  <cp:revision>6</cp:revision>
  <dcterms:created xsi:type="dcterms:W3CDTF">2025-12-14T20:30:00Z</dcterms:created>
  <dcterms:modified xsi:type="dcterms:W3CDTF">2025-12-17T16:43:00Z</dcterms:modified>
</cp:coreProperties>
</file>