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A377BC" w14:textId="77777777" w:rsidR="00F96269" w:rsidRPr="00004974" w:rsidRDefault="00F96269" w:rsidP="00004974">
      <w:pPr>
        <w:spacing w:line="360" w:lineRule="auto"/>
        <w:jc w:val="both"/>
        <w:rPr>
          <w:rFonts w:ascii="Arial" w:hAnsi="Arial" w:cs="Arial"/>
          <w:b/>
          <w:u w:val="single"/>
        </w:rPr>
      </w:pPr>
      <w:r w:rsidRPr="00004974">
        <w:rPr>
          <w:rFonts w:ascii="Arial" w:hAnsi="Arial" w:cs="Arial"/>
          <w:b/>
          <w:u w:val="single"/>
        </w:rPr>
        <w:t>Cognitive Benefits</w:t>
      </w:r>
    </w:p>
    <w:p w14:paraId="053565EE" w14:textId="58262A22" w:rsidR="00F96269" w:rsidRPr="00004974" w:rsidRDefault="00F96269" w:rsidP="00004974">
      <w:pPr>
        <w:spacing w:line="360" w:lineRule="auto"/>
        <w:jc w:val="both"/>
        <w:rPr>
          <w:rFonts w:ascii="Arial" w:hAnsi="Arial" w:cs="Arial"/>
        </w:rPr>
      </w:pPr>
      <w:r w:rsidRPr="00004974">
        <w:rPr>
          <w:rFonts w:ascii="Arial" w:hAnsi="Arial" w:cs="Arial"/>
        </w:rPr>
        <w:t xml:space="preserve">García (2009) states that bilingualism benefits cognitive development, as bilingual children are greatly facilitated in understanding the structure of both languages. Bialystok (2011) agrees and states that bilingual children have a greater metalinguistic awareness due to having an exceptional understanding and an extended vocabulary. Baker and Wright (2017) also support this stance as they believe bilingual children treat language as an object to reach a deeper level of understanding. Baker and Wright (2017) also believe that being bilingual benefits knowledge and critical thinking skills. For example, Bialystok et al. (2012) believe by having a metalinguistic awareness, it is an important factor for developing refined speech and reading. According to </w:t>
      </w:r>
      <w:proofErr w:type="spellStart"/>
      <w:r w:rsidRPr="00004974">
        <w:rPr>
          <w:rFonts w:ascii="Arial" w:hAnsi="Arial" w:cs="Arial"/>
        </w:rPr>
        <w:t>Christoffels</w:t>
      </w:r>
      <w:proofErr w:type="spellEnd"/>
      <w:r w:rsidRPr="00004974">
        <w:rPr>
          <w:rFonts w:ascii="Arial" w:hAnsi="Arial" w:cs="Arial"/>
        </w:rPr>
        <w:t xml:space="preserve"> et al.</w:t>
      </w:r>
      <w:r w:rsidR="00384167" w:rsidRPr="00004974">
        <w:rPr>
          <w:rFonts w:ascii="Arial" w:hAnsi="Arial" w:cs="Arial"/>
        </w:rPr>
        <w:t xml:space="preserve"> (2014)</w:t>
      </w:r>
      <w:r w:rsidRPr="00004974">
        <w:rPr>
          <w:rFonts w:ascii="Arial" w:hAnsi="Arial" w:cs="Arial"/>
        </w:rPr>
        <w:t>, bilingual children are divergent thinkers as they have a developed flexible mindset</w:t>
      </w:r>
      <w:r w:rsidR="009330E3" w:rsidRPr="00004974">
        <w:rPr>
          <w:rFonts w:ascii="Arial" w:hAnsi="Arial" w:cs="Arial"/>
        </w:rPr>
        <w:t xml:space="preserve"> to combine different concepts, which</w:t>
      </w:r>
      <w:r w:rsidRPr="00004974">
        <w:rPr>
          <w:rFonts w:ascii="Arial" w:hAnsi="Arial" w:cs="Arial"/>
        </w:rPr>
        <w:t xml:space="preserve"> benef</w:t>
      </w:r>
      <w:r w:rsidR="009330E3" w:rsidRPr="00004974">
        <w:rPr>
          <w:rFonts w:ascii="Arial" w:hAnsi="Arial" w:cs="Arial"/>
        </w:rPr>
        <w:t>its</w:t>
      </w:r>
      <w:r w:rsidRPr="00004974">
        <w:rPr>
          <w:rFonts w:ascii="Arial" w:hAnsi="Arial" w:cs="Arial"/>
        </w:rPr>
        <w:t xml:space="preserve"> their cognitive control. However, Ouzia et al. (2016) believe that bilingual children display a weakness in problem-solving as they struggle to make decisions. Due to their metacognition, they lack the ability to evaluate their cognitive performance. Sorace and Ladd (2012) believe this weakness is a normal developmental stage for bilingual children due to having an extended vocabulary.  </w:t>
      </w:r>
    </w:p>
    <w:p w14:paraId="6C940DE3" w14:textId="77777777" w:rsidR="00F96269" w:rsidRPr="00004974" w:rsidRDefault="00F96269" w:rsidP="00004974">
      <w:pPr>
        <w:spacing w:line="360" w:lineRule="auto"/>
        <w:jc w:val="both"/>
        <w:rPr>
          <w:rFonts w:ascii="Arial" w:hAnsi="Arial" w:cs="Arial"/>
        </w:rPr>
      </w:pPr>
    </w:p>
    <w:p w14:paraId="06E5A0AC" w14:textId="2E69F71F" w:rsidR="00F96269" w:rsidRPr="00004974" w:rsidRDefault="00F96269" w:rsidP="00004974">
      <w:pPr>
        <w:spacing w:line="360" w:lineRule="auto"/>
        <w:jc w:val="both"/>
        <w:rPr>
          <w:rFonts w:ascii="Arial" w:hAnsi="Arial" w:cs="Arial"/>
        </w:rPr>
      </w:pPr>
      <w:proofErr w:type="spellStart"/>
      <w:r w:rsidRPr="00004974">
        <w:rPr>
          <w:rFonts w:ascii="Arial" w:hAnsi="Arial" w:cs="Arial"/>
        </w:rPr>
        <w:t>Lightbrown</w:t>
      </w:r>
      <w:proofErr w:type="spellEnd"/>
      <w:r w:rsidRPr="00004974">
        <w:rPr>
          <w:rFonts w:ascii="Arial" w:hAnsi="Arial" w:cs="Arial"/>
        </w:rPr>
        <w:t xml:space="preserve"> and Spada (2013) believe that acquiring a new language is an effortless learning process, however, the children require extra time to process the information. Devarakonda (2014) agrees and states that children who are exposed to more than one language in early childhood, are efficient in listening and responding to two languages, which is known as simultaneous bilingualism. Thus, supports Baker and Wright (2017) as they believe there are two types of bilingualism: sequential and simultaneous. </w:t>
      </w:r>
      <w:r w:rsidR="009330E3" w:rsidRPr="00004974">
        <w:rPr>
          <w:rFonts w:ascii="Arial" w:hAnsi="Arial" w:cs="Arial"/>
        </w:rPr>
        <w:t>Baker and Wright (2017)</w:t>
      </w:r>
      <w:r w:rsidRPr="00004974">
        <w:rPr>
          <w:rFonts w:ascii="Arial" w:hAnsi="Arial" w:cs="Arial"/>
        </w:rPr>
        <w:t xml:space="preserve"> believe both types benefit cognitive development</w:t>
      </w:r>
      <w:r w:rsidR="009330E3" w:rsidRPr="00004974">
        <w:rPr>
          <w:rFonts w:ascii="Arial" w:hAnsi="Arial" w:cs="Arial"/>
        </w:rPr>
        <w:t>,</w:t>
      </w:r>
      <w:r w:rsidRPr="00004974">
        <w:rPr>
          <w:rFonts w:ascii="Arial" w:hAnsi="Arial" w:cs="Arial"/>
        </w:rPr>
        <w:t xml:space="preserve"> enabl</w:t>
      </w:r>
      <w:r w:rsidR="009330E3" w:rsidRPr="00004974">
        <w:rPr>
          <w:rFonts w:ascii="Arial" w:hAnsi="Arial" w:cs="Arial"/>
        </w:rPr>
        <w:t>ing</w:t>
      </w:r>
      <w:r w:rsidRPr="00004974">
        <w:rPr>
          <w:rFonts w:ascii="Arial" w:hAnsi="Arial" w:cs="Arial"/>
        </w:rPr>
        <w:t xml:space="preserve"> children to become successful in learning more languages. Furthermore, Baker and Wright (2017) stated that children use ‘codeswitching’, </w:t>
      </w:r>
      <w:r w:rsidR="009330E3" w:rsidRPr="00004974">
        <w:rPr>
          <w:rFonts w:ascii="Arial" w:hAnsi="Arial" w:cs="Arial"/>
        </w:rPr>
        <w:t>as</w:t>
      </w:r>
      <w:r w:rsidRPr="00004974">
        <w:rPr>
          <w:rFonts w:ascii="Arial" w:hAnsi="Arial" w:cs="Arial"/>
        </w:rPr>
        <w:t xml:space="preserve"> a valuable linguistic tool. Aljoundi (2016) believes that children use codeswitching </w:t>
      </w:r>
      <w:bookmarkStart w:id="0" w:name="_GoBack"/>
      <w:bookmarkEnd w:id="0"/>
      <w:r w:rsidR="00C547C5" w:rsidRPr="00004974">
        <w:rPr>
          <w:rFonts w:ascii="Arial" w:hAnsi="Arial" w:cs="Arial"/>
        </w:rPr>
        <w:t>to build</w:t>
      </w:r>
      <w:r w:rsidRPr="00004974">
        <w:rPr>
          <w:rFonts w:ascii="Arial" w:hAnsi="Arial" w:cs="Arial"/>
        </w:rPr>
        <w:t xml:space="preserve"> relationships with peers as it reflects their identity.  As seen in the recording, the practitioner supports bilingualism as they use codeswitching to turn from one language to another. This is an example of modelling, as the practitioner is modelling the language for children to help them learn. This supports Bandura’s (1971) theory as he believed children learn new behaviours by imitation, rather than receiving direct reinforcement of their own behaviours from the environment. However, in direct </w:t>
      </w:r>
      <w:r w:rsidRPr="00004974">
        <w:rPr>
          <w:rFonts w:ascii="Arial" w:hAnsi="Arial" w:cs="Arial"/>
        </w:rPr>
        <w:lastRenderedPageBreak/>
        <w:t xml:space="preserve">contrast, Marian and Shook (2012) believe that bilingual children can become confused which could develop a language delay. They believe it causes children to speak at a slower pace due to languages interfering with each other. As seen in the recording the practitioner read a Welsh book using props to the children. The book was a dual language book including both Welsh and English text and images. This supports Kraus and Chandrasekaran (2010) as they believe storytelling plays an important role when acquiring a new language. Children’s stories are often repetitive and interactive by using memorable words and images. Bialystok (2011) agrees and states that bilingual children can benefit from listening to stories in their additional language as it helps with pronunciation of words. </w:t>
      </w:r>
    </w:p>
    <w:p w14:paraId="62D9EA0D" w14:textId="77777777" w:rsidR="00F96269" w:rsidRPr="00004974" w:rsidRDefault="00F96269" w:rsidP="00004974">
      <w:pPr>
        <w:spacing w:line="360" w:lineRule="auto"/>
        <w:jc w:val="both"/>
        <w:rPr>
          <w:rFonts w:ascii="Arial" w:hAnsi="Arial" w:cs="Arial"/>
        </w:rPr>
      </w:pPr>
    </w:p>
    <w:p w14:paraId="0260A374" w14:textId="5EFB1ED0" w:rsidR="00F96269" w:rsidRPr="00004974" w:rsidRDefault="00F96269" w:rsidP="00004974">
      <w:pPr>
        <w:spacing w:line="360" w:lineRule="auto"/>
        <w:jc w:val="both"/>
        <w:rPr>
          <w:rFonts w:ascii="Arial" w:hAnsi="Arial" w:cs="Arial"/>
          <w:b/>
          <w:u w:val="single"/>
        </w:rPr>
      </w:pPr>
      <w:r w:rsidRPr="00004974">
        <w:rPr>
          <w:rFonts w:ascii="Arial" w:hAnsi="Arial" w:cs="Arial"/>
          <w:b/>
          <w:u w:val="single"/>
        </w:rPr>
        <w:t xml:space="preserve">Cultural Benefits </w:t>
      </w:r>
    </w:p>
    <w:p w14:paraId="506B4978" w14:textId="768A3410" w:rsidR="00F96269" w:rsidRPr="00004974" w:rsidRDefault="00F96269" w:rsidP="00004974">
      <w:pPr>
        <w:spacing w:line="360" w:lineRule="auto"/>
        <w:jc w:val="both"/>
        <w:rPr>
          <w:rFonts w:ascii="Arial" w:hAnsi="Arial" w:cs="Arial"/>
        </w:rPr>
      </w:pPr>
      <w:r w:rsidRPr="00004974">
        <w:rPr>
          <w:rFonts w:ascii="Arial" w:hAnsi="Arial" w:cs="Arial"/>
        </w:rPr>
        <w:t xml:space="preserve">Due to increased migration, the number of children learning in a language other than the mother tongue is growing. A child’s mother tongue should be supported as it leads to a better understanding (BBC, 2014). Cummings (2009) agrees and believes that it is important that the mother tongue is respected by practitioners in settings. According to Mudiad Meithrin (2011), the majority of </w:t>
      </w:r>
      <w:proofErr w:type="spellStart"/>
      <w:r w:rsidRPr="00004974">
        <w:rPr>
          <w:rFonts w:ascii="Arial" w:hAnsi="Arial" w:cs="Arial"/>
        </w:rPr>
        <w:t>Cylchoedd</w:t>
      </w:r>
      <w:proofErr w:type="spellEnd"/>
      <w:r w:rsidRPr="00004974">
        <w:rPr>
          <w:rFonts w:ascii="Arial" w:hAnsi="Arial" w:cs="Arial"/>
        </w:rPr>
        <w:t xml:space="preserve"> </w:t>
      </w:r>
      <w:proofErr w:type="spellStart"/>
      <w:r w:rsidRPr="00004974">
        <w:rPr>
          <w:rFonts w:ascii="Arial" w:hAnsi="Arial" w:cs="Arial"/>
        </w:rPr>
        <w:t>Meithrin</w:t>
      </w:r>
      <w:proofErr w:type="spellEnd"/>
      <w:r w:rsidRPr="00004974">
        <w:rPr>
          <w:rFonts w:ascii="Arial" w:hAnsi="Arial" w:cs="Arial"/>
        </w:rPr>
        <w:t xml:space="preserve"> follow a Welsh Language Policy, where Welsh is introduced to children using the Immersion method. Nicolay and Poncelet (2013) argue that the Immersion method is ignoring a child’s mother tongue, as the main focus is on the Welsh language. They believe children may find it difficult to understand the concepts of their education if it is being taught in a completely new language. Cummins and Swain (2014) agree and state that to neglect a child’s mother tongue is to neglect the child. A child’s mother tongue is a central part of who they are, therefore </w:t>
      </w:r>
      <w:r w:rsidR="00004974" w:rsidRPr="00004974">
        <w:rPr>
          <w:rFonts w:ascii="Arial" w:hAnsi="Arial" w:cs="Arial"/>
        </w:rPr>
        <w:t>if</w:t>
      </w:r>
      <w:r w:rsidRPr="00004974">
        <w:rPr>
          <w:rFonts w:ascii="Arial" w:hAnsi="Arial" w:cs="Arial"/>
        </w:rPr>
        <w:t xml:space="preserve"> they are told to leave their culture outside of </w:t>
      </w:r>
      <w:r w:rsidR="00004974" w:rsidRPr="00004974">
        <w:rPr>
          <w:rFonts w:ascii="Arial" w:hAnsi="Arial" w:cs="Arial"/>
        </w:rPr>
        <w:t>the setting</w:t>
      </w:r>
      <w:r w:rsidRPr="00004974">
        <w:rPr>
          <w:rFonts w:ascii="Arial" w:hAnsi="Arial" w:cs="Arial"/>
        </w:rPr>
        <w:t xml:space="preserve"> it is damaging their self-esteem. Furthermore, García et al. (2017) state that neglecting the mother tongue can negatively impact a child, therefore they are less likely to participate confidently in school. This is due to feeling excluded as they are unaware of the language being spoken. This contravenes Maslow’s Hierarchy of Needs (1943) as he stated children require basic needs and positive experiences to reach potential with support. This may result in the child not progressing according to the Areas of Learning as they are not able to communicate their needs (Foundation Phase, 2015). Article 31 of the United Nations Convention on the Rights of the Child (2019) states that all children have the right to engage in their culture (UNICEF, 2019). According to the Curriculum Cymreig (2003) practitioners should develop an ethos </w:t>
      </w:r>
      <w:r w:rsidRPr="00004974">
        <w:rPr>
          <w:rFonts w:ascii="Arial" w:hAnsi="Arial" w:cs="Arial"/>
        </w:rPr>
        <w:lastRenderedPageBreak/>
        <w:t xml:space="preserve">and curriculum which celebrates the child’s mother tongue instead of de-valuing their culture. Butzkamm and Caldwell (2009) believe a child’s mother tongue should be supported by using the ‘sandwich’ method as this involves repetition which helps to demonstrate the definition. The Foundation Phase (2015) believes that by focusing on the child’s mother tongue and acknowledging their needs will help the child to develop a positive identity and self-esteem. </w:t>
      </w:r>
    </w:p>
    <w:p w14:paraId="3EEE6081" w14:textId="77777777" w:rsidR="00F96269" w:rsidRPr="00004974" w:rsidRDefault="00F96269" w:rsidP="00004974">
      <w:pPr>
        <w:spacing w:line="360" w:lineRule="auto"/>
        <w:jc w:val="both"/>
        <w:rPr>
          <w:rFonts w:ascii="Arial" w:hAnsi="Arial" w:cs="Arial"/>
        </w:rPr>
      </w:pPr>
    </w:p>
    <w:p w14:paraId="59F91286" w14:textId="77777777" w:rsidR="00F96269" w:rsidRPr="00004974" w:rsidRDefault="00F96269" w:rsidP="00004974">
      <w:pPr>
        <w:spacing w:line="360" w:lineRule="auto"/>
        <w:jc w:val="both"/>
        <w:rPr>
          <w:rFonts w:ascii="Arial" w:hAnsi="Arial" w:cs="Arial"/>
          <w:b/>
          <w:u w:val="single"/>
        </w:rPr>
      </w:pPr>
      <w:r w:rsidRPr="00004974">
        <w:rPr>
          <w:rFonts w:ascii="Arial" w:hAnsi="Arial" w:cs="Arial"/>
          <w:b/>
          <w:u w:val="single"/>
        </w:rPr>
        <w:t>Welsh as an Additional Language (WAL)</w:t>
      </w:r>
    </w:p>
    <w:p w14:paraId="43487A78" w14:textId="77777777" w:rsidR="00F96269" w:rsidRPr="00004974" w:rsidRDefault="00F96269" w:rsidP="00004974">
      <w:pPr>
        <w:spacing w:line="360" w:lineRule="auto"/>
        <w:jc w:val="both"/>
        <w:rPr>
          <w:rFonts w:ascii="Arial" w:hAnsi="Arial" w:cs="Arial"/>
        </w:rPr>
      </w:pPr>
      <w:r w:rsidRPr="00004974">
        <w:rPr>
          <w:rFonts w:ascii="Arial" w:hAnsi="Arial" w:cs="Arial"/>
        </w:rPr>
        <w:t xml:space="preserve">Mashayekh and Hashemi (2011) believe children who have Welsh as an Additional Language (WAL) require supporting strategies. They believe nursery rhymes and songs are important for children’s language development as children enjoy listening to rhythm and repetition. As seen in the recording the practitioner includes many Welsh songs which support Brandt et al. (2012) as they believe it is important that practitioners are confident and engaging whilst singing. Brandt et al. (2012) also believe it is important for practitioners to use a clear tone and a steady pace as it ensures the children are engaged. The Foundation Phase (2015) agrees as they believe children will acquire a new language by taking part in practical and play-based activities to help build on and increase prior knowledge. Thus, also supports Piaget’s (1953) theory as he believed that children learn best through experiential learning, which is paramount to their development. </w:t>
      </w:r>
    </w:p>
    <w:p w14:paraId="4E8F14A0" w14:textId="77777777" w:rsidR="00F96269" w:rsidRPr="00004974" w:rsidRDefault="00F96269" w:rsidP="00004974">
      <w:pPr>
        <w:spacing w:line="360" w:lineRule="auto"/>
        <w:jc w:val="both"/>
        <w:rPr>
          <w:rFonts w:ascii="Arial" w:hAnsi="Arial" w:cs="Arial"/>
        </w:rPr>
      </w:pPr>
    </w:p>
    <w:p w14:paraId="62171F75" w14:textId="77777777" w:rsidR="00F96269" w:rsidRPr="00004974" w:rsidRDefault="00F96269" w:rsidP="00004974">
      <w:pPr>
        <w:spacing w:line="360" w:lineRule="auto"/>
        <w:jc w:val="both"/>
        <w:rPr>
          <w:rFonts w:ascii="Arial" w:hAnsi="Arial" w:cs="Arial"/>
        </w:rPr>
      </w:pPr>
      <w:r w:rsidRPr="00004974">
        <w:rPr>
          <w:rFonts w:ascii="Arial" w:hAnsi="Arial" w:cs="Arial"/>
        </w:rPr>
        <w:t xml:space="preserve">In the recording the practitioner also demonstrated positive modelling for children with WAL, this supports Bandura’s theory (1971). Bandura (1971) believed children learn by observing others to gain new knowledge. Bandura (1971) also believed positive reinforcement encouraged positive behaviours as the child imitates the practitioner. Furthermore, Jung (2016) believes engaging in music is deemed essential for a child’s linguistic ability as it impacts their brain development. Jung (2016) believes songs and rhymes help children to acquire a new language as it enriches their vocabulary, as the songs include informal expressions and words. The National Association of Music Merchants Foundation agrees and states that engaging in songs in early years can improve memory, and children are able to efficiently learn sounds and meaning of words. </w:t>
      </w:r>
    </w:p>
    <w:p w14:paraId="2C1EA379" w14:textId="77777777" w:rsidR="00F96269" w:rsidRPr="00004974" w:rsidRDefault="00F96269" w:rsidP="00004974">
      <w:pPr>
        <w:spacing w:line="360" w:lineRule="auto"/>
        <w:jc w:val="both"/>
        <w:rPr>
          <w:rFonts w:ascii="Arial" w:hAnsi="Arial" w:cs="Arial"/>
        </w:rPr>
      </w:pPr>
    </w:p>
    <w:p w14:paraId="2E7215E0" w14:textId="77777777" w:rsidR="00F96269" w:rsidRPr="00004974" w:rsidRDefault="00F96269" w:rsidP="00004974">
      <w:pPr>
        <w:spacing w:line="360" w:lineRule="auto"/>
        <w:jc w:val="both"/>
        <w:rPr>
          <w:rFonts w:ascii="Arial" w:hAnsi="Arial" w:cs="Arial"/>
        </w:rPr>
      </w:pPr>
    </w:p>
    <w:p w14:paraId="69BDFFB3" w14:textId="30AB30E0" w:rsidR="00F96269" w:rsidRPr="00004974" w:rsidRDefault="00F96269" w:rsidP="00004974">
      <w:pPr>
        <w:spacing w:line="360" w:lineRule="auto"/>
        <w:jc w:val="both"/>
        <w:rPr>
          <w:rFonts w:ascii="Arial" w:hAnsi="Arial" w:cs="Arial"/>
        </w:rPr>
      </w:pPr>
      <w:r w:rsidRPr="00004974">
        <w:rPr>
          <w:rFonts w:ascii="Arial" w:hAnsi="Arial" w:cs="Arial"/>
        </w:rPr>
        <w:lastRenderedPageBreak/>
        <w:t>According to Oxfordshire County Council (2017), it is suggested that in practice, practitioners short support a child with WAL by ensuring they feel secure through a person-centred approach. The Foundation Phase (2015) believe that communication is important as it ensures all children are progressing within all Areas of Learning. Effective communication can be demonstrated by respecting the child’s mother tongue, by learning a few sentences in the child’s first language (Foundation Phase, 2015). Drummond (2014) believes practitioners should provide an inclusive curriculum to meet the needs of the child with WAL. This can be demonstrated by displaying boards in both mother tongue and main language spoken in the setting (Foundation Phase, 2015). Drummond (2014) believes that visuals in the form of pictures and diagrams should be used to help the child make sense of information. The practitioner could create a visual timeline of important times of the day; therefore, they are aware of upcoming events. This can be used with all children in the setting to be made into a fun and interactive activity</w:t>
      </w:r>
      <w:r w:rsidR="00004974" w:rsidRPr="00004974">
        <w:rPr>
          <w:rFonts w:ascii="Arial" w:hAnsi="Arial" w:cs="Arial"/>
        </w:rPr>
        <w:t xml:space="preserve"> (Foundation Phase, 2015)</w:t>
      </w:r>
      <w:r w:rsidRPr="00004974">
        <w:rPr>
          <w:rFonts w:ascii="Arial" w:hAnsi="Arial" w:cs="Arial"/>
        </w:rPr>
        <w:t xml:space="preserve">. This supports Montessori (1912) as she believed if it works for one child, it will work for all. This has also been stated by both the Curriculum Cymreig (2003) and the Foundation Phase (2015) as they believe flashcards could be designed for the child, including photos and simple sentences. This will benefit their self-esteem as they are aware that although they are unfamiliar with the Welsh language, they still have access to their basic needs. </w:t>
      </w:r>
    </w:p>
    <w:p w14:paraId="39076140" w14:textId="77777777" w:rsidR="00F96269" w:rsidRPr="00004974" w:rsidRDefault="00F96269" w:rsidP="00004974">
      <w:pPr>
        <w:spacing w:line="360" w:lineRule="auto"/>
        <w:jc w:val="both"/>
        <w:rPr>
          <w:rFonts w:ascii="Arial" w:hAnsi="Arial" w:cs="Arial"/>
        </w:rPr>
      </w:pPr>
    </w:p>
    <w:p w14:paraId="3EC9675A" w14:textId="77685ADC" w:rsidR="00F96269" w:rsidRPr="00004974" w:rsidRDefault="00F96269" w:rsidP="00004974">
      <w:pPr>
        <w:spacing w:line="360" w:lineRule="auto"/>
        <w:jc w:val="both"/>
        <w:rPr>
          <w:rFonts w:ascii="Arial" w:hAnsi="Arial" w:cs="Arial"/>
        </w:rPr>
      </w:pPr>
      <w:r w:rsidRPr="00004974">
        <w:rPr>
          <w:rFonts w:ascii="Arial" w:hAnsi="Arial" w:cs="Arial"/>
        </w:rPr>
        <w:t xml:space="preserve">Estyn (2018) states that children with WAL should have personalised lessons implemented to develop their Welsh language. In the long term, this will promote inclusion of the child’s participation through the medium of Welsh. The Curriculum Cymreig (2003) suggests by thoroughly planning activities for children with WAL will ensure that all areas of learning are met. The Foundation Phase (2015) agree and state that ensuring that children with WAL are included to feel a sense of belonging </w:t>
      </w:r>
      <w:r w:rsidR="00004974" w:rsidRPr="00004974">
        <w:rPr>
          <w:rFonts w:ascii="Arial" w:hAnsi="Arial" w:cs="Arial"/>
        </w:rPr>
        <w:t>with</w:t>
      </w:r>
      <w:r w:rsidRPr="00004974">
        <w:rPr>
          <w:rFonts w:ascii="Arial" w:hAnsi="Arial" w:cs="Arial"/>
        </w:rPr>
        <w:t xml:space="preserve">in the setting. The role of the adult is to support the child within the setting to ensure their needs are met (Devarakonda, 2014). This supports Vygotsky’s (1978) theory as he believed children require a More Knowledgeable Other (MKO) in order for his Zone of Proximal Development (ZPD) (1978) to effectively support a child’s social constructivism. However, according to </w:t>
      </w:r>
      <w:proofErr w:type="spellStart"/>
      <w:r w:rsidRPr="00004974">
        <w:rPr>
          <w:rFonts w:ascii="Arial" w:hAnsi="Arial" w:cs="Arial"/>
        </w:rPr>
        <w:t>MacNevin</w:t>
      </w:r>
      <w:proofErr w:type="spellEnd"/>
      <w:r w:rsidRPr="00004974">
        <w:rPr>
          <w:rFonts w:ascii="Arial" w:hAnsi="Arial" w:cs="Arial"/>
        </w:rPr>
        <w:t xml:space="preserve"> (2012), </w:t>
      </w:r>
      <w:r w:rsidR="00004974" w:rsidRPr="00004974">
        <w:rPr>
          <w:rFonts w:ascii="Arial" w:hAnsi="Arial" w:cs="Arial"/>
        </w:rPr>
        <w:t>many</w:t>
      </w:r>
      <w:r w:rsidRPr="00004974">
        <w:rPr>
          <w:rFonts w:ascii="Arial" w:hAnsi="Arial" w:cs="Arial"/>
        </w:rPr>
        <w:t xml:space="preserve"> primary schools withdrew the requirement for language lessons due to cost. The Welsh Government (2014) suggests that there is no need for WAL support in settings. The Foundation Phase (2015) argue that children with WAL have participated in assessments which </w:t>
      </w:r>
      <w:r w:rsidRPr="00004974">
        <w:rPr>
          <w:rFonts w:ascii="Arial" w:hAnsi="Arial" w:cs="Arial"/>
        </w:rPr>
        <w:lastRenderedPageBreak/>
        <w:t>highlighted the need for additional language support. However, the new Curriculum for Wales does not contain any documentation regarding support for WAL (Welsh Government, 2019). The Foundation Phase (2015) suggested that the policymakers do not consider them to need separate attention as they should be participating in an inclusive curriculum. According to Donaldson (2015)</w:t>
      </w:r>
      <w:r w:rsidR="00311CCA" w:rsidRPr="00004974">
        <w:rPr>
          <w:rFonts w:ascii="Arial" w:hAnsi="Arial" w:cs="Arial"/>
        </w:rPr>
        <w:t xml:space="preserve"> this benefit</w:t>
      </w:r>
      <w:r w:rsidR="008301CE" w:rsidRPr="00004974">
        <w:rPr>
          <w:rFonts w:ascii="Arial" w:hAnsi="Arial" w:cs="Arial"/>
        </w:rPr>
        <w:t>s</w:t>
      </w:r>
      <w:r w:rsidR="00311CCA" w:rsidRPr="00004974">
        <w:rPr>
          <w:rFonts w:ascii="Arial" w:hAnsi="Arial" w:cs="Arial"/>
        </w:rPr>
        <w:t xml:space="preserve"> bilingual children as</w:t>
      </w:r>
      <w:r w:rsidRPr="00004974">
        <w:rPr>
          <w:rFonts w:ascii="Arial" w:hAnsi="Arial" w:cs="Arial"/>
        </w:rPr>
        <w:t xml:space="preserve"> practitioners have a thorough understanding of </w:t>
      </w:r>
      <w:r w:rsidR="00311CCA" w:rsidRPr="00004974">
        <w:rPr>
          <w:rFonts w:ascii="Arial" w:hAnsi="Arial" w:cs="Arial"/>
        </w:rPr>
        <w:t>their</w:t>
      </w:r>
      <w:r w:rsidRPr="00004974">
        <w:rPr>
          <w:rFonts w:ascii="Arial" w:hAnsi="Arial" w:cs="Arial"/>
        </w:rPr>
        <w:t xml:space="preserve"> </w:t>
      </w:r>
      <w:r w:rsidR="00311CCA" w:rsidRPr="00004974">
        <w:rPr>
          <w:rFonts w:ascii="Arial" w:hAnsi="Arial" w:cs="Arial"/>
        </w:rPr>
        <w:t xml:space="preserve">needs </w:t>
      </w:r>
      <w:r w:rsidRPr="00004974">
        <w:rPr>
          <w:rFonts w:ascii="Arial" w:hAnsi="Arial" w:cs="Arial"/>
        </w:rPr>
        <w:t xml:space="preserve">within the curriculum, therefore they should </w:t>
      </w:r>
      <w:r w:rsidR="006D6A6C" w:rsidRPr="00004974">
        <w:rPr>
          <w:rFonts w:ascii="Arial" w:hAnsi="Arial" w:cs="Arial"/>
        </w:rPr>
        <w:t xml:space="preserve">be included by celebrating their culture to promote bilingualism. </w:t>
      </w:r>
    </w:p>
    <w:p w14:paraId="51D82545" w14:textId="4C013BCE" w:rsidR="00C66A38" w:rsidRPr="00004974" w:rsidRDefault="00C66A38" w:rsidP="00004974">
      <w:pPr>
        <w:spacing w:line="360" w:lineRule="auto"/>
        <w:jc w:val="both"/>
        <w:rPr>
          <w:rFonts w:ascii="Arial" w:hAnsi="Arial" w:cs="Arial"/>
        </w:rPr>
      </w:pPr>
    </w:p>
    <w:p w14:paraId="66603B74" w14:textId="77777777" w:rsidR="00F96269" w:rsidRPr="00004974" w:rsidRDefault="00F96269" w:rsidP="00004974">
      <w:pPr>
        <w:spacing w:line="360" w:lineRule="auto"/>
        <w:jc w:val="both"/>
        <w:rPr>
          <w:rFonts w:ascii="Arial" w:hAnsi="Arial" w:cs="Arial"/>
        </w:rPr>
      </w:pPr>
    </w:p>
    <w:p w14:paraId="568B1E64" w14:textId="77777777" w:rsidR="00C66A38" w:rsidRPr="00004974" w:rsidRDefault="00C66A38" w:rsidP="00004974">
      <w:pPr>
        <w:spacing w:line="360" w:lineRule="auto"/>
        <w:jc w:val="both"/>
        <w:rPr>
          <w:rFonts w:ascii="Arial" w:hAnsi="Arial" w:cs="Arial"/>
        </w:rPr>
      </w:pPr>
    </w:p>
    <w:p w14:paraId="538615B1" w14:textId="77777777" w:rsidR="005966E5" w:rsidRPr="00004974" w:rsidRDefault="005966E5" w:rsidP="00004974">
      <w:pPr>
        <w:spacing w:line="360" w:lineRule="auto"/>
        <w:jc w:val="both"/>
        <w:rPr>
          <w:rFonts w:ascii="Arial" w:hAnsi="Arial" w:cs="Arial"/>
        </w:rPr>
      </w:pPr>
    </w:p>
    <w:p w14:paraId="55A48D8B" w14:textId="77777777" w:rsidR="00513686" w:rsidRPr="00C644BB" w:rsidRDefault="00513686" w:rsidP="00C644BB">
      <w:pPr>
        <w:spacing w:line="360" w:lineRule="auto"/>
        <w:jc w:val="both"/>
        <w:rPr>
          <w:rFonts w:ascii="Arial" w:hAnsi="Arial" w:cs="Arial"/>
        </w:rPr>
      </w:pPr>
    </w:p>
    <w:p w14:paraId="5ED59DCA" w14:textId="18CF71C5" w:rsidR="00872346" w:rsidRPr="00C644BB" w:rsidRDefault="00872346" w:rsidP="00C644BB">
      <w:pPr>
        <w:spacing w:line="360" w:lineRule="auto"/>
        <w:jc w:val="both"/>
        <w:rPr>
          <w:rFonts w:ascii="Arial" w:hAnsi="Arial" w:cs="Arial"/>
        </w:rPr>
      </w:pPr>
    </w:p>
    <w:p w14:paraId="694C43A4" w14:textId="2DCBE9CF" w:rsidR="0078595F" w:rsidRPr="00C644BB" w:rsidRDefault="0078595F" w:rsidP="00C644BB">
      <w:pPr>
        <w:spacing w:line="360" w:lineRule="auto"/>
        <w:jc w:val="both"/>
        <w:rPr>
          <w:rFonts w:ascii="Arial" w:hAnsi="Arial" w:cs="Arial"/>
        </w:rPr>
      </w:pPr>
    </w:p>
    <w:p w14:paraId="02D56E03" w14:textId="50EA2B53" w:rsidR="0078595F" w:rsidRPr="00C644BB" w:rsidRDefault="0078595F" w:rsidP="00C644BB">
      <w:pPr>
        <w:spacing w:line="360" w:lineRule="auto"/>
        <w:jc w:val="both"/>
        <w:rPr>
          <w:rFonts w:ascii="Arial" w:hAnsi="Arial" w:cs="Arial"/>
        </w:rPr>
      </w:pPr>
    </w:p>
    <w:p w14:paraId="428CFEDF" w14:textId="361A9B30" w:rsidR="0078595F" w:rsidRPr="00C644BB" w:rsidRDefault="0078595F" w:rsidP="00C644BB">
      <w:pPr>
        <w:spacing w:line="360" w:lineRule="auto"/>
        <w:jc w:val="both"/>
        <w:rPr>
          <w:rFonts w:ascii="Arial" w:hAnsi="Arial" w:cs="Arial"/>
        </w:rPr>
      </w:pPr>
    </w:p>
    <w:p w14:paraId="35C042AD" w14:textId="2BCAB034" w:rsidR="0078595F" w:rsidRPr="00C644BB" w:rsidRDefault="0078595F" w:rsidP="00C644BB">
      <w:pPr>
        <w:spacing w:line="360" w:lineRule="auto"/>
        <w:jc w:val="both"/>
        <w:rPr>
          <w:rFonts w:ascii="Arial" w:hAnsi="Arial" w:cs="Arial"/>
        </w:rPr>
      </w:pPr>
    </w:p>
    <w:p w14:paraId="19D68E10" w14:textId="5714C71D" w:rsidR="0078595F" w:rsidRPr="00C644BB" w:rsidRDefault="0078595F" w:rsidP="00C644BB">
      <w:pPr>
        <w:spacing w:line="360" w:lineRule="auto"/>
        <w:jc w:val="both"/>
        <w:rPr>
          <w:rFonts w:ascii="Arial" w:hAnsi="Arial" w:cs="Arial"/>
        </w:rPr>
      </w:pPr>
    </w:p>
    <w:p w14:paraId="5327926E" w14:textId="30295935" w:rsidR="0078595F" w:rsidRPr="00C644BB" w:rsidRDefault="0078595F" w:rsidP="00C644BB">
      <w:pPr>
        <w:spacing w:line="360" w:lineRule="auto"/>
        <w:jc w:val="both"/>
        <w:rPr>
          <w:rFonts w:ascii="Arial" w:hAnsi="Arial" w:cs="Arial"/>
        </w:rPr>
      </w:pPr>
    </w:p>
    <w:p w14:paraId="3D501887" w14:textId="44C9B774" w:rsidR="0078595F" w:rsidRPr="00C644BB" w:rsidRDefault="0078595F" w:rsidP="00C644BB">
      <w:pPr>
        <w:spacing w:line="360" w:lineRule="auto"/>
        <w:jc w:val="both"/>
        <w:rPr>
          <w:rFonts w:ascii="Arial" w:hAnsi="Arial" w:cs="Arial"/>
        </w:rPr>
      </w:pPr>
    </w:p>
    <w:p w14:paraId="098FB0C4" w14:textId="687CF796" w:rsidR="0078595F" w:rsidRPr="00C644BB" w:rsidRDefault="0078595F" w:rsidP="00C644BB">
      <w:pPr>
        <w:spacing w:line="360" w:lineRule="auto"/>
        <w:jc w:val="both"/>
        <w:rPr>
          <w:rFonts w:ascii="Arial" w:hAnsi="Arial" w:cs="Arial"/>
        </w:rPr>
      </w:pPr>
    </w:p>
    <w:p w14:paraId="1D333207" w14:textId="5012E5AC" w:rsidR="0078595F" w:rsidRPr="00C644BB" w:rsidRDefault="0078595F" w:rsidP="00C644BB">
      <w:pPr>
        <w:spacing w:line="360" w:lineRule="auto"/>
        <w:jc w:val="both"/>
        <w:rPr>
          <w:rFonts w:ascii="Arial" w:hAnsi="Arial" w:cs="Arial"/>
        </w:rPr>
      </w:pPr>
    </w:p>
    <w:p w14:paraId="0001DAFE" w14:textId="1F3BE60F" w:rsidR="0078595F" w:rsidRPr="00C644BB" w:rsidRDefault="0078595F" w:rsidP="00C644BB">
      <w:pPr>
        <w:spacing w:line="360" w:lineRule="auto"/>
        <w:jc w:val="both"/>
        <w:rPr>
          <w:rFonts w:ascii="Arial" w:hAnsi="Arial" w:cs="Arial"/>
        </w:rPr>
      </w:pPr>
    </w:p>
    <w:p w14:paraId="57F58904" w14:textId="019647CE" w:rsidR="00681308" w:rsidRPr="00C644BB" w:rsidRDefault="00681308" w:rsidP="00C644BB">
      <w:pPr>
        <w:spacing w:line="360" w:lineRule="auto"/>
        <w:jc w:val="both"/>
        <w:rPr>
          <w:rFonts w:ascii="Arial" w:hAnsi="Arial" w:cs="Arial"/>
        </w:rPr>
      </w:pPr>
    </w:p>
    <w:p w14:paraId="7D4D6C25" w14:textId="1E3ABE22" w:rsidR="00681308" w:rsidRPr="00C644BB" w:rsidRDefault="00681308" w:rsidP="00C644BB">
      <w:pPr>
        <w:spacing w:line="360" w:lineRule="auto"/>
        <w:jc w:val="both"/>
        <w:rPr>
          <w:rFonts w:ascii="Arial" w:hAnsi="Arial" w:cs="Arial"/>
        </w:rPr>
      </w:pPr>
    </w:p>
    <w:p w14:paraId="4E9CD293" w14:textId="71474264" w:rsidR="00681308" w:rsidRPr="00C644BB" w:rsidRDefault="00681308" w:rsidP="00C644BB">
      <w:pPr>
        <w:spacing w:line="360" w:lineRule="auto"/>
        <w:jc w:val="both"/>
        <w:rPr>
          <w:rFonts w:ascii="Arial" w:hAnsi="Arial" w:cs="Arial"/>
        </w:rPr>
      </w:pPr>
    </w:p>
    <w:p w14:paraId="55CAF33C" w14:textId="65E216D7" w:rsidR="00681308" w:rsidRPr="00C644BB" w:rsidRDefault="00681308" w:rsidP="00C644BB">
      <w:pPr>
        <w:spacing w:line="360" w:lineRule="auto"/>
        <w:jc w:val="both"/>
        <w:rPr>
          <w:rFonts w:ascii="Arial" w:hAnsi="Arial" w:cs="Arial"/>
        </w:rPr>
      </w:pPr>
    </w:p>
    <w:p w14:paraId="2D933257" w14:textId="02FEED3B" w:rsidR="00681308" w:rsidRPr="00C644BB" w:rsidRDefault="00681308" w:rsidP="00C644BB">
      <w:pPr>
        <w:spacing w:line="360" w:lineRule="auto"/>
        <w:jc w:val="both"/>
        <w:rPr>
          <w:rFonts w:ascii="Arial" w:hAnsi="Arial" w:cs="Arial"/>
        </w:rPr>
      </w:pPr>
    </w:p>
    <w:p w14:paraId="08DF97B3" w14:textId="488AFD9A" w:rsidR="00681308" w:rsidRPr="00C644BB" w:rsidRDefault="00681308" w:rsidP="00C644BB">
      <w:pPr>
        <w:spacing w:line="360" w:lineRule="auto"/>
        <w:jc w:val="both"/>
        <w:rPr>
          <w:rFonts w:ascii="Arial" w:hAnsi="Arial" w:cs="Arial"/>
        </w:rPr>
      </w:pPr>
    </w:p>
    <w:p w14:paraId="2448BD3A" w14:textId="77777777" w:rsidR="00A63783" w:rsidRPr="00C644BB" w:rsidRDefault="00A63783" w:rsidP="00C644BB">
      <w:pPr>
        <w:spacing w:line="360" w:lineRule="auto"/>
        <w:jc w:val="both"/>
        <w:rPr>
          <w:rFonts w:ascii="Arial" w:hAnsi="Arial" w:cs="Arial"/>
        </w:rPr>
      </w:pPr>
    </w:p>
    <w:p w14:paraId="0A70EEA2" w14:textId="7972A0C1" w:rsidR="00681308" w:rsidRDefault="00681308" w:rsidP="00C644BB">
      <w:pPr>
        <w:spacing w:line="360" w:lineRule="auto"/>
        <w:jc w:val="both"/>
        <w:rPr>
          <w:rFonts w:ascii="Arial" w:hAnsi="Arial" w:cs="Arial"/>
        </w:rPr>
      </w:pPr>
    </w:p>
    <w:p w14:paraId="3D8E0F9D" w14:textId="77777777" w:rsidR="00004974" w:rsidRPr="00C644BB" w:rsidRDefault="00004974" w:rsidP="00C644BB">
      <w:pPr>
        <w:spacing w:line="360" w:lineRule="auto"/>
        <w:jc w:val="both"/>
        <w:rPr>
          <w:rFonts w:ascii="Arial" w:hAnsi="Arial" w:cs="Arial"/>
        </w:rPr>
      </w:pPr>
    </w:p>
    <w:p w14:paraId="1BBAECF9" w14:textId="29F8A899" w:rsidR="00681308" w:rsidRDefault="00681308" w:rsidP="00C644BB">
      <w:pPr>
        <w:spacing w:line="360" w:lineRule="auto"/>
        <w:jc w:val="both"/>
        <w:rPr>
          <w:rFonts w:ascii="Arial" w:hAnsi="Arial" w:cs="Arial"/>
        </w:rPr>
      </w:pPr>
    </w:p>
    <w:p w14:paraId="4368BBDD" w14:textId="23FBF5AA" w:rsidR="00BC7138" w:rsidRDefault="00BC7138" w:rsidP="00C644BB">
      <w:pPr>
        <w:spacing w:line="360" w:lineRule="auto"/>
        <w:jc w:val="both"/>
        <w:rPr>
          <w:rFonts w:ascii="Arial" w:hAnsi="Arial" w:cs="Arial"/>
        </w:rPr>
      </w:pPr>
    </w:p>
    <w:p w14:paraId="068F2AD3" w14:textId="77777777" w:rsidR="000B74AF" w:rsidRPr="00C644BB" w:rsidRDefault="000B74AF" w:rsidP="00C644BB">
      <w:pPr>
        <w:spacing w:line="360" w:lineRule="auto"/>
        <w:jc w:val="both"/>
        <w:rPr>
          <w:rFonts w:ascii="Arial" w:hAnsi="Arial" w:cs="Arial"/>
          <w:b/>
          <w:u w:val="single"/>
        </w:rPr>
      </w:pPr>
      <w:r w:rsidRPr="00C644BB">
        <w:rPr>
          <w:rFonts w:ascii="Arial" w:hAnsi="Arial" w:cs="Arial"/>
          <w:b/>
          <w:u w:val="single"/>
        </w:rPr>
        <w:lastRenderedPageBreak/>
        <w:t xml:space="preserve">Reference list </w:t>
      </w:r>
    </w:p>
    <w:p w14:paraId="3D6AA1EA" w14:textId="77777777" w:rsidR="000B74AF" w:rsidRPr="00C644BB" w:rsidRDefault="000B74AF" w:rsidP="00C644BB">
      <w:pPr>
        <w:spacing w:line="360" w:lineRule="auto"/>
        <w:jc w:val="both"/>
        <w:rPr>
          <w:rFonts w:ascii="Arial" w:hAnsi="Arial" w:cs="Arial"/>
        </w:rPr>
      </w:pPr>
    </w:p>
    <w:p w14:paraId="3ED26FDD"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Aljoundi, E. (2016) ‘The strengths and weaknesses of code switching and bilingualism in the language classroom’, </w:t>
      </w:r>
      <w:r w:rsidRPr="00C644BB">
        <w:rPr>
          <w:rFonts w:ascii="Arial" w:hAnsi="Arial" w:cs="Arial"/>
          <w:i/>
        </w:rPr>
        <w:t xml:space="preserve">ResearchGate. </w:t>
      </w:r>
      <w:r w:rsidRPr="00C644BB">
        <w:rPr>
          <w:rFonts w:ascii="Arial" w:hAnsi="Arial" w:cs="Arial"/>
        </w:rPr>
        <w:t xml:space="preserve">Available at: </w:t>
      </w:r>
      <w:hyperlink r:id="rId7" w:history="1">
        <w:r w:rsidRPr="00C644BB">
          <w:rPr>
            <w:rFonts w:ascii="Arial" w:hAnsi="Arial" w:cs="Arial"/>
            <w:color w:val="0000FF"/>
            <w:u w:val="single"/>
          </w:rPr>
          <w:t>https://www.researchgate.net/publication/299657682_The_strengths_and_weaknesses_of_code_switching_and_bilingualism_in_the_language_classroom</w:t>
        </w:r>
      </w:hyperlink>
      <w:r w:rsidRPr="00C644BB">
        <w:rPr>
          <w:rFonts w:ascii="Arial" w:hAnsi="Arial" w:cs="Arial"/>
        </w:rPr>
        <w:t xml:space="preserve"> (Accessed: 25</w:t>
      </w:r>
      <w:r w:rsidRPr="00C644BB">
        <w:rPr>
          <w:rFonts w:ascii="Arial" w:hAnsi="Arial" w:cs="Arial"/>
          <w:vertAlign w:val="superscript"/>
        </w:rPr>
        <w:t>th</w:t>
      </w:r>
      <w:r w:rsidRPr="00C644BB">
        <w:rPr>
          <w:rFonts w:ascii="Arial" w:hAnsi="Arial" w:cs="Arial"/>
        </w:rPr>
        <w:t xml:space="preserve"> March, 2019). </w:t>
      </w:r>
    </w:p>
    <w:p w14:paraId="2A1A53AB" w14:textId="77777777" w:rsidR="000B74AF" w:rsidRPr="00C644BB" w:rsidRDefault="000B74AF" w:rsidP="00C644BB">
      <w:pPr>
        <w:spacing w:line="360" w:lineRule="auto"/>
        <w:jc w:val="both"/>
        <w:rPr>
          <w:rFonts w:ascii="Arial" w:hAnsi="Arial" w:cs="Arial"/>
        </w:rPr>
      </w:pPr>
    </w:p>
    <w:p w14:paraId="4F088D8E"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Baker, C. and Wright, W. (2017) </w:t>
      </w:r>
      <w:r w:rsidRPr="00C644BB">
        <w:rPr>
          <w:rFonts w:ascii="Arial" w:hAnsi="Arial" w:cs="Arial"/>
          <w:i/>
        </w:rPr>
        <w:t xml:space="preserve">Foundations of Bilingual Education and Bilingualism. </w:t>
      </w:r>
      <w:r w:rsidRPr="00C644BB">
        <w:rPr>
          <w:rFonts w:ascii="Arial" w:hAnsi="Arial" w:cs="Arial"/>
        </w:rPr>
        <w:t xml:space="preserve">Bristol: Blue Ridge Summit. </w:t>
      </w:r>
    </w:p>
    <w:p w14:paraId="162B508A" w14:textId="77777777" w:rsidR="000B74AF" w:rsidRPr="00C644BB" w:rsidRDefault="000B74AF" w:rsidP="00C644BB">
      <w:pPr>
        <w:spacing w:line="360" w:lineRule="auto"/>
        <w:jc w:val="both"/>
        <w:rPr>
          <w:rFonts w:ascii="Arial" w:hAnsi="Arial" w:cs="Arial"/>
        </w:rPr>
      </w:pPr>
    </w:p>
    <w:p w14:paraId="16BD6A58" w14:textId="6E8A3825" w:rsidR="000B74AF" w:rsidRPr="00C644BB" w:rsidRDefault="000B74AF" w:rsidP="00C644BB">
      <w:pPr>
        <w:spacing w:line="360" w:lineRule="auto"/>
        <w:jc w:val="both"/>
        <w:rPr>
          <w:rFonts w:ascii="Arial" w:hAnsi="Arial" w:cs="Arial"/>
        </w:rPr>
      </w:pPr>
      <w:r w:rsidRPr="00C644BB">
        <w:rPr>
          <w:rFonts w:ascii="Arial" w:hAnsi="Arial" w:cs="Arial"/>
        </w:rPr>
        <w:t>Bandura, A. (1971). ‘Social Learning Theory’</w:t>
      </w:r>
      <w:r w:rsidRPr="00C644BB">
        <w:rPr>
          <w:rFonts w:ascii="Arial" w:hAnsi="Arial" w:cs="Arial"/>
          <w:i/>
        </w:rPr>
        <w:t>, General Learning Press</w:t>
      </w:r>
      <w:r w:rsidRPr="00C644BB">
        <w:rPr>
          <w:rFonts w:ascii="Arial" w:hAnsi="Arial" w:cs="Arial"/>
        </w:rPr>
        <w:t xml:space="preserve">. Available at: </w:t>
      </w:r>
      <w:hyperlink r:id="rId8" w:history="1">
        <w:r w:rsidRPr="00C644BB">
          <w:rPr>
            <w:rStyle w:val="Hyperlink"/>
            <w:rFonts w:ascii="Arial" w:hAnsi="Arial" w:cs="Arial"/>
          </w:rPr>
          <w:t>http://www.asecib.ase.ro/mps/Bandura_SocialLearningTheory.pdf</w:t>
        </w:r>
      </w:hyperlink>
      <w:r w:rsidRPr="00C644BB">
        <w:rPr>
          <w:rFonts w:ascii="Arial" w:hAnsi="Arial" w:cs="Arial"/>
        </w:rPr>
        <w:t xml:space="preserve"> (Accessed: 26</w:t>
      </w:r>
      <w:r w:rsidR="009A0F4C">
        <w:rPr>
          <w:rFonts w:ascii="Arial" w:hAnsi="Arial" w:cs="Arial"/>
        </w:rPr>
        <w:t xml:space="preserve">th </w:t>
      </w:r>
      <w:r w:rsidRPr="00C644BB">
        <w:rPr>
          <w:rFonts w:ascii="Arial" w:hAnsi="Arial" w:cs="Arial"/>
        </w:rPr>
        <w:t xml:space="preserve">March 2019). </w:t>
      </w:r>
    </w:p>
    <w:p w14:paraId="7BA56BE3" w14:textId="77777777" w:rsidR="000B74AF" w:rsidRPr="00C644BB" w:rsidRDefault="000B74AF" w:rsidP="00C644BB">
      <w:pPr>
        <w:spacing w:line="360" w:lineRule="auto"/>
        <w:jc w:val="both"/>
        <w:rPr>
          <w:rFonts w:ascii="Arial" w:hAnsi="Arial" w:cs="Arial"/>
        </w:rPr>
      </w:pPr>
    </w:p>
    <w:p w14:paraId="1428CCF8"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BBC (2014) ‘The school with 42 languages in the playground’, </w:t>
      </w:r>
      <w:r w:rsidRPr="00C644BB">
        <w:rPr>
          <w:rFonts w:ascii="Arial" w:hAnsi="Arial" w:cs="Arial"/>
          <w:i/>
        </w:rPr>
        <w:t xml:space="preserve">BBC News. </w:t>
      </w:r>
      <w:r w:rsidRPr="00C644BB">
        <w:rPr>
          <w:rFonts w:ascii="Arial" w:hAnsi="Arial" w:cs="Arial"/>
        </w:rPr>
        <w:t xml:space="preserve">Available at: </w:t>
      </w:r>
      <w:hyperlink r:id="rId9" w:history="1">
        <w:r w:rsidRPr="00C644BB">
          <w:rPr>
            <w:rStyle w:val="Hyperlink"/>
            <w:rFonts w:ascii="Arial" w:hAnsi="Arial" w:cs="Arial"/>
          </w:rPr>
          <w:t>https://www.bbc.co.uk/news/education-27263790</w:t>
        </w:r>
      </w:hyperlink>
      <w:r w:rsidRPr="00C644BB">
        <w:rPr>
          <w:rFonts w:ascii="Arial" w:hAnsi="Arial" w:cs="Arial"/>
        </w:rPr>
        <w:t xml:space="preserve"> (Accessed: 27</w:t>
      </w:r>
      <w:r w:rsidRPr="00C644BB">
        <w:rPr>
          <w:rFonts w:ascii="Arial" w:hAnsi="Arial" w:cs="Arial"/>
          <w:vertAlign w:val="superscript"/>
        </w:rPr>
        <w:t>th</w:t>
      </w:r>
      <w:r w:rsidRPr="00C644BB">
        <w:rPr>
          <w:rFonts w:ascii="Arial" w:hAnsi="Arial" w:cs="Arial"/>
        </w:rPr>
        <w:t xml:space="preserve"> March 2019). </w:t>
      </w:r>
    </w:p>
    <w:p w14:paraId="7C4BEFFA" w14:textId="77777777" w:rsidR="000B74AF" w:rsidRPr="00C644BB" w:rsidRDefault="000B74AF" w:rsidP="00C644BB">
      <w:pPr>
        <w:spacing w:line="360" w:lineRule="auto"/>
        <w:jc w:val="both"/>
        <w:rPr>
          <w:rFonts w:ascii="Arial" w:hAnsi="Arial" w:cs="Arial"/>
        </w:rPr>
      </w:pPr>
    </w:p>
    <w:p w14:paraId="08423845"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Bialystok, E. (2011) ‘Coordination of Executive Functions in Monolingual and Bilingual Children’, </w:t>
      </w:r>
      <w:r w:rsidRPr="00C644BB">
        <w:rPr>
          <w:rFonts w:ascii="Arial" w:hAnsi="Arial" w:cs="Arial"/>
          <w:i/>
        </w:rPr>
        <w:t xml:space="preserve">US National Library of Medicine National Institutes of Health. </w:t>
      </w:r>
      <w:r w:rsidRPr="00C644BB">
        <w:rPr>
          <w:rFonts w:ascii="Arial" w:hAnsi="Arial" w:cs="Arial"/>
        </w:rPr>
        <w:t>(Accessed: 26</w:t>
      </w:r>
      <w:r w:rsidRPr="00C644BB">
        <w:rPr>
          <w:rFonts w:ascii="Arial" w:hAnsi="Arial" w:cs="Arial"/>
          <w:vertAlign w:val="superscript"/>
        </w:rPr>
        <w:t>th</w:t>
      </w:r>
      <w:r w:rsidRPr="00C644BB">
        <w:rPr>
          <w:rFonts w:ascii="Arial" w:hAnsi="Arial" w:cs="Arial"/>
        </w:rPr>
        <w:t xml:space="preserve"> March 2019). </w:t>
      </w:r>
    </w:p>
    <w:p w14:paraId="6F7558A6" w14:textId="77777777" w:rsidR="000B74AF" w:rsidRPr="00C644BB" w:rsidRDefault="000B74AF" w:rsidP="00C644BB">
      <w:pPr>
        <w:spacing w:line="360" w:lineRule="auto"/>
        <w:jc w:val="both"/>
        <w:rPr>
          <w:rFonts w:ascii="Arial" w:hAnsi="Arial" w:cs="Arial"/>
        </w:rPr>
      </w:pPr>
    </w:p>
    <w:p w14:paraId="03D6D13E"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Bialystok, E. et al. (2012) ‘Bilingualism: Consequences for Mind and Brain’, </w:t>
      </w:r>
      <w:r w:rsidRPr="00C644BB">
        <w:rPr>
          <w:rFonts w:ascii="Arial" w:hAnsi="Arial" w:cs="Arial"/>
          <w:i/>
        </w:rPr>
        <w:t xml:space="preserve">US National Library of Medicine National Institutes of Health. </w:t>
      </w:r>
      <w:r w:rsidRPr="00C644BB">
        <w:rPr>
          <w:rFonts w:ascii="Arial" w:hAnsi="Arial" w:cs="Arial"/>
        </w:rPr>
        <w:t xml:space="preserve">Available at: </w:t>
      </w:r>
      <w:hyperlink r:id="rId10" w:history="1">
        <w:r w:rsidRPr="00C644BB">
          <w:rPr>
            <w:rFonts w:ascii="Arial" w:hAnsi="Arial" w:cs="Arial"/>
            <w:color w:val="0000FF"/>
            <w:u w:val="single"/>
          </w:rPr>
          <w:t>https://www.ncbi.nlm.nih.gov/pmc/articles/PMC3322418/</w:t>
        </w:r>
      </w:hyperlink>
      <w:r w:rsidRPr="00C644BB">
        <w:rPr>
          <w:rFonts w:ascii="Arial" w:hAnsi="Arial" w:cs="Arial"/>
        </w:rPr>
        <w:t xml:space="preserve"> (Accessed: 25</w:t>
      </w:r>
      <w:r w:rsidRPr="00C644BB">
        <w:rPr>
          <w:rFonts w:ascii="Arial" w:hAnsi="Arial" w:cs="Arial"/>
          <w:vertAlign w:val="superscript"/>
        </w:rPr>
        <w:t>th</w:t>
      </w:r>
      <w:r w:rsidRPr="00C644BB">
        <w:rPr>
          <w:rFonts w:ascii="Arial" w:hAnsi="Arial" w:cs="Arial"/>
        </w:rPr>
        <w:t xml:space="preserve"> March 2019).</w:t>
      </w:r>
    </w:p>
    <w:p w14:paraId="6325F197" w14:textId="77777777" w:rsidR="000B74AF" w:rsidRPr="00C644BB" w:rsidRDefault="000B74AF" w:rsidP="00C644BB">
      <w:pPr>
        <w:spacing w:line="360" w:lineRule="auto"/>
        <w:jc w:val="both"/>
        <w:rPr>
          <w:rFonts w:ascii="Arial" w:hAnsi="Arial" w:cs="Arial"/>
        </w:rPr>
      </w:pPr>
    </w:p>
    <w:p w14:paraId="41B2254B"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Brant, A. et al. (2012) ‘Music and early language acquisition’, </w:t>
      </w:r>
      <w:r w:rsidRPr="00C644BB">
        <w:rPr>
          <w:rFonts w:ascii="Arial" w:hAnsi="Arial" w:cs="Arial"/>
          <w:i/>
        </w:rPr>
        <w:t xml:space="preserve">Frontiers in Psychology. </w:t>
      </w:r>
      <w:r w:rsidRPr="00C644BB">
        <w:rPr>
          <w:rFonts w:ascii="Arial" w:hAnsi="Arial" w:cs="Arial"/>
        </w:rPr>
        <w:t xml:space="preserve">Available at: </w:t>
      </w:r>
      <w:hyperlink r:id="rId11" w:history="1">
        <w:r w:rsidRPr="00C644BB">
          <w:rPr>
            <w:rStyle w:val="Hyperlink"/>
            <w:rFonts w:ascii="Arial" w:hAnsi="Arial" w:cs="Arial"/>
          </w:rPr>
          <w:t>https://www.frontiersin.org/articles/10.3389/fpsyg.2012.00327/full</w:t>
        </w:r>
      </w:hyperlink>
      <w:r w:rsidRPr="00C644BB">
        <w:rPr>
          <w:rFonts w:ascii="Arial" w:hAnsi="Arial" w:cs="Arial"/>
        </w:rPr>
        <w:t xml:space="preserve"> (Accessed: 27</w:t>
      </w:r>
      <w:r w:rsidRPr="00C644BB">
        <w:rPr>
          <w:rFonts w:ascii="Arial" w:hAnsi="Arial" w:cs="Arial"/>
          <w:vertAlign w:val="superscript"/>
        </w:rPr>
        <w:t>th</w:t>
      </w:r>
      <w:r w:rsidRPr="00C644BB">
        <w:rPr>
          <w:rFonts w:ascii="Arial" w:hAnsi="Arial" w:cs="Arial"/>
        </w:rPr>
        <w:t xml:space="preserve"> March 2019). </w:t>
      </w:r>
    </w:p>
    <w:p w14:paraId="6A4D7640" w14:textId="77777777" w:rsidR="000B74AF" w:rsidRPr="00C644BB" w:rsidRDefault="000B74AF" w:rsidP="00C644BB">
      <w:pPr>
        <w:spacing w:line="360" w:lineRule="auto"/>
        <w:jc w:val="both"/>
        <w:rPr>
          <w:rFonts w:ascii="Arial" w:hAnsi="Arial" w:cs="Arial"/>
        </w:rPr>
      </w:pPr>
    </w:p>
    <w:p w14:paraId="38BE6472" w14:textId="77777777" w:rsidR="000B74AF" w:rsidRPr="00C644BB" w:rsidRDefault="000B74AF" w:rsidP="00C644BB">
      <w:pPr>
        <w:spacing w:line="360" w:lineRule="auto"/>
        <w:jc w:val="both"/>
        <w:rPr>
          <w:rFonts w:ascii="Arial" w:hAnsi="Arial" w:cs="Arial"/>
        </w:rPr>
      </w:pPr>
    </w:p>
    <w:p w14:paraId="7B20322B" w14:textId="77777777" w:rsidR="000B74AF" w:rsidRPr="00C644BB" w:rsidRDefault="000B74AF" w:rsidP="00C644BB">
      <w:pPr>
        <w:spacing w:line="360" w:lineRule="auto"/>
        <w:jc w:val="both"/>
        <w:rPr>
          <w:rFonts w:ascii="Arial" w:hAnsi="Arial" w:cs="Arial"/>
        </w:rPr>
      </w:pPr>
    </w:p>
    <w:p w14:paraId="1D3183C6" w14:textId="18FE01BB" w:rsidR="000B74AF" w:rsidRPr="00C644BB" w:rsidRDefault="000B74AF" w:rsidP="00C644BB">
      <w:pPr>
        <w:spacing w:line="360" w:lineRule="auto"/>
        <w:jc w:val="both"/>
        <w:rPr>
          <w:rFonts w:ascii="Arial" w:hAnsi="Arial" w:cs="Arial"/>
        </w:rPr>
      </w:pPr>
      <w:proofErr w:type="spellStart"/>
      <w:r w:rsidRPr="00C644BB">
        <w:rPr>
          <w:rFonts w:ascii="Arial" w:hAnsi="Arial" w:cs="Arial"/>
        </w:rPr>
        <w:lastRenderedPageBreak/>
        <w:t>Butzkamm</w:t>
      </w:r>
      <w:proofErr w:type="spellEnd"/>
      <w:r w:rsidRPr="00C644BB">
        <w:rPr>
          <w:rFonts w:ascii="Arial" w:hAnsi="Arial" w:cs="Arial"/>
        </w:rPr>
        <w:t>, W</w:t>
      </w:r>
      <w:r w:rsidR="006D6A6C">
        <w:rPr>
          <w:rFonts w:ascii="Arial" w:hAnsi="Arial" w:cs="Arial"/>
        </w:rPr>
        <w:t>.</w:t>
      </w:r>
      <w:r w:rsidRPr="00C644BB">
        <w:rPr>
          <w:rFonts w:ascii="Arial" w:hAnsi="Arial" w:cs="Arial"/>
        </w:rPr>
        <w:t xml:space="preserve"> and Caldwell, J. (2009) ‘The Bilingual Reform: A paradigm Shift in Foreign Language Teaching’, </w:t>
      </w:r>
      <w:r w:rsidRPr="00C644BB">
        <w:rPr>
          <w:rFonts w:ascii="Arial" w:hAnsi="Arial" w:cs="Arial"/>
          <w:i/>
        </w:rPr>
        <w:t xml:space="preserve">Hiroshima Bunkyo Women’s University. </w:t>
      </w:r>
      <w:r w:rsidRPr="00C644BB">
        <w:rPr>
          <w:rFonts w:ascii="Arial" w:hAnsi="Arial" w:cs="Arial"/>
        </w:rPr>
        <w:t xml:space="preserve">Available at: </w:t>
      </w:r>
      <w:hyperlink r:id="rId12" w:history="1">
        <w:r w:rsidRPr="00C644BB">
          <w:rPr>
            <w:rStyle w:val="Hyperlink"/>
            <w:rFonts w:ascii="Arial" w:hAnsi="Arial" w:cs="Arial"/>
          </w:rPr>
          <w:t>http://www.fremdsprachendidaktik.rwth-aachen.de/Ww/Butzkamm_Caldwell_review.pdf</w:t>
        </w:r>
      </w:hyperlink>
      <w:r w:rsidRPr="00C644BB">
        <w:rPr>
          <w:rFonts w:ascii="Arial" w:hAnsi="Arial" w:cs="Arial"/>
        </w:rPr>
        <w:t xml:space="preserve"> (Accessed: 27</w:t>
      </w:r>
      <w:r w:rsidRPr="00C644BB">
        <w:rPr>
          <w:rFonts w:ascii="Arial" w:hAnsi="Arial" w:cs="Arial"/>
          <w:vertAlign w:val="superscript"/>
        </w:rPr>
        <w:t>th</w:t>
      </w:r>
      <w:r w:rsidRPr="00C644BB">
        <w:rPr>
          <w:rFonts w:ascii="Arial" w:hAnsi="Arial" w:cs="Arial"/>
        </w:rPr>
        <w:t xml:space="preserve"> March 2019). </w:t>
      </w:r>
    </w:p>
    <w:p w14:paraId="202766F4" w14:textId="22A55C03" w:rsidR="00C644BB" w:rsidRPr="00C644BB" w:rsidRDefault="00C644BB" w:rsidP="00C644BB">
      <w:pPr>
        <w:spacing w:line="360" w:lineRule="auto"/>
        <w:jc w:val="both"/>
        <w:rPr>
          <w:rFonts w:ascii="Arial" w:hAnsi="Arial" w:cs="Arial"/>
        </w:rPr>
      </w:pPr>
    </w:p>
    <w:p w14:paraId="3E68CD18" w14:textId="2033ABD5" w:rsidR="00C644BB" w:rsidRPr="00C644BB" w:rsidRDefault="00C644BB" w:rsidP="00C644BB">
      <w:pPr>
        <w:spacing w:line="360" w:lineRule="auto"/>
        <w:jc w:val="both"/>
        <w:rPr>
          <w:rFonts w:ascii="Arial" w:hAnsi="Arial" w:cs="Arial"/>
        </w:rPr>
      </w:pPr>
      <w:r w:rsidRPr="00C644BB">
        <w:rPr>
          <w:rFonts w:ascii="Arial" w:hAnsi="Arial" w:cs="Arial"/>
        </w:rPr>
        <w:t xml:space="preserve">Christoffels, I. et al. (2014) ‘Two is better than one: bilingual education promotes the flexible mind’, </w:t>
      </w:r>
      <w:r w:rsidRPr="00C644BB">
        <w:rPr>
          <w:rFonts w:ascii="Arial" w:hAnsi="Arial" w:cs="Arial"/>
          <w:i/>
        </w:rPr>
        <w:t xml:space="preserve">Springer Link. </w:t>
      </w:r>
      <w:r w:rsidRPr="00C644BB">
        <w:rPr>
          <w:rFonts w:ascii="Arial" w:hAnsi="Arial" w:cs="Arial"/>
        </w:rPr>
        <w:t>73</w:t>
      </w:r>
      <w:r w:rsidR="00311CCA">
        <w:rPr>
          <w:rFonts w:ascii="Arial" w:hAnsi="Arial" w:cs="Arial"/>
        </w:rPr>
        <w:t>(</w:t>
      </w:r>
      <w:r w:rsidRPr="00C644BB">
        <w:rPr>
          <w:rFonts w:ascii="Arial" w:hAnsi="Arial" w:cs="Arial"/>
        </w:rPr>
        <w:t>3</w:t>
      </w:r>
      <w:r w:rsidR="00311CCA">
        <w:rPr>
          <w:rFonts w:ascii="Arial" w:hAnsi="Arial" w:cs="Arial"/>
        </w:rPr>
        <w:t>)</w:t>
      </w:r>
      <w:r w:rsidRPr="00C644BB">
        <w:rPr>
          <w:rFonts w:ascii="Arial" w:hAnsi="Arial" w:cs="Arial"/>
        </w:rPr>
        <w:t xml:space="preserve">. Available at: </w:t>
      </w:r>
      <w:hyperlink r:id="rId13" w:history="1">
        <w:r w:rsidRPr="00C644BB">
          <w:rPr>
            <w:rStyle w:val="Hyperlink"/>
            <w:rFonts w:ascii="Arial" w:hAnsi="Arial" w:cs="Arial"/>
          </w:rPr>
          <w:t>https://link.springer.com/article/10.1007/s00426-014-0575-3</w:t>
        </w:r>
      </w:hyperlink>
      <w:r w:rsidRPr="00C644BB">
        <w:rPr>
          <w:rFonts w:ascii="Arial" w:hAnsi="Arial" w:cs="Arial"/>
        </w:rPr>
        <w:t xml:space="preserve"> (Accessed: 29</w:t>
      </w:r>
      <w:r w:rsidRPr="00C644BB">
        <w:rPr>
          <w:rFonts w:ascii="Arial" w:hAnsi="Arial" w:cs="Arial"/>
          <w:vertAlign w:val="superscript"/>
        </w:rPr>
        <w:t>th</w:t>
      </w:r>
      <w:r w:rsidRPr="00C644BB">
        <w:rPr>
          <w:rFonts w:ascii="Arial" w:hAnsi="Arial" w:cs="Arial"/>
        </w:rPr>
        <w:t xml:space="preserve"> March 2019). </w:t>
      </w:r>
    </w:p>
    <w:p w14:paraId="3CC7A081" w14:textId="3905B560" w:rsidR="00C644BB" w:rsidRPr="00C644BB" w:rsidRDefault="00C644BB" w:rsidP="00C644BB">
      <w:pPr>
        <w:spacing w:line="360" w:lineRule="auto"/>
        <w:jc w:val="both"/>
        <w:rPr>
          <w:rFonts w:ascii="Arial" w:hAnsi="Arial" w:cs="Arial"/>
        </w:rPr>
      </w:pPr>
    </w:p>
    <w:p w14:paraId="7CFAA560"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Cummins, J. and Swain, M. (2014) </w:t>
      </w:r>
      <w:r w:rsidRPr="00C644BB">
        <w:rPr>
          <w:rFonts w:ascii="Arial" w:hAnsi="Arial" w:cs="Arial"/>
          <w:i/>
        </w:rPr>
        <w:t xml:space="preserve">Bilingualism in Education. </w:t>
      </w:r>
      <w:r w:rsidRPr="00C644BB">
        <w:rPr>
          <w:rFonts w:ascii="Arial" w:hAnsi="Arial" w:cs="Arial"/>
        </w:rPr>
        <w:t xml:space="preserve">London: Routledge. </w:t>
      </w:r>
    </w:p>
    <w:p w14:paraId="36A7616A"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 </w:t>
      </w:r>
    </w:p>
    <w:p w14:paraId="4E50FDFE" w14:textId="73F4A797" w:rsidR="000B74AF" w:rsidRPr="00C644BB" w:rsidRDefault="000B74AF" w:rsidP="00C644BB">
      <w:pPr>
        <w:spacing w:line="360" w:lineRule="auto"/>
        <w:jc w:val="both"/>
        <w:rPr>
          <w:rFonts w:ascii="Arial" w:hAnsi="Arial" w:cs="Arial"/>
        </w:rPr>
      </w:pPr>
      <w:r w:rsidRPr="00C644BB">
        <w:rPr>
          <w:rFonts w:ascii="Arial" w:hAnsi="Arial" w:cs="Arial"/>
        </w:rPr>
        <w:t xml:space="preserve">Devarakonda, C. (2014) </w:t>
      </w:r>
      <w:r w:rsidRPr="00C644BB">
        <w:rPr>
          <w:rFonts w:ascii="Arial" w:hAnsi="Arial" w:cs="Arial"/>
          <w:i/>
        </w:rPr>
        <w:t xml:space="preserve">Diversity and Inclusion in Early Childhood: An Introduction. </w:t>
      </w:r>
      <w:r w:rsidRPr="00C644BB">
        <w:rPr>
          <w:rFonts w:ascii="Arial" w:hAnsi="Arial" w:cs="Arial"/>
        </w:rPr>
        <w:t xml:space="preserve">London: SAGE Ltd. </w:t>
      </w:r>
    </w:p>
    <w:p w14:paraId="0BCE51C1" w14:textId="0523235F" w:rsidR="00C644BB" w:rsidRPr="00C644BB" w:rsidRDefault="00C644BB" w:rsidP="00C644BB">
      <w:pPr>
        <w:spacing w:line="360" w:lineRule="auto"/>
        <w:jc w:val="both"/>
        <w:rPr>
          <w:rFonts w:ascii="Arial" w:hAnsi="Arial" w:cs="Arial"/>
        </w:rPr>
      </w:pPr>
    </w:p>
    <w:p w14:paraId="5D0704DF" w14:textId="644947F3" w:rsidR="00C644BB" w:rsidRPr="00C644BB" w:rsidRDefault="00C644BB" w:rsidP="00C644BB">
      <w:pPr>
        <w:spacing w:line="360" w:lineRule="auto"/>
        <w:jc w:val="both"/>
        <w:rPr>
          <w:rFonts w:ascii="Arial" w:hAnsi="Arial" w:cs="Arial"/>
          <w:i/>
        </w:rPr>
      </w:pPr>
      <w:r w:rsidRPr="00C644BB">
        <w:rPr>
          <w:rFonts w:ascii="Arial" w:hAnsi="Arial" w:cs="Arial"/>
        </w:rPr>
        <w:t xml:space="preserve">Donaldson, G. (2015) ‘Successful Futures’, </w:t>
      </w:r>
      <w:r w:rsidRPr="00C644BB">
        <w:rPr>
          <w:rFonts w:ascii="Arial" w:hAnsi="Arial" w:cs="Arial"/>
          <w:i/>
        </w:rPr>
        <w:t xml:space="preserve">Welsh Government. </w:t>
      </w:r>
      <w:r w:rsidRPr="00C644BB">
        <w:rPr>
          <w:rFonts w:ascii="Arial" w:hAnsi="Arial" w:cs="Arial"/>
        </w:rPr>
        <w:t xml:space="preserve">Available at: </w:t>
      </w:r>
      <w:hyperlink r:id="rId14" w:history="1">
        <w:r w:rsidRPr="00C644BB">
          <w:rPr>
            <w:rStyle w:val="Hyperlink"/>
            <w:rFonts w:ascii="Arial" w:hAnsi="Arial" w:cs="Arial"/>
          </w:rPr>
          <w:t>https://gov.wales/docs/dcells/publications/150225-successful-futures-en.pdf</w:t>
        </w:r>
      </w:hyperlink>
      <w:r w:rsidRPr="00C644BB">
        <w:rPr>
          <w:rFonts w:ascii="Arial" w:hAnsi="Arial" w:cs="Arial"/>
        </w:rPr>
        <w:t xml:space="preserve"> (Accessed: 29</w:t>
      </w:r>
      <w:r w:rsidRPr="00C644BB">
        <w:rPr>
          <w:rFonts w:ascii="Arial" w:hAnsi="Arial" w:cs="Arial"/>
          <w:vertAlign w:val="superscript"/>
        </w:rPr>
        <w:t>th</w:t>
      </w:r>
      <w:r w:rsidRPr="00C644BB">
        <w:rPr>
          <w:rFonts w:ascii="Arial" w:hAnsi="Arial" w:cs="Arial"/>
        </w:rPr>
        <w:t xml:space="preserve"> March 2019). </w:t>
      </w:r>
    </w:p>
    <w:p w14:paraId="3010A737" w14:textId="370DAE64" w:rsidR="00C644BB" w:rsidRPr="00C644BB" w:rsidRDefault="00C644BB" w:rsidP="00C644BB">
      <w:pPr>
        <w:spacing w:line="360" w:lineRule="auto"/>
        <w:jc w:val="both"/>
        <w:rPr>
          <w:rFonts w:ascii="Arial" w:hAnsi="Arial" w:cs="Arial"/>
        </w:rPr>
      </w:pPr>
    </w:p>
    <w:p w14:paraId="16F3ADFA"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Drummond, C. (2014) ‘How can UK schools support young children learning English’, </w:t>
      </w:r>
      <w:r w:rsidRPr="00C644BB">
        <w:rPr>
          <w:rFonts w:ascii="Arial" w:hAnsi="Arial" w:cs="Arial"/>
          <w:i/>
        </w:rPr>
        <w:t xml:space="preserve">British Council. </w:t>
      </w:r>
      <w:r w:rsidRPr="00C644BB">
        <w:rPr>
          <w:rFonts w:ascii="Arial" w:hAnsi="Arial" w:cs="Arial"/>
        </w:rPr>
        <w:t xml:space="preserve">Available at: </w:t>
      </w:r>
      <w:hyperlink r:id="rId15" w:history="1">
        <w:r w:rsidRPr="00C644BB">
          <w:rPr>
            <w:rStyle w:val="Hyperlink"/>
            <w:rFonts w:ascii="Arial" w:hAnsi="Arial" w:cs="Arial"/>
          </w:rPr>
          <w:t>https://www.britishcouncil.org/voices-magazine/how-uk-schools-support-young-learners-english</w:t>
        </w:r>
      </w:hyperlink>
      <w:r w:rsidRPr="00C644BB">
        <w:rPr>
          <w:rFonts w:ascii="Arial" w:hAnsi="Arial" w:cs="Arial"/>
        </w:rPr>
        <w:t xml:space="preserve"> (Accessed: 27</w:t>
      </w:r>
      <w:r w:rsidRPr="00C644BB">
        <w:rPr>
          <w:rFonts w:ascii="Arial" w:hAnsi="Arial" w:cs="Arial"/>
          <w:vertAlign w:val="superscript"/>
        </w:rPr>
        <w:t>th</w:t>
      </w:r>
      <w:r w:rsidRPr="00C644BB">
        <w:rPr>
          <w:rFonts w:ascii="Arial" w:hAnsi="Arial" w:cs="Arial"/>
        </w:rPr>
        <w:t xml:space="preserve"> March 2019).</w:t>
      </w:r>
    </w:p>
    <w:p w14:paraId="1D660EEA" w14:textId="77777777" w:rsidR="000B74AF" w:rsidRPr="00C644BB" w:rsidRDefault="000B74AF" w:rsidP="00C644BB">
      <w:pPr>
        <w:spacing w:line="360" w:lineRule="auto"/>
        <w:jc w:val="both"/>
        <w:rPr>
          <w:rFonts w:ascii="Arial" w:hAnsi="Arial" w:cs="Arial"/>
        </w:rPr>
      </w:pPr>
    </w:p>
    <w:p w14:paraId="6F56D83C"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Estyn (2018) </w:t>
      </w:r>
      <w:r w:rsidRPr="00C644BB">
        <w:rPr>
          <w:rFonts w:ascii="Arial" w:hAnsi="Arial" w:cs="Arial"/>
          <w:i/>
        </w:rPr>
        <w:t xml:space="preserve">Supporting pupils with English as an additional language to help them integrate. </w:t>
      </w:r>
      <w:r w:rsidRPr="00C644BB">
        <w:rPr>
          <w:rFonts w:ascii="Arial" w:hAnsi="Arial" w:cs="Arial"/>
        </w:rPr>
        <w:t xml:space="preserve">Available at: </w:t>
      </w:r>
      <w:hyperlink r:id="rId16" w:history="1">
        <w:r w:rsidRPr="00C644BB">
          <w:rPr>
            <w:rStyle w:val="Hyperlink"/>
            <w:rFonts w:ascii="Arial" w:hAnsi="Arial" w:cs="Arial"/>
          </w:rPr>
          <w:t>https://www.estyn.gov.wales/effective-practice/supporting-pupils-english-additional-language-help-them-integrate</w:t>
        </w:r>
      </w:hyperlink>
      <w:r w:rsidRPr="00C644BB">
        <w:rPr>
          <w:rFonts w:ascii="Arial" w:hAnsi="Arial" w:cs="Arial"/>
        </w:rPr>
        <w:t xml:space="preserve"> (Accessed: 28</w:t>
      </w:r>
      <w:r w:rsidRPr="00C644BB">
        <w:rPr>
          <w:rFonts w:ascii="Arial" w:hAnsi="Arial" w:cs="Arial"/>
          <w:vertAlign w:val="superscript"/>
        </w:rPr>
        <w:t>th</w:t>
      </w:r>
      <w:r w:rsidRPr="00C644BB">
        <w:rPr>
          <w:rFonts w:ascii="Arial" w:hAnsi="Arial" w:cs="Arial"/>
        </w:rPr>
        <w:t xml:space="preserve"> March 2019). </w:t>
      </w:r>
    </w:p>
    <w:p w14:paraId="71B25C99" w14:textId="77777777" w:rsidR="000B74AF" w:rsidRPr="00C644BB" w:rsidRDefault="000B74AF" w:rsidP="00C644BB">
      <w:pPr>
        <w:spacing w:line="360" w:lineRule="auto"/>
        <w:jc w:val="both"/>
        <w:rPr>
          <w:rFonts w:ascii="Arial" w:hAnsi="Arial" w:cs="Arial"/>
        </w:rPr>
      </w:pPr>
    </w:p>
    <w:p w14:paraId="62973B83"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Foundation Phase Framework (2015) ‘Curriculum for Wales’, </w:t>
      </w:r>
      <w:r w:rsidRPr="00C644BB">
        <w:rPr>
          <w:rFonts w:ascii="Arial" w:hAnsi="Arial" w:cs="Arial"/>
          <w:i/>
        </w:rPr>
        <w:t xml:space="preserve">Welsh Government. </w:t>
      </w:r>
      <w:r w:rsidRPr="00C644BB">
        <w:rPr>
          <w:rFonts w:ascii="Arial" w:hAnsi="Arial" w:cs="Arial"/>
        </w:rPr>
        <w:t xml:space="preserve">Available at: </w:t>
      </w:r>
      <w:hyperlink r:id="rId17" w:history="1">
        <w:r w:rsidRPr="00C644BB">
          <w:rPr>
            <w:rStyle w:val="Hyperlink"/>
            <w:rFonts w:ascii="Arial" w:hAnsi="Arial" w:cs="Arial"/>
          </w:rPr>
          <w:t>https://gov.wales/sites/default/files/publications/2018-02/foundation-phase-framework-revised-2015.pdf</w:t>
        </w:r>
      </w:hyperlink>
      <w:r w:rsidRPr="00C644BB">
        <w:rPr>
          <w:rFonts w:ascii="Arial" w:hAnsi="Arial" w:cs="Arial"/>
        </w:rPr>
        <w:t xml:space="preserve"> (Accessed: 27</w:t>
      </w:r>
      <w:r w:rsidRPr="00C644BB">
        <w:rPr>
          <w:rFonts w:ascii="Arial" w:hAnsi="Arial" w:cs="Arial"/>
          <w:vertAlign w:val="superscript"/>
        </w:rPr>
        <w:t>th</w:t>
      </w:r>
      <w:r w:rsidRPr="00C644BB">
        <w:rPr>
          <w:rFonts w:ascii="Arial" w:hAnsi="Arial" w:cs="Arial"/>
        </w:rPr>
        <w:t xml:space="preserve"> March 2019).</w:t>
      </w:r>
    </w:p>
    <w:p w14:paraId="5ED2FA03" w14:textId="77777777" w:rsidR="000B74AF" w:rsidRPr="00C644BB" w:rsidRDefault="000B74AF" w:rsidP="00C644BB">
      <w:pPr>
        <w:spacing w:line="360" w:lineRule="auto"/>
        <w:jc w:val="both"/>
        <w:rPr>
          <w:rFonts w:ascii="Arial" w:hAnsi="Arial" w:cs="Arial"/>
        </w:rPr>
      </w:pPr>
    </w:p>
    <w:p w14:paraId="5ECE34BB"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García, O. (2009) </w:t>
      </w:r>
      <w:r w:rsidRPr="00C644BB">
        <w:rPr>
          <w:rFonts w:ascii="Arial" w:hAnsi="Arial" w:cs="Arial"/>
          <w:i/>
        </w:rPr>
        <w:t>Bilingual Education in the 21</w:t>
      </w:r>
      <w:r w:rsidRPr="00C644BB">
        <w:rPr>
          <w:rFonts w:ascii="Arial" w:hAnsi="Arial" w:cs="Arial"/>
          <w:i/>
          <w:vertAlign w:val="superscript"/>
        </w:rPr>
        <w:t>st</w:t>
      </w:r>
      <w:r w:rsidRPr="00C644BB">
        <w:rPr>
          <w:rFonts w:ascii="Arial" w:hAnsi="Arial" w:cs="Arial"/>
          <w:i/>
        </w:rPr>
        <w:t xml:space="preserve"> Century. </w:t>
      </w:r>
      <w:r w:rsidRPr="00C644BB">
        <w:rPr>
          <w:rFonts w:ascii="Arial" w:hAnsi="Arial" w:cs="Arial"/>
        </w:rPr>
        <w:t xml:space="preserve">West Sussex: John Wiley &amp; Sons Ltd. </w:t>
      </w:r>
    </w:p>
    <w:p w14:paraId="27C9DC80" w14:textId="77777777" w:rsidR="000B74AF" w:rsidRPr="00C644BB" w:rsidRDefault="000B74AF" w:rsidP="00C644BB">
      <w:pPr>
        <w:spacing w:line="360" w:lineRule="auto"/>
        <w:jc w:val="both"/>
        <w:rPr>
          <w:rFonts w:ascii="Arial" w:hAnsi="Arial" w:cs="Arial"/>
        </w:rPr>
      </w:pPr>
    </w:p>
    <w:p w14:paraId="061CE9EE" w14:textId="77777777" w:rsidR="000B74AF" w:rsidRPr="00C644BB" w:rsidRDefault="000B74AF" w:rsidP="00C644BB">
      <w:pPr>
        <w:spacing w:line="360" w:lineRule="auto"/>
        <w:jc w:val="both"/>
        <w:rPr>
          <w:rFonts w:ascii="Arial" w:hAnsi="Arial" w:cs="Arial"/>
        </w:rPr>
      </w:pPr>
      <w:r w:rsidRPr="00C644BB">
        <w:rPr>
          <w:rFonts w:ascii="Arial" w:hAnsi="Arial" w:cs="Arial"/>
        </w:rPr>
        <w:lastRenderedPageBreak/>
        <w:t xml:space="preserve">García, O. et al. (2017) ‘The Translanguaging Classroom: Leveraging Student Bilingualism for Learning’, </w:t>
      </w:r>
      <w:r w:rsidRPr="00C644BB">
        <w:rPr>
          <w:rFonts w:ascii="Arial" w:hAnsi="Arial" w:cs="Arial"/>
          <w:i/>
        </w:rPr>
        <w:t xml:space="preserve">Pennsylvania State University. </w:t>
      </w:r>
      <w:r w:rsidRPr="00C644BB">
        <w:rPr>
          <w:rFonts w:ascii="Arial" w:hAnsi="Arial" w:cs="Arial"/>
        </w:rPr>
        <w:t xml:space="preserve">Available at: </w:t>
      </w:r>
      <w:hyperlink r:id="rId18" w:history="1">
        <w:r w:rsidRPr="00C644BB">
          <w:rPr>
            <w:rFonts w:ascii="Arial" w:hAnsi="Arial" w:cs="Arial"/>
            <w:color w:val="0000FF"/>
            <w:u w:val="single"/>
          </w:rPr>
          <w:t>http://journal.nystesol.org/january2018/6Lynch.pdf</w:t>
        </w:r>
      </w:hyperlink>
      <w:r w:rsidRPr="00C644BB">
        <w:rPr>
          <w:rFonts w:ascii="Arial" w:hAnsi="Arial" w:cs="Arial"/>
        </w:rPr>
        <w:t xml:space="preserve"> (Accessed: 27</w:t>
      </w:r>
      <w:r w:rsidRPr="00C644BB">
        <w:rPr>
          <w:rFonts w:ascii="Arial" w:hAnsi="Arial" w:cs="Arial"/>
          <w:vertAlign w:val="superscript"/>
        </w:rPr>
        <w:t>th</w:t>
      </w:r>
      <w:r w:rsidRPr="00C644BB">
        <w:rPr>
          <w:rFonts w:ascii="Arial" w:hAnsi="Arial" w:cs="Arial"/>
        </w:rPr>
        <w:t xml:space="preserve"> March 2019). </w:t>
      </w:r>
    </w:p>
    <w:p w14:paraId="1E46F142" w14:textId="77777777" w:rsidR="000B74AF" w:rsidRPr="00C644BB" w:rsidRDefault="000B74AF" w:rsidP="00C644BB">
      <w:pPr>
        <w:spacing w:line="360" w:lineRule="auto"/>
        <w:jc w:val="both"/>
        <w:rPr>
          <w:rFonts w:ascii="Arial" w:hAnsi="Arial" w:cs="Arial"/>
        </w:rPr>
      </w:pPr>
    </w:p>
    <w:p w14:paraId="22A22162"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Jung, H. (2016) ‘The Electrophysiological Correlates of Rhythm and Syntax in Music and Language’, </w:t>
      </w:r>
      <w:r w:rsidRPr="00C644BB">
        <w:rPr>
          <w:rFonts w:ascii="Arial" w:hAnsi="Arial" w:cs="Arial"/>
          <w:i/>
        </w:rPr>
        <w:t xml:space="preserve">Wesleyan University. </w:t>
      </w:r>
      <w:r w:rsidRPr="00C644BB">
        <w:rPr>
          <w:rFonts w:ascii="Arial" w:hAnsi="Arial" w:cs="Arial"/>
        </w:rPr>
        <w:t xml:space="preserve">Available at: </w:t>
      </w:r>
      <w:hyperlink r:id="rId19" w:history="1">
        <w:r w:rsidRPr="00C644BB">
          <w:rPr>
            <w:rStyle w:val="Hyperlink"/>
            <w:rFonts w:ascii="Arial" w:hAnsi="Arial" w:cs="Arial"/>
          </w:rPr>
          <w:t>https://wesscholar.wesleyan.edu/cgi/viewcontent.cgi?referer=https://scholar.google.co.uk/&amp;httpsredir=1&amp;article=2567&amp;context=etd_hon_theses</w:t>
        </w:r>
      </w:hyperlink>
      <w:r w:rsidRPr="00C644BB">
        <w:rPr>
          <w:rFonts w:ascii="Arial" w:hAnsi="Arial" w:cs="Arial"/>
        </w:rPr>
        <w:t xml:space="preserve"> (Accessed: 27</w:t>
      </w:r>
      <w:r w:rsidRPr="00C644BB">
        <w:rPr>
          <w:rFonts w:ascii="Arial" w:hAnsi="Arial" w:cs="Arial"/>
          <w:vertAlign w:val="superscript"/>
        </w:rPr>
        <w:t>th</w:t>
      </w:r>
      <w:r w:rsidRPr="00C644BB">
        <w:rPr>
          <w:rFonts w:ascii="Arial" w:hAnsi="Arial" w:cs="Arial"/>
        </w:rPr>
        <w:t xml:space="preserve"> March 2019). </w:t>
      </w:r>
    </w:p>
    <w:p w14:paraId="40E76D1D" w14:textId="77777777" w:rsidR="000B74AF" w:rsidRPr="00C644BB" w:rsidRDefault="000B74AF" w:rsidP="00C644BB">
      <w:pPr>
        <w:spacing w:line="360" w:lineRule="auto"/>
        <w:jc w:val="both"/>
        <w:rPr>
          <w:rFonts w:ascii="Arial" w:hAnsi="Arial" w:cs="Arial"/>
        </w:rPr>
      </w:pPr>
    </w:p>
    <w:p w14:paraId="0951DA70"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Kraus, N. and Chandrasekaran, B. (2010) ‘Music training for the development of auditory skills’, </w:t>
      </w:r>
      <w:r w:rsidRPr="00C644BB">
        <w:rPr>
          <w:rFonts w:ascii="Arial" w:hAnsi="Arial" w:cs="Arial"/>
          <w:i/>
        </w:rPr>
        <w:t xml:space="preserve">Science and Society. </w:t>
      </w:r>
      <w:r w:rsidRPr="00C644BB">
        <w:rPr>
          <w:rFonts w:ascii="Arial" w:hAnsi="Arial" w:cs="Arial"/>
        </w:rPr>
        <w:t xml:space="preserve">Available at: </w:t>
      </w:r>
      <w:hyperlink r:id="rId20" w:history="1">
        <w:r w:rsidRPr="00C644BB">
          <w:rPr>
            <w:rStyle w:val="Hyperlink"/>
            <w:rFonts w:ascii="Arial" w:hAnsi="Arial" w:cs="Arial"/>
          </w:rPr>
          <w:t>https://brainvolts.northwestern.edu/documents/KrausChandrasekeran_NRN10.pdf</w:t>
        </w:r>
      </w:hyperlink>
    </w:p>
    <w:p w14:paraId="2435B98E"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 (Accessed: 26</w:t>
      </w:r>
      <w:r w:rsidRPr="00C644BB">
        <w:rPr>
          <w:rFonts w:ascii="Arial" w:hAnsi="Arial" w:cs="Arial"/>
          <w:vertAlign w:val="superscript"/>
        </w:rPr>
        <w:t>th</w:t>
      </w:r>
      <w:r w:rsidRPr="00C644BB">
        <w:rPr>
          <w:rFonts w:ascii="Arial" w:hAnsi="Arial" w:cs="Arial"/>
        </w:rPr>
        <w:t xml:space="preserve"> March 2019). </w:t>
      </w:r>
    </w:p>
    <w:p w14:paraId="3C1C3F46" w14:textId="77777777" w:rsidR="000B74AF" w:rsidRPr="00C644BB" w:rsidRDefault="000B74AF" w:rsidP="00C644BB">
      <w:pPr>
        <w:spacing w:line="360" w:lineRule="auto"/>
        <w:jc w:val="both"/>
        <w:rPr>
          <w:rFonts w:ascii="Arial" w:hAnsi="Arial" w:cs="Arial"/>
        </w:rPr>
      </w:pPr>
    </w:p>
    <w:p w14:paraId="22B42D3C"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Lightbrown, P. and Spada, N. (2013) </w:t>
      </w:r>
      <w:r w:rsidRPr="00C644BB">
        <w:rPr>
          <w:rFonts w:ascii="Arial" w:hAnsi="Arial" w:cs="Arial"/>
          <w:i/>
        </w:rPr>
        <w:t xml:space="preserve">How Languages are Learned. </w:t>
      </w:r>
      <w:r w:rsidRPr="00C644BB">
        <w:rPr>
          <w:rFonts w:ascii="Arial" w:hAnsi="Arial" w:cs="Arial"/>
        </w:rPr>
        <w:t>4</w:t>
      </w:r>
      <w:r w:rsidRPr="00C644BB">
        <w:rPr>
          <w:rFonts w:ascii="Arial" w:hAnsi="Arial" w:cs="Arial"/>
          <w:vertAlign w:val="superscript"/>
        </w:rPr>
        <w:t>th</w:t>
      </w:r>
      <w:r w:rsidRPr="00C644BB">
        <w:rPr>
          <w:rFonts w:ascii="Arial" w:hAnsi="Arial" w:cs="Arial"/>
        </w:rPr>
        <w:t xml:space="preserve"> Ed. Oxford: University Press. </w:t>
      </w:r>
    </w:p>
    <w:p w14:paraId="7538113D" w14:textId="77777777" w:rsidR="000B74AF" w:rsidRPr="00C644BB" w:rsidRDefault="000B74AF" w:rsidP="00C644BB">
      <w:pPr>
        <w:spacing w:line="360" w:lineRule="auto"/>
        <w:jc w:val="both"/>
        <w:rPr>
          <w:rFonts w:ascii="Arial" w:hAnsi="Arial" w:cs="Arial"/>
        </w:rPr>
      </w:pPr>
    </w:p>
    <w:p w14:paraId="02FA4514"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MacNevin, J. (2012) ‘Learning the Way: Teaching and Learning with and for Youth from Refugee Background on Prince Edward Island’, </w:t>
      </w:r>
      <w:r w:rsidRPr="00C644BB">
        <w:rPr>
          <w:rFonts w:ascii="Arial" w:hAnsi="Arial" w:cs="Arial"/>
          <w:i/>
        </w:rPr>
        <w:t xml:space="preserve">ERIC. </w:t>
      </w:r>
      <w:r w:rsidRPr="00C644BB">
        <w:rPr>
          <w:rFonts w:ascii="Arial" w:hAnsi="Arial" w:cs="Arial"/>
        </w:rPr>
        <w:t xml:space="preserve">Available at: </w:t>
      </w:r>
      <w:hyperlink r:id="rId21" w:history="1">
        <w:r w:rsidRPr="00C644BB">
          <w:rPr>
            <w:rStyle w:val="Hyperlink"/>
            <w:rFonts w:ascii="Arial" w:hAnsi="Arial" w:cs="Arial"/>
          </w:rPr>
          <w:t>https://eric.ed.gov/?id=EJ995609</w:t>
        </w:r>
      </w:hyperlink>
      <w:r w:rsidRPr="00C644BB">
        <w:rPr>
          <w:rFonts w:ascii="Arial" w:hAnsi="Arial" w:cs="Arial"/>
        </w:rPr>
        <w:t xml:space="preserve"> (Accessed: 28</w:t>
      </w:r>
      <w:r w:rsidRPr="00C644BB">
        <w:rPr>
          <w:rFonts w:ascii="Arial" w:hAnsi="Arial" w:cs="Arial"/>
          <w:vertAlign w:val="superscript"/>
        </w:rPr>
        <w:t>th</w:t>
      </w:r>
      <w:r w:rsidRPr="00C644BB">
        <w:rPr>
          <w:rFonts w:ascii="Arial" w:hAnsi="Arial" w:cs="Arial"/>
        </w:rPr>
        <w:t xml:space="preserve"> March 2019). </w:t>
      </w:r>
    </w:p>
    <w:p w14:paraId="5638C3BE" w14:textId="77777777" w:rsidR="000B74AF" w:rsidRPr="00C644BB" w:rsidRDefault="000B74AF" w:rsidP="00C644BB">
      <w:pPr>
        <w:spacing w:line="360" w:lineRule="auto"/>
        <w:jc w:val="both"/>
        <w:rPr>
          <w:rFonts w:ascii="Arial" w:hAnsi="Arial" w:cs="Arial"/>
        </w:rPr>
      </w:pPr>
    </w:p>
    <w:p w14:paraId="5ABA21B2" w14:textId="63952970" w:rsidR="000B74AF" w:rsidRPr="00C644BB" w:rsidRDefault="000B74AF" w:rsidP="00C644BB">
      <w:pPr>
        <w:spacing w:line="360" w:lineRule="auto"/>
        <w:jc w:val="both"/>
        <w:rPr>
          <w:rFonts w:ascii="Arial" w:hAnsi="Arial" w:cs="Arial"/>
        </w:rPr>
      </w:pPr>
      <w:r w:rsidRPr="00C644BB">
        <w:rPr>
          <w:rFonts w:ascii="Arial" w:hAnsi="Arial" w:cs="Arial"/>
        </w:rPr>
        <w:t>Marian, V</w:t>
      </w:r>
      <w:r w:rsidR="006D6A6C">
        <w:rPr>
          <w:rFonts w:ascii="Arial" w:hAnsi="Arial" w:cs="Arial"/>
        </w:rPr>
        <w:t>.</w:t>
      </w:r>
      <w:r w:rsidRPr="00C644BB">
        <w:rPr>
          <w:rFonts w:ascii="Arial" w:hAnsi="Arial" w:cs="Arial"/>
        </w:rPr>
        <w:t xml:space="preserve"> and Shook, A. (2012) ‘The Cognitive Benefits of Being Bilingual’, </w:t>
      </w:r>
      <w:r w:rsidRPr="00C644BB">
        <w:rPr>
          <w:rFonts w:ascii="Arial" w:hAnsi="Arial" w:cs="Arial"/>
          <w:i/>
        </w:rPr>
        <w:t xml:space="preserve">US National Library of Medicine National Institutes of Health. </w:t>
      </w:r>
      <w:r w:rsidRPr="00C644BB">
        <w:rPr>
          <w:rFonts w:ascii="Arial" w:hAnsi="Arial" w:cs="Arial"/>
        </w:rPr>
        <w:t xml:space="preserve">Available at: </w:t>
      </w:r>
      <w:hyperlink r:id="rId22" w:history="1">
        <w:r w:rsidRPr="00C644BB">
          <w:rPr>
            <w:rFonts w:ascii="Arial" w:hAnsi="Arial" w:cs="Arial"/>
            <w:color w:val="0000FF"/>
            <w:u w:val="single"/>
          </w:rPr>
          <w:t>https://www.ncbi.nlm.nih.gov/pmc/articles/PMC3583091/</w:t>
        </w:r>
      </w:hyperlink>
      <w:r w:rsidRPr="00C644BB">
        <w:rPr>
          <w:rFonts w:ascii="Arial" w:hAnsi="Arial" w:cs="Arial"/>
        </w:rPr>
        <w:t xml:space="preserve"> (Accessed: 25</w:t>
      </w:r>
      <w:r w:rsidRPr="00C644BB">
        <w:rPr>
          <w:rFonts w:ascii="Arial" w:hAnsi="Arial" w:cs="Arial"/>
          <w:vertAlign w:val="superscript"/>
        </w:rPr>
        <w:t>th</w:t>
      </w:r>
      <w:r w:rsidRPr="00C644BB">
        <w:rPr>
          <w:rFonts w:ascii="Arial" w:hAnsi="Arial" w:cs="Arial"/>
        </w:rPr>
        <w:t xml:space="preserve"> March 2019). </w:t>
      </w:r>
    </w:p>
    <w:p w14:paraId="31AB9A0F" w14:textId="77777777" w:rsidR="000B74AF" w:rsidRPr="00C644BB" w:rsidRDefault="000B74AF" w:rsidP="00C644BB">
      <w:pPr>
        <w:spacing w:line="360" w:lineRule="auto"/>
        <w:jc w:val="both"/>
        <w:rPr>
          <w:rFonts w:ascii="Arial" w:hAnsi="Arial" w:cs="Arial"/>
        </w:rPr>
      </w:pPr>
    </w:p>
    <w:p w14:paraId="1F41F69C"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Marzieh, M. and Hashemi, M. (2011) ‘The Impact/s of Music on Language Leaners’ Performance’, </w:t>
      </w:r>
      <w:r w:rsidRPr="00C644BB">
        <w:rPr>
          <w:rFonts w:ascii="Arial" w:hAnsi="Arial" w:cs="Arial"/>
          <w:i/>
        </w:rPr>
        <w:t xml:space="preserve">Elsevier.  </w:t>
      </w:r>
      <w:r w:rsidRPr="00C644BB">
        <w:rPr>
          <w:rFonts w:ascii="Arial" w:hAnsi="Arial" w:cs="Arial"/>
        </w:rPr>
        <w:t xml:space="preserve">Available at: </w:t>
      </w:r>
      <w:hyperlink r:id="rId23" w:history="1">
        <w:r w:rsidRPr="00C644BB">
          <w:rPr>
            <w:rStyle w:val="Hyperlink"/>
            <w:rFonts w:ascii="Arial" w:hAnsi="Arial" w:cs="Arial"/>
          </w:rPr>
          <w:t>https://core.ac.uk/download/pdf/82239319.pdf</w:t>
        </w:r>
      </w:hyperlink>
    </w:p>
    <w:p w14:paraId="409E8B40" w14:textId="77777777" w:rsidR="000B74AF" w:rsidRPr="00C644BB" w:rsidRDefault="000B74AF" w:rsidP="00C644BB">
      <w:pPr>
        <w:spacing w:line="360" w:lineRule="auto"/>
        <w:jc w:val="both"/>
        <w:rPr>
          <w:rFonts w:ascii="Arial" w:hAnsi="Arial" w:cs="Arial"/>
        </w:rPr>
      </w:pPr>
      <w:r w:rsidRPr="00C644BB">
        <w:rPr>
          <w:rFonts w:ascii="Arial" w:hAnsi="Arial" w:cs="Arial"/>
        </w:rPr>
        <w:t>(Accessed: 27</w:t>
      </w:r>
      <w:r w:rsidRPr="00C644BB">
        <w:rPr>
          <w:rFonts w:ascii="Arial" w:hAnsi="Arial" w:cs="Arial"/>
          <w:vertAlign w:val="superscript"/>
        </w:rPr>
        <w:t>th</w:t>
      </w:r>
      <w:r w:rsidRPr="00C644BB">
        <w:rPr>
          <w:rFonts w:ascii="Arial" w:hAnsi="Arial" w:cs="Arial"/>
        </w:rPr>
        <w:t xml:space="preserve"> March 2019). </w:t>
      </w:r>
    </w:p>
    <w:p w14:paraId="1D50E228"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Maslow, A. (1943) </w:t>
      </w:r>
      <w:r w:rsidRPr="00C644BB">
        <w:rPr>
          <w:rFonts w:ascii="Arial" w:hAnsi="Arial" w:cs="Arial"/>
          <w:i/>
        </w:rPr>
        <w:t xml:space="preserve">Basic Needs and Learning. </w:t>
      </w:r>
      <w:r w:rsidRPr="00C644BB">
        <w:rPr>
          <w:rFonts w:ascii="Arial" w:hAnsi="Arial" w:cs="Arial"/>
        </w:rPr>
        <w:t xml:space="preserve">Available at: </w:t>
      </w:r>
      <w:hyperlink r:id="rId24" w:history="1">
        <w:r w:rsidRPr="00C644BB">
          <w:rPr>
            <w:rStyle w:val="Hyperlink"/>
            <w:rFonts w:ascii="Arial" w:hAnsi="Arial" w:cs="Arial"/>
          </w:rPr>
          <w:t>http://fanconij.faculty.mjc.edu/theoriest.pdf</w:t>
        </w:r>
      </w:hyperlink>
      <w:r w:rsidRPr="00C644BB">
        <w:rPr>
          <w:rFonts w:ascii="Arial" w:hAnsi="Arial" w:cs="Arial"/>
        </w:rPr>
        <w:t xml:space="preserve"> (Accessed: 28</w:t>
      </w:r>
      <w:r w:rsidRPr="00C644BB">
        <w:rPr>
          <w:rFonts w:ascii="Arial" w:hAnsi="Arial" w:cs="Arial"/>
          <w:vertAlign w:val="superscript"/>
        </w:rPr>
        <w:t>th</w:t>
      </w:r>
      <w:r w:rsidRPr="00C644BB">
        <w:rPr>
          <w:rFonts w:ascii="Arial" w:hAnsi="Arial" w:cs="Arial"/>
        </w:rPr>
        <w:t xml:space="preserve"> March 2019). </w:t>
      </w:r>
    </w:p>
    <w:p w14:paraId="4300CC15" w14:textId="77777777" w:rsidR="000B74AF" w:rsidRPr="00C644BB" w:rsidRDefault="000B74AF" w:rsidP="00C644BB">
      <w:pPr>
        <w:spacing w:line="360" w:lineRule="auto"/>
        <w:jc w:val="both"/>
        <w:rPr>
          <w:rFonts w:ascii="Arial" w:hAnsi="Arial" w:cs="Arial"/>
        </w:rPr>
      </w:pPr>
    </w:p>
    <w:p w14:paraId="10A21A46" w14:textId="3D71361D" w:rsidR="000B74AF" w:rsidRPr="00C644BB" w:rsidRDefault="000B74AF" w:rsidP="00C644BB">
      <w:pPr>
        <w:spacing w:line="360" w:lineRule="auto"/>
        <w:jc w:val="both"/>
        <w:rPr>
          <w:rFonts w:ascii="Arial" w:hAnsi="Arial" w:cs="Arial"/>
        </w:rPr>
      </w:pPr>
      <w:r w:rsidRPr="00C644BB">
        <w:rPr>
          <w:rFonts w:ascii="Arial" w:hAnsi="Arial" w:cs="Arial"/>
        </w:rPr>
        <w:lastRenderedPageBreak/>
        <w:t xml:space="preserve">Montessori, M. (1912) </w:t>
      </w:r>
      <w:r w:rsidRPr="00C644BB">
        <w:rPr>
          <w:rFonts w:ascii="Arial" w:hAnsi="Arial" w:cs="Arial"/>
          <w:i/>
        </w:rPr>
        <w:t xml:space="preserve">The Montessori Method. </w:t>
      </w:r>
      <w:r w:rsidRPr="00C644BB">
        <w:rPr>
          <w:rFonts w:ascii="Arial" w:hAnsi="Arial" w:cs="Arial"/>
        </w:rPr>
        <w:t xml:space="preserve">Available at: </w:t>
      </w:r>
      <w:hyperlink r:id="rId25" w:history="1">
        <w:r w:rsidRPr="00C644BB">
          <w:rPr>
            <w:rStyle w:val="Hyperlink"/>
            <w:rFonts w:ascii="Arial" w:hAnsi="Arial" w:cs="Arial"/>
          </w:rPr>
          <w:t>https://perso.telecom-paristech.fr/rodrigez/resources/PEDAGO/montessori_works.pdf</w:t>
        </w:r>
      </w:hyperlink>
      <w:r w:rsidRPr="00C644BB">
        <w:rPr>
          <w:rFonts w:ascii="Arial" w:hAnsi="Arial" w:cs="Arial"/>
        </w:rPr>
        <w:t xml:space="preserve"> (Accessed: </w:t>
      </w:r>
      <w:r w:rsidR="006D6A6C">
        <w:rPr>
          <w:rFonts w:ascii="Arial" w:hAnsi="Arial" w:cs="Arial"/>
        </w:rPr>
        <w:t>26th March</w:t>
      </w:r>
      <w:r w:rsidRPr="00C644BB">
        <w:rPr>
          <w:rFonts w:ascii="Arial" w:hAnsi="Arial" w:cs="Arial"/>
        </w:rPr>
        <w:t xml:space="preserve"> 2019). </w:t>
      </w:r>
    </w:p>
    <w:p w14:paraId="35D69E56" w14:textId="77777777" w:rsidR="000B74AF" w:rsidRPr="00C644BB" w:rsidRDefault="000B74AF" w:rsidP="00C644BB">
      <w:pPr>
        <w:spacing w:line="360" w:lineRule="auto"/>
        <w:jc w:val="both"/>
        <w:rPr>
          <w:rFonts w:ascii="Arial" w:hAnsi="Arial" w:cs="Arial"/>
        </w:rPr>
      </w:pPr>
    </w:p>
    <w:p w14:paraId="058517D9"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Mudiad Meithrin (2011) </w:t>
      </w:r>
      <w:r w:rsidRPr="00C644BB">
        <w:rPr>
          <w:rFonts w:ascii="Arial" w:hAnsi="Arial" w:cs="Arial"/>
          <w:i/>
        </w:rPr>
        <w:t xml:space="preserve">Sandwich, brechdan, panini or baguette? We need a change to our daily bread when presenting Welsh to young children. </w:t>
      </w:r>
      <w:r w:rsidRPr="00C644BB">
        <w:rPr>
          <w:rFonts w:ascii="Arial" w:hAnsi="Arial" w:cs="Arial"/>
        </w:rPr>
        <w:t xml:space="preserve">Available at: </w:t>
      </w:r>
      <w:hyperlink r:id="rId26" w:history="1">
        <w:r w:rsidRPr="00C644BB">
          <w:rPr>
            <w:rStyle w:val="Hyperlink"/>
            <w:rFonts w:ascii="Arial" w:hAnsi="Arial" w:cs="Arial"/>
          </w:rPr>
          <w:t>https://www.meithrin.cymru/blog/i/115415/desc/sandwich-brechdan-panini-or-baguette-we-need-a-change-to-our-daily-bread-when-presenting-welsh-to-young-children/</w:t>
        </w:r>
      </w:hyperlink>
      <w:r w:rsidRPr="00C644BB">
        <w:rPr>
          <w:rFonts w:ascii="Arial" w:hAnsi="Arial" w:cs="Arial"/>
        </w:rPr>
        <w:t xml:space="preserve"> (Accessed: 26</w:t>
      </w:r>
      <w:r w:rsidRPr="00C644BB">
        <w:rPr>
          <w:rFonts w:ascii="Arial" w:hAnsi="Arial" w:cs="Arial"/>
          <w:vertAlign w:val="superscript"/>
        </w:rPr>
        <w:t>th</w:t>
      </w:r>
      <w:r w:rsidRPr="00C644BB">
        <w:rPr>
          <w:rFonts w:ascii="Arial" w:hAnsi="Arial" w:cs="Arial"/>
        </w:rPr>
        <w:t xml:space="preserve"> March 2019). </w:t>
      </w:r>
    </w:p>
    <w:p w14:paraId="5DF081B3" w14:textId="77777777" w:rsidR="000B74AF" w:rsidRPr="00C644BB" w:rsidRDefault="000B74AF" w:rsidP="00C644BB">
      <w:pPr>
        <w:spacing w:line="360" w:lineRule="auto"/>
        <w:jc w:val="both"/>
        <w:rPr>
          <w:rFonts w:ascii="Arial" w:hAnsi="Arial" w:cs="Arial"/>
        </w:rPr>
      </w:pPr>
    </w:p>
    <w:p w14:paraId="6EAC8DC3"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Nicolay, A-C. and Poncelet, M. (2013) ‘Cognitive advantage in children enrolled in a second-language immersion elementary school programme for three years’, </w:t>
      </w:r>
      <w:r w:rsidRPr="00C644BB">
        <w:rPr>
          <w:rFonts w:ascii="Arial" w:hAnsi="Arial" w:cs="Arial"/>
          <w:i/>
        </w:rPr>
        <w:t xml:space="preserve">Cambridge University Press. </w:t>
      </w:r>
      <w:r w:rsidRPr="00C644BB">
        <w:rPr>
          <w:rFonts w:ascii="Arial" w:hAnsi="Arial" w:cs="Arial"/>
        </w:rPr>
        <w:t xml:space="preserve">Available at: </w:t>
      </w:r>
      <w:hyperlink r:id="rId27" w:history="1">
        <w:r w:rsidRPr="00C644BB">
          <w:rPr>
            <w:rStyle w:val="Hyperlink"/>
            <w:rFonts w:ascii="Arial" w:hAnsi="Arial" w:cs="Arial"/>
          </w:rPr>
          <w:t>https://www.researchgate.net/profile/Martine_Poncelet/publication/259433307_Cognitive_advantage_in_children_enrolled_in_a_second-language_immersion_elementary_school_program_for_three_years/links/560fc28d08ae6b29b49a79dd.pdf</w:t>
        </w:r>
      </w:hyperlink>
      <w:r w:rsidRPr="00C644BB">
        <w:rPr>
          <w:rFonts w:ascii="Arial" w:hAnsi="Arial" w:cs="Arial"/>
        </w:rPr>
        <w:t xml:space="preserve"> (Accessed: 27</w:t>
      </w:r>
      <w:r w:rsidRPr="00C644BB">
        <w:rPr>
          <w:rFonts w:ascii="Arial" w:hAnsi="Arial" w:cs="Arial"/>
          <w:vertAlign w:val="superscript"/>
        </w:rPr>
        <w:t>th</w:t>
      </w:r>
      <w:r w:rsidRPr="00C644BB">
        <w:rPr>
          <w:rFonts w:ascii="Arial" w:hAnsi="Arial" w:cs="Arial"/>
        </w:rPr>
        <w:t xml:space="preserve"> March 2019). </w:t>
      </w:r>
    </w:p>
    <w:p w14:paraId="6CC75498" w14:textId="77777777" w:rsidR="000B74AF" w:rsidRPr="00C644BB" w:rsidRDefault="000B74AF" w:rsidP="00C644BB">
      <w:pPr>
        <w:spacing w:line="360" w:lineRule="auto"/>
        <w:jc w:val="both"/>
        <w:rPr>
          <w:rFonts w:ascii="Arial" w:hAnsi="Arial" w:cs="Arial"/>
        </w:rPr>
      </w:pPr>
    </w:p>
    <w:p w14:paraId="360534A5"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Ouzia, J. et al. (2016) ‘There are drawbacks to being bilingual’, </w:t>
      </w:r>
      <w:r w:rsidRPr="00C644BB">
        <w:rPr>
          <w:rFonts w:ascii="Arial" w:hAnsi="Arial" w:cs="Arial"/>
          <w:i/>
        </w:rPr>
        <w:t xml:space="preserve">University of Cambridge. </w:t>
      </w:r>
      <w:r w:rsidRPr="00C644BB">
        <w:rPr>
          <w:rFonts w:ascii="Arial" w:hAnsi="Arial" w:cs="Arial"/>
        </w:rPr>
        <w:t xml:space="preserve">Available at: </w:t>
      </w:r>
      <w:hyperlink r:id="rId28" w:history="1">
        <w:r w:rsidRPr="00C644BB">
          <w:rPr>
            <w:rStyle w:val="Hyperlink"/>
            <w:rFonts w:ascii="Arial" w:hAnsi="Arial" w:cs="Arial"/>
          </w:rPr>
          <w:t>https://www.cam.ac.uk/research/discussion/opinion-there-are-also-drawbacks-to-being-bilingual</w:t>
        </w:r>
      </w:hyperlink>
      <w:r w:rsidRPr="00C644BB">
        <w:rPr>
          <w:rFonts w:ascii="Arial" w:hAnsi="Arial" w:cs="Arial"/>
        </w:rPr>
        <w:t xml:space="preserve"> (Accessed: 25</w:t>
      </w:r>
      <w:r w:rsidRPr="00C644BB">
        <w:rPr>
          <w:rFonts w:ascii="Arial" w:hAnsi="Arial" w:cs="Arial"/>
          <w:vertAlign w:val="superscript"/>
        </w:rPr>
        <w:t>th</w:t>
      </w:r>
      <w:r w:rsidRPr="00C644BB">
        <w:rPr>
          <w:rFonts w:ascii="Arial" w:hAnsi="Arial" w:cs="Arial"/>
        </w:rPr>
        <w:t xml:space="preserve"> March 2019). </w:t>
      </w:r>
    </w:p>
    <w:p w14:paraId="00C1674D" w14:textId="77777777" w:rsidR="000B74AF" w:rsidRPr="00C644BB" w:rsidRDefault="000B74AF" w:rsidP="00C644BB">
      <w:pPr>
        <w:spacing w:line="360" w:lineRule="auto"/>
        <w:jc w:val="both"/>
        <w:rPr>
          <w:rFonts w:ascii="Arial" w:hAnsi="Arial" w:cs="Arial"/>
        </w:rPr>
      </w:pPr>
    </w:p>
    <w:p w14:paraId="16A4A1C8"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Oxfordshire County Council (2017) ‘Guidance for Early Years practitioners on supporting children learning English as an Additional Language (EAL)’, </w:t>
      </w:r>
      <w:r w:rsidRPr="00C644BB">
        <w:rPr>
          <w:rFonts w:ascii="Arial" w:hAnsi="Arial" w:cs="Arial"/>
          <w:i/>
        </w:rPr>
        <w:t xml:space="preserve">Education Quality Early Years. </w:t>
      </w:r>
      <w:r w:rsidRPr="00C644BB">
        <w:rPr>
          <w:rFonts w:ascii="Arial" w:hAnsi="Arial" w:cs="Arial"/>
        </w:rPr>
        <w:t xml:space="preserve">Available at: </w:t>
      </w:r>
      <w:hyperlink r:id="rId29" w:history="1">
        <w:r w:rsidRPr="00C644BB">
          <w:rPr>
            <w:rStyle w:val="Hyperlink"/>
            <w:rFonts w:ascii="Arial" w:hAnsi="Arial" w:cs="Arial"/>
          </w:rPr>
          <w:t>https://www2.oxfordshire.gov.uk/cms/sites/default/files/folders/documents/childreneducationandfamilies/informationforchildcareproviders/Toolkit/eal_guidance.PDF</w:t>
        </w:r>
      </w:hyperlink>
      <w:r w:rsidRPr="00C644BB">
        <w:rPr>
          <w:rFonts w:ascii="Arial" w:hAnsi="Arial" w:cs="Arial"/>
        </w:rPr>
        <w:t xml:space="preserve"> (Accessed: 28</w:t>
      </w:r>
      <w:r w:rsidRPr="00C644BB">
        <w:rPr>
          <w:rFonts w:ascii="Arial" w:hAnsi="Arial" w:cs="Arial"/>
          <w:vertAlign w:val="superscript"/>
        </w:rPr>
        <w:t>th</w:t>
      </w:r>
      <w:r w:rsidRPr="00C644BB">
        <w:rPr>
          <w:rFonts w:ascii="Arial" w:hAnsi="Arial" w:cs="Arial"/>
        </w:rPr>
        <w:t xml:space="preserve"> March 2019). </w:t>
      </w:r>
    </w:p>
    <w:p w14:paraId="44DF40F6" w14:textId="77777777" w:rsidR="000B74AF" w:rsidRPr="00C644BB" w:rsidRDefault="000B74AF" w:rsidP="00C644BB">
      <w:pPr>
        <w:spacing w:line="360" w:lineRule="auto"/>
        <w:jc w:val="both"/>
        <w:rPr>
          <w:rFonts w:ascii="Arial" w:hAnsi="Arial" w:cs="Arial"/>
        </w:rPr>
      </w:pPr>
    </w:p>
    <w:p w14:paraId="43CBF166" w14:textId="6B239B0B" w:rsidR="000B74AF" w:rsidRPr="00C644BB" w:rsidRDefault="000B74AF" w:rsidP="00C644BB">
      <w:pPr>
        <w:spacing w:line="360" w:lineRule="auto"/>
        <w:jc w:val="both"/>
        <w:rPr>
          <w:rFonts w:ascii="Arial" w:hAnsi="Arial" w:cs="Arial"/>
        </w:rPr>
      </w:pPr>
      <w:r w:rsidRPr="00C644BB">
        <w:rPr>
          <w:rFonts w:ascii="Arial" w:hAnsi="Arial" w:cs="Arial"/>
        </w:rPr>
        <w:t xml:space="preserve">Piaget, J. (1953) </w:t>
      </w:r>
      <w:r w:rsidRPr="00C644BB">
        <w:rPr>
          <w:rFonts w:ascii="Arial" w:hAnsi="Arial" w:cs="Arial"/>
          <w:i/>
        </w:rPr>
        <w:t xml:space="preserve">The Origins of Intelligence in Children. </w:t>
      </w:r>
      <w:r w:rsidRPr="00C644BB">
        <w:rPr>
          <w:rFonts w:ascii="Arial" w:hAnsi="Arial" w:cs="Arial"/>
        </w:rPr>
        <w:t xml:space="preserve">New York: International Universities Press, INC. Available at: </w:t>
      </w:r>
      <w:hyperlink r:id="rId30" w:history="1">
        <w:r w:rsidRPr="00C644BB">
          <w:rPr>
            <w:rStyle w:val="Hyperlink"/>
            <w:rFonts w:ascii="Arial" w:hAnsi="Arial" w:cs="Arial"/>
          </w:rPr>
          <w:t>https://www.pitt.edu/~strauss/origins_r.pdf</w:t>
        </w:r>
      </w:hyperlink>
      <w:r w:rsidRPr="00C644BB">
        <w:rPr>
          <w:rFonts w:ascii="Arial" w:hAnsi="Arial" w:cs="Arial"/>
        </w:rPr>
        <w:t xml:space="preserve"> (Accessed: 28</w:t>
      </w:r>
      <w:r w:rsidRPr="00C644BB">
        <w:rPr>
          <w:rFonts w:ascii="Arial" w:hAnsi="Arial" w:cs="Arial"/>
          <w:vertAlign w:val="superscript"/>
        </w:rPr>
        <w:t>th</w:t>
      </w:r>
      <w:r w:rsidRPr="00C644BB">
        <w:rPr>
          <w:rFonts w:ascii="Arial" w:hAnsi="Arial" w:cs="Arial"/>
        </w:rPr>
        <w:t xml:space="preserve"> March 2019). </w:t>
      </w:r>
    </w:p>
    <w:p w14:paraId="4FFFDB33" w14:textId="25890414" w:rsidR="003B1828" w:rsidRPr="00C644BB" w:rsidRDefault="003B1828" w:rsidP="00C644BB">
      <w:pPr>
        <w:spacing w:line="360" w:lineRule="auto"/>
        <w:jc w:val="both"/>
        <w:rPr>
          <w:rFonts w:ascii="Arial" w:hAnsi="Arial" w:cs="Arial"/>
        </w:rPr>
      </w:pPr>
    </w:p>
    <w:p w14:paraId="608BA749" w14:textId="650389FB" w:rsidR="003D3D27" w:rsidRPr="00C644BB" w:rsidRDefault="003B1828" w:rsidP="00C644BB">
      <w:pPr>
        <w:spacing w:line="360" w:lineRule="auto"/>
        <w:jc w:val="both"/>
        <w:rPr>
          <w:rFonts w:ascii="Arial" w:hAnsi="Arial" w:cs="Arial"/>
        </w:rPr>
      </w:pPr>
      <w:r w:rsidRPr="00C644BB">
        <w:rPr>
          <w:rFonts w:ascii="Arial" w:hAnsi="Arial" w:cs="Arial"/>
        </w:rPr>
        <w:lastRenderedPageBreak/>
        <w:t>Sorace, A. and Ladd</w:t>
      </w:r>
      <w:r w:rsidR="004C5EE8" w:rsidRPr="00C644BB">
        <w:rPr>
          <w:rFonts w:ascii="Arial" w:hAnsi="Arial" w:cs="Arial"/>
        </w:rPr>
        <w:t xml:space="preserve">, B. (2012) ‘Raising Bilingual Children’, </w:t>
      </w:r>
      <w:r w:rsidR="004C5EE8" w:rsidRPr="00C644BB">
        <w:rPr>
          <w:rFonts w:ascii="Arial" w:hAnsi="Arial" w:cs="Arial"/>
          <w:i/>
        </w:rPr>
        <w:t xml:space="preserve">Linguistic Society of America. </w:t>
      </w:r>
      <w:r w:rsidR="003D3D27" w:rsidRPr="00C644BB">
        <w:rPr>
          <w:rFonts w:ascii="Arial" w:hAnsi="Arial" w:cs="Arial"/>
        </w:rPr>
        <w:t xml:space="preserve">Available at: </w:t>
      </w:r>
      <w:hyperlink r:id="rId31" w:history="1">
        <w:r w:rsidR="003D3D27" w:rsidRPr="00C644BB">
          <w:rPr>
            <w:rStyle w:val="Hyperlink"/>
            <w:rFonts w:ascii="Arial" w:hAnsi="Arial" w:cs="Arial"/>
          </w:rPr>
          <w:t>https://www.linguisticsociety.org/resource/faq-raising-bilingual-children</w:t>
        </w:r>
      </w:hyperlink>
      <w:r w:rsidR="003D3D27" w:rsidRPr="00C644BB">
        <w:rPr>
          <w:rFonts w:ascii="Arial" w:hAnsi="Arial" w:cs="Arial"/>
        </w:rPr>
        <w:t xml:space="preserve"> (Accessed: 29</w:t>
      </w:r>
      <w:r w:rsidR="003D3D27" w:rsidRPr="00C644BB">
        <w:rPr>
          <w:rFonts w:ascii="Arial" w:hAnsi="Arial" w:cs="Arial"/>
          <w:vertAlign w:val="superscript"/>
        </w:rPr>
        <w:t>th</w:t>
      </w:r>
      <w:r w:rsidR="003D3D27" w:rsidRPr="00C644BB">
        <w:rPr>
          <w:rFonts w:ascii="Arial" w:hAnsi="Arial" w:cs="Arial"/>
        </w:rPr>
        <w:t xml:space="preserve"> March 2019). </w:t>
      </w:r>
    </w:p>
    <w:p w14:paraId="146E30DC" w14:textId="4CE6C63F" w:rsidR="003B1828" w:rsidRPr="00C644BB" w:rsidRDefault="003B1828" w:rsidP="00C644BB">
      <w:pPr>
        <w:spacing w:line="360" w:lineRule="auto"/>
        <w:jc w:val="both"/>
        <w:rPr>
          <w:rFonts w:ascii="Arial" w:hAnsi="Arial" w:cs="Arial"/>
        </w:rPr>
      </w:pPr>
    </w:p>
    <w:p w14:paraId="3DB44807"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The National Association of Music Merchants Foundation (2019) </w:t>
      </w:r>
      <w:r w:rsidRPr="00C644BB">
        <w:rPr>
          <w:rFonts w:ascii="Arial" w:hAnsi="Arial" w:cs="Arial"/>
          <w:i/>
        </w:rPr>
        <w:t xml:space="preserve">Why learn to play music? </w:t>
      </w:r>
      <w:r w:rsidRPr="00C644BB">
        <w:rPr>
          <w:rFonts w:ascii="Arial" w:hAnsi="Arial" w:cs="Arial"/>
        </w:rPr>
        <w:t xml:space="preserve">Available at: </w:t>
      </w:r>
      <w:hyperlink r:id="rId32" w:history="1">
        <w:r w:rsidRPr="00C644BB">
          <w:rPr>
            <w:rFonts w:ascii="Arial" w:hAnsi="Arial" w:cs="Arial"/>
            <w:color w:val="0000FF"/>
            <w:u w:val="single"/>
          </w:rPr>
          <w:t>https://www.nammfoundation.org/educator-resources/why-learn-play-music-advocacy-brochure-0</w:t>
        </w:r>
      </w:hyperlink>
      <w:r w:rsidRPr="00C644BB">
        <w:rPr>
          <w:rFonts w:ascii="Arial" w:hAnsi="Arial" w:cs="Arial"/>
        </w:rPr>
        <w:t xml:space="preserve"> (Accessed: 27</w:t>
      </w:r>
      <w:r w:rsidRPr="00C644BB">
        <w:rPr>
          <w:rFonts w:ascii="Arial" w:hAnsi="Arial" w:cs="Arial"/>
          <w:vertAlign w:val="superscript"/>
        </w:rPr>
        <w:t>th</w:t>
      </w:r>
      <w:r w:rsidRPr="00C644BB">
        <w:rPr>
          <w:rFonts w:ascii="Arial" w:hAnsi="Arial" w:cs="Arial"/>
        </w:rPr>
        <w:t xml:space="preserve"> March 2019). </w:t>
      </w:r>
    </w:p>
    <w:p w14:paraId="483BFAFA" w14:textId="77777777" w:rsidR="000B74AF" w:rsidRPr="00C644BB" w:rsidRDefault="000B74AF" w:rsidP="00C644BB">
      <w:pPr>
        <w:spacing w:line="360" w:lineRule="auto"/>
        <w:jc w:val="both"/>
        <w:rPr>
          <w:rFonts w:ascii="Arial" w:hAnsi="Arial" w:cs="Arial"/>
        </w:rPr>
      </w:pPr>
    </w:p>
    <w:p w14:paraId="40182FC6"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UNICEF (2019) </w:t>
      </w:r>
      <w:r w:rsidRPr="00C644BB">
        <w:rPr>
          <w:rFonts w:ascii="Arial" w:hAnsi="Arial" w:cs="Arial"/>
          <w:i/>
        </w:rPr>
        <w:t xml:space="preserve">A summary of the rights under the Convention on the Rights of the Child. </w:t>
      </w:r>
      <w:r w:rsidRPr="00C644BB">
        <w:rPr>
          <w:rFonts w:ascii="Arial" w:hAnsi="Arial" w:cs="Arial"/>
        </w:rPr>
        <w:t xml:space="preserve">Available at: </w:t>
      </w:r>
      <w:hyperlink r:id="rId33" w:history="1">
        <w:r w:rsidRPr="00C644BB">
          <w:rPr>
            <w:rStyle w:val="Hyperlink"/>
            <w:rFonts w:ascii="Arial" w:hAnsi="Arial" w:cs="Arial"/>
          </w:rPr>
          <w:t>https://www.unicef.org/crc/files/Rights_overview.pdf</w:t>
        </w:r>
      </w:hyperlink>
      <w:r w:rsidRPr="00C644BB">
        <w:rPr>
          <w:rFonts w:ascii="Arial" w:hAnsi="Arial" w:cs="Arial"/>
        </w:rPr>
        <w:t xml:space="preserve"> (Accessed: 27</w:t>
      </w:r>
      <w:r w:rsidRPr="00C644BB">
        <w:rPr>
          <w:rFonts w:ascii="Arial" w:hAnsi="Arial" w:cs="Arial"/>
          <w:vertAlign w:val="superscript"/>
        </w:rPr>
        <w:t>th</w:t>
      </w:r>
      <w:r w:rsidRPr="00C644BB">
        <w:rPr>
          <w:rFonts w:ascii="Arial" w:hAnsi="Arial" w:cs="Arial"/>
        </w:rPr>
        <w:t xml:space="preserve"> March 2019). </w:t>
      </w:r>
    </w:p>
    <w:p w14:paraId="7AED886E" w14:textId="77777777" w:rsidR="000B74AF" w:rsidRPr="00C644BB" w:rsidRDefault="000B74AF" w:rsidP="00C644BB">
      <w:pPr>
        <w:spacing w:line="360" w:lineRule="auto"/>
        <w:jc w:val="both"/>
        <w:rPr>
          <w:rFonts w:ascii="Arial" w:hAnsi="Arial" w:cs="Arial"/>
        </w:rPr>
      </w:pPr>
    </w:p>
    <w:p w14:paraId="0597EB6F"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Vygotsky, L. (1978) Mind in Society: ‘The Development of Higher Psychological Processes’, </w:t>
      </w:r>
      <w:r w:rsidRPr="00C644BB">
        <w:rPr>
          <w:rFonts w:ascii="Arial" w:hAnsi="Arial" w:cs="Arial"/>
          <w:i/>
        </w:rPr>
        <w:t>Cambridge: Harvard University Press.</w:t>
      </w:r>
      <w:r w:rsidRPr="00C644BB">
        <w:rPr>
          <w:rFonts w:ascii="Arial" w:hAnsi="Arial" w:cs="Arial"/>
        </w:rPr>
        <w:t xml:space="preserve"> Available at: </w:t>
      </w:r>
      <w:hyperlink r:id="rId34" w:history="1">
        <w:r w:rsidRPr="00C644BB">
          <w:rPr>
            <w:rStyle w:val="Hyperlink"/>
            <w:rFonts w:ascii="Arial" w:hAnsi="Arial" w:cs="Arial"/>
          </w:rPr>
          <w:t>http://www.unilibre.edu.co/bogota/pdfs/2016/mc16.pdf</w:t>
        </w:r>
      </w:hyperlink>
      <w:r w:rsidRPr="00C644BB">
        <w:rPr>
          <w:rFonts w:ascii="Arial" w:hAnsi="Arial" w:cs="Arial"/>
        </w:rPr>
        <w:t xml:space="preserve"> (Accessed: 29</w:t>
      </w:r>
      <w:r w:rsidRPr="00C644BB">
        <w:rPr>
          <w:rFonts w:ascii="Arial" w:hAnsi="Arial" w:cs="Arial"/>
          <w:vertAlign w:val="superscript"/>
        </w:rPr>
        <w:t>th</w:t>
      </w:r>
      <w:r w:rsidRPr="00C644BB">
        <w:rPr>
          <w:rFonts w:ascii="Arial" w:hAnsi="Arial" w:cs="Arial"/>
        </w:rPr>
        <w:t xml:space="preserve"> March  2019). </w:t>
      </w:r>
    </w:p>
    <w:p w14:paraId="302FC463" w14:textId="77777777" w:rsidR="000B74AF" w:rsidRPr="00C644BB" w:rsidRDefault="000B74AF" w:rsidP="00C644BB">
      <w:pPr>
        <w:spacing w:line="360" w:lineRule="auto"/>
        <w:jc w:val="both"/>
        <w:rPr>
          <w:rFonts w:ascii="Arial" w:hAnsi="Arial" w:cs="Arial"/>
        </w:rPr>
      </w:pPr>
    </w:p>
    <w:p w14:paraId="338DD33F"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Vygotsky, L. (1978) </w:t>
      </w:r>
      <w:r w:rsidRPr="00C644BB">
        <w:rPr>
          <w:rFonts w:ascii="Arial" w:hAnsi="Arial" w:cs="Arial"/>
          <w:i/>
        </w:rPr>
        <w:t>The Development of Higher Psychological Processes</w:t>
      </w:r>
      <w:r w:rsidRPr="00C644BB">
        <w:rPr>
          <w:rFonts w:ascii="Arial" w:hAnsi="Arial" w:cs="Arial"/>
        </w:rPr>
        <w:t xml:space="preserve">. Available at: </w:t>
      </w:r>
      <w:hyperlink r:id="rId35" w:anchor="v=onepage&amp;q=Vygotsky%2C%20L.%20(1978)%20The%20Development%20of%20Higher%20Psychological%20Processes.%20Cambridge%3A%20Harvard%20University%20Press.&amp;f=false" w:history="1">
        <w:r w:rsidRPr="00C644BB">
          <w:rPr>
            <w:rStyle w:val="Hyperlink"/>
            <w:rFonts w:ascii="Arial" w:hAnsi="Arial" w:cs="Arial"/>
          </w:rPr>
          <w:t>https://books.google.co.uk/books?hl=en&amp;lr=&amp;id=Irq913lEZ1QC&amp;oi=fnd&amp;pg=PR13&amp;dq=Vygotsky,+L.+(1978)+The+Development+of+Higher+Psychological+Processes.+Cambridge:+Harvard+University+Press.&amp;ots=HaEqF2Fotg&amp;sig=h1-PNxOUc-Oka6NUmiGZcoHJoz8#v=onepage&amp;q=Vygotsky%2C%20L.%20(1978)%20The%20Development%20of%20Higher%20Psychological%20Processes.%20Cambridge%3A%20Harvard%20University%20Press.&amp;f=false</w:t>
        </w:r>
      </w:hyperlink>
      <w:r w:rsidRPr="00C644BB">
        <w:rPr>
          <w:rFonts w:ascii="Arial" w:hAnsi="Arial" w:cs="Arial"/>
        </w:rPr>
        <w:t xml:space="preserve"> (Accessed: 28</w:t>
      </w:r>
      <w:r w:rsidRPr="00C644BB">
        <w:rPr>
          <w:rFonts w:ascii="Arial" w:hAnsi="Arial" w:cs="Arial"/>
          <w:vertAlign w:val="superscript"/>
        </w:rPr>
        <w:t>th</w:t>
      </w:r>
      <w:r w:rsidRPr="00C644BB">
        <w:rPr>
          <w:rFonts w:ascii="Arial" w:hAnsi="Arial" w:cs="Arial"/>
        </w:rPr>
        <w:t xml:space="preserve"> March 2019). </w:t>
      </w:r>
    </w:p>
    <w:p w14:paraId="62EDE416" w14:textId="77777777" w:rsidR="000B74AF" w:rsidRPr="00C644BB" w:rsidRDefault="000B74AF" w:rsidP="00C644BB">
      <w:pPr>
        <w:spacing w:line="360" w:lineRule="auto"/>
        <w:jc w:val="both"/>
        <w:rPr>
          <w:rFonts w:ascii="Arial" w:hAnsi="Arial" w:cs="Arial"/>
        </w:rPr>
      </w:pPr>
    </w:p>
    <w:p w14:paraId="5B5415C7"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Welsh Government (2019) ‘Preparing for the new curriculum’, </w:t>
      </w:r>
      <w:r w:rsidRPr="00C644BB">
        <w:rPr>
          <w:rFonts w:ascii="Arial" w:hAnsi="Arial" w:cs="Arial"/>
          <w:i/>
        </w:rPr>
        <w:t xml:space="preserve">Welsh Government. </w:t>
      </w:r>
      <w:r w:rsidRPr="00C644BB">
        <w:rPr>
          <w:rFonts w:ascii="Arial" w:hAnsi="Arial" w:cs="Arial"/>
        </w:rPr>
        <w:t xml:space="preserve">Available at: </w:t>
      </w:r>
      <w:hyperlink r:id="rId36" w:history="1">
        <w:r w:rsidRPr="00C644BB">
          <w:rPr>
            <w:rStyle w:val="Hyperlink"/>
            <w:rFonts w:ascii="Arial" w:hAnsi="Arial" w:cs="Arial"/>
          </w:rPr>
          <w:t>https://gov.wales/preparing-new-curriculum</w:t>
        </w:r>
      </w:hyperlink>
      <w:r w:rsidRPr="00C644BB">
        <w:rPr>
          <w:rFonts w:ascii="Arial" w:hAnsi="Arial" w:cs="Arial"/>
        </w:rPr>
        <w:t xml:space="preserve"> (Accessed: 29</w:t>
      </w:r>
      <w:r w:rsidRPr="00C644BB">
        <w:rPr>
          <w:rFonts w:ascii="Arial" w:hAnsi="Arial" w:cs="Arial"/>
          <w:vertAlign w:val="superscript"/>
        </w:rPr>
        <w:t>th</w:t>
      </w:r>
      <w:r w:rsidRPr="00C644BB">
        <w:rPr>
          <w:rFonts w:ascii="Arial" w:hAnsi="Arial" w:cs="Arial"/>
        </w:rPr>
        <w:t xml:space="preserve"> March 2019).</w:t>
      </w:r>
    </w:p>
    <w:p w14:paraId="43D461D0" w14:textId="77777777" w:rsidR="000B74AF" w:rsidRPr="00C644BB" w:rsidRDefault="000B74AF" w:rsidP="00C644BB">
      <w:pPr>
        <w:spacing w:line="360" w:lineRule="auto"/>
        <w:jc w:val="both"/>
        <w:rPr>
          <w:rFonts w:ascii="Arial" w:hAnsi="Arial" w:cs="Arial"/>
        </w:rPr>
      </w:pPr>
    </w:p>
    <w:p w14:paraId="45B93F54" w14:textId="77777777" w:rsidR="000B74AF" w:rsidRPr="00C644BB" w:rsidRDefault="000B74AF" w:rsidP="00C644BB">
      <w:pPr>
        <w:spacing w:line="360" w:lineRule="auto"/>
        <w:jc w:val="both"/>
        <w:rPr>
          <w:rFonts w:ascii="Arial" w:hAnsi="Arial" w:cs="Arial"/>
        </w:rPr>
      </w:pPr>
      <w:r w:rsidRPr="00C644BB">
        <w:rPr>
          <w:rFonts w:ascii="Arial" w:hAnsi="Arial" w:cs="Arial"/>
        </w:rPr>
        <w:t xml:space="preserve">Welsh Government (2014) ‘Welsh as an additional language (WAL)’, </w:t>
      </w:r>
      <w:r w:rsidRPr="00C644BB">
        <w:rPr>
          <w:rFonts w:ascii="Arial" w:hAnsi="Arial" w:cs="Arial"/>
          <w:i/>
        </w:rPr>
        <w:t xml:space="preserve">Welsh Government. </w:t>
      </w:r>
      <w:r w:rsidRPr="00C644BB">
        <w:rPr>
          <w:rFonts w:ascii="Arial" w:hAnsi="Arial" w:cs="Arial"/>
        </w:rPr>
        <w:t xml:space="preserve">Available at: </w:t>
      </w:r>
      <w:hyperlink r:id="rId37" w:history="1">
        <w:r w:rsidRPr="00C644BB">
          <w:rPr>
            <w:rStyle w:val="Hyperlink"/>
            <w:rFonts w:ascii="Arial" w:hAnsi="Arial" w:cs="Arial"/>
          </w:rPr>
          <w:t>https://gov.wales/welsh-additional-language-wal-0</w:t>
        </w:r>
      </w:hyperlink>
      <w:r w:rsidRPr="00C644BB">
        <w:rPr>
          <w:rFonts w:ascii="Arial" w:hAnsi="Arial" w:cs="Arial"/>
        </w:rPr>
        <w:t xml:space="preserve"> (Accessed: 28</w:t>
      </w:r>
      <w:r w:rsidRPr="00C644BB">
        <w:rPr>
          <w:rFonts w:ascii="Arial" w:hAnsi="Arial" w:cs="Arial"/>
          <w:vertAlign w:val="superscript"/>
        </w:rPr>
        <w:t>th</w:t>
      </w:r>
      <w:r w:rsidRPr="00C644BB">
        <w:rPr>
          <w:rFonts w:ascii="Arial" w:hAnsi="Arial" w:cs="Arial"/>
        </w:rPr>
        <w:t xml:space="preserve"> March 2019). </w:t>
      </w:r>
    </w:p>
    <w:p w14:paraId="5C3F93EB" w14:textId="77777777" w:rsidR="007C7E78" w:rsidRDefault="007C7E78"/>
    <w:sectPr w:rsidR="007C7E78" w:rsidSect="005013C9">
      <w:headerReference w:type="default" r:id="rId38"/>
      <w:footerReference w:type="even" r:id="rId39"/>
      <w:footerReference w:type="default" r:id="rId4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3EE14F" w14:textId="77777777" w:rsidR="00433BAD" w:rsidRDefault="00433BAD" w:rsidP="007C7E78">
      <w:r>
        <w:separator/>
      </w:r>
    </w:p>
  </w:endnote>
  <w:endnote w:type="continuationSeparator" w:id="0">
    <w:p w14:paraId="0F19063E" w14:textId="77777777" w:rsidR="00433BAD" w:rsidRDefault="00433BAD" w:rsidP="007C7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96696802"/>
      <w:docPartObj>
        <w:docPartGallery w:val="Page Numbers (Bottom of Page)"/>
        <w:docPartUnique/>
      </w:docPartObj>
    </w:sdtPr>
    <w:sdtEndPr>
      <w:rPr>
        <w:rStyle w:val="PageNumber"/>
      </w:rPr>
    </w:sdtEndPr>
    <w:sdtContent>
      <w:p w14:paraId="136B4288" w14:textId="77777777" w:rsidR="007C7E78" w:rsidRDefault="007C7E78" w:rsidP="001B171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E40D16" w14:textId="77777777" w:rsidR="007C7E78" w:rsidRDefault="007C7E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22106224"/>
      <w:docPartObj>
        <w:docPartGallery w:val="Page Numbers (Bottom of Page)"/>
        <w:docPartUnique/>
      </w:docPartObj>
    </w:sdtPr>
    <w:sdtEndPr>
      <w:rPr>
        <w:rStyle w:val="PageNumber"/>
      </w:rPr>
    </w:sdtEndPr>
    <w:sdtContent>
      <w:p w14:paraId="49E528F1" w14:textId="77777777" w:rsidR="007C7E78" w:rsidRDefault="007C7E78" w:rsidP="001B171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7609125" w14:textId="77777777" w:rsidR="007C7E78" w:rsidRDefault="007C7E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530651" w14:textId="77777777" w:rsidR="00433BAD" w:rsidRDefault="00433BAD" w:rsidP="007C7E78">
      <w:r>
        <w:separator/>
      </w:r>
    </w:p>
  </w:footnote>
  <w:footnote w:type="continuationSeparator" w:id="0">
    <w:p w14:paraId="708801B4" w14:textId="77777777" w:rsidR="00433BAD" w:rsidRDefault="00433BAD" w:rsidP="007C7E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993370" w14:textId="7F3B716E" w:rsidR="007C7E78" w:rsidRPr="007C7E78" w:rsidRDefault="007C7E78">
    <w:pPr>
      <w:pStyle w:val="Header"/>
      <w:rPr>
        <w:rFonts w:ascii="Arial" w:hAnsi="Arial" w:cs="Arial"/>
      </w:rPr>
    </w:pPr>
    <w:r>
      <w:rPr>
        <w:rFonts w:ascii="Arial" w:hAnsi="Arial" w:cs="Arial"/>
      </w:rPr>
      <w:t>1800001</w:t>
    </w:r>
    <w:r w:rsidRPr="007C7E78">
      <w:rPr>
        <w:rFonts w:ascii="Arial" w:hAnsi="Arial" w:cs="Arial"/>
      </w:rPr>
      <w:ptab w:relativeTo="margin" w:alignment="center" w:leader="none"/>
    </w:r>
    <w:r>
      <w:rPr>
        <w:rFonts w:ascii="Arial" w:hAnsi="Arial" w:cs="Arial"/>
      </w:rPr>
      <w:t>EAEE4006</w:t>
    </w:r>
    <w:r w:rsidRPr="007C7E78">
      <w:rPr>
        <w:rFonts w:ascii="Arial" w:hAnsi="Arial" w:cs="Arial"/>
      </w:rPr>
      <w:ptab w:relativeTo="margin" w:alignment="right" w:leader="none"/>
    </w:r>
    <w:r>
      <w:rPr>
        <w:rFonts w:ascii="Arial" w:hAnsi="Arial" w:cs="Arial"/>
      </w:rPr>
      <w:t>1,6</w:t>
    </w:r>
    <w:r w:rsidR="009330E3">
      <w:rPr>
        <w:rFonts w:ascii="Arial" w:hAnsi="Arial" w:cs="Arial"/>
      </w:rPr>
      <w:t>6</w:t>
    </w:r>
    <w:r w:rsidR="00004974">
      <w:rPr>
        <w:rFonts w:ascii="Arial" w:hAnsi="Arial" w:cs="Arial"/>
      </w:rPr>
      <w:t>3</w:t>
    </w:r>
    <w:r>
      <w:rPr>
        <w:rFonts w:ascii="Arial" w:hAnsi="Arial" w:cs="Arial"/>
      </w:rPr>
      <w:t xml:space="preserve"> words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392289"/>
    <w:multiLevelType w:val="hybridMultilevel"/>
    <w:tmpl w:val="23549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5676354"/>
    <w:multiLevelType w:val="hybridMultilevel"/>
    <w:tmpl w:val="C77C9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E78"/>
    <w:rsid w:val="00004974"/>
    <w:rsid w:val="00016373"/>
    <w:rsid w:val="00031BC6"/>
    <w:rsid w:val="000332D7"/>
    <w:rsid w:val="00041E2A"/>
    <w:rsid w:val="0005581B"/>
    <w:rsid w:val="00065B86"/>
    <w:rsid w:val="000715B5"/>
    <w:rsid w:val="000A12CF"/>
    <w:rsid w:val="000A29A9"/>
    <w:rsid w:val="000B1864"/>
    <w:rsid w:val="000B74AF"/>
    <w:rsid w:val="000C0C2C"/>
    <w:rsid w:val="000D5423"/>
    <w:rsid w:val="000E49B1"/>
    <w:rsid w:val="000E7269"/>
    <w:rsid w:val="00181158"/>
    <w:rsid w:val="00181A21"/>
    <w:rsid w:val="001A468F"/>
    <w:rsid w:val="001B3C78"/>
    <w:rsid w:val="001B6C06"/>
    <w:rsid w:val="001C7A21"/>
    <w:rsid w:val="002228CE"/>
    <w:rsid w:val="00240F39"/>
    <w:rsid w:val="00252F96"/>
    <w:rsid w:val="002935D6"/>
    <w:rsid w:val="002C014D"/>
    <w:rsid w:val="002C4A7E"/>
    <w:rsid w:val="002E1D6F"/>
    <w:rsid w:val="003014EB"/>
    <w:rsid w:val="00311CCA"/>
    <w:rsid w:val="00351A7C"/>
    <w:rsid w:val="00384167"/>
    <w:rsid w:val="003B1828"/>
    <w:rsid w:val="003B62CE"/>
    <w:rsid w:val="003D3D27"/>
    <w:rsid w:val="00406D6A"/>
    <w:rsid w:val="00433BAD"/>
    <w:rsid w:val="00444EE1"/>
    <w:rsid w:val="00493EBD"/>
    <w:rsid w:val="004B1347"/>
    <w:rsid w:val="004C5EE8"/>
    <w:rsid w:val="004D3D50"/>
    <w:rsid w:val="005013C9"/>
    <w:rsid w:val="00513686"/>
    <w:rsid w:val="00516E62"/>
    <w:rsid w:val="005742AD"/>
    <w:rsid w:val="005966E5"/>
    <w:rsid w:val="005C078A"/>
    <w:rsid w:val="005D02C4"/>
    <w:rsid w:val="005F7D51"/>
    <w:rsid w:val="00643B9B"/>
    <w:rsid w:val="0065285A"/>
    <w:rsid w:val="00681308"/>
    <w:rsid w:val="006D6A6C"/>
    <w:rsid w:val="007135C0"/>
    <w:rsid w:val="00743743"/>
    <w:rsid w:val="00771BEA"/>
    <w:rsid w:val="0078595F"/>
    <w:rsid w:val="00794CCE"/>
    <w:rsid w:val="007B4060"/>
    <w:rsid w:val="007C1F24"/>
    <w:rsid w:val="007C7E78"/>
    <w:rsid w:val="008301CE"/>
    <w:rsid w:val="008616C0"/>
    <w:rsid w:val="00872346"/>
    <w:rsid w:val="008D3974"/>
    <w:rsid w:val="009070A7"/>
    <w:rsid w:val="009206D1"/>
    <w:rsid w:val="009301AB"/>
    <w:rsid w:val="009330E3"/>
    <w:rsid w:val="0093623A"/>
    <w:rsid w:val="00947E90"/>
    <w:rsid w:val="0097008C"/>
    <w:rsid w:val="009A0F4C"/>
    <w:rsid w:val="009E531E"/>
    <w:rsid w:val="009F1B64"/>
    <w:rsid w:val="009F6760"/>
    <w:rsid w:val="00A07738"/>
    <w:rsid w:val="00A13B30"/>
    <w:rsid w:val="00A32F79"/>
    <w:rsid w:val="00A63783"/>
    <w:rsid w:val="00A82431"/>
    <w:rsid w:val="00AA0DE2"/>
    <w:rsid w:val="00AF2901"/>
    <w:rsid w:val="00AF6550"/>
    <w:rsid w:val="00B04F4E"/>
    <w:rsid w:val="00B250A0"/>
    <w:rsid w:val="00B25DE7"/>
    <w:rsid w:val="00B26265"/>
    <w:rsid w:val="00B3442D"/>
    <w:rsid w:val="00B37D8C"/>
    <w:rsid w:val="00B64A23"/>
    <w:rsid w:val="00BB5F15"/>
    <w:rsid w:val="00BC6D06"/>
    <w:rsid w:val="00BC7138"/>
    <w:rsid w:val="00BD2FB6"/>
    <w:rsid w:val="00BE3D3F"/>
    <w:rsid w:val="00C006F2"/>
    <w:rsid w:val="00C040CD"/>
    <w:rsid w:val="00C24CDA"/>
    <w:rsid w:val="00C25FFE"/>
    <w:rsid w:val="00C33680"/>
    <w:rsid w:val="00C5334C"/>
    <w:rsid w:val="00C547C5"/>
    <w:rsid w:val="00C560C2"/>
    <w:rsid w:val="00C644BB"/>
    <w:rsid w:val="00C66A38"/>
    <w:rsid w:val="00C9296E"/>
    <w:rsid w:val="00CD00A3"/>
    <w:rsid w:val="00CD3855"/>
    <w:rsid w:val="00CD6733"/>
    <w:rsid w:val="00CE52AA"/>
    <w:rsid w:val="00D259CA"/>
    <w:rsid w:val="00D519A1"/>
    <w:rsid w:val="00D61C6A"/>
    <w:rsid w:val="00D73AE1"/>
    <w:rsid w:val="00DA55E2"/>
    <w:rsid w:val="00DA65DA"/>
    <w:rsid w:val="00DE5614"/>
    <w:rsid w:val="00DE602D"/>
    <w:rsid w:val="00E02828"/>
    <w:rsid w:val="00E369A1"/>
    <w:rsid w:val="00E42CFB"/>
    <w:rsid w:val="00EB0FB9"/>
    <w:rsid w:val="00EE1F41"/>
    <w:rsid w:val="00EE34C3"/>
    <w:rsid w:val="00F0144F"/>
    <w:rsid w:val="00F91C9F"/>
    <w:rsid w:val="00F96269"/>
    <w:rsid w:val="00FB32E8"/>
    <w:rsid w:val="00FC4B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0B57AE"/>
  <w15:chartTrackingRefBased/>
  <w15:docId w15:val="{D555042E-EECC-114C-9C27-7CD761176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4F4E"/>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7E78"/>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7C7E78"/>
  </w:style>
  <w:style w:type="paragraph" w:styleId="Footer">
    <w:name w:val="footer"/>
    <w:basedOn w:val="Normal"/>
    <w:link w:val="FooterChar"/>
    <w:uiPriority w:val="99"/>
    <w:unhideWhenUsed/>
    <w:rsid w:val="007C7E78"/>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7C7E78"/>
  </w:style>
  <w:style w:type="character" w:styleId="PageNumber">
    <w:name w:val="page number"/>
    <w:basedOn w:val="DefaultParagraphFont"/>
    <w:uiPriority w:val="99"/>
    <w:semiHidden/>
    <w:unhideWhenUsed/>
    <w:rsid w:val="007C7E78"/>
  </w:style>
  <w:style w:type="paragraph" w:styleId="ListParagraph">
    <w:name w:val="List Paragraph"/>
    <w:basedOn w:val="Normal"/>
    <w:uiPriority w:val="34"/>
    <w:qFormat/>
    <w:rsid w:val="007C7E78"/>
    <w:pPr>
      <w:ind w:left="720"/>
      <w:contextualSpacing/>
    </w:pPr>
    <w:rPr>
      <w:rFonts w:asciiTheme="minorHAnsi" w:eastAsiaTheme="minorHAnsi" w:hAnsiTheme="minorHAnsi" w:cstheme="minorBidi"/>
    </w:rPr>
  </w:style>
  <w:style w:type="character" w:styleId="Hyperlink">
    <w:name w:val="Hyperlink"/>
    <w:basedOn w:val="DefaultParagraphFont"/>
    <w:uiPriority w:val="99"/>
    <w:semiHidden/>
    <w:unhideWhenUsed/>
    <w:rsid w:val="00872346"/>
    <w:rPr>
      <w:color w:val="0000FF"/>
      <w:u w:val="single"/>
    </w:rPr>
  </w:style>
  <w:style w:type="character" w:styleId="FollowedHyperlink">
    <w:name w:val="FollowedHyperlink"/>
    <w:basedOn w:val="DefaultParagraphFont"/>
    <w:uiPriority w:val="99"/>
    <w:semiHidden/>
    <w:unhideWhenUsed/>
    <w:rsid w:val="00F91C9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547108">
      <w:bodyDiv w:val="1"/>
      <w:marLeft w:val="0"/>
      <w:marRight w:val="0"/>
      <w:marTop w:val="0"/>
      <w:marBottom w:val="0"/>
      <w:divBdr>
        <w:top w:val="none" w:sz="0" w:space="0" w:color="auto"/>
        <w:left w:val="none" w:sz="0" w:space="0" w:color="auto"/>
        <w:bottom w:val="none" w:sz="0" w:space="0" w:color="auto"/>
        <w:right w:val="none" w:sz="0" w:space="0" w:color="auto"/>
      </w:divBdr>
    </w:div>
    <w:div w:id="129830404">
      <w:bodyDiv w:val="1"/>
      <w:marLeft w:val="0"/>
      <w:marRight w:val="0"/>
      <w:marTop w:val="0"/>
      <w:marBottom w:val="0"/>
      <w:divBdr>
        <w:top w:val="none" w:sz="0" w:space="0" w:color="auto"/>
        <w:left w:val="none" w:sz="0" w:space="0" w:color="auto"/>
        <w:bottom w:val="none" w:sz="0" w:space="0" w:color="auto"/>
        <w:right w:val="none" w:sz="0" w:space="0" w:color="auto"/>
      </w:divBdr>
    </w:div>
    <w:div w:id="133722980">
      <w:bodyDiv w:val="1"/>
      <w:marLeft w:val="0"/>
      <w:marRight w:val="0"/>
      <w:marTop w:val="0"/>
      <w:marBottom w:val="0"/>
      <w:divBdr>
        <w:top w:val="none" w:sz="0" w:space="0" w:color="auto"/>
        <w:left w:val="none" w:sz="0" w:space="0" w:color="auto"/>
        <w:bottom w:val="none" w:sz="0" w:space="0" w:color="auto"/>
        <w:right w:val="none" w:sz="0" w:space="0" w:color="auto"/>
      </w:divBdr>
    </w:div>
    <w:div w:id="143208196">
      <w:bodyDiv w:val="1"/>
      <w:marLeft w:val="0"/>
      <w:marRight w:val="0"/>
      <w:marTop w:val="0"/>
      <w:marBottom w:val="0"/>
      <w:divBdr>
        <w:top w:val="none" w:sz="0" w:space="0" w:color="auto"/>
        <w:left w:val="none" w:sz="0" w:space="0" w:color="auto"/>
        <w:bottom w:val="none" w:sz="0" w:space="0" w:color="auto"/>
        <w:right w:val="none" w:sz="0" w:space="0" w:color="auto"/>
      </w:divBdr>
    </w:div>
    <w:div w:id="155733462">
      <w:bodyDiv w:val="1"/>
      <w:marLeft w:val="0"/>
      <w:marRight w:val="0"/>
      <w:marTop w:val="0"/>
      <w:marBottom w:val="0"/>
      <w:divBdr>
        <w:top w:val="none" w:sz="0" w:space="0" w:color="auto"/>
        <w:left w:val="none" w:sz="0" w:space="0" w:color="auto"/>
        <w:bottom w:val="none" w:sz="0" w:space="0" w:color="auto"/>
        <w:right w:val="none" w:sz="0" w:space="0" w:color="auto"/>
      </w:divBdr>
    </w:div>
    <w:div w:id="176311698">
      <w:bodyDiv w:val="1"/>
      <w:marLeft w:val="0"/>
      <w:marRight w:val="0"/>
      <w:marTop w:val="0"/>
      <w:marBottom w:val="0"/>
      <w:divBdr>
        <w:top w:val="none" w:sz="0" w:space="0" w:color="auto"/>
        <w:left w:val="none" w:sz="0" w:space="0" w:color="auto"/>
        <w:bottom w:val="none" w:sz="0" w:space="0" w:color="auto"/>
        <w:right w:val="none" w:sz="0" w:space="0" w:color="auto"/>
      </w:divBdr>
      <w:divsChild>
        <w:div w:id="1409577784">
          <w:marLeft w:val="0"/>
          <w:marRight w:val="0"/>
          <w:marTop w:val="0"/>
          <w:marBottom w:val="0"/>
          <w:divBdr>
            <w:top w:val="none" w:sz="0" w:space="0" w:color="auto"/>
            <w:left w:val="none" w:sz="0" w:space="0" w:color="auto"/>
            <w:bottom w:val="none" w:sz="0" w:space="0" w:color="auto"/>
            <w:right w:val="none" w:sz="0" w:space="0" w:color="auto"/>
          </w:divBdr>
        </w:div>
        <w:div w:id="1641500947">
          <w:marLeft w:val="0"/>
          <w:marRight w:val="0"/>
          <w:marTop w:val="0"/>
          <w:marBottom w:val="0"/>
          <w:divBdr>
            <w:top w:val="none" w:sz="0" w:space="0" w:color="auto"/>
            <w:left w:val="none" w:sz="0" w:space="0" w:color="auto"/>
            <w:bottom w:val="none" w:sz="0" w:space="0" w:color="auto"/>
            <w:right w:val="none" w:sz="0" w:space="0" w:color="auto"/>
          </w:divBdr>
        </w:div>
        <w:div w:id="1770736292">
          <w:marLeft w:val="0"/>
          <w:marRight w:val="0"/>
          <w:marTop w:val="0"/>
          <w:marBottom w:val="0"/>
          <w:divBdr>
            <w:top w:val="none" w:sz="0" w:space="0" w:color="auto"/>
            <w:left w:val="none" w:sz="0" w:space="0" w:color="auto"/>
            <w:bottom w:val="none" w:sz="0" w:space="0" w:color="auto"/>
            <w:right w:val="none" w:sz="0" w:space="0" w:color="auto"/>
          </w:divBdr>
        </w:div>
      </w:divsChild>
    </w:div>
    <w:div w:id="268125591">
      <w:bodyDiv w:val="1"/>
      <w:marLeft w:val="0"/>
      <w:marRight w:val="0"/>
      <w:marTop w:val="0"/>
      <w:marBottom w:val="0"/>
      <w:divBdr>
        <w:top w:val="none" w:sz="0" w:space="0" w:color="auto"/>
        <w:left w:val="none" w:sz="0" w:space="0" w:color="auto"/>
        <w:bottom w:val="none" w:sz="0" w:space="0" w:color="auto"/>
        <w:right w:val="none" w:sz="0" w:space="0" w:color="auto"/>
      </w:divBdr>
    </w:div>
    <w:div w:id="300619310">
      <w:bodyDiv w:val="1"/>
      <w:marLeft w:val="0"/>
      <w:marRight w:val="0"/>
      <w:marTop w:val="0"/>
      <w:marBottom w:val="0"/>
      <w:divBdr>
        <w:top w:val="none" w:sz="0" w:space="0" w:color="auto"/>
        <w:left w:val="none" w:sz="0" w:space="0" w:color="auto"/>
        <w:bottom w:val="none" w:sz="0" w:space="0" w:color="auto"/>
        <w:right w:val="none" w:sz="0" w:space="0" w:color="auto"/>
      </w:divBdr>
    </w:div>
    <w:div w:id="525368552">
      <w:bodyDiv w:val="1"/>
      <w:marLeft w:val="0"/>
      <w:marRight w:val="0"/>
      <w:marTop w:val="0"/>
      <w:marBottom w:val="0"/>
      <w:divBdr>
        <w:top w:val="none" w:sz="0" w:space="0" w:color="auto"/>
        <w:left w:val="none" w:sz="0" w:space="0" w:color="auto"/>
        <w:bottom w:val="none" w:sz="0" w:space="0" w:color="auto"/>
        <w:right w:val="none" w:sz="0" w:space="0" w:color="auto"/>
      </w:divBdr>
    </w:div>
    <w:div w:id="595557237">
      <w:bodyDiv w:val="1"/>
      <w:marLeft w:val="0"/>
      <w:marRight w:val="0"/>
      <w:marTop w:val="0"/>
      <w:marBottom w:val="0"/>
      <w:divBdr>
        <w:top w:val="none" w:sz="0" w:space="0" w:color="auto"/>
        <w:left w:val="none" w:sz="0" w:space="0" w:color="auto"/>
        <w:bottom w:val="none" w:sz="0" w:space="0" w:color="auto"/>
        <w:right w:val="none" w:sz="0" w:space="0" w:color="auto"/>
      </w:divBdr>
    </w:div>
    <w:div w:id="623659815">
      <w:bodyDiv w:val="1"/>
      <w:marLeft w:val="0"/>
      <w:marRight w:val="0"/>
      <w:marTop w:val="0"/>
      <w:marBottom w:val="0"/>
      <w:divBdr>
        <w:top w:val="none" w:sz="0" w:space="0" w:color="auto"/>
        <w:left w:val="none" w:sz="0" w:space="0" w:color="auto"/>
        <w:bottom w:val="none" w:sz="0" w:space="0" w:color="auto"/>
        <w:right w:val="none" w:sz="0" w:space="0" w:color="auto"/>
      </w:divBdr>
    </w:div>
    <w:div w:id="676078048">
      <w:bodyDiv w:val="1"/>
      <w:marLeft w:val="0"/>
      <w:marRight w:val="0"/>
      <w:marTop w:val="0"/>
      <w:marBottom w:val="0"/>
      <w:divBdr>
        <w:top w:val="none" w:sz="0" w:space="0" w:color="auto"/>
        <w:left w:val="none" w:sz="0" w:space="0" w:color="auto"/>
        <w:bottom w:val="none" w:sz="0" w:space="0" w:color="auto"/>
        <w:right w:val="none" w:sz="0" w:space="0" w:color="auto"/>
      </w:divBdr>
    </w:div>
    <w:div w:id="682820820">
      <w:bodyDiv w:val="1"/>
      <w:marLeft w:val="0"/>
      <w:marRight w:val="0"/>
      <w:marTop w:val="0"/>
      <w:marBottom w:val="0"/>
      <w:divBdr>
        <w:top w:val="none" w:sz="0" w:space="0" w:color="auto"/>
        <w:left w:val="none" w:sz="0" w:space="0" w:color="auto"/>
        <w:bottom w:val="none" w:sz="0" w:space="0" w:color="auto"/>
        <w:right w:val="none" w:sz="0" w:space="0" w:color="auto"/>
      </w:divBdr>
    </w:div>
    <w:div w:id="713695649">
      <w:bodyDiv w:val="1"/>
      <w:marLeft w:val="0"/>
      <w:marRight w:val="0"/>
      <w:marTop w:val="0"/>
      <w:marBottom w:val="0"/>
      <w:divBdr>
        <w:top w:val="none" w:sz="0" w:space="0" w:color="auto"/>
        <w:left w:val="none" w:sz="0" w:space="0" w:color="auto"/>
        <w:bottom w:val="none" w:sz="0" w:space="0" w:color="auto"/>
        <w:right w:val="none" w:sz="0" w:space="0" w:color="auto"/>
      </w:divBdr>
    </w:div>
    <w:div w:id="893002502">
      <w:bodyDiv w:val="1"/>
      <w:marLeft w:val="0"/>
      <w:marRight w:val="0"/>
      <w:marTop w:val="0"/>
      <w:marBottom w:val="0"/>
      <w:divBdr>
        <w:top w:val="none" w:sz="0" w:space="0" w:color="auto"/>
        <w:left w:val="none" w:sz="0" w:space="0" w:color="auto"/>
        <w:bottom w:val="none" w:sz="0" w:space="0" w:color="auto"/>
        <w:right w:val="none" w:sz="0" w:space="0" w:color="auto"/>
      </w:divBdr>
    </w:div>
    <w:div w:id="941298698">
      <w:bodyDiv w:val="1"/>
      <w:marLeft w:val="0"/>
      <w:marRight w:val="0"/>
      <w:marTop w:val="0"/>
      <w:marBottom w:val="0"/>
      <w:divBdr>
        <w:top w:val="none" w:sz="0" w:space="0" w:color="auto"/>
        <w:left w:val="none" w:sz="0" w:space="0" w:color="auto"/>
        <w:bottom w:val="none" w:sz="0" w:space="0" w:color="auto"/>
        <w:right w:val="none" w:sz="0" w:space="0" w:color="auto"/>
      </w:divBdr>
    </w:div>
    <w:div w:id="1043600021">
      <w:bodyDiv w:val="1"/>
      <w:marLeft w:val="0"/>
      <w:marRight w:val="0"/>
      <w:marTop w:val="0"/>
      <w:marBottom w:val="0"/>
      <w:divBdr>
        <w:top w:val="none" w:sz="0" w:space="0" w:color="auto"/>
        <w:left w:val="none" w:sz="0" w:space="0" w:color="auto"/>
        <w:bottom w:val="none" w:sz="0" w:space="0" w:color="auto"/>
        <w:right w:val="none" w:sz="0" w:space="0" w:color="auto"/>
      </w:divBdr>
    </w:div>
    <w:div w:id="1177883407">
      <w:bodyDiv w:val="1"/>
      <w:marLeft w:val="0"/>
      <w:marRight w:val="0"/>
      <w:marTop w:val="0"/>
      <w:marBottom w:val="0"/>
      <w:divBdr>
        <w:top w:val="none" w:sz="0" w:space="0" w:color="auto"/>
        <w:left w:val="none" w:sz="0" w:space="0" w:color="auto"/>
        <w:bottom w:val="none" w:sz="0" w:space="0" w:color="auto"/>
        <w:right w:val="none" w:sz="0" w:space="0" w:color="auto"/>
      </w:divBdr>
    </w:div>
    <w:div w:id="1220021268">
      <w:bodyDiv w:val="1"/>
      <w:marLeft w:val="0"/>
      <w:marRight w:val="0"/>
      <w:marTop w:val="0"/>
      <w:marBottom w:val="0"/>
      <w:divBdr>
        <w:top w:val="none" w:sz="0" w:space="0" w:color="auto"/>
        <w:left w:val="none" w:sz="0" w:space="0" w:color="auto"/>
        <w:bottom w:val="none" w:sz="0" w:space="0" w:color="auto"/>
        <w:right w:val="none" w:sz="0" w:space="0" w:color="auto"/>
      </w:divBdr>
    </w:div>
    <w:div w:id="1225065176">
      <w:bodyDiv w:val="1"/>
      <w:marLeft w:val="0"/>
      <w:marRight w:val="0"/>
      <w:marTop w:val="0"/>
      <w:marBottom w:val="0"/>
      <w:divBdr>
        <w:top w:val="none" w:sz="0" w:space="0" w:color="auto"/>
        <w:left w:val="none" w:sz="0" w:space="0" w:color="auto"/>
        <w:bottom w:val="none" w:sz="0" w:space="0" w:color="auto"/>
        <w:right w:val="none" w:sz="0" w:space="0" w:color="auto"/>
      </w:divBdr>
    </w:div>
    <w:div w:id="1225069232">
      <w:bodyDiv w:val="1"/>
      <w:marLeft w:val="0"/>
      <w:marRight w:val="0"/>
      <w:marTop w:val="0"/>
      <w:marBottom w:val="0"/>
      <w:divBdr>
        <w:top w:val="none" w:sz="0" w:space="0" w:color="auto"/>
        <w:left w:val="none" w:sz="0" w:space="0" w:color="auto"/>
        <w:bottom w:val="none" w:sz="0" w:space="0" w:color="auto"/>
        <w:right w:val="none" w:sz="0" w:space="0" w:color="auto"/>
      </w:divBdr>
    </w:div>
    <w:div w:id="1258100905">
      <w:bodyDiv w:val="1"/>
      <w:marLeft w:val="0"/>
      <w:marRight w:val="0"/>
      <w:marTop w:val="0"/>
      <w:marBottom w:val="0"/>
      <w:divBdr>
        <w:top w:val="none" w:sz="0" w:space="0" w:color="auto"/>
        <w:left w:val="none" w:sz="0" w:space="0" w:color="auto"/>
        <w:bottom w:val="none" w:sz="0" w:space="0" w:color="auto"/>
        <w:right w:val="none" w:sz="0" w:space="0" w:color="auto"/>
      </w:divBdr>
    </w:div>
    <w:div w:id="1296183525">
      <w:bodyDiv w:val="1"/>
      <w:marLeft w:val="0"/>
      <w:marRight w:val="0"/>
      <w:marTop w:val="0"/>
      <w:marBottom w:val="0"/>
      <w:divBdr>
        <w:top w:val="none" w:sz="0" w:space="0" w:color="auto"/>
        <w:left w:val="none" w:sz="0" w:space="0" w:color="auto"/>
        <w:bottom w:val="none" w:sz="0" w:space="0" w:color="auto"/>
        <w:right w:val="none" w:sz="0" w:space="0" w:color="auto"/>
      </w:divBdr>
    </w:div>
    <w:div w:id="1424646303">
      <w:bodyDiv w:val="1"/>
      <w:marLeft w:val="0"/>
      <w:marRight w:val="0"/>
      <w:marTop w:val="0"/>
      <w:marBottom w:val="0"/>
      <w:divBdr>
        <w:top w:val="none" w:sz="0" w:space="0" w:color="auto"/>
        <w:left w:val="none" w:sz="0" w:space="0" w:color="auto"/>
        <w:bottom w:val="none" w:sz="0" w:space="0" w:color="auto"/>
        <w:right w:val="none" w:sz="0" w:space="0" w:color="auto"/>
      </w:divBdr>
    </w:div>
    <w:div w:id="1557277359">
      <w:bodyDiv w:val="1"/>
      <w:marLeft w:val="0"/>
      <w:marRight w:val="0"/>
      <w:marTop w:val="0"/>
      <w:marBottom w:val="0"/>
      <w:divBdr>
        <w:top w:val="none" w:sz="0" w:space="0" w:color="auto"/>
        <w:left w:val="none" w:sz="0" w:space="0" w:color="auto"/>
        <w:bottom w:val="none" w:sz="0" w:space="0" w:color="auto"/>
        <w:right w:val="none" w:sz="0" w:space="0" w:color="auto"/>
      </w:divBdr>
    </w:div>
    <w:div w:id="1621496348">
      <w:bodyDiv w:val="1"/>
      <w:marLeft w:val="0"/>
      <w:marRight w:val="0"/>
      <w:marTop w:val="0"/>
      <w:marBottom w:val="0"/>
      <w:divBdr>
        <w:top w:val="none" w:sz="0" w:space="0" w:color="auto"/>
        <w:left w:val="none" w:sz="0" w:space="0" w:color="auto"/>
        <w:bottom w:val="none" w:sz="0" w:space="0" w:color="auto"/>
        <w:right w:val="none" w:sz="0" w:space="0" w:color="auto"/>
      </w:divBdr>
    </w:div>
    <w:div w:id="1650479130">
      <w:bodyDiv w:val="1"/>
      <w:marLeft w:val="0"/>
      <w:marRight w:val="0"/>
      <w:marTop w:val="0"/>
      <w:marBottom w:val="0"/>
      <w:divBdr>
        <w:top w:val="none" w:sz="0" w:space="0" w:color="auto"/>
        <w:left w:val="none" w:sz="0" w:space="0" w:color="auto"/>
        <w:bottom w:val="none" w:sz="0" w:space="0" w:color="auto"/>
        <w:right w:val="none" w:sz="0" w:space="0" w:color="auto"/>
      </w:divBdr>
    </w:div>
    <w:div w:id="1663774267">
      <w:bodyDiv w:val="1"/>
      <w:marLeft w:val="0"/>
      <w:marRight w:val="0"/>
      <w:marTop w:val="0"/>
      <w:marBottom w:val="0"/>
      <w:divBdr>
        <w:top w:val="none" w:sz="0" w:space="0" w:color="auto"/>
        <w:left w:val="none" w:sz="0" w:space="0" w:color="auto"/>
        <w:bottom w:val="none" w:sz="0" w:space="0" w:color="auto"/>
        <w:right w:val="none" w:sz="0" w:space="0" w:color="auto"/>
      </w:divBdr>
    </w:div>
    <w:div w:id="1806240744">
      <w:bodyDiv w:val="1"/>
      <w:marLeft w:val="0"/>
      <w:marRight w:val="0"/>
      <w:marTop w:val="0"/>
      <w:marBottom w:val="0"/>
      <w:divBdr>
        <w:top w:val="none" w:sz="0" w:space="0" w:color="auto"/>
        <w:left w:val="none" w:sz="0" w:space="0" w:color="auto"/>
        <w:bottom w:val="none" w:sz="0" w:space="0" w:color="auto"/>
        <w:right w:val="none" w:sz="0" w:space="0" w:color="auto"/>
      </w:divBdr>
    </w:div>
    <w:div w:id="1843668113">
      <w:bodyDiv w:val="1"/>
      <w:marLeft w:val="0"/>
      <w:marRight w:val="0"/>
      <w:marTop w:val="0"/>
      <w:marBottom w:val="0"/>
      <w:divBdr>
        <w:top w:val="none" w:sz="0" w:space="0" w:color="auto"/>
        <w:left w:val="none" w:sz="0" w:space="0" w:color="auto"/>
        <w:bottom w:val="none" w:sz="0" w:space="0" w:color="auto"/>
        <w:right w:val="none" w:sz="0" w:space="0" w:color="auto"/>
      </w:divBdr>
    </w:div>
    <w:div w:id="1907840401">
      <w:bodyDiv w:val="1"/>
      <w:marLeft w:val="0"/>
      <w:marRight w:val="0"/>
      <w:marTop w:val="0"/>
      <w:marBottom w:val="0"/>
      <w:divBdr>
        <w:top w:val="none" w:sz="0" w:space="0" w:color="auto"/>
        <w:left w:val="none" w:sz="0" w:space="0" w:color="auto"/>
        <w:bottom w:val="none" w:sz="0" w:space="0" w:color="auto"/>
        <w:right w:val="none" w:sz="0" w:space="0" w:color="auto"/>
      </w:divBdr>
    </w:div>
    <w:div w:id="1930384101">
      <w:bodyDiv w:val="1"/>
      <w:marLeft w:val="0"/>
      <w:marRight w:val="0"/>
      <w:marTop w:val="0"/>
      <w:marBottom w:val="0"/>
      <w:divBdr>
        <w:top w:val="none" w:sz="0" w:space="0" w:color="auto"/>
        <w:left w:val="none" w:sz="0" w:space="0" w:color="auto"/>
        <w:bottom w:val="none" w:sz="0" w:space="0" w:color="auto"/>
        <w:right w:val="none" w:sz="0" w:space="0" w:color="auto"/>
      </w:divBdr>
    </w:div>
    <w:div w:id="1931505745">
      <w:bodyDiv w:val="1"/>
      <w:marLeft w:val="0"/>
      <w:marRight w:val="0"/>
      <w:marTop w:val="0"/>
      <w:marBottom w:val="0"/>
      <w:divBdr>
        <w:top w:val="none" w:sz="0" w:space="0" w:color="auto"/>
        <w:left w:val="none" w:sz="0" w:space="0" w:color="auto"/>
        <w:bottom w:val="none" w:sz="0" w:space="0" w:color="auto"/>
        <w:right w:val="none" w:sz="0" w:space="0" w:color="auto"/>
      </w:divBdr>
    </w:div>
    <w:div w:id="1992127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article/10.1007/s00426-014-0575-3" TargetMode="External"/><Relationship Id="rId18" Type="http://schemas.openxmlformats.org/officeDocument/2006/relationships/hyperlink" Target="http://journal.nystesol.org/january2018/6Lynch.pdf" TargetMode="External"/><Relationship Id="rId26" Type="http://schemas.openxmlformats.org/officeDocument/2006/relationships/hyperlink" Target="https://www.meithrin.cymru/blog/i/115415/desc/sandwich-brechdan-panini-or-baguette-we-need-a-change-to-our-daily-bread-when-presenting-welsh-to-young-children/" TargetMode="External"/><Relationship Id="rId39" Type="http://schemas.openxmlformats.org/officeDocument/2006/relationships/footer" Target="footer1.xml"/><Relationship Id="rId21" Type="http://schemas.openxmlformats.org/officeDocument/2006/relationships/hyperlink" Target="https://eric.ed.gov/?id=EJ995609" TargetMode="External"/><Relationship Id="rId34" Type="http://schemas.openxmlformats.org/officeDocument/2006/relationships/hyperlink" Target="http://www.unilibre.edu.co/bogota/pdfs/2016/mc16.pdf" TargetMode="External"/><Relationship Id="rId42" Type="http://schemas.openxmlformats.org/officeDocument/2006/relationships/theme" Target="theme/theme1.xml"/><Relationship Id="rId7" Type="http://schemas.openxmlformats.org/officeDocument/2006/relationships/hyperlink" Target="https://www.researchgate.net/publication/299657682_The_strengths_and_weaknesses_of_code_switching_and_bilingualism_in_the_language_classroom" TargetMode="External"/><Relationship Id="rId2" Type="http://schemas.openxmlformats.org/officeDocument/2006/relationships/styles" Target="styles.xml"/><Relationship Id="rId16" Type="http://schemas.openxmlformats.org/officeDocument/2006/relationships/hyperlink" Target="https://www.estyn.gov.wales/effective-practice/supporting-pupils-english-additional-language-help-them-integrate" TargetMode="External"/><Relationship Id="rId20" Type="http://schemas.openxmlformats.org/officeDocument/2006/relationships/hyperlink" Target="https://brainvolts.northwestern.edu/documents/KrausChandrasekeran_NRN10.pdf" TargetMode="External"/><Relationship Id="rId29" Type="http://schemas.openxmlformats.org/officeDocument/2006/relationships/hyperlink" Target="https://www2.oxfordshire.gov.uk/cms/sites/default/files/folders/documents/childreneducationandfamilies/informationforchildcareproviders/Toolkit/eal_guidance.PDF"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rontiersin.org/articles/10.3389/fpsyg.2012.00327/full" TargetMode="External"/><Relationship Id="rId24" Type="http://schemas.openxmlformats.org/officeDocument/2006/relationships/hyperlink" Target="http://fanconij.faculty.mjc.edu/theoriest.pdf" TargetMode="External"/><Relationship Id="rId32" Type="http://schemas.openxmlformats.org/officeDocument/2006/relationships/hyperlink" Target="https://www.nammfoundation.org/educator-resources/why-learn-play-music-advocacy-brochure-0" TargetMode="External"/><Relationship Id="rId37" Type="http://schemas.openxmlformats.org/officeDocument/2006/relationships/hyperlink" Target="https://gov.wales/welsh-additional-language-wal-0" TargetMode="External"/><Relationship Id="rId40"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britishcouncil.org/voices-magazine/how-uk-schools-support-young-learners-english" TargetMode="External"/><Relationship Id="rId23" Type="http://schemas.openxmlformats.org/officeDocument/2006/relationships/hyperlink" Target="https://core.ac.uk/download/pdf/82239319.pdf" TargetMode="External"/><Relationship Id="rId28" Type="http://schemas.openxmlformats.org/officeDocument/2006/relationships/hyperlink" Target="https://www.cam.ac.uk/research/discussion/opinion-there-are-also-drawbacks-to-being-bilingual" TargetMode="External"/><Relationship Id="rId36" Type="http://schemas.openxmlformats.org/officeDocument/2006/relationships/hyperlink" Target="https://gov.wales/preparing-new-curriculum" TargetMode="External"/><Relationship Id="rId10" Type="http://schemas.openxmlformats.org/officeDocument/2006/relationships/hyperlink" Target="https://www.ncbi.nlm.nih.gov/pmc/articles/PMC3322418/" TargetMode="External"/><Relationship Id="rId19" Type="http://schemas.openxmlformats.org/officeDocument/2006/relationships/hyperlink" Target="https://wesscholar.wesleyan.edu/cgi/viewcontent.cgi?referer=https://scholar.google.co.uk/&amp;httpsredir=1&amp;article=2567&amp;context=etd_hon_theses" TargetMode="External"/><Relationship Id="rId31" Type="http://schemas.openxmlformats.org/officeDocument/2006/relationships/hyperlink" Target="https://www.linguisticsociety.org/resource/faq-raising-bilingual-children" TargetMode="External"/><Relationship Id="rId4" Type="http://schemas.openxmlformats.org/officeDocument/2006/relationships/webSettings" Target="webSettings.xml"/><Relationship Id="rId9" Type="http://schemas.openxmlformats.org/officeDocument/2006/relationships/hyperlink" Target="https://www.bbc.co.uk/news/education-27263790" TargetMode="External"/><Relationship Id="rId14" Type="http://schemas.openxmlformats.org/officeDocument/2006/relationships/hyperlink" Target="https://gov.wales/docs/dcells/publications/150225-successful-futures-en.pdf" TargetMode="External"/><Relationship Id="rId22" Type="http://schemas.openxmlformats.org/officeDocument/2006/relationships/hyperlink" Target="https://www.ncbi.nlm.nih.gov/pmc/articles/PMC3583091/" TargetMode="External"/><Relationship Id="rId27" Type="http://schemas.openxmlformats.org/officeDocument/2006/relationships/hyperlink" Target="https://www.researchgate.net/profile/Martine_Poncelet/publication/259433307_Cognitive_advantage_in_children_enrolled_in_a_second-language_immersion_elementary_school_program_for_three_years/links/560fc28d08ae6b29b49a79dd.pdf" TargetMode="External"/><Relationship Id="rId30" Type="http://schemas.openxmlformats.org/officeDocument/2006/relationships/hyperlink" Target="https://www.pitt.edu/~strauss/origins_r.pdf" TargetMode="External"/><Relationship Id="rId35" Type="http://schemas.openxmlformats.org/officeDocument/2006/relationships/hyperlink" Target="https://books.google.co.uk/books?hl=en&amp;lr=&amp;id=Irq913lEZ1QC&amp;oi=fnd&amp;pg=PR13&amp;dq=Vygotsky,+L.+(1978)+The+Development+of+Higher+Psychological+Processes.+Cambridge:+Harvard+University+Press.&amp;ots=HaEqF2Fotg&amp;sig=h1-PNxOUc-Oka6NUmiGZcoHJoz8" TargetMode="External"/><Relationship Id="rId8" Type="http://schemas.openxmlformats.org/officeDocument/2006/relationships/hyperlink" Target="http://www.asecib.ase.ro/mps/Bandura_SocialLearningTheory.pdf" TargetMode="External"/><Relationship Id="rId3" Type="http://schemas.openxmlformats.org/officeDocument/2006/relationships/settings" Target="settings.xml"/><Relationship Id="rId12" Type="http://schemas.openxmlformats.org/officeDocument/2006/relationships/hyperlink" Target="http://www.fremdsprachendidaktik.rwth-aachen.de/Ww/Butzkamm_Caldwell_review.pdf" TargetMode="External"/><Relationship Id="rId17" Type="http://schemas.openxmlformats.org/officeDocument/2006/relationships/hyperlink" Target="https://gov.wales/sites/default/files/publications/2018-02/foundation-phase-framework-revised-2015.pdf" TargetMode="External"/><Relationship Id="rId25" Type="http://schemas.openxmlformats.org/officeDocument/2006/relationships/hyperlink" Target="https://perso.telecom-paristech.fr/rodrigez/resources/PEDAGO/montessori_works.pdf" TargetMode="External"/><Relationship Id="rId33" Type="http://schemas.openxmlformats.org/officeDocument/2006/relationships/hyperlink" Target="https://www.unicef.org/crc/files/Rights_overview.pdf"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3369</Words>
  <Characters>19205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Roberts (1800001)</dc:creator>
  <cp:keywords/>
  <dc:description/>
  <cp:lastModifiedBy>Megan Roberts (1800001)</cp:lastModifiedBy>
  <cp:revision>2</cp:revision>
  <dcterms:created xsi:type="dcterms:W3CDTF">2019-04-05T14:01:00Z</dcterms:created>
  <dcterms:modified xsi:type="dcterms:W3CDTF">2019-04-05T14:01:00Z</dcterms:modified>
</cp:coreProperties>
</file>