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5C571" w14:textId="460B1102" w:rsidR="0001591A" w:rsidRDefault="00717C69">
      <w:r>
        <w:rPr>
          <w:noProof/>
        </w:rPr>
        <w:drawing>
          <wp:inline distT="0" distB="0" distL="0" distR="0" wp14:anchorId="31984734" wp14:editId="39F068B0">
            <wp:extent cx="3340100" cy="134620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4AEAF" w14:textId="77777777" w:rsidR="00717C69" w:rsidRDefault="00717C69"/>
    <w:p w14:paraId="0DA132DD" w14:textId="77777777" w:rsidR="00717C69" w:rsidRDefault="00717C69"/>
    <w:p w14:paraId="4AB9C03C" w14:textId="77777777" w:rsidR="00717C69" w:rsidRDefault="00717C69"/>
    <w:p w14:paraId="31AF647F" w14:textId="77777777" w:rsidR="00717C69" w:rsidRPr="001E1D14" w:rsidRDefault="00717C69" w:rsidP="001E1D14">
      <w:pPr>
        <w:spacing w:line="360" w:lineRule="auto"/>
        <w:jc w:val="center"/>
        <w:rPr>
          <w:rFonts w:ascii="Arial" w:hAnsi="Arial" w:cs="Arial"/>
        </w:rPr>
      </w:pPr>
      <w:r w:rsidRPr="001E1D14">
        <w:rPr>
          <w:rFonts w:ascii="Arial" w:hAnsi="Arial" w:cs="Arial"/>
        </w:rPr>
        <w:t xml:space="preserve">Changemakers: Protecting and Supporting </w:t>
      </w:r>
    </w:p>
    <w:p w14:paraId="57930DAA" w14:textId="30AF1A2E" w:rsidR="00717C69" w:rsidRPr="001E1D14" w:rsidRDefault="00717C69" w:rsidP="001E1D14">
      <w:pPr>
        <w:spacing w:line="360" w:lineRule="auto"/>
        <w:jc w:val="center"/>
        <w:rPr>
          <w:rFonts w:ascii="Arial" w:hAnsi="Arial" w:cs="Arial"/>
        </w:rPr>
      </w:pPr>
      <w:r w:rsidRPr="001E1D14">
        <w:rPr>
          <w:rFonts w:ascii="Arial" w:hAnsi="Arial" w:cs="Arial"/>
        </w:rPr>
        <w:t>Families in Health and Care (BMHP5021)</w:t>
      </w:r>
    </w:p>
    <w:p w14:paraId="7B03BE51" w14:textId="77777777" w:rsidR="00717C69" w:rsidRDefault="00717C69" w:rsidP="001E1D14">
      <w:pPr>
        <w:spacing w:line="360" w:lineRule="auto"/>
        <w:jc w:val="center"/>
        <w:rPr>
          <w:rFonts w:ascii="Arial" w:hAnsi="Arial" w:cs="Arial"/>
        </w:rPr>
      </w:pPr>
    </w:p>
    <w:p w14:paraId="1B21B357" w14:textId="77777777" w:rsidR="001E1D14" w:rsidRDefault="001E1D14" w:rsidP="001E1D14">
      <w:pPr>
        <w:spacing w:line="360" w:lineRule="auto"/>
        <w:jc w:val="center"/>
        <w:rPr>
          <w:rFonts w:ascii="Arial" w:hAnsi="Arial" w:cs="Arial"/>
        </w:rPr>
      </w:pPr>
    </w:p>
    <w:p w14:paraId="0219BF89" w14:textId="77777777" w:rsidR="001E1D14" w:rsidRDefault="001E1D14" w:rsidP="001E1D14">
      <w:pPr>
        <w:spacing w:line="360" w:lineRule="auto"/>
        <w:jc w:val="center"/>
        <w:rPr>
          <w:rFonts w:ascii="Arial" w:hAnsi="Arial" w:cs="Arial"/>
        </w:rPr>
      </w:pPr>
    </w:p>
    <w:p w14:paraId="0F60DA57" w14:textId="63A1F48E" w:rsidR="001E1D14" w:rsidRDefault="001E1D14" w:rsidP="001E1D1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Individual Reference List</w:t>
      </w:r>
    </w:p>
    <w:p w14:paraId="7E24796E" w14:textId="631C8592" w:rsidR="001E1D14" w:rsidRPr="001E1D14" w:rsidRDefault="001E1D14" w:rsidP="001E1D14">
      <w:pPr>
        <w:spacing w:line="360" w:lineRule="auto"/>
        <w:rPr>
          <w:rFonts w:ascii="Arial" w:hAnsi="Arial" w:cs="Arial"/>
        </w:rPr>
      </w:pPr>
    </w:p>
    <w:p w14:paraId="4AF6887E" w14:textId="77777777" w:rsidR="00717C69" w:rsidRPr="001E1D14" w:rsidRDefault="00717C69" w:rsidP="001E1D14">
      <w:pPr>
        <w:spacing w:line="360" w:lineRule="auto"/>
        <w:jc w:val="center"/>
        <w:rPr>
          <w:rFonts w:ascii="Arial" w:hAnsi="Arial" w:cs="Arial"/>
        </w:rPr>
      </w:pPr>
    </w:p>
    <w:p w14:paraId="00F5F4C1" w14:textId="5423EA3A" w:rsidR="00717C69" w:rsidRPr="001E1D14" w:rsidRDefault="00717C69" w:rsidP="001E1D14">
      <w:pPr>
        <w:spacing w:line="360" w:lineRule="auto"/>
        <w:rPr>
          <w:rFonts w:ascii="Arial" w:hAnsi="Arial" w:cs="Arial"/>
        </w:rPr>
      </w:pPr>
      <w:r w:rsidRPr="001E1D14">
        <w:rPr>
          <w:rFonts w:ascii="Arial" w:hAnsi="Arial" w:cs="Arial"/>
        </w:rPr>
        <w:t>Student name: Kleber morais da silva</w:t>
      </w:r>
    </w:p>
    <w:p w14:paraId="5AD5173C" w14:textId="43BAD733" w:rsidR="00717C69" w:rsidRPr="001E1D14" w:rsidRDefault="00717C69" w:rsidP="001E1D14">
      <w:pPr>
        <w:spacing w:line="360" w:lineRule="auto"/>
        <w:rPr>
          <w:rFonts w:ascii="Arial" w:hAnsi="Arial" w:cs="Arial"/>
        </w:rPr>
      </w:pPr>
      <w:r w:rsidRPr="001E1D14">
        <w:rPr>
          <w:rFonts w:ascii="Arial" w:hAnsi="Arial" w:cs="Arial"/>
        </w:rPr>
        <w:t>Student number: 2336879</w:t>
      </w:r>
    </w:p>
    <w:p w14:paraId="07D98F64" w14:textId="5026C3E8" w:rsidR="00717C69" w:rsidRPr="001E1D14" w:rsidRDefault="00717C69" w:rsidP="001E1D14">
      <w:pPr>
        <w:spacing w:line="360" w:lineRule="auto"/>
        <w:rPr>
          <w:rFonts w:ascii="Arial" w:hAnsi="Arial" w:cs="Arial"/>
        </w:rPr>
      </w:pPr>
      <w:r w:rsidRPr="001E1D14">
        <w:rPr>
          <w:rFonts w:ascii="Arial" w:hAnsi="Arial" w:cs="Arial"/>
        </w:rPr>
        <w:t xml:space="preserve">Lecturer’s name: Diola </w:t>
      </w:r>
      <w:proofErr w:type="spellStart"/>
      <w:r w:rsidRPr="001E1D14">
        <w:rPr>
          <w:rFonts w:ascii="Arial" w:hAnsi="Arial" w:cs="Arial"/>
        </w:rPr>
        <w:t>Bijhout</w:t>
      </w:r>
      <w:proofErr w:type="spellEnd"/>
      <w:r w:rsidRPr="001E1D14">
        <w:rPr>
          <w:rFonts w:ascii="Arial" w:hAnsi="Arial" w:cs="Arial"/>
        </w:rPr>
        <w:t xml:space="preserve"> / Amanda Jones</w:t>
      </w:r>
    </w:p>
    <w:p w14:paraId="41BA0ABA" w14:textId="77777777" w:rsidR="00717C69" w:rsidRPr="001E1D14" w:rsidRDefault="00717C69" w:rsidP="001E1D14">
      <w:pPr>
        <w:spacing w:line="360" w:lineRule="auto"/>
        <w:rPr>
          <w:rFonts w:ascii="Arial" w:hAnsi="Arial" w:cs="Arial"/>
        </w:rPr>
      </w:pPr>
    </w:p>
    <w:p w14:paraId="2ED46A62" w14:textId="63AFEF4C" w:rsidR="00717C69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5DA554B4" w14:textId="77777777" w:rsidR="000877FE" w:rsidRPr="001E1D14" w:rsidRDefault="000877FE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2B3C88DE" w14:textId="77777777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6E4EBA90" w14:textId="77777777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7805E57B" w14:textId="77777777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1836F01F" w14:textId="0EA68C7D" w:rsidR="001E1D14" w:rsidRDefault="001E1D14" w:rsidP="001E1D14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1E1D14">
        <w:rPr>
          <w:rFonts w:ascii="Arial" w:hAnsi="Arial" w:cs="Arial"/>
          <w:b/>
          <w:bCs/>
          <w:color w:val="000000"/>
        </w:rPr>
        <w:lastRenderedPageBreak/>
        <w:t>Reference</w:t>
      </w:r>
    </w:p>
    <w:p w14:paraId="10EBEFB0" w14:textId="77777777" w:rsidR="001E1D14" w:rsidRPr="001E1D14" w:rsidRDefault="001E1D14" w:rsidP="001E1D14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5A7E962F" w14:textId="13A3FB65" w:rsidR="001E1D14" w:rsidRPr="001E1D14" w:rsidRDefault="000877FE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 xml:space="preserve">Aldridge, J. (2021) ‘“Not an Either/or Situation”: The Minimization of Violence Against Women </w:t>
      </w:r>
      <w:proofErr w:type="gramStart"/>
      <w:r w:rsidRPr="001E1D14">
        <w:rPr>
          <w:rFonts w:ascii="Arial" w:hAnsi="Arial" w:cs="Arial"/>
          <w:color w:val="000000"/>
        </w:rPr>
        <w:t>In</w:t>
      </w:r>
      <w:proofErr w:type="gramEnd"/>
      <w:r w:rsidRPr="001E1D14">
        <w:rPr>
          <w:rFonts w:ascii="Arial" w:hAnsi="Arial" w:cs="Arial"/>
          <w:color w:val="000000"/>
        </w:rPr>
        <w:t xml:space="preserve"> United Kingdom “Domestic Abuse” Policy’, Violence against women, 27(11), pp. 1823–1839. Available at: </w:t>
      </w:r>
      <w:hyperlink r:id="rId5" w:history="1">
        <w:r w:rsidRPr="001E1D14">
          <w:rPr>
            <w:rStyle w:val="Hyperlink"/>
            <w:rFonts w:ascii="Arial" w:hAnsi="Arial" w:cs="Arial"/>
          </w:rPr>
          <w:t>https://doi.org/10.1177/1077801220927079</w:t>
        </w:r>
      </w:hyperlink>
      <w:r w:rsidRPr="001E1D14">
        <w:rPr>
          <w:rFonts w:ascii="Arial" w:hAnsi="Arial" w:cs="Arial"/>
          <w:color w:val="000000"/>
        </w:rPr>
        <w:t>.</w:t>
      </w:r>
      <w:r w:rsidRPr="001E1D14">
        <w:rPr>
          <w:rFonts w:ascii="Arial" w:hAnsi="Arial" w:cs="Arial"/>
          <w:color w:val="000000"/>
        </w:rPr>
        <w:t xml:space="preserve"> Available at: </w:t>
      </w:r>
      <w:hyperlink r:id="rId6" w:history="1">
        <w:r w:rsidR="001E1D14" w:rsidRPr="001E1D14">
          <w:rPr>
            <w:rStyle w:val="Hyperlink"/>
            <w:rFonts w:ascii="Arial" w:hAnsi="Arial" w:cs="Arial"/>
          </w:rPr>
          <w:t>https://librarysearch.uwtsd.ac.uk/permalink/44WHELF_UWTSD/neci73/cdi_pubmedcentral_primary_oai_pubmedcentral_nih_gov_8343199</w:t>
        </w:r>
      </w:hyperlink>
      <w:r w:rsidR="001E1D14" w:rsidRPr="001E1D14">
        <w:rPr>
          <w:rFonts w:ascii="Arial" w:hAnsi="Arial" w:cs="Arial"/>
          <w:color w:val="000000"/>
        </w:rPr>
        <w:t xml:space="preserve"> Accessed: 15 Nov 2025.</w:t>
      </w:r>
    </w:p>
    <w:p w14:paraId="7754E9E9" w14:textId="14F00B8A" w:rsidR="00717C69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Children Act 2004 (UK). London: The Stationery Office.</w:t>
      </w:r>
      <w:r w:rsidR="00D55DBE" w:rsidRPr="001E1D14">
        <w:rPr>
          <w:rFonts w:ascii="Arial" w:hAnsi="Arial" w:cs="Arial"/>
          <w:color w:val="000000"/>
        </w:rPr>
        <w:t xml:space="preserve"> Available at: </w:t>
      </w:r>
      <w:hyperlink r:id="rId7" w:history="1">
        <w:r w:rsidR="00D55DBE" w:rsidRPr="001E1D1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="00D55DBE" w:rsidRPr="001E1D14">
        <w:rPr>
          <w:rFonts w:ascii="Arial" w:hAnsi="Arial" w:cs="Arial"/>
          <w:color w:val="000000"/>
        </w:rPr>
        <w:t xml:space="preserve"> Accessed: 20 Nov 2025.</w:t>
      </w:r>
    </w:p>
    <w:p w14:paraId="1FC1FC55" w14:textId="410D181A" w:rsidR="00D55DBE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Department for Education (DfE) (2023)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Keeping Children Safe in Education: Statutory guidance for schools and colleges</w:t>
      </w:r>
      <w:r w:rsidRPr="001E1D14">
        <w:rPr>
          <w:rFonts w:ascii="Arial" w:hAnsi="Arial" w:cs="Arial"/>
          <w:color w:val="000000"/>
        </w:rPr>
        <w:t>. London: DfE.</w:t>
      </w:r>
      <w:r w:rsidR="00D55DBE" w:rsidRPr="001E1D14">
        <w:rPr>
          <w:rFonts w:ascii="Arial" w:hAnsi="Arial" w:cs="Arial"/>
          <w:color w:val="000000"/>
        </w:rPr>
        <w:t xml:space="preserve"> Available at: </w:t>
      </w:r>
      <w:hyperlink r:id="rId8" w:history="1">
        <w:r w:rsidR="00D55DBE" w:rsidRPr="001E1D14">
          <w:rPr>
            <w:rStyle w:val="Hyperlink"/>
            <w:rFonts w:ascii="Arial" w:hAnsi="Arial" w:cs="Arial"/>
          </w:rPr>
          <w:t>https://assets.publishing.service.gov.uk/media/68add931969253904d155860/Keeping_children_safe_in_education_from_1_September_2025.pdf</w:t>
        </w:r>
      </w:hyperlink>
      <w:r w:rsidR="00D55DBE" w:rsidRPr="001E1D14">
        <w:rPr>
          <w:rFonts w:ascii="Arial" w:hAnsi="Arial" w:cs="Arial"/>
          <w:color w:val="000000"/>
        </w:rPr>
        <w:t xml:space="preserve"> Accessed: 19 Nov 2025.</w:t>
      </w:r>
    </w:p>
    <w:p w14:paraId="21AE8EAD" w14:textId="0CB14694" w:rsidR="001E1D14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Education Act 1996 (UK). London: HMSO.</w:t>
      </w:r>
      <w:r w:rsidR="00D55DBE" w:rsidRPr="001E1D14">
        <w:rPr>
          <w:rFonts w:ascii="Arial" w:hAnsi="Arial" w:cs="Arial"/>
          <w:color w:val="000000"/>
        </w:rPr>
        <w:t xml:space="preserve"> Available at: </w:t>
      </w:r>
      <w:hyperlink r:id="rId9" w:history="1">
        <w:r w:rsidR="00D55DBE" w:rsidRPr="001E1D14">
          <w:rPr>
            <w:rStyle w:val="Hyperlink"/>
            <w:rFonts w:ascii="Arial" w:hAnsi="Arial" w:cs="Arial"/>
          </w:rPr>
          <w:t>https://www.legislation.gov.uk/ukpga/1996/56/contents</w:t>
        </w:r>
      </w:hyperlink>
      <w:r w:rsidR="00D55DBE" w:rsidRPr="001E1D14">
        <w:rPr>
          <w:rFonts w:ascii="Arial" w:hAnsi="Arial" w:cs="Arial"/>
          <w:color w:val="000000"/>
        </w:rPr>
        <w:t xml:space="preserve"> Accessed: 20 Nov 2025.</w:t>
      </w:r>
    </w:p>
    <w:p w14:paraId="4B393A69" w14:textId="40A4562B" w:rsidR="00D55DBE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HM Government (2018)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Working Together to Safeguard Children: A guide to inter-agency working to safeguard and promote the welfare of children</w:t>
      </w:r>
      <w:r w:rsidRPr="001E1D14">
        <w:rPr>
          <w:rFonts w:ascii="Arial" w:hAnsi="Arial" w:cs="Arial"/>
          <w:color w:val="000000"/>
        </w:rPr>
        <w:t xml:space="preserve">. London: Department for Education. </w:t>
      </w:r>
      <w:proofErr w:type="spellStart"/>
      <w:r w:rsidRPr="001E1D14">
        <w:rPr>
          <w:rFonts w:ascii="Arial" w:hAnsi="Arial" w:cs="Arial"/>
          <w:color w:val="000000"/>
        </w:rPr>
        <w:t>Avaialble</w:t>
      </w:r>
      <w:proofErr w:type="spellEnd"/>
      <w:r w:rsidRPr="001E1D14">
        <w:rPr>
          <w:rFonts w:ascii="Arial" w:hAnsi="Arial" w:cs="Arial"/>
          <w:color w:val="000000"/>
        </w:rPr>
        <w:t xml:space="preserve"> at: </w:t>
      </w:r>
      <w:hyperlink r:id="rId10" w:history="1">
        <w:r w:rsidRPr="001E1D14">
          <w:rPr>
            <w:rStyle w:val="Hyperlink"/>
            <w:rFonts w:ascii="Arial" w:hAnsi="Arial" w:cs="Arial"/>
          </w:rPr>
          <w:t>https://assets.publishing.service.gov.uk/media/6849a7b67cba25f610c7db3f/Working_together_to_safeguard_children_2023_-_statutory_guidance.pdf</w:t>
        </w:r>
      </w:hyperlink>
      <w:r w:rsidRPr="001E1D14">
        <w:rPr>
          <w:rFonts w:ascii="Arial" w:hAnsi="Arial" w:cs="Arial"/>
          <w:color w:val="000000"/>
        </w:rPr>
        <w:t xml:space="preserve"> Accessed: 20 Nov 2025.</w:t>
      </w:r>
    </w:p>
    <w:p w14:paraId="41CA83AC" w14:textId="77777777" w:rsid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10D4CB09" w14:textId="77777777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7170C9A9" w14:textId="7B8A88DB" w:rsidR="00D55DBE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lastRenderedPageBreak/>
        <w:t>Home Office (2015)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Modern Slavery Act 2015</w:t>
      </w:r>
      <w:r w:rsidRPr="001E1D14">
        <w:rPr>
          <w:rFonts w:ascii="Arial" w:hAnsi="Arial" w:cs="Arial"/>
          <w:color w:val="000000"/>
        </w:rPr>
        <w:t>. London: The Stationery Office.</w:t>
      </w:r>
      <w:r w:rsidR="00D55DBE" w:rsidRPr="001E1D14">
        <w:rPr>
          <w:rFonts w:ascii="Arial" w:hAnsi="Arial" w:cs="Arial"/>
          <w:color w:val="000000"/>
        </w:rPr>
        <w:t xml:space="preserve"> Available at: </w:t>
      </w:r>
      <w:hyperlink r:id="rId11" w:history="1">
        <w:r w:rsidR="00D55DBE" w:rsidRPr="001E1D14">
          <w:rPr>
            <w:rStyle w:val="Hyperlink"/>
            <w:rFonts w:ascii="Arial" w:hAnsi="Arial" w:cs="Arial"/>
          </w:rPr>
          <w:t>https://www.legislation.gov.uk/ukpga/2015/30/contents</w:t>
        </w:r>
      </w:hyperlink>
      <w:r w:rsidR="00D55DBE" w:rsidRPr="001E1D14">
        <w:rPr>
          <w:rFonts w:ascii="Arial" w:hAnsi="Arial" w:cs="Arial"/>
          <w:color w:val="000000"/>
        </w:rPr>
        <w:t xml:space="preserve"> Accessed: 15 Nov 2025.</w:t>
      </w:r>
    </w:p>
    <w:p w14:paraId="5E5A64C1" w14:textId="7ACC517B" w:rsidR="00717C69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Home Office (2015)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Serious Crime Act 2015</w:t>
      </w:r>
      <w:r w:rsidRPr="001E1D14">
        <w:rPr>
          <w:rFonts w:ascii="Arial" w:hAnsi="Arial" w:cs="Arial"/>
          <w:color w:val="000000"/>
        </w:rPr>
        <w:t>. London: The Stationery Office.</w:t>
      </w:r>
      <w:r w:rsidR="00D02C47" w:rsidRPr="001E1D14">
        <w:rPr>
          <w:rFonts w:ascii="Arial" w:hAnsi="Arial" w:cs="Arial"/>
          <w:color w:val="000000"/>
        </w:rPr>
        <w:t xml:space="preserve"> </w:t>
      </w:r>
      <w:r w:rsidR="0058537F" w:rsidRPr="001E1D14">
        <w:rPr>
          <w:rFonts w:ascii="Arial" w:hAnsi="Arial" w:cs="Arial"/>
          <w:color w:val="000000"/>
        </w:rPr>
        <w:t>Available</w:t>
      </w:r>
      <w:r w:rsidR="00D02C47" w:rsidRPr="001E1D14">
        <w:rPr>
          <w:rFonts w:ascii="Arial" w:hAnsi="Arial" w:cs="Arial"/>
          <w:color w:val="000000"/>
        </w:rPr>
        <w:t xml:space="preserve"> at: </w:t>
      </w:r>
      <w:hyperlink r:id="rId12" w:history="1">
        <w:r w:rsidR="00D02C47" w:rsidRPr="001E1D14">
          <w:rPr>
            <w:rStyle w:val="Hyperlink"/>
            <w:rFonts w:ascii="Arial" w:hAnsi="Arial" w:cs="Arial"/>
          </w:rPr>
          <w:t>https://www.gov.uk/government/collections/serious-crime-bill</w:t>
        </w:r>
      </w:hyperlink>
      <w:r w:rsidR="00D02C47" w:rsidRPr="001E1D14">
        <w:rPr>
          <w:rFonts w:ascii="Arial" w:hAnsi="Arial" w:cs="Arial"/>
          <w:color w:val="000000"/>
        </w:rPr>
        <w:t xml:space="preserve"> Accessed: 13 Nov 2025.</w:t>
      </w:r>
    </w:p>
    <w:p w14:paraId="3E17FBFC" w14:textId="61625AF2" w:rsidR="00D02C47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IPPR (2017)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Serious Youth Violence in England and Wales</w:t>
      </w:r>
      <w:r w:rsidRPr="001E1D14">
        <w:rPr>
          <w:rFonts w:ascii="Arial" w:hAnsi="Arial" w:cs="Arial"/>
          <w:color w:val="000000"/>
        </w:rPr>
        <w:t xml:space="preserve">. London: Institute for Public Policy Research. Available at: </w:t>
      </w:r>
      <w:hyperlink r:id="rId13" w:history="1">
        <w:r w:rsidRPr="001E1D14">
          <w:rPr>
            <w:rStyle w:val="Hyperlink"/>
            <w:rFonts w:ascii="Arial" w:hAnsi="Arial" w:cs="Arial"/>
          </w:rPr>
          <w:t>https://www.ippr.org/media-office/revealed-school-exclusions-and-suspensions-rise-by-a-fifth-last-year-finds-new-report</w:t>
        </w:r>
      </w:hyperlink>
      <w:r w:rsidRPr="001E1D14">
        <w:rPr>
          <w:rFonts w:ascii="Arial" w:hAnsi="Arial" w:cs="Arial"/>
          <w:color w:val="000000"/>
        </w:rPr>
        <w:t xml:space="preserve">  Accessed: 15 Nov 2025</w:t>
      </w:r>
      <w:r w:rsidRPr="001E1D14">
        <w:rPr>
          <w:rFonts w:ascii="Arial" w:hAnsi="Arial" w:cs="Arial"/>
          <w:color w:val="000000"/>
        </w:rPr>
        <w:t>.</w:t>
      </w:r>
    </w:p>
    <w:p w14:paraId="646221E2" w14:textId="50BA4B88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 xml:space="preserve">Neaverson, A. and Lake, A. (2023) ‘Barriers experienced with multi-agency responses to county line gangs: a focus group study’, Journal of children’s services, 18(1), pp. 61–77. Available at: </w:t>
      </w:r>
      <w:hyperlink r:id="rId14" w:history="1">
        <w:r w:rsidRPr="001E1D14">
          <w:rPr>
            <w:rStyle w:val="Hyperlink"/>
            <w:rFonts w:ascii="Arial" w:hAnsi="Arial" w:cs="Arial"/>
          </w:rPr>
          <w:t>https://doi.org/10.1108/JCS-03-2022-0012</w:t>
        </w:r>
      </w:hyperlink>
      <w:r w:rsidRPr="001E1D14">
        <w:rPr>
          <w:rFonts w:ascii="Arial" w:hAnsi="Arial" w:cs="Arial"/>
          <w:color w:val="000000"/>
        </w:rPr>
        <w:t xml:space="preserve">. Available at: </w:t>
      </w:r>
      <w:hyperlink r:id="rId15" w:history="1">
        <w:r w:rsidRPr="001E1D14">
          <w:rPr>
            <w:rStyle w:val="Hyperlink"/>
            <w:rFonts w:ascii="Arial" w:hAnsi="Arial" w:cs="Arial"/>
          </w:rPr>
          <w:t>https://librarysearch.uwtsd.ac.uk/permalink/44WHELF_UWTSD/neci73/cdi_proquest_journals_2781514603</w:t>
        </w:r>
      </w:hyperlink>
      <w:r w:rsidRPr="001E1D14">
        <w:rPr>
          <w:rFonts w:ascii="Arial" w:hAnsi="Arial" w:cs="Arial"/>
          <w:color w:val="000000"/>
        </w:rPr>
        <w:t xml:space="preserve"> Accessed: 20 Nov 2025.</w:t>
      </w:r>
    </w:p>
    <w:p w14:paraId="5EECACFA" w14:textId="0D892523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National Crime Agency (2019)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County Lines Drug Dealing and Exploitation</w:t>
      </w:r>
      <w:r w:rsidRPr="001E1D14">
        <w:rPr>
          <w:rFonts w:ascii="Arial" w:hAnsi="Arial" w:cs="Arial"/>
          <w:color w:val="000000"/>
        </w:rPr>
        <w:t xml:space="preserve">. London: NCA. Available at: </w:t>
      </w:r>
      <w:hyperlink r:id="rId16" w:history="1">
        <w:r w:rsidRPr="001E1D14">
          <w:rPr>
            <w:rStyle w:val="Hyperlink"/>
            <w:rFonts w:ascii="Arial" w:hAnsi="Arial" w:cs="Arial"/>
          </w:rPr>
          <w:t>https://www.nationalcrimeagency.gov.uk/what-we-do/crime-threats/drug-trafficking/county-lines</w:t>
        </w:r>
      </w:hyperlink>
      <w:r w:rsidRPr="001E1D14">
        <w:rPr>
          <w:rFonts w:ascii="Arial" w:hAnsi="Arial" w:cs="Arial"/>
          <w:color w:val="000000"/>
        </w:rPr>
        <w:t xml:space="preserve"> Accessed: 15 Nov 2025</w:t>
      </w:r>
      <w:r w:rsidRPr="001E1D14">
        <w:rPr>
          <w:rFonts w:ascii="Arial" w:hAnsi="Arial" w:cs="Arial"/>
          <w:color w:val="000000"/>
        </w:rPr>
        <w:t>.</w:t>
      </w:r>
    </w:p>
    <w:p w14:paraId="7291E563" w14:textId="58536027" w:rsid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 xml:space="preserve">Olver, K. and </w:t>
      </w:r>
      <w:proofErr w:type="spellStart"/>
      <w:r w:rsidRPr="001E1D14">
        <w:rPr>
          <w:rFonts w:ascii="Arial" w:hAnsi="Arial" w:cs="Arial"/>
          <w:color w:val="000000"/>
        </w:rPr>
        <w:t>Cockbain</w:t>
      </w:r>
      <w:proofErr w:type="spellEnd"/>
      <w:r w:rsidRPr="001E1D14">
        <w:rPr>
          <w:rFonts w:ascii="Arial" w:hAnsi="Arial" w:cs="Arial"/>
          <w:color w:val="000000"/>
        </w:rPr>
        <w:t>, E. (2021) ‘Professionals’ Views on Responding to County Lines</w:t>
      </w:r>
      <w:r w:rsidRPr="001E1D14">
        <w:rPr>
          <w:rFonts w:ascii="Cambria Math" w:hAnsi="Cambria Math" w:cs="Cambria Math"/>
          <w:color w:val="000000"/>
        </w:rPr>
        <w:t>‐</w:t>
      </w:r>
      <w:r w:rsidRPr="001E1D14">
        <w:rPr>
          <w:rFonts w:ascii="Arial" w:hAnsi="Arial" w:cs="Arial"/>
          <w:color w:val="000000"/>
        </w:rPr>
        <w:t xml:space="preserve">Related Criminal Exploitation in the West Midlands, UK’, Child abuse review (Chichester, </w:t>
      </w:r>
      <w:r w:rsidRPr="001E1D14">
        <w:rPr>
          <w:rFonts w:ascii="Arial" w:hAnsi="Arial" w:cs="Arial"/>
          <w:color w:val="000000"/>
        </w:rPr>
        <w:t>England:</w:t>
      </w:r>
      <w:r w:rsidRPr="001E1D14">
        <w:rPr>
          <w:rFonts w:ascii="Arial" w:hAnsi="Arial" w:cs="Arial"/>
          <w:color w:val="000000"/>
        </w:rPr>
        <w:t xml:space="preserve"> 1992), 30(4), pp. 347–362. Available at: </w:t>
      </w:r>
      <w:hyperlink r:id="rId17" w:history="1">
        <w:r w:rsidRPr="001E1D14">
          <w:rPr>
            <w:rStyle w:val="Hyperlink"/>
            <w:rFonts w:ascii="Arial" w:hAnsi="Arial" w:cs="Arial"/>
          </w:rPr>
          <w:t>https://doi.org/10.1002/car.2704</w:t>
        </w:r>
      </w:hyperlink>
      <w:r w:rsidRPr="001E1D14">
        <w:rPr>
          <w:rFonts w:ascii="Arial" w:hAnsi="Arial" w:cs="Arial"/>
          <w:color w:val="000000"/>
        </w:rPr>
        <w:t xml:space="preserve">. Available at: </w:t>
      </w:r>
      <w:hyperlink r:id="rId18" w:history="1">
        <w:r w:rsidRPr="001E1D14">
          <w:rPr>
            <w:rStyle w:val="Hyperlink"/>
            <w:rFonts w:ascii="Arial" w:hAnsi="Arial" w:cs="Arial"/>
          </w:rPr>
          <w:t>https://librarysearch.uwtsd.ac.uk/permalink/44WHELF_UWTSD/neci73/cdi_crossref_citationtrail_10_1002_car_2704</w:t>
        </w:r>
      </w:hyperlink>
      <w:r w:rsidRPr="001E1D14">
        <w:rPr>
          <w:rFonts w:ascii="Arial" w:hAnsi="Arial" w:cs="Arial"/>
          <w:color w:val="000000"/>
        </w:rPr>
        <w:t xml:space="preserve"> Accessed: 20 Nov 2025.</w:t>
      </w:r>
    </w:p>
    <w:p w14:paraId="189C9F3A" w14:textId="77777777" w:rsid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3756D249" w14:textId="77777777" w:rsidR="001E1D14" w:rsidRPr="001E1D14" w:rsidRDefault="001E1D14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55DE1AD8" w14:textId="06A705AA" w:rsidR="0058537F" w:rsidRPr="001E1D14" w:rsidRDefault="00D02C47" w:rsidP="001E1D14">
      <w:pPr>
        <w:pStyle w:val="NormalWeb"/>
        <w:spacing w:line="360" w:lineRule="auto"/>
        <w:rPr>
          <w:rFonts w:ascii="Arial" w:hAnsi="Arial" w:cs="Arial"/>
          <w:color w:val="555555"/>
          <w:shd w:val="clear" w:color="auto" w:fill="FFFFFF"/>
        </w:rPr>
      </w:pPr>
      <w:r w:rsidRPr="001E1D14">
        <w:rPr>
          <w:rFonts w:ascii="Arial" w:hAnsi="Arial" w:cs="Arial"/>
          <w:color w:val="555555"/>
          <w:shd w:val="clear" w:color="auto" w:fill="FFFFFF"/>
        </w:rPr>
        <w:lastRenderedPageBreak/>
        <w:t>SERGI, A., 2016. National Security vs Criminal law. Perspectives, Doubts and Concerns on the Criminalisation of Organised Crime in England and Wales.</w:t>
      </w:r>
      <w:r w:rsidRPr="001E1D14">
        <w:rPr>
          <w:rStyle w:val="apple-converted-space"/>
          <w:rFonts w:ascii="Arial" w:eastAsiaTheme="majorEastAsia" w:hAnsi="Arial" w:cs="Arial"/>
          <w:color w:val="555555"/>
          <w:shd w:val="clear" w:color="auto" w:fill="FFFFFF"/>
        </w:rPr>
        <w:t> </w:t>
      </w:r>
      <w:r w:rsidRPr="001E1D14">
        <w:rPr>
          <w:rFonts w:ascii="Arial" w:hAnsi="Arial" w:cs="Arial"/>
          <w:i/>
          <w:iCs/>
          <w:color w:val="555555"/>
        </w:rPr>
        <w:t>European Journal on Criminal Policy and Research,</w:t>
      </w:r>
      <w:r w:rsidRPr="001E1D14">
        <w:rPr>
          <w:rStyle w:val="apple-converted-space"/>
          <w:rFonts w:ascii="Arial" w:eastAsiaTheme="majorEastAsia" w:hAnsi="Arial" w:cs="Arial"/>
          <w:i/>
          <w:iCs/>
          <w:color w:val="555555"/>
        </w:rPr>
        <w:t> </w:t>
      </w:r>
      <w:r w:rsidRPr="001E1D14">
        <w:rPr>
          <w:rFonts w:ascii="Arial" w:hAnsi="Arial" w:cs="Arial"/>
          <w:b/>
          <w:bCs/>
          <w:color w:val="555555"/>
        </w:rPr>
        <w:t>22</w:t>
      </w:r>
      <w:r w:rsidRPr="001E1D14">
        <w:rPr>
          <w:rFonts w:ascii="Arial" w:hAnsi="Arial" w:cs="Arial"/>
          <w:color w:val="555555"/>
          <w:shd w:val="clear" w:color="auto" w:fill="FFFFFF"/>
        </w:rPr>
        <w:t>(4), pp. 713-729.</w:t>
      </w:r>
      <w:r w:rsidRPr="001E1D14">
        <w:rPr>
          <w:rFonts w:ascii="Arial" w:hAnsi="Arial" w:cs="Arial"/>
          <w:color w:val="555555"/>
          <w:shd w:val="clear" w:color="auto" w:fill="FFFFFF"/>
        </w:rPr>
        <w:t xml:space="preserve"> Available at: </w:t>
      </w:r>
      <w:hyperlink r:id="rId19" w:history="1">
        <w:r w:rsidRPr="001E1D14">
          <w:rPr>
            <w:rStyle w:val="Hyperlink"/>
            <w:rFonts w:ascii="Arial" w:hAnsi="Arial" w:cs="Arial"/>
            <w:shd w:val="clear" w:color="auto" w:fill="FFFFFF"/>
          </w:rPr>
          <w:t>https://www.proquest.com/scholarly-journals/national-security-vs-criminal-law-perspectives/docview/1842425850/se-2?accountid=130472</w:t>
        </w:r>
      </w:hyperlink>
      <w:r w:rsidRPr="001E1D14">
        <w:rPr>
          <w:rFonts w:ascii="Arial" w:hAnsi="Arial" w:cs="Arial"/>
          <w:color w:val="555555"/>
          <w:shd w:val="clear" w:color="auto" w:fill="FFFFFF"/>
        </w:rPr>
        <w:t xml:space="preserve"> Accessed: 15 Nov 2025.</w:t>
      </w:r>
    </w:p>
    <w:p w14:paraId="127862DE" w14:textId="2A7160DE" w:rsidR="00717C69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1E1D14">
        <w:rPr>
          <w:rFonts w:ascii="Arial" w:hAnsi="Arial" w:cs="Arial"/>
          <w:color w:val="000000"/>
        </w:rPr>
        <w:t>SEND Code of Practice (2015)</w:t>
      </w:r>
      <w:r w:rsidRPr="001E1D14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1E1D14">
        <w:rPr>
          <w:rStyle w:val="Emphasis"/>
          <w:rFonts w:ascii="Arial" w:eastAsiaTheme="majorEastAsia" w:hAnsi="Arial" w:cs="Arial"/>
          <w:color w:val="000000"/>
        </w:rPr>
        <w:t>Special Educational Needs and Disability Code of Practice: 0 to 25 years</w:t>
      </w:r>
      <w:r w:rsidRPr="001E1D14">
        <w:rPr>
          <w:rFonts w:ascii="Arial" w:hAnsi="Arial" w:cs="Arial"/>
          <w:color w:val="000000"/>
        </w:rPr>
        <w:t>. London: Department for Education &amp; Department of Health.</w:t>
      </w:r>
      <w:r w:rsidR="0058537F" w:rsidRPr="001E1D14">
        <w:rPr>
          <w:rFonts w:ascii="Arial" w:hAnsi="Arial" w:cs="Arial"/>
          <w:color w:val="000000"/>
        </w:rPr>
        <w:t xml:space="preserve"> Available at: </w:t>
      </w:r>
      <w:hyperlink r:id="rId20" w:history="1">
        <w:r w:rsidR="0058537F" w:rsidRPr="001E1D14">
          <w:rPr>
            <w:rStyle w:val="Hyperlink"/>
            <w:rFonts w:ascii="Arial" w:hAnsi="Arial" w:cs="Arial"/>
          </w:rPr>
          <w:t>https://assets.publishing.service.gov.uk/media/5a7dcb85ed915d2ac884d995/SEND_Code_of_Practice_January_2015.pdf</w:t>
        </w:r>
      </w:hyperlink>
      <w:r w:rsidR="0058537F" w:rsidRPr="001E1D14">
        <w:rPr>
          <w:rFonts w:ascii="Arial" w:hAnsi="Arial" w:cs="Arial"/>
          <w:color w:val="000000"/>
        </w:rPr>
        <w:t xml:space="preserve"> Accessed: 15 Nov 2025.</w:t>
      </w:r>
    </w:p>
    <w:p w14:paraId="78B7A469" w14:textId="77777777" w:rsidR="0058537F" w:rsidRPr="001E1D14" w:rsidRDefault="0058537F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6F3ED7E6" w14:textId="6A151F7D" w:rsidR="00717C69" w:rsidRPr="001E1D14" w:rsidRDefault="00717C69" w:rsidP="001E1D14">
      <w:pPr>
        <w:pStyle w:val="NormalWeb"/>
        <w:spacing w:line="360" w:lineRule="auto"/>
        <w:rPr>
          <w:rFonts w:ascii="Arial" w:hAnsi="Arial" w:cs="Arial"/>
          <w:color w:val="000000"/>
        </w:rPr>
      </w:pPr>
    </w:p>
    <w:sectPr w:rsidR="00717C69" w:rsidRPr="001E1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69"/>
    <w:rsid w:val="0001591A"/>
    <w:rsid w:val="000877FE"/>
    <w:rsid w:val="001E1D14"/>
    <w:rsid w:val="0058537F"/>
    <w:rsid w:val="00717C69"/>
    <w:rsid w:val="00903871"/>
    <w:rsid w:val="00D02C47"/>
    <w:rsid w:val="00D55DBE"/>
    <w:rsid w:val="00DF29CB"/>
    <w:rsid w:val="00E0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2A59DE"/>
  <w15:chartTrackingRefBased/>
  <w15:docId w15:val="{473EB2A7-D015-F241-96FB-1AB41E4C4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C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C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C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C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C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C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C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C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C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C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C6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17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717C69"/>
  </w:style>
  <w:style w:type="character" w:styleId="Emphasis">
    <w:name w:val="Emphasis"/>
    <w:basedOn w:val="DefaultParagraphFont"/>
    <w:uiPriority w:val="20"/>
    <w:qFormat/>
    <w:rsid w:val="00717C69"/>
    <w:rPr>
      <w:i/>
      <w:iCs/>
    </w:rPr>
  </w:style>
  <w:style w:type="character" w:styleId="Hyperlink">
    <w:name w:val="Hyperlink"/>
    <w:basedOn w:val="DefaultParagraphFont"/>
    <w:uiPriority w:val="99"/>
    <w:unhideWhenUsed/>
    <w:rsid w:val="00717C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7C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5DB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8add931969253904d155860/Keeping_children_safe_in_education_from_1_September_2025.pdf" TargetMode="External"/><Relationship Id="rId13" Type="http://schemas.openxmlformats.org/officeDocument/2006/relationships/hyperlink" Target="https://www.ippr.org/media-office/revealed-school-exclusions-and-suspensions-rise-by-a-fifth-last-year-finds-new-report" TargetMode="External"/><Relationship Id="rId18" Type="http://schemas.openxmlformats.org/officeDocument/2006/relationships/hyperlink" Target="https://librarysearch.uwtsd.ac.uk/permalink/44WHELF_UWTSD/neci73/cdi_crossref_citationtrail_10_1002_car_270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legislation.gov.uk/ukpga/2004/31/contents" TargetMode="External"/><Relationship Id="rId12" Type="http://schemas.openxmlformats.org/officeDocument/2006/relationships/hyperlink" Target="https://www.gov.uk/government/collections/serious-crime-bill" TargetMode="External"/><Relationship Id="rId17" Type="http://schemas.openxmlformats.org/officeDocument/2006/relationships/hyperlink" Target="https://doi.org/10.1002/car.270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ationalcrimeagency.gov.uk/what-we-do/crime-threats/drug-trafficking/county-lines" TargetMode="External"/><Relationship Id="rId20" Type="http://schemas.openxmlformats.org/officeDocument/2006/relationships/hyperlink" Target="https://assets.publishing.service.gov.uk/media/5a7dcb85ed915d2ac884d995/SEND_Code_of_Practice_January_2015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librarysearch.uwtsd.ac.uk/permalink/44WHELF_UWTSD/neci73/cdi_pubmedcentral_primary_oai_pubmedcentral_nih_gov_8343199" TargetMode="External"/><Relationship Id="rId11" Type="http://schemas.openxmlformats.org/officeDocument/2006/relationships/hyperlink" Target="https://www.legislation.gov.uk/ukpga/2015/30/contents" TargetMode="External"/><Relationship Id="rId5" Type="http://schemas.openxmlformats.org/officeDocument/2006/relationships/hyperlink" Target="https://doi.org/10.1177/1077801220927079" TargetMode="External"/><Relationship Id="rId15" Type="http://schemas.openxmlformats.org/officeDocument/2006/relationships/hyperlink" Target="https://librarysearch.uwtsd.ac.uk/permalink/44WHELF_UWTSD/neci73/cdi_proquest_journals_2781514603" TargetMode="External"/><Relationship Id="rId10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9" Type="http://schemas.openxmlformats.org/officeDocument/2006/relationships/hyperlink" Target="https://www.proquest.com/scholarly-journals/national-security-vs-criminal-law-perspectives/docview/1842425850/se-2?accountid=130472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legislation.gov.uk/ukpga/1996/56/contents" TargetMode="External"/><Relationship Id="rId14" Type="http://schemas.openxmlformats.org/officeDocument/2006/relationships/hyperlink" Target="https://doi.org/10.1108/JCS-03-2022-001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Kleber Morais Da Silva (2336879)</dc:creator>
  <cp:keywords/>
  <dc:description/>
  <cp:lastModifiedBy>Kleber Morais Da Silva (2336879)</cp:lastModifiedBy>
  <cp:revision>1</cp:revision>
  <dcterms:created xsi:type="dcterms:W3CDTF">2025-11-27T22:45:00Z</dcterms:created>
  <dcterms:modified xsi:type="dcterms:W3CDTF">2025-11-27T23:47:00Z</dcterms:modified>
</cp:coreProperties>
</file>