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E924C" w14:textId="71157280" w:rsidR="00CC4D1D" w:rsidRDefault="00CC4D1D">
      <w:pPr>
        <w:rPr>
          <w:rFonts w:ascii="Times New Roman" w:hAnsi="Times New Roman" w:cs="Times New Roman"/>
        </w:rPr>
      </w:pPr>
    </w:p>
    <w:p w14:paraId="388A7D3C" w14:textId="77777777" w:rsidR="00CC4D1D" w:rsidRDefault="00CC4D1D">
      <w:pPr>
        <w:rPr>
          <w:rFonts w:ascii="Times New Roman" w:hAnsi="Times New Roman" w:cs="Times New Roman"/>
        </w:rPr>
      </w:pPr>
    </w:p>
    <w:p w14:paraId="15CCE159" w14:textId="77777777" w:rsidR="00CC4D1D" w:rsidRDefault="00CC4D1D">
      <w:pPr>
        <w:rPr>
          <w:rFonts w:ascii="Times New Roman" w:hAnsi="Times New Roman" w:cs="Times New Roman"/>
        </w:rPr>
      </w:pPr>
    </w:p>
    <w:p w14:paraId="101BE2EF" w14:textId="77777777" w:rsidR="00CC4D1D" w:rsidRDefault="00CC4D1D">
      <w:pPr>
        <w:rPr>
          <w:rFonts w:ascii="Times New Roman" w:hAnsi="Times New Roman" w:cs="Times New Roman"/>
        </w:rPr>
      </w:pPr>
    </w:p>
    <w:p w14:paraId="20E18635" w14:textId="77777777" w:rsidR="00CC4D1D" w:rsidRDefault="00CC4D1D">
      <w:pPr>
        <w:rPr>
          <w:rFonts w:ascii="Times New Roman" w:hAnsi="Times New Roman" w:cs="Times New Roman"/>
        </w:rPr>
      </w:pPr>
    </w:p>
    <w:p w14:paraId="4EDDCC23" w14:textId="77777777" w:rsidR="00CC4D1D" w:rsidRDefault="00CC4D1D">
      <w:pPr>
        <w:rPr>
          <w:rFonts w:ascii="Times New Roman" w:hAnsi="Times New Roman" w:cs="Times New Roman"/>
        </w:rPr>
      </w:pPr>
    </w:p>
    <w:p w14:paraId="00EBF2EA" w14:textId="77777777" w:rsidR="00CC4D1D" w:rsidRDefault="00CC4D1D">
      <w:pPr>
        <w:rPr>
          <w:rFonts w:ascii="Times New Roman" w:hAnsi="Times New Roman" w:cs="Times New Roman"/>
        </w:rPr>
      </w:pPr>
    </w:p>
    <w:p w14:paraId="0B3C688F" w14:textId="77777777" w:rsidR="00CC4D1D" w:rsidRDefault="00CC4D1D">
      <w:pPr>
        <w:rPr>
          <w:rFonts w:ascii="Times New Roman" w:hAnsi="Times New Roman" w:cs="Times New Roman"/>
        </w:rPr>
      </w:pPr>
    </w:p>
    <w:p w14:paraId="0B794272" w14:textId="77777777" w:rsidR="00CC4D1D" w:rsidRDefault="00CC4D1D">
      <w:pPr>
        <w:rPr>
          <w:rFonts w:ascii="Times New Roman" w:hAnsi="Times New Roman" w:cs="Times New Roman"/>
        </w:rPr>
      </w:pPr>
    </w:p>
    <w:p w14:paraId="3DBE557D" w14:textId="7A7F77DB" w:rsidR="00CC4D1D" w:rsidRDefault="00676237" w:rsidP="00CC4D1D">
      <w:pPr>
        <w:jc w:val="center"/>
        <w:rPr>
          <w:rFonts w:ascii="Times New Roman" w:hAnsi="Times New Roman" w:cs="Times New Roman"/>
        </w:rPr>
      </w:pPr>
      <w:r w:rsidRPr="00CC4D1D">
        <w:rPr>
          <w:rFonts w:ascii="Times New Roman" w:hAnsi="Times New Roman" w:cs="Times New Roman"/>
        </w:rPr>
        <w:t>Ethnicity and Health Inequalities</w:t>
      </w:r>
    </w:p>
    <w:p w14:paraId="0533A8CF" w14:textId="19486F7E" w:rsidR="00CC4D1D" w:rsidRDefault="00745363" w:rsidP="00CC4D1D">
      <w:pPr>
        <w:jc w:val="center"/>
        <w:rPr>
          <w:rFonts w:ascii="Times New Roman" w:hAnsi="Times New Roman" w:cs="Times New Roman"/>
          <w:sz w:val="20"/>
          <w:szCs w:val="20"/>
        </w:rPr>
      </w:pPr>
      <w:r>
        <w:rPr>
          <w:rFonts w:ascii="Times New Roman" w:hAnsi="Times New Roman" w:cs="Times New Roman"/>
          <w:sz w:val="20"/>
          <w:szCs w:val="20"/>
        </w:rPr>
        <w:t xml:space="preserve">Student Name: Patricia </w:t>
      </w:r>
      <w:r w:rsidR="002E1F09">
        <w:rPr>
          <w:rFonts w:ascii="Times New Roman" w:hAnsi="Times New Roman" w:cs="Times New Roman"/>
          <w:sz w:val="20"/>
          <w:szCs w:val="20"/>
        </w:rPr>
        <w:t>Barradas</w:t>
      </w:r>
    </w:p>
    <w:p w14:paraId="4BC97AE0" w14:textId="72F7471B" w:rsidR="00745363" w:rsidRPr="00745363" w:rsidRDefault="00745363" w:rsidP="00CC4D1D">
      <w:pPr>
        <w:jc w:val="center"/>
        <w:rPr>
          <w:rFonts w:ascii="Times New Roman" w:hAnsi="Times New Roman" w:cs="Times New Roman"/>
          <w:sz w:val="20"/>
          <w:szCs w:val="20"/>
          <w:lang w:val="pt-PT"/>
        </w:rPr>
      </w:pPr>
      <w:r>
        <w:rPr>
          <w:rFonts w:ascii="Times New Roman" w:hAnsi="Times New Roman" w:cs="Times New Roman"/>
          <w:sz w:val="20"/>
          <w:szCs w:val="20"/>
        </w:rPr>
        <w:t xml:space="preserve">Student Id: </w:t>
      </w:r>
      <w:r>
        <w:rPr>
          <w:rFonts w:ascii="Times New Roman" w:hAnsi="Times New Roman" w:cs="Times New Roman"/>
          <w:sz w:val="20"/>
          <w:szCs w:val="20"/>
          <w:lang w:val="pt-PT"/>
        </w:rPr>
        <w:t>2247289</w:t>
      </w:r>
    </w:p>
    <w:p w14:paraId="4D03D384" w14:textId="00DD28F3" w:rsidR="00745363" w:rsidRDefault="00745363" w:rsidP="00CC4D1D">
      <w:pPr>
        <w:jc w:val="center"/>
        <w:rPr>
          <w:rFonts w:ascii="Times New Roman" w:hAnsi="Times New Roman" w:cs="Times New Roman"/>
          <w:sz w:val="20"/>
          <w:szCs w:val="20"/>
        </w:rPr>
      </w:pPr>
      <w:r>
        <w:rPr>
          <w:rFonts w:ascii="Times New Roman" w:hAnsi="Times New Roman" w:cs="Times New Roman"/>
          <w:sz w:val="20"/>
          <w:szCs w:val="20"/>
        </w:rPr>
        <w:t>Lecturer Name:</w:t>
      </w:r>
      <w:r w:rsidR="00B87685">
        <w:rPr>
          <w:rFonts w:ascii="Times New Roman" w:hAnsi="Times New Roman" w:cs="Times New Roman"/>
          <w:sz w:val="20"/>
          <w:szCs w:val="20"/>
        </w:rPr>
        <w:t xml:space="preserve"> Muhammad Aliyu</w:t>
      </w:r>
      <w:r>
        <w:rPr>
          <w:rFonts w:ascii="Times New Roman" w:hAnsi="Times New Roman" w:cs="Times New Roman"/>
          <w:sz w:val="20"/>
          <w:szCs w:val="20"/>
        </w:rPr>
        <w:t xml:space="preserve"> </w:t>
      </w:r>
    </w:p>
    <w:p w14:paraId="64EF74DC" w14:textId="77392EDB" w:rsidR="00745363" w:rsidRPr="001771F6" w:rsidRDefault="00745363" w:rsidP="00CC4D1D">
      <w:pPr>
        <w:jc w:val="center"/>
        <w:rPr>
          <w:rFonts w:ascii="Times New Roman" w:hAnsi="Times New Roman" w:cs="Times New Roman"/>
          <w:sz w:val="20"/>
          <w:szCs w:val="20"/>
        </w:rPr>
      </w:pPr>
      <w:r>
        <w:rPr>
          <w:rFonts w:ascii="Times New Roman" w:hAnsi="Times New Roman" w:cs="Times New Roman"/>
          <w:sz w:val="20"/>
          <w:szCs w:val="20"/>
        </w:rPr>
        <w:t xml:space="preserve">Module code: </w:t>
      </w:r>
      <w:r w:rsidR="002E1F09">
        <w:rPr>
          <w:rFonts w:ascii="Times New Roman" w:hAnsi="Times New Roman" w:cs="Times New Roman"/>
          <w:sz w:val="20"/>
          <w:szCs w:val="20"/>
        </w:rPr>
        <w:t>LCHS7000_LON</w:t>
      </w:r>
    </w:p>
    <w:p w14:paraId="1F42A66C" w14:textId="42B67F08" w:rsidR="00745363" w:rsidRDefault="00745363" w:rsidP="00745363">
      <w:pPr>
        <w:rPr>
          <w:rFonts w:ascii="Times New Roman" w:hAnsi="Times New Roman" w:cs="Times New Roman"/>
        </w:rPr>
      </w:pPr>
    </w:p>
    <w:p w14:paraId="1C0D7756" w14:textId="5AF74683" w:rsidR="00CC4D1D" w:rsidRDefault="00CC4D1D" w:rsidP="00745363">
      <w:pPr>
        <w:rPr>
          <w:rFonts w:ascii="Times New Roman" w:hAnsi="Times New Roman" w:cs="Times New Roman"/>
        </w:rPr>
      </w:pPr>
      <w:r>
        <w:rPr>
          <w:rFonts w:ascii="Times New Roman" w:hAnsi="Times New Roman" w:cs="Times New Roman"/>
        </w:rPr>
        <w:br w:type="page"/>
      </w:r>
    </w:p>
    <w:sdt>
      <w:sdtPr>
        <w:rPr>
          <w:rFonts w:ascii="Times New Roman" w:eastAsiaTheme="minorHAnsi" w:hAnsi="Times New Roman" w:cs="Times New Roman"/>
          <w:b/>
          <w:bCs/>
          <w:color w:val="000000" w:themeColor="text1"/>
          <w:kern w:val="2"/>
          <w:sz w:val="24"/>
          <w:szCs w:val="24"/>
          <w14:ligatures w14:val="standardContextual"/>
        </w:rPr>
        <w:id w:val="1055968304"/>
        <w:docPartObj>
          <w:docPartGallery w:val="Table of Contents"/>
          <w:docPartUnique/>
        </w:docPartObj>
      </w:sdtPr>
      <w:sdtEndPr>
        <w:rPr>
          <w:noProof/>
        </w:rPr>
      </w:sdtEndPr>
      <w:sdtContent>
        <w:p w14:paraId="1EA28F6D" w14:textId="2F4259B5" w:rsidR="00CC4D1D" w:rsidRPr="00CC4D1D" w:rsidRDefault="00CC4D1D" w:rsidP="00CC4D1D">
          <w:pPr>
            <w:pStyle w:val="TOCHeading"/>
            <w:spacing w:before="0" w:line="360" w:lineRule="auto"/>
            <w:contextualSpacing/>
            <w:jc w:val="center"/>
            <w:rPr>
              <w:rFonts w:ascii="Times New Roman" w:hAnsi="Times New Roman" w:cs="Times New Roman"/>
              <w:b/>
              <w:bCs/>
              <w:color w:val="000000" w:themeColor="text1"/>
              <w:sz w:val="24"/>
              <w:szCs w:val="24"/>
            </w:rPr>
          </w:pPr>
          <w:r w:rsidRPr="00CC4D1D">
            <w:rPr>
              <w:rFonts w:ascii="Times New Roman" w:hAnsi="Times New Roman" w:cs="Times New Roman"/>
              <w:b/>
              <w:bCs/>
              <w:color w:val="000000" w:themeColor="text1"/>
              <w:sz w:val="24"/>
              <w:szCs w:val="24"/>
            </w:rPr>
            <w:t>Table of Contents</w:t>
          </w:r>
        </w:p>
        <w:p w14:paraId="50FC5D33" w14:textId="05197FA9"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r w:rsidRPr="00CC4D1D">
            <w:rPr>
              <w:rFonts w:ascii="Times New Roman" w:hAnsi="Times New Roman" w:cs="Times New Roman"/>
              <w:color w:val="000000" w:themeColor="text1"/>
            </w:rPr>
            <w:fldChar w:fldCharType="begin"/>
          </w:r>
          <w:r w:rsidRPr="00CC4D1D">
            <w:rPr>
              <w:rFonts w:ascii="Times New Roman" w:hAnsi="Times New Roman" w:cs="Times New Roman"/>
              <w:color w:val="000000" w:themeColor="text1"/>
            </w:rPr>
            <w:instrText xml:space="preserve"> TOC \o "1-3" \h \z \u </w:instrText>
          </w:r>
          <w:r w:rsidRPr="00CC4D1D">
            <w:rPr>
              <w:rFonts w:ascii="Times New Roman" w:hAnsi="Times New Roman" w:cs="Times New Roman"/>
              <w:color w:val="000000" w:themeColor="text1"/>
            </w:rPr>
            <w:fldChar w:fldCharType="separate"/>
          </w:r>
          <w:hyperlink w:anchor="_Toc233769994" w:history="1">
            <w:r w:rsidRPr="00CC4D1D">
              <w:rPr>
                <w:rStyle w:val="Hyperlink"/>
                <w:rFonts w:ascii="Times New Roman" w:hAnsi="Times New Roman" w:cs="Times New Roman"/>
                <w:noProof/>
                <w:color w:val="000000" w:themeColor="text1"/>
              </w:rPr>
              <w:t>Introduction</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_Toc233769994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3</w:t>
            </w:r>
            <w:r w:rsidRPr="00CC4D1D">
              <w:rPr>
                <w:rFonts w:ascii="Times New Roman" w:hAnsi="Times New Roman" w:cs="Times New Roman"/>
                <w:noProof/>
                <w:webHidden/>
                <w:color w:val="000000" w:themeColor="text1"/>
              </w:rPr>
              <w:fldChar w:fldCharType="end"/>
            </w:r>
          </w:hyperlink>
        </w:p>
        <w:p w14:paraId="7C9049B0" w14:textId="0EE97E74"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69995" w:history="1">
            <w:r w:rsidRPr="00CC4D1D">
              <w:rPr>
                <w:rStyle w:val="Hyperlink"/>
                <w:rFonts w:ascii="Times New Roman" w:hAnsi="Times New Roman" w:cs="Times New Roman"/>
                <w:noProof/>
                <w:color w:val="000000" w:themeColor="text1"/>
              </w:rPr>
              <w:t>Contextual Background and Underlying Factors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_Toc233769995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3</w:t>
            </w:r>
            <w:r w:rsidRPr="00CC4D1D">
              <w:rPr>
                <w:rFonts w:ascii="Times New Roman" w:hAnsi="Times New Roman" w:cs="Times New Roman"/>
                <w:noProof/>
                <w:webHidden/>
                <w:color w:val="000000" w:themeColor="text1"/>
              </w:rPr>
              <w:fldChar w:fldCharType="end"/>
            </w:r>
          </w:hyperlink>
        </w:p>
        <w:p w14:paraId="4667CED0" w14:textId="4A12733C" w:rsidR="00CC4D1D" w:rsidRPr="00CC4D1D" w:rsidRDefault="00CC4D1D" w:rsidP="00CC4D1D">
          <w:pPr>
            <w:pStyle w:val="TOC2"/>
            <w:tabs>
              <w:tab w:val="right" w:leader="dot" w:pos="9350"/>
            </w:tabs>
            <w:spacing w:after="0" w:line="360" w:lineRule="auto"/>
            <w:contextualSpacing/>
            <w:rPr>
              <w:rFonts w:ascii="Times New Roman" w:hAnsi="Times New Roman" w:cs="Times New Roman"/>
              <w:noProof/>
              <w:color w:val="000000" w:themeColor="text1"/>
            </w:rPr>
          </w:pPr>
          <w:hyperlink w:anchor="_Toc233769996" w:history="1">
            <w:r w:rsidRPr="00CC4D1D">
              <w:rPr>
                <w:rStyle w:val="Hyperlink"/>
                <w:rFonts w:ascii="Times New Roman" w:hAnsi="Times New Roman" w:cs="Times New Roman"/>
                <w:noProof/>
                <w:color w:val="000000" w:themeColor="text1"/>
              </w:rPr>
              <w:t>Higher Rates of Infectious Diseases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_Toc233769996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3</w:t>
            </w:r>
            <w:r w:rsidRPr="00CC4D1D">
              <w:rPr>
                <w:rFonts w:ascii="Times New Roman" w:hAnsi="Times New Roman" w:cs="Times New Roman"/>
                <w:noProof/>
                <w:webHidden/>
                <w:color w:val="000000" w:themeColor="text1"/>
              </w:rPr>
              <w:fldChar w:fldCharType="end"/>
            </w:r>
          </w:hyperlink>
        </w:p>
        <w:p w14:paraId="1775CE5E" w14:textId="7BA97B5C" w:rsidR="00CC4D1D" w:rsidRPr="00CC4D1D" w:rsidRDefault="00CC4D1D" w:rsidP="00CC4D1D">
          <w:pPr>
            <w:pStyle w:val="TOC2"/>
            <w:tabs>
              <w:tab w:val="right" w:leader="dot" w:pos="9350"/>
            </w:tabs>
            <w:spacing w:after="0" w:line="360" w:lineRule="auto"/>
            <w:contextualSpacing/>
            <w:rPr>
              <w:rFonts w:ascii="Times New Roman" w:hAnsi="Times New Roman" w:cs="Times New Roman"/>
              <w:noProof/>
              <w:color w:val="000000" w:themeColor="text1"/>
            </w:rPr>
          </w:pPr>
          <w:hyperlink w:anchor="_Toc233769997" w:history="1">
            <w:r w:rsidRPr="00CC4D1D">
              <w:rPr>
                <w:rStyle w:val="Hyperlink"/>
                <w:rFonts w:ascii="Times New Roman" w:hAnsi="Times New Roman" w:cs="Times New Roman"/>
                <w:noProof/>
                <w:color w:val="000000" w:themeColor="text1"/>
              </w:rPr>
              <w:t>Diabetes and Cardiovascular Disease</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_Toc233769997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4</w:t>
            </w:r>
            <w:r w:rsidRPr="00CC4D1D">
              <w:rPr>
                <w:rFonts w:ascii="Times New Roman" w:hAnsi="Times New Roman" w:cs="Times New Roman"/>
                <w:noProof/>
                <w:webHidden/>
                <w:color w:val="000000" w:themeColor="text1"/>
              </w:rPr>
              <w:fldChar w:fldCharType="end"/>
            </w:r>
          </w:hyperlink>
        </w:p>
        <w:p w14:paraId="1D7AA698" w14:textId="428D7D69" w:rsidR="00CC4D1D" w:rsidRPr="00CC4D1D" w:rsidRDefault="00CC4D1D" w:rsidP="00CC4D1D">
          <w:pPr>
            <w:pStyle w:val="TOC2"/>
            <w:tabs>
              <w:tab w:val="right" w:leader="dot" w:pos="9350"/>
            </w:tabs>
            <w:spacing w:after="0" w:line="360" w:lineRule="auto"/>
            <w:contextualSpacing/>
            <w:rPr>
              <w:rFonts w:ascii="Times New Roman" w:hAnsi="Times New Roman" w:cs="Times New Roman"/>
              <w:noProof/>
              <w:color w:val="000000" w:themeColor="text1"/>
            </w:rPr>
          </w:pPr>
          <w:hyperlink w:anchor="_Toc233769998" w:history="1">
            <w:r w:rsidRPr="00CC4D1D">
              <w:rPr>
                <w:rStyle w:val="Hyperlink"/>
                <w:rFonts w:ascii="Times New Roman" w:hAnsi="Times New Roman" w:cs="Times New Roman"/>
                <w:noProof/>
                <w:color w:val="000000" w:themeColor="text1"/>
              </w:rPr>
              <w:t>Mental Health Inequalities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_Toc233769998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4</w:t>
            </w:r>
            <w:r w:rsidRPr="00CC4D1D">
              <w:rPr>
                <w:rFonts w:ascii="Times New Roman" w:hAnsi="Times New Roman" w:cs="Times New Roman"/>
                <w:noProof/>
                <w:webHidden/>
                <w:color w:val="000000" w:themeColor="text1"/>
              </w:rPr>
              <w:fldChar w:fldCharType="end"/>
            </w:r>
          </w:hyperlink>
        </w:p>
        <w:p w14:paraId="0555E2C6" w14:textId="6D801DC3" w:rsidR="00CC4D1D" w:rsidRPr="00CC4D1D" w:rsidRDefault="00CC4D1D" w:rsidP="00CC4D1D">
          <w:pPr>
            <w:pStyle w:val="TOC2"/>
            <w:tabs>
              <w:tab w:val="right" w:leader="dot" w:pos="9350"/>
            </w:tabs>
            <w:spacing w:after="0" w:line="360" w:lineRule="auto"/>
            <w:contextualSpacing/>
            <w:rPr>
              <w:rFonts w:ascii="Times New Roman" w:hAnsi="Times New Roman" w:cs="Times New Roman"/>
              <w:noProof/>
              <w:color w:val="000000" w:themeColor="text1"/>
            </w:rPr>
          </w:pPr>
          <w:hyperlink w:anchor="_Toc233769999" w:history="1">
            <w:r w:rsidRPr="00CC4D1D">
              <w:rPr>
                <w:rStyle w:val="Hyperlink"/>
                <w:rFonts w:ascii="Times New Roman" w:hAnsi="Times New Roman" w:cs="Times New Roman"/>
                <w:noProof/>
                <w:color w:val="000000" w:themeColor="text1"/>
              </w:rPr>
              <w:t>Socioeconomic Disadvantage and Poverty</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_Toc233769999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5</w:t>
            </w:r>
            <w:r w:rsidRPr="00CC4D1D">
              <w:rPr>
                <w:rFonts w:ascii="Times New Roman" w:hAnsi="Times New Roman" w:cs="Times New Roman"/>
                <w:noProof/>
                <w:webHidden/>
                <w:color w:val="000000" w:themeColor="text1"/>
              </w:rPr>
              <w:fldChar w:fldCharType="end"/>
            </w:r>
          </w:hyperlink>
        </w:p>
        <w:p w14:paraId="4AE97955" w14:textId="5E42EA77" w:rsidR="00CC4D1D" w:rsidRPr="00CC4D1D" w:rsidRDefault="00CC4D1D" w:rsidP="00CC4D1D">
          <w:pPr>
            <w:pStyle w:val="TOC2"/>
            <w:tabs>
              <w:tab w:val="right" w:leader="dot" w:pos="9350"/>
            </w:tabs>
            <w:spacing w:after="0" w:line="360" w:lineRule="auto"/>
            <w:contextualSpacing/>
            <w:rPr>
              <w:rFonts w:ascii="Times New Roman" w:hAnsi="Times New Roman" w:cs="Times New Roman"/>
              <w:noProof/>
              <w:color w:val="000000" w:themeColor="text1"/>
            </w:rPr>
          </w:pPr>
          <w:hyperlink w:anchor="_Toc233770000" w:history="1">
            <w:r w:rsidRPr="00CC4D1D">
              <w:rPr>
                <w:rStyle w:val="Hyperlink"/>
                <w:rFonts w:ascii="Times New Roman" w:hAnsi="Times New Roman" w:cs="Times New Roman"/>
                <w:noProof/>
                <w:color w:val="000000" w:themeColor="text1"/>
              </w:rPr>
              <w:t>Barriers to Healthcare Access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_Toc233770000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5</w:t>
            </w:r>
            <w:r w:rsidRPr="00CC4D1D">
              <w:rPr>
                <w:rFonts w:ascii="Times New Roman" w:hAnsi="Times New Roman" w:cs="Times New Roman"/>
                <w:noProof/>
                <w:webHidden/>
                <w:color w:val="000000" w:themeColor="text1"/>
              </w:rPr>
              <w:fldChar w:fldCharType="end"/>
            </w:r>
          </w:hyperlink>
        </w:p>
        <w:p w14:paraId="79E07C94" w14:textId="0E98B80E" w:rsidR="00CC4D1D" w:rsidRPr="00CC4D1D" w:rsidRDefault="00CC4D1D" w:rsidP="00CC4D1D">
          <w:pPr>
            <w:pStyle w:val="TOC2"/>
            <w:tabs>
              <w:tab w:val="right" w:leader="dot" w:pos="9350"/>
            </w:tabs>
            <w:spacing w:after="0" w:line="360" w:lineRule="auto"/>
            <w:contextualSpacing/>
            <w:rPr>
              <w:rFonts w:ascii="Times New Roman" w:hAnsi="Times New Roman" w:cs="Times New Roman"/>
              <w:noProof/>
              <w:color w:val="000000" w:themeColor="text1"/>
            </w:rPr>
          </w:pPr>
          <w:hyperlink w:anchor="_Toc233770001" w:history="1">
            <w:r w:rsidRPr="00CC4D1D">
              <w:rPr>
                <w:rStyle w:val="Hyperlink"/>
                <w:rFonts w:ascii="Times New Roman" w:hAnsi="Times New Roman" w:cs="Times New Roman"/>
                <w:noProof/>
                <w:color w:val="000000" w:themeColor="text1"/>
              </w:rPr>
              <w:t>Housing and Environmental Inequalities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_Toc233770001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6</w:t>
            </w:r>
            <w:r w:rsidRPr="00CC4D1D">
              <w:rPr>
                <w:rFonts w:ascii="Times New Roman" w:hAnsi="Times New Roman" w:cs="Times New Roman"/>
                <w:noProof/>
                <w:webHidden/>
                <w:color w:val="000000" w:themeColor="text1"/>
              </w:rPr>
              <w:fldChar w:fldCharType="end"/>
            </w:r>
          </w:hyperlink>
        </w:p>
        <w:p w14:paraId="34183DA4" w14:textId="45A91471"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02" w:history="1">
            <w:r w:rsidRPr="00CC4D1D">
              <w:rPr>
                <w:rStyle w:val="Hyperlink"/>
                <w:rFonts w:ascii="Times New Roman" w:hAnsi="Times New Roman" w:cs="Times New Roman"/>
                <w:noProof/>
                <w:color w:val="000000" w:themeColor="text1"/>
              </w:rPr>
              <w:t>National Responses to Reduce Health Inequalities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_Toc233770002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6</w:t>
            </w:r>
            <w:r w:rsidRPr="00CC4D1D">
              <w:rPr>
                <w:rFonts w:ascii="Times New Roman" w:hAnsi="Times New Roman" w:cs="Times New Roman"/>
                <w:noProof/>
                <w:webHidden/>
                <w:color w:val="000000" w:themeColor="text1"/>
              </w:rPr>
              <w:fldChar w:fldCharType="end"/>
            </w:r>
          </w:hyperlink>
        </w:p>
        <w:p w14:paraId="21018A6E" w14:textId="1FFF6076"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03" w:history="1">
            <w:r w:rsidRPr="00CC4D1D">
              <w:rPr>
                <w:rStyle w:val="Hyperlink"/>
                <w:rFonts w:ascii="Times New Roman" w:hAnsi="Times New Roman" w:cs="Times New Roman"/>
                <w:noProof/>
                <w:color w:val="000000" w:themeColor="text1"/>
              </w:rPr>
              <w:t>Organisation Supporting Ethnic Minority Communities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_Toc233770003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7</w:t>
            </w:r>
            <w:r w:rsidRPr="00CC4D1D">
              <w:rPr>
                <w:rFonts w:ascii="Times New Roman" w:hAnsi="Times New Roman" w:cs="Times New Roman"/>
                <w:noProof/>
                <w:webHidden/>
                <w:color w:val="000000" w:themeColor="text1"/>
              </w:rPr>
              <w:fldChar w:fldCharType="end"/>
            </w:r>
          </w:hyperlink>
        </w:p>
        <w:p w14:paraId="53286D3C" w14:textId="394FDB74"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04" w:history="1">
            <w:r w:rsidRPr="00CC4D1D">
              <w:rPr>
                <w:rStyle w:val="Hyperlink"/>
                <w:rFonts w:ascii="Times New Roman" w:hAnsi="Times New Roman" w:cs="Times New Roman"/>
                <w:noProof/>
                <w:color w:val="000000" w:themeColor="text1"/>
              </w:rPr>
              <w:t>Epidemiological Analysis of Tuberculosis Among Ethnic Minority Communities in England</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_Toc233770004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7</w:t>
            </w:r>
            <w:r w:rsidRPr="00CC4D1D">
              <w:rPr>
                <w:rFonts w:ascii="Times New Roman" w:hAnsi="Times New Roman" w:cs="Times New Roman"/>
                <w:noProof/>
                <w:webHidden/>
                <w:color w:val="000000" w:themeColor="text1"/>
              </w:rPr>
              <w:fldChar w:fldCharType="end"/>
            </w:r>
          </w:hyperlink>
        </w:p>
        <w:p w14:paraId="50F37761" w14:textId="22239D1F"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05" w:history="1">
            <w:r w:rsidRPr="00CC4D1D">
              <w:rPr>
                <w:rStyle w:val="Hyperlink"/>
                <w:rFonts w:ascii="Times New Roman" w:hAnsi="Times New Roman" w:cs="Times New Roman"/>
                <w:noProof/>
                <w:color w:val="000000" w:themeColor="text1"/>
              </w:rPr>
              <w:t>Public Health Measures for the Prevention, Protection and Promotion of Tuberculosis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_Toc233770005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9</w:t>
            </w:r>
            <w:r w:rsidRPr="00CC4D1D">
              <w:rPr>
                <w:rFonts w:ascii="Times New Roman" w:hAnsi="Times New Roman" w:cs="Times New Roman"/>
                <w:noProof/>
                <w:webHidden/>
                <w:color w:val="000000" w:themeColor="text1"/>
              </w:rPr>
              <w:fldChar w:fldCharType="end"/>
            </w:r>
          </w:hyperlink>
        </w:p>
        <w:p w14:paraId="2737A340" w14:textId="4D63B412"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06" w:history="1">
            <w:r w:rsidRPr="00CC4D1D">
              <w:rPr>
                <w:rStyle w:val="Hyperlink"/>
                <w:rFonts w:ascii="Times New Roman" w:hAnsi="Times New Roman" w:cs="Times New Roman"/>
                <w:noProof/>
                <w:color w:val="000000" w:themeColor="text1"/>
              </w:rPr>
              <w:t>Determinants and Risk Factors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_Toc233770006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10</w:t>
            </w:r>
            <w:r w:rsidRPr="00CC4D1D">
              <w:rPr>
                <w:rFonts w:ascii="Times New Roman" w:hAnsi="Times New Roman" w:cs="Times New Roman"/>
                <w:noProof/>
                <w:webHidden/>
                <w:color w:val="000000" w:themeColor="text1"/>
              </w:rPr>
              <w:fldChar w:fldCharType="end"/>
            </w:r>
          </w:hyperlink>
        </w:p>
        <w:p w14:paraId="1C7E8E04" w14:textId="75C9A3AF"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07" w:history="1">
            <w:r w:rsidRPr="00CC4D1D">
              <w:rPr>
                <w:rStyle w:val="Hyperlink"/>
                <w:rFonts w:ascii="Times New Roman" w:hAnsi="Times New Roman" w:cs="Times New Roman"/>
                <w:noProof/>
                <w:color w:val="000000" w:themeColor="text1"/>
              </w:rPr>
              <w:t>Epidemiological Studies and Health Needs Assessment</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_Toc233770007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11</w:t>
            </w:r>
            <w:r w:rsidRPr="00CC4D1D">
              <w:rPr>
                <w:rFonts w:ascii="Times New Roman" w:hAnsi="Times New Roman" w:cs="Times New Roman"/>
                <w:noProof/>
                <w:webHidden/>
                <w:color w:val="000000" w:themeColor="text1"/>
              </w:rPr>
              <w:fldChar w:fldCharType="end"/>
            </w:r>
          </w:hyperlink>
        </w:p>
        <w:p w14:paraId="3E1AF908" w14:textId="6C2C86DE"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08" w:history="1">
            <w:r w:rsidRPr="00CC4D1D">
              <w:rPr>
                <w:rStyle w:val="Hyperlink"/>
                <w:rFonts w:ascii="Times New Roman" w:hAnsi="Times New Roman" w:cs="Times New Roman"/>
                <w:noProof/>
                <w:color w:val="000000" w:themeColor="text1"/>
              </w:rPr>
              <w:t>Surveillance and Monitoring Systems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_Toc233770008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11</w:t>
            </w:r>
            <w:r w:rsidRPr="00CC4D1D">
              <w:rPr>
                <w:rFonts w:ascii="Times New Roman" w:hAnsi="Times New Roman" w:cs="Times New Roman"/>
                <w:noProof/>
                <w:webHidden/>
                <w:color w:val="000000" w:themeColor="text1"/>
              </w:rPr>
              <w:fldChar w:fldCharType="end"/>
            </w:r>
          </w:hyperlink>
        </w:p>
        <w:p w14:paraId="2BD08FFC" w14:textId="52F901D4"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09" w:history="1">
            <w:r w:rsidRPr="00CC4D1D">
              <w:rPr>
                <w:rStyle w:val="Hyperlink"/>
                <w:rFonts w:ascii="Times New Roman" w:hAnsi="Times New Roman" w:cs="Times New Roman"/>
                <w:noProof/>
                <w:color w:val="000000" w:themeColor="text1"/>
              </w:rPr>
              <w:t>Public Health Impact and Consequences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_Toc233770009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11</w:t>
            </w:r>
            <w:r w:rsidRPr="00CC4D1D">
              <w:rPr>
                <w:rFonts w:ascii="Times New Roman" w:hAnsi="Times New Roman" w:cs="Times New Roman"/>
                <w:noProof/>
                <w:webHidden/>
                <w:color w:val="000000" w:themeColor="text1"/>
              </w:rPr>
              <w:fldChar w:fldCharType="end"/>
            </w:r>
          </w:hyperlink>
        </w:p>
        <w:p w14:paraId="7B30757C" w14:textId="6950AD1B"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10" w:history="1">
            <w:r w:rsidRPr="00CC4D1D">
              <w:rPr>
                <w:rStyle w:val="Hyperlink"/>
                <w:rFonts w:ascii="Times New Roman" w:hAnsi="Times New Roman" w:cs="Times New Roman"/>
                <w:noProof/>
                <w:color w:val="000000" w:themeColor="text1"/>
              </w:rPr>
              <w:t>Proposed Health Intervention Programme</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_Toc233770010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12</w:t>
            </w:r>
            <w:r w:rsidRPr="00CC4D1D">
              <w:rPr>
                <w:rFonts w:ascii="Times New Roman" w:hAnsi="Times New Roman" w:cs="Times New Roman"/>
                <w:noProof/>
                <w:webHidden/>
                <w:color w:val="000000" w:themeColor="text1"/>
              </w:rPr>
              <w:fldChar w:fldCharType="end"/>
            </w:r>
          </w:hyperlink>
        </w:p>
        <w:p w14:paraId="0D180611" w14:textId="54866DD6"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11" w:history="1">
            <w:r w:rsidRPr="00CC4D1D">
              <w:rPr>
                <w:rStyle w:val="Hyperlink"/>
                <w:rFonts w:ascii="Times New Roman" w:hAnsi="Times New Roman" w:cs="Times New Roman"/>
                <w:noProof/>
                <w:color w:val="000000" w:themeColor="text1"/>
              </w:rPr>
              <w:t>Strengths and Weaknesses of the Epidemiological Approach</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_Toc233770011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13</w:t>
            </w:r>
            <w:r w:rsidRPr="00CC4D1D">
              <w:rPr>
                <w:rFonts w:ascii="Times New Roman" w:hAnsi="Times New Roman" w:cs="Times New Roman"/>
                <w:noProof/>
                <w:webHidden/>
                <w:color w:val="000000" w:themeColor="text1"/>
              </w:rPr>
              <w:fldChar w:fldCharType="end"/>
            </w:r>
          </w:hyperlink>
        </w:p>
        <w:p w14:paraId="6DAD82EE" w14:textId="32F13757"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12" w:history="1">
            <w:r w:rsidRPr="00CC4D1D">
              <w:rPr>
                <w:rStyle w:val="Hyperlink"/>
                <w:rFonts w:ascii="Times New Roman" w:hAnsi="Times New Roman" w:cs="Times New Roman"/>
                <w:noProof/>
                <w:color w:val="000000" w:themeColor="text1"/>
              </w:rPr>
              <w:t>Conclusion</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_Toc233770012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13</w:t>
            </w:r>
            <w:r w:rsidRPr="00CC4D1D">
              <w:rPr>
                <w:rFonts w:ascii="Times New Roman" w:hAnsi="Times New Roman" w:cs="Times New Roman"/>
                <w:noProof/>
                <w:webHidden/>
                <w:color w:val="000000" w:themeColor="text1"/>
              </w:rPr>
              <w:fldChar w:fldCharType="end"/>
            </w:r>
          </w:hyperlink>
        </w:p>
        <w:p w14:paraId="3484CC9D" w14:textId="08B96D4E"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13" w:history="1">
            <w:r w:rsidRPr="00CC4D1D">
              <w:rPr>
                <w:rStyle w:val="Hyperlink"/>
                <w:rFonts w:ascii="Times New Roman" w:hAnsi="Times New Roman" w:cs="Times New Roman"/>
                <w:noProof/>
                <w:color w:val="000000" w:themeColor="text1"/>
              </w:rPr>
              <w:t>References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_Toc233770013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F77015">
              <w:rPr>
                <w:rFonts w:ascii="Times New Roman" w:hAnsi="Times New Roman" w:cs="Times New Roman"/>
                <w:noProof/>
                <w:webHidden/>
                <w:color w:val="000000" w:themeColor="text1"/>
              </w:rPr>
              <w:t>15</w:t>
            </w:r>
            <w:r w:rsidRPr="00CC4D1D">
              <w:rPr>
                <w:rFonts w:ascii="Times New Roman" w:hAnsi="Times New Roman" w:cs="Times New Roman"/>
                <w:noProof/>
                <w:webHidden/>
                <w:color w:val="000000" w:themeColor="text1"/>
              </w:rPr>
              <w:fldChar w:fldCharType="end"/>
            </w:r>
          </w:hyperlink>
        </w:p>
        <w:p w14:paraId="5D65036B" w14:textId="763A224A" w:rsidR="00CC4D1D" w:rsidRDefault="00CC4D1D" w:rsidP="00CC4D1D">
          <w:pPr>
            <w:spacing w:after="0" w:line="360" w:lineRule="auto"/>
            <w:contextualSpacing/>
          </w:pPr>
          <w:r w:rsidRPr="00CC4D1D">
            <w:rPr>
              <w:rFonts w:ascii="Times New Roman" w:hAnsi="Times New Roman" w:cs="Times New Roman"/>
              <w:b/>
              <w:bCs/>
              <w:noProof/>
              <w:color w:val="000000" w:themeColor="text1"/>
            </w:rPr>
            <w:fldChar w:fldCharType="end"/>
          </w:r>
        </w:p>
      </w:sdtContent>
    </w:sdt>
    <w:p w14:paraId="02951575" w14:textId="77777777" w:rsidR="00CC4D1D" w:rsidRDefault="00CC4D1D">
      <w:pPr>
        <w:rPr>
          <w:rFonts w:ascii="Times New Roman" w:hAnsi="Times New Roman" w:cs="Times New Roman"/>
        </w:rPr>
      </w:pPr>
      <w:r>
        <w:rPr>
          <w:rFonts w:ascii="Times New Roman" w:hAnsi="Times New Roman" w:cs="Times New Roman"/>
        </w:rPr>
        <w:br w:type="page"/>
      </w:r>
    </w:p>
    <w:p w14:paraId="6A837180" w14:textId="4BA7E1FA" w:rsidR="00CC4D1D" w:rsidRPr="00D963D7" w:rsidRDefault="00CC4D1D" w:rsidP="00D963D7">
      <w:pPr>
        <w:jc w:val="center"/>
        <w:rPr>
          <w:rFonts w:ascii="Times New Roman" w:hAnsi="Times New Roman" w:cs="Times New Roman"/>
        </w:rPr>
      </w:pPr>
      <w:r w:rsidRPr="00CC4D1D">
        <w:rPr>
          <w:rFonts w:ascii="Times New Roman" w:hAnsi="Times New Roman" w:cs="Times New Roman"/>
        </w:rPr>
        <w:t>Ethnicity and health inequalities</w:t>
      </w:r>
    </w:p>
    <w:p w14:paraId="005C4616" w14:textId="77777777" w:rsidR="0086135E" w:rsidRPr="00D963D7" w:rsidRDefault="0086135E" w:rsidP="00D963D7">
      <w:pPr>
        <w:pStyle w:val="Heading1"/>
        <w:spacing w:before="0" w:after="0" w:line="480" w:lineRule="auto"/>
        <w:contextualSpacing/>
      </w:pPr>
      <w:bookmarkStart w:id="0" w:name="_Toc233769994"/>
      <w:r w:rsidRPr="00D963D7">
        <w:t>Introduction</w:t>
      </w:r>
      <w:bookmarkEnd w:id="0"/>
    </w:p>
    <w:p w14:paraId="386B2CEF" w14:textId="77777777" w:rsidR="00875A00" w:rsidRPr="00D963D7" w:rsidRDefault="004703B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According to the Lewis et al., (2023), </w:t>
      </w:r>
      <w:r w:rsidR="0086135E" w:rsidRPr="00D963D7">
        <w:rPr>
          <w:rFonts w:ascii="Times New Roman" w:hAnsi="Times New Roman" w:cs="Times New Roman"/>
        </w:rPr>
        <w:t xml:space="preserve">Ethnicity is described as the cultural, ethnic, linguistic, traditional and historical characteristics that are shared among specific population groups. Ethnic minority groups in the United Kingdom (UK) are Black African, Black Caribbean, Indian, Pakistani, Bangladeshi, Chinese, Mixed and other minority groups. </w:t>
      </w:r>
      <w:r w:rsidR="00875A00" w:rsidRPr="00D963D7">
        <w:rPr>
          <w:rFonts w:ascii="Times New Roman" w:hAnsi="Times New Roman" w:cs="Times New Roman"/>
        </w:rPr>
        <w:t>Ajayi (2021) stated that, t</w:t>
      </w:r>
      <w:r w:rsidR="0086135E" w:rsidRPr="00D963D7">
        <w:rPr>
          <w:rFonts w:ascii="Times New Roman" w:hAnsi="Times New Roman" w:cs="Times New Roman"/>
        </w:rPr>
        <w:t xml:space="preserve">he situation of ethnic minority populations and relations with the White British population remains significantly worse than other health equality policies that were enacted to improve health for members of ethnic minority groups. Despite progress in health and equality policies, several ethnic minority groups suffer from severe inequalities regarding health relative to the White British population. </w:t>
      </w:r>
    </w:p>
    <w:p w14:paraId="48BAB3DF" w14:textId="75BE93C4"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The term health inequalities is a description of avoidable and unfair differences across certain aspects of health status and outcomes, healthcare utilization and access, and lifespan resulting from more broadly prevailing social determinants of health like poverty, education, employment, housing, discrimination and inequitable access to health care</w:t>
      </w:r>
      <w:r w:rsidR="000A3C38" w:rsidRPr="00D963D7">
        <w:rPr>
          <w:rFonts w:ascii="Times New Roman" w:hAnsi="Times New Roman" w:cs="Times New Roman"/>
        </w:rPr>
        <w:t xml:space="preserve"> (Alvidrez et al., 2019)</w:t>
      </w:r>
      <w:r w:rsidRPr="00D963D7">
        <w:rPr>
          <w:rFonts w:ascii="Times New Roman" w:hAnsi="Times New Roman" w:cs="Times New Roman"/>
        </w:rPr>
        <w:t>. Ethnic minority communities are more likely to experience infectious diseases, chronic conditions, as well as poor mental health, due to these social and struc</w:t>
      </w:r>
      <w:r w:rsidR="006F32BF">
        <w:rPr>
          <w:rFonts w:ascii="Times New Roman" w:hAnsi="Times New Roman" w:cs="Times New Roman"/>
        </w:rPr>
        <w:t>tural factors.</w:t>
      </w:r>
    </w:p>
    <w:p w14:paraId="15DF901E" w14:textId="77777777" w:rsidR="0086135E" w:rsidRPr="00D963D7" w:rsidRDefault="0086135E" w:rsidP="00D963D7">
      <w:pPr>
        <w:spacing w:after="0" w:line="480" w:lineRule="auto"/>
        <w:contextualSpacing/>
        <w:rPr>
          <w:rFonts w:ascii="Times New Roman" w:hAnsi="Times New Roman" w:cs="Times New Roman"/>
        </w:rPr>
      </w:pPr>
    </w:p>
    <w:p w14:paraId="254A2832" w14:textId="77777777" w:rsidR="0086135E" w:rsidRPr="00D963D7" w:rsidRDefault="0086135E" w:rsidP="00D963D7">
      <w:pPr>
        <w:pStyle w:val="Heading1"/>
        <w:spacing w:before="0" w:after="0" w:line="480" w:lineRule="auto"/>
        <w:contextualSpacing/>
      </w:pPr>
      <w:bookmarkStart w:id="1" w:name="_Toc233769995"/>
      <w:r w:rsidRPr="00D963D7">
        <w:t>Contextual Background and Underlying Factors</w:t>
      </w:r>
      <w:bookmarkEnd w:id="1"/>
    </w:p>
    <w:p w14:paraId="28F4BAEA" w14:textId="77777777" w:rsidR="0086135E" w:rsidRPr="00D963D7" w:rsidRDefault="0086135E" w:rsidP="00D963D7">
      <w:pPr>
        <w:pStyle w:val="Heading2"/>
        <w:spacing w:before="0" w:after="0" w:line="480" w:lineRule="auto"/>
        <w:contextualSpacing/>
      </w:pPr>
      <w:bookmarkStart w:id="2" w:name="_Toc233769996"/>
      <w:r w:rsidRPr="00D963D7">
        <w:t>Higher Rates of Infectious Diseases</w:t>
      </w:r>
      <w:bookmarkEnd w:id="2"/>
    </w:p>
    <w:p w14:paraId="300EC115" w14:textId="5AF4122F" w:rsidR="00C46DF7"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This is one of the largest health disparities between ethnic minorities and the majority that is being experienced is the burden of infectious diseases. Several diseases like TB, hepatitis and HIV have been found on average to have substantial variation across ethnic groups in emergency hospital admissions, as shown by research. In the last year (2018), TB emergency hospital admission rates were 29 times higher in the Asian Other ethnic group, 27 times higher in Indian and 15 times higher in Black African ethnic groups than they were in the White British ethnic group</w:t>
      </w:r>
      <w:r w:rsidR="00C46DF7" w:rsidRPr="00D963D7">
        <w:rPr>
          <w:rFonts w:ascii="Times New Roman" w:hAnsi="Times New Roman" w:cs="Times New Roman"/>
        </w:rPr>
        <w:t xml:space="preserve"> (UKHSA 2025)</w:t>
      </w:r>
      <w:r w:rsidRPr="00D963D7">
        <w:rPr>
          <w:rFonts w:ascii="Times New Roman" w:hAnsi="Times New Roman" w:cs="Times New Roman"/>
        </w:rPr>
        <w:t>. In addition, emergency admissions for each of five ethnic minority groups were significantly higher for all of the infectious diseases.</w:t>
      </w:r>
    </w:p>
    <w:p w14:paraId="422E156C" w14:textId="77777777" w:rsidR="00C46DF7" w:rsidRPr="00D963D7" w:rsidRDefault="00C46DF7" w:rsidP="00D963D7">
      <w:pPr>
        <w:spacing w:after="0" w:line="480" w:lineRule="auto"/>
        <w:contextualSpacing/>
        <w:rPr>
          <w:rFonts w:ascii="Times New Roman" w:hAnsi="Times New Roman" w:cs="Times New Roman"/>
        </w:rPr>
      </w:pPr>
    </w:p>
    <w:p w14:paraId="2082B33F" w14:textId="77777777" w:rsidR="0086135E" w:rsidRPr="00D963D7" w:rsidRDefault="0086135E" w:rsidP="00D963D7">
      <w:pPr>
        <w:pStyle w:val="Heading2"/>
        <w:spacing w:before="0" w:after="0" w:line="480" w:lineRule="auto"/>
        <w:contextualSpacing/>
      </w:pPr>
      <w:bookmarkStart w:id="3" w:name="_Toc233769997"/>
      <w:r w:rsidRPr="00D963D7">
        <w:t>Diabetes and Cardiovascular Disease</w:t>
      </w:r>
      <w:bookmarkEnd w:id="3"/>
    </w:p>
    <w:p w14:paraId="54FAB563" w14:textId="5F92AF97"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People from ethnic minority communities also have higher than average rates of long-term health conditions such as Type 2 diabetes and cardiovascular diseases. Major population subgroups within the South Asian population, such as Pakistani, Bangladeshi and Indian communities, have an earlier Type 2 diabetes onset and lower levels of BMI at which it develops than the White British population</w:t>
      </w:r>
      <w:r w:rsidR="00FD600D" w:rsidRPr="00D963D7">
        <w:rPr>
          <w:rFonts w:ascii="Times New Roman" w:hAnsi="Times New Roman" w:cs="Times New Roman"/>
        </w:rPr>
        <w:t xml:space="preserve"> (Patel et al., 2022)</w:t>
      </w:r>
      <w:r w:rsidRPr="00D963D7">
        <w:rPr>
          <w:rFonts w:ascii="Times New Roman" w:hAnsi="Times New Roman" w:cs="Times New Roman"/>
        </w:rPr>
        <w:t>. However, in the same way, hypertension is more common in the Black African and Black Caribbean populations, putting them at greater risk of developing stroke, kidney problems and cardiovascular complications.</w:t>
      </w:r>
    </w:p>
    <w:p w14:paraId="4D577F8D" w14:textId="1E016168"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These differences are due to social differences and genetic susceptibility. Disease starts early and factors such as lower household income, limited physical activity, unhealthy food environments and health disparities in access to preventive healthcare play a major role in disease development. </w:t>
      </w:r>
      <w:r w:rsidR="003D0832" w:rsidRPr="00D963D7">
        <w:rPr>
          <w:rFonts w:ascii="Times New Roman" w:hAnsi="Times New Roman" w:cs="Times New Roman"/>
        </w:rPr>
        <w:t xml:space="preserve">According to the research by Jiao (2024), </w:t>
      </w:r>
      <w:r w:rsidRPr="00D963D7">
        <w:rPr>
          <w:rFonts w:ascii="Times New Roman" w:hAnsi="Times New Roman" w:cs="Times New Roman"/>
        </w:rPr>
        <w:t>Cultural ideas about food and disease also can affect health care use and disease management.</w:t>
      </w:r>
    </w:p>
    <w:p w14:paraId="167AEDD7" w14:textId="4E3F5348" w:rsidR="0086135E" w:rsidRPr="00D963D7" w:rsidRDefault="0086135E" w:rsidP="00D963D7">
      <w:pPr>
        <w:spacing w:after="0" w:line="480" w:lineRule="auto"/>
        <w:contextualSpacing/>
        <w:rPr>
          <w:rFonts w:ascii="Times New Roman" w:hAnsi="Times New Roman" w:cs="Times New Roman"/>
        </w:rPr>
      </w:pPr>
    </w:p>
    <w:p w14:paraId="05030436" w14:textId="77777777" w:rsidR="0086135E" w:rsidRPr="00D963D7" w:rsidRDefault="0086135E" w:rsidP="00D963D7">
      <w:pPr>
        <w:pStyle w:val="Heading2"/>
        <w:spacing w:before="0" w:after="0" w:line="480" w:lineRule="auto"/>
        <w:contextualSpacing/>
      </w:pPr>
      <w:bookmarkStart w:id="4" w:name="_Toc233769998"/>
      <w:r w:rsidRPr="00D963D7">
        <w:t>Mental Health Inequalities</w:t>
      </w:r>
      <w:bookmarkEnd w:id="4"/>
    </w:p>
    <w:p w14:paraId="02F71DA2" w14:textId="6AFB1E97"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Another important sub dimension of inequality involving many ethnic minority groups is mental health. Whilst mental health issues are a concern of people in all communities, there is evidence that some ethnic minority groups may report more mental health distress and have less access to mental health care</w:t>
      </w:r>
      <w:r w:rsidR="00B60DB5" w:rsidRPr="00D963D7">
        <w:rPr>
          <w:rFonts w:ascii="Times New Roman" w:hAnsi="Times New Roman" w:cs="Times New Roman"/>
        </w:rPr>
        <w:t xml:space="preserve"> (Bansal et al., 2022)</w:t>
      </w:r>
      <w:r w:rsidRPr="00D963D7">
        <w:rPr>
          <w:rFonts w:ascii="Times New Roman" w:hAnsi="Times New Roman" w:cs="Times New Roman"/>
        </w:rPr>
        <w:t>. There are large disparities in the representation of black communities in compulsory psychiatric hospitalisation (compulsory admission) under mental health act provisions and South Asian communities have lower use of mental health services despite high psychological need.</w:t>
      </w:r>
    </w:p>
    <w:p w14:paraId="7A38AD72" w14:textId="7315603F" w:rsidR="00863000"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All of these form an inequality that is shaped by the experience of racism, discrimination, migration related stress, social exclusion, unemployment and financial insecurity. The stigma associated with mental illness can also prevent people from approaching health care providers for help, and a lack of cultural competency among health care providers can foster mistrust in treatment</w:t>
      </w:r>
      <w:r w:rsidR="00863000" w:rsidRPr="00D963D7">
        <w:rPr>
          <w:rFonts w:ascii="Times New Roman" w:hAnsi="Times New Roman" w:cs="Times New Roman"/>
        </w:rPr>
        <w:t xml:space="preserve"> (Im and Tefera 2025)</w:t>
      </w:r>
      <w:r w:rsidRPr="00D963D7">
        <w:rPr>
          <w:rFonts w:ascii="Times New Roman" w:hAnsi="Times New Roman" w:cs="Times New Roman"/>
        </w:rPr>
        <w:t>.</w:t>
      </w:r>
    </w:p>
    <w:p w14:paraId="182BE297" w14:textId="77777777" w:rsidR="00F50C4B" w:rsidRPr="00D963D7" w:rsidRDefault="00F50C4B" w:rsidP="00D963D7">
      <w:pPr>
        <w:spacing w:after="0" w:line="480" w:lineRule="auto"/>
        <w:ind w:firstLine="720"/>
        <w:contextualSpacing/>
        <w:rPr>
          <w:rFonts w:ascii="Times New Roman" w:hAnsi="Times New Roman" w:cs="Times New Roman"/>
        </w:rPr>
      </w:pPr>
    </w:p>
    <w:p w14:paraId="40CB5090" w14:textId="77777777" w:rsidR="0086135E" w:rsidRPr="00D963D7" w:rsidRDefault="0086135E" w:rsidP="00D963D7">
      <w:pPr>
        <w:pStyle w:val="Heading2"/>
        <w:spacing w:before="0" w:after="0" w:line="480" w:lineRule="auto"/>
        <w:contextualSpacing/>
      </w:pPr>
      <w:bookmarkStart w:id="5" w:name="_Toc233769999"/>
      <w:r w:rsidRPr="00D963D7">
        <w:t>Socioeconomic Disadvantage and Poverty</w:t>
      </w:r>
      <w:bookmarkEnd w:id="5"/>
    </w:p>
    <w:p w14:paraId="1D394B49" w14:textId="5AE1E32E"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Ethnic inequalities in health in England are still largely explained by socioeconomic inequalities. </w:t>
      </w:r>
      <w:r w:rsidR="00685DE4" w:rsidRPr="00D963D7">
        <w:rPr>
          <w:rFonts w:ascii="Times New Roman" w:hAnsi="Times New Roman" w:cs="Times New Roman"/>
        </w:rPr>
        <w:t>Mirza and Warwick (2022) said that, a</w:t>
      </w:r>
      <w:r w:rsidRPr="00D963D7">
        <w:rPr>
          <w:rFonts w:ascii="Times New Roman" w:hAnsi="Times New Roman" w:cs="Times New Roman"/>
        </w:rPr>
        <w:t>verage incomes of ethnic minorities are generally lower than for the White British, their unemployment rates and employment security are higher and there is also a higher level of financial hardship among the ethnic minorities compared with the White British population. Poor health is exacerbated by the economic disadvantage which restricts access to healthy food, low-quality housing, education, recreational opportunities, and health-care services</w:t>
      </w:r>
      <w:r w:rsidR="005E502D" w:rsidRPr="00D963D7">
        <w:rPr>
          <w:rFonts w:ascii="Times New Roman" w:hAnsi="Times New Roman" w:cs="Times New Roman"/>
        </w:rPr>
        <w:t xml:space="preserve"> (Odoms-Young et al., 2024)</w:t>
      </w:r>
      <w:r w:rsidRPr="00D963D7">
        <w:rPr>
          <w:rFonts w:ascii="Times New Roman" w:hAnsi="Times New Roman" w:cs="Times New Roman"/>
        </w:rPr>
        <w:t>.</w:t>
      </w:r>
    </w:p>
    <w:p w14:paraId="41607E56" w14:textId="77777777" w:rsidR="005E502D" w:rsidRPr="00D963D7" w:rsidRDefault="005E502D" w:rsidP="00D963D7">
      <w:pPr>
        <w:spacing w:after="0" w:line="480" w:lineRule="auto"/>
        <w:contextualSpacing/>
        <w:rPr>
          <w:rFonts w:ascii="Times New Roman" w:hAnsi="Times New Roman" w:cs="Times New Roman"/>
        </w:rPr>
      </w:pPr>
    </w:p>
    <w:p w14:paraId="507D63BB" w14:textId="77777777" w:rsidR="0086135E" w:rsidRPr="00D963D7" w:rsidRDefault="0086135E" w:rsidP="00D963D7">
      <w:pPr>
        <w:pStyle w:val="Heading2"/>
        <w:spacing w:before="0" w:after="0" w:line="480" w:lineRule="auto"/>
        <w:contextualSpacing/>
      </w:pPr>
      <w:bookmarkStart w:id="6" w:name="_Toc233770000"/>
      <w:r w:rsidRPr="00D963D7">
        <w:t>Barriers to Healthcare Access</w:t>
      </w:r>
      <w:bookmarkEnd w:id="6"/>
    </w:p>
    <w:p w14:paraId="05E3EDEE" w14:textId="774D1FD5"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For ethnic minorities inequalities in access to health care services remain, even with access to the NHS. </w:t>
      </w:r>
      <w:r w:rsidR="00D14032" w:rsidRPr="00D963D7">
        <w:rPr>
          <w:rFonts w:ascii="Times New Roman" w:hAnsi="Times New Roman" w:cs="Times New Roman"/>
        </w:rPr>
        <w:t>Hayanga et al., (2021) stated that, d</w:t>
      </w:r>
      <w:r w:rsidRPr="00D963D7">
        <w:rPr>
          <w:rFonts w:ascii="Times New Roman" w:hAnsi="Times New Roman" w:cs="Times New Roman"/>
        </w:rPr>
        <w:t>ifficulties with language, in-depth understanding of health concepts, mixed cultural perceptions, discrimination, and decreased trust in health care facilities might postpone the diagnosis and treatment of disease. There may also be some migrant groups that are not aware of the health care system in the UK or are hesitant to use services because of immigration issues.</w:t>
      </w:r>
    </w:p>
    <w:p w14:paraId="692862B5" w14:textId="2934636A" w:rsidR="00F73EEF"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Late access usually leads to more advanced disease presentation, more admissions to emergency departments and to a decrease in health outcomes. These barriers play a part in the inequalities seen between infectious and chronic disease, between maternal health and mental health care</w:t>
      </w:r>
      <w:r w:rsidR="00F73EEF" w:rsidRPr="00D963D7">
        <w:rPr>
          <w:rFonts w:ascii="Times New Roman" w:hAnsi="Times New Roman" w:cs="Times New Roman"/>
        </w:rPr>
        <w:t xml:space="preserve"> (Vrtikapa et al., 2025)</w:t>
      </w:r>
      <w:r w:rsidRPr="00D963D7">
        <w:rPr>
          <w:rFonts w:ascii="Times New Roman" w:hAnsi="Times New Roman" w:cs="Times New Roman"/>
        </w:rPr>
        <w:t>.</w:t>
      </w:r>
    </w:p>
    <w:p w14:paraId="62F2D33D" w14:textId="77777777" w:rsidR="00F50C4B" w:rsidRPr="00D963D7" w:rsidRDefault="00F50C4B" w:rsidP="00D963D7">
      <w:pPr>
        <w:spacing w:after="0" w:line="480" w:lineRule="auto"/>
        <w:ind w:firstLine="720"/>
        <w:contextualSpacing/>
        <w:rPr>
          <w:rFonts w:ascii="Times New Roman" w:hAnsi="Times New Roman" w:cs="Times New Roman"/>
        </w:rPr>
      </w:pPr>
    </w:p>
    <w:p w14:paraId="2DAAE369" w14:textId="77777777" w:rsidR="0086135E" w:rsidRPr="00D963D7" w:rsidRDefault="0086135E" w:rsidP="00D963D7">
      <w:pPr>
        <w:pStyle w:val="Heading2"/>
        <w:spacing w:before="0" w:after="0" w:line="480" w:lineRule="auto"/>
        <w:contextualSpacing/>
      </w:pPr>
      <w:bookmarkStart w:id="7" w:name="_Toc233770001"/>
      <w:r w:rsidRPr="00D963D7">
        <w:t>Housing and Environmental Inequalities</w:t>
      </w:r>
      <w:bookmarkEnd w:id="7"/>
    </w:p>
    <w:p w14:paraId="64240E03" w14:textId="1E151AA0"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The living conditions have a significant impact on health in the ethnic minority populations. Overcrowding, poor housing conditions, dampness, small windows and bad ventilation, and living in </w:t>
      </w:r>
      <w:r w:rsidR="00F73EEF" w:rsidRPr="00D963D7">
        <w:rPr>
          <w:rFonts w:ascii="Times New Roman" w:hAnsi="Times New Roman" w:cs="Times New Roman"/>
        </w:rPr>
        <w:t>less-than-ideal</w:t>
      </w:r>
      <w:r w:rsidRPr="00D963D7">
        <w:rPr>
          <w:rFonts w:ascii="Times New Roman" w:hAnsi="Times New Roman" w:cs="Times New Roman"/>
        </w:rPr>
        <w:t xml:space="preserve"> neighbourhoods are common issues in many families' lives. The conditions associated with </w:t>
      </w:r>
      <w:r w:rsidR="00F73EEF" w:rsidRPr="00D963D7">
        <w:rPr>
          <w:rFonts w:ascii="Times New Roman" w:hAnsi="Times New Roman" w:cs="Times New Roman"/>
        </w:rPr>
        <w:t>this increase exposure</w:t>
      </w:r>
      <w:r w:rsidRPr="00D963D7">
        <w:rPr>
          <w:rFonts w:ascii="Times New Roman" w:hAnsi="Times New Roman" w:cs="Times New Roman"/>
        </w:rPr>
        <w:t xml:space="preserve"> to respiratory infections, asthma, poor mental health and chronic stress</w:t>
      </w:r>
      <w:r w:rsidR="003829DD" w:rsidRPr="00D963D7">
        <w:rPr>
          <w:rFonts w:ascii="Times New Roman" w:hAnsi="Times New Roman" w:cs="Times New Roman"/>
        </w:rPr>
        <w:t xml:space="preserve"> (Miyasaka et al., 2018)</w:t>
      </w:r>
      <w:r w:rsidRPr="00D963D7">
        <w:rPr>
          <w:rFonts w:ascii="Times New Roman" w:hAnsi="Times New Roman" w:cs="Times New Roman"/>
        </w:rPr>
        <w:t>.</w:t>
      </w:r>
    </w:p>
    <w:p w14:paraId="1062802B" w14:textId="1BF4389C"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Risks in the environment such as air pollution, industrial emissions, and climate-related risks are also disproportionately affecting ethnic minority population groups. These inequities in the environment are associated with increased levels of respiratory disease and transmission of infectious disease</w:t>
      </w:r>
      <w:r w:rsidR="00BD7A65" w:rsidRPr="00D963D7">
        <w:rPr>
          <w:rFonts w:ascii="Times New Roman" w:hAnsi="Times New Roman" w:cs="Times New Roman"/>
        </w:rPr>
        <w:t xml:space="preserve"> (Cacciatore et al., 2025)</w:t>
      </w:r>
      <w:r w:rsidRPr="00D963D7">
        <w:rPr>
          <w:rFonts w:ascii="Times New Roman" w:hAnsi="Times New Roman" w:cs="Times New Roman"/>
        </w:rPr>
        <w:t>.</w:t>
      </w:r>
    </w:p>
    <w:p w14:paraId="5E3FA2EB" w14:textId="2CC36F83" w:rsidR="0086135E" w:rsidRPr="00D963D7" w:rsidRDefault="0086135E" w:rsidP="00D963D7">
      <w:pPr>
        <w:spacing w:after="0" w:line="480" w:lineRule="auto"/>
        <w:contextualSpacing/>
        <w:rPr>
          <w:rFonts w:ascii="Times New Roman" w:hAnsi="Times New Roman" w:cs="Times New Roman"/>
        </w:rPr>
      </w:pPr>
    </w:p>
    <w:p w14:paraId="4A59E97D" w14:textId="77777777" w:rsidR="0086135E" w:rsidRPr="00D963D7" w:rsidRDefault="0086135E" w:rsidP="00D963D7">
      <w:pPr>
        <w:pStyle w:val="Heading1"/>
        <w:spacing w:before="0" w:after="0" w:line="480" w:lineRule="auto"/>
        <w:contextualSpacing/>
      </w:pPr>
      <w:bookmarkStart w:id="8" w:name="_Toc233770002"/>
      <w:r w:rsidRPr="00D963D7">
        <w:t>National Responses to Reduce Health Inequalities</w:t>
      </w:r>
      <w:bookmarkEnd w:id="8"/>
    </w:p>
    <w:p w14:paraId="36CE18DA" w14:textId="0069584D"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There are a number of national strategies that the UK Government and NHS have created to tackle ethnic health inequalities. The NHS Long Term Plan is one of the key initiatives that focuses on the need to tackle inequalities in health outcomes, by providing better prevention, earlier diagnosis, and taking action to ensure that care is delivered in a fair and equitable way</w:t>
      </w:r>
      <w:r w:rsidR="00597DB1" w:rsidRPr="00D963D7">
        <w:rPr>
          <w:rFonts w:ascii="Times New Roman" w:hAnsi="Times New Roman" w:cs="Times New Roman"/>
        </w:rPr>
        <w:t xml:space="preserve"> (Congdon, 2024)</w:t>
      </w:r>
      <w:r w:rsidRPr="00D963D7">
        <w:rPr>
          <w:rFonts w:ascii="Times New Roman" w:hAnsi="Times New Roman" w:cs="Times New Roman"/>
        </w:rPr>
        <w:t>. The plan aims to implement targeted screening programmes, culturally appropriate healthcare services, better maternity services for women of ethnic minority backgrounds and increase the amount of community partnership to enhance access to healthcare services.</w:t>
      </w:r>
    </w:p>
    <w:p w14:paraId="7AB27609" w14:textId="1E2D1770"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On a national level another major response is the Office for Health Improvement and Disparities (OHID) which is responsible for spearheading national efforts to tackle avoidable health inequalities across England</w:t>
      </w:r>
      <w:r w:rsidR="00597DB1" w:rsidRPr="00D963D7">
        <w:rPr>
          <w:rFonts w:ascii="Times New Roman" w:hAnsi="Times New Roman" w:cs="Times New Roman"/>
        </w:rPr>
        <w:t xml:space="preserve"> (Hayanga et al., 2023)</w:t>
      </w:r>
      <w:r w:rsidRPr="00D963D7">
        <w:rPr>
          <w:rFonts w:ascii="Times New Roman" w:hAnsi="Times New Roman" w:cs="Times New Roman"/>
        </w:rPr>
        <w:t xml:space="preserve">. It works to promote evidence-based public health interventions, to analyse population health indicators, and makes policy recommendations to tackle the broader determinants of health, including housing, education, employment and environment. </w:t>
      </w:r>
    </w:p>
    <w:p w14:paraId="58DD05A8" w14:textId="77777777" w:rsidR="00597DB1" w:rsidRPr="00D963D7" w:rsidRDefault="00597DB1" w:rsidP="00D963D7">
      <w:pPr>
        <w:spacing w:after="0" w:line="480" w:lineRule="auto"/>
        <w:contextualSpacing/>
        <w:rPr>
          <w:rFonts w:ascii="Times New Roman" w:hAnsi="Times New Roman" w:cs="Times New Roman"/>
        </w:rPr>
      </w:pPr>
    </w:p>
    <w:p w14:paraId="2B672EEE" w14:textId="77777777" w:rsidR="0086135E" w:rsidRPr="00D963D7" w:rsidRDefault="0086135E" w:rsidP="00D963D7">
      <w:pPr>
        <w:pStyle w:val="Heading1"/>
        <w:spacing w:before="0" w:after="0" w:line="480" w:lineRule="auto"/>
        <w:contextualSpacing/>
      </w:pPr>
      <w:bookmarkStart w:id="9" w:name="_Toc233770003"/>
      <w:r w:rsidRPr="00D963D7">
        <w:t>Organisation Supporting Ethnic Minority Communities</w:t>
      </w:r>
      <w:bookmarkEnd w:id="9"/>
    </w:p>
    <w:p w14:paraId="1FDEB363" w14:textId="77A30568" w:rsidR="0086135E"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The Race Equality Foundation is one of the organisations that can help to address issues of ethnic health inequalities. The charity aims to work towards equality within health and social care services across the UK for ethnic minority communities, thereby enhancing their lives. In addressing issues of discrimination, it is concerned with tackling the barriers to accessing healthcare, shaping public policies and providing support to evidence-based interventions that will make a meaningful impact on the structural inequalities</w:t>
      </w:r>
      <w:r w:rsidR="00597DB1" w:rsidRPr="00D963D7">
        <w:rPr>
          <w:rFonts w:ascii="Times New Roman" w:hAnsi="Times New Roman" w:cs="Times New Roman"/>
        </w:rPr>
        <w:t xml:space="preserve"> (Bansal et al., 2022)</w:t>
      </w:r>
      <w:r w:rsidRPr="00D963D7">
        <w:rPr>
          <w:rFonts w:ascii="Times New Roman" w:hAnsi="Times New Roman" w:cs="Times New Roman"/>
        </w:rPr>
        <w:t>.</w:t>
      </w:r>
    </w:p>
    <w:p w14:paraId="3B2690B8" w14:textId="77777777" w:rsidR="00807C30" w:rsidRPr="00D963D7" w:rsidRDefault="00807C30" w:rsidP="00D963D7">
      <w:pPr>
        <w:spacing w:after="0" w:line="480" w:lineRule="auto"/>
        <w:ind w:firstLine="720"/>
        <w:contextualSpacing/>
        <w:rPr>
          <w:rFonts w:ascii="Times New Roman" w:hAnsi="Times New Roman" w:cs="Times New Roman"/>
        </w:rPr>
      </w:pPr>
    </w:p>
    <w:p w14:paraId="5EDE805C" w14:textId="0403C665" w:rsidR="0086135E" w:rsidRPr="00D963D7" w:rsidRDefault="0086135E" w:rsidP="00D963D7">
      <w:pPr>
        <w:pStyle w:val="Heading1"/>
        <w:spacing w:before="0" w:after="0" w:line="480" w:lineRule="auto"/>
        <w:contextualSpacing/>
      </w:pPr>
      <w:bookmarkStart w:id="10" w:name="_Toc233770004"/>
      <w:r w:rsidRPr="00D963D7">
        <w:t>Epidemiological Analysis of Tuberculosis Among Ethnic Minority Communities in England</w:t>
      </w:r>
      <w:bookmarkEnd w:id="10"/>
    </w:p>
    <w:p w14:paraId="25CFED87" w14:textId="22BB344C"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Tuberculosis (TB) is a curable and preventable disease, yet it continues to be one of the most important communicable diseases in the world</w:t>
      </w:r>
      <w:r w:rsidR="00597DB1" w:rsidRPr="00D963D7">
        <w:rPr>
          <w:rFonts w:ascii="Times New Roman" w:hAnsi="Times New Roman" w:cs="Times New Roman"/>
        </w:rPr>
        <w:t xml:space="preserve"> (Stopforth et al., 2023)</w:t>
      </w:r>
      <w:r w:rsidRPr="00D963D7">
        <w:rPr>
          <w:rFonts w:ascii="Times New Roman" w:hAnsi="Times New Roman" w:cs="Times New Roman"/>
        </w:rPr>
        <w:t>. TB, which is caused by Mycobacterium tuberculosis, mainly affects the lungs, but can also be carried in the body, causing high morbidity and mortality if left untreated. It is spread through the air by the droplets exhaled from the diseased person's mouth, nose or eyes while speaking, coughing or sneezing</w:t>
      </w:r>
      <w:r w:rsidR="00597DB1" w:rsidRPr="00D963D7">
        <w:rPr>
          <w:rFonts w:ascii="Times New Roman" w:hAnsi="Times New Roman" w:cs="Times New Roman"/>
        </w:rPr>
        <w:t xml:space="preserve"> (Stopforth et al., 2023)</w:t>
      </w:r>
      <w:r w:rsidRPr="00D963D7">
        <w:rPr>
          <w:rFonts w:ascii="Times New Roman" w:hAnsi="Times New Roman" w:cs="Times New Roman"/>
        </w:rPr>
        <w:t>. Tuberculosis (TB) has significantly decreased in the United Kingdom (UK) in the last few decades, but the disease still affects certain groups in society, including ethnic minorities residing in urban centres. Tuberculosis is thus a clinical and social public health problem since its distribution corresponds to general inequalties related to ethnicity, poverty, places of living (housing and migration), and health care.</w:t>
      </w:r>
    </w:p>
    <w:p w14:paraId="34D81741" w14:textId="0C3DA648"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Tuberculosis is one of the biggest causes of death due to infectious diseases worldwide. The World Health Organization (WHO) estimates that in 2023, some 10.8 million people developed TB and approximately 1.25 million individuals died from TB worldwide</w:t>
      </w:r>
      <w:r w:rsidR="00597DB1" w:rsidRPr="00D963D7">
        <w:rPr>
          <w:rFonts w:ascii="Times New Roman" w:hAnsi="Times New Roman" w:cs="Times New Roman"/>
        </w:rPr>
        <w:t xml:space="preserve"> (Broadbent et al., 2024)</w:t>
      </w:r>
      <w:r w:rsidRPr="00D963D7">
        <w:rPr>
          <w:rFonts w:ascii="Times New Roman" w:hAnsi="Times New Roman" w:cs="Times New Roman"/>
        </w:rPr>
        <w:t>. Now the disease has emerged as a huge problem in LMICs and has become more common amongst migrants residing in high-income countries despite significant strides in diagnosis and management.</w:t>
      </w:r>
    </w:p>
    <w:p w14:paraId="2EDEB87A" w14:textId="77777777" w:rsidR="00A90B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Within the UK TB incidence is relatively low, but is </w:t>
      </w:r>
      <w:r w:rsidR="00F50C4B" w:rsidRPr="00D963D7">
        <w:rPr>
          <w:rFonts w:ascii="Times New Roman" w:hAnsi="Times New Roman" w:cs="Times New Roman"/>
        </w:rPr>
        <w:t>focused</w:t>
      </w:r>
      <w:r w:rsidRPr="00D963D7">
        <w:rPr>
          <w:rFonts w:ascii="Times New Roman" w:hAnsi="Times New Roman" w:cs="Times New Roman"/>
        </w:rPr>
        <w:t xml:space="preserve"> in </w:t>
      </w:r>
      <w:r w:rsidR="00597DB1" w:rsidRPr="00D963D7">
        <w:rPr>
          <w:rFonts w:ascii="Times New Roman" w:hAnsi="Times New Roman" w:cs="Times New Roman"/>
        </w:rPr>
        <w:t>high-risk</w:t>
      </w:r>
      <w:r w:rsidRPr="00D963D7">
        <w:rPr>
          <w:rFonts w:ascii="Times New Roman" w:hAnsi="Times New Roman" w:cs="Times New Roman"/>
        </w:rPr>
        <w:t xml:space="preserve"> groups. The vast bulk of TB cases notified in the UK are from England, and the highest notification rates are from London</w:t>
      </w:r>
      <w:r w:rsidR="00597DB1" w:rsidRPr="00D963D7">
        <w:rPr>
          <w:rFonts w:ascii="Times New Roman" w:hAnsi="Times New Roman" w:cs="Times New Roman"/>
        </w:rPr>
        <w:t xml:space="preserve"> (Mannor &amp; Malcoe, 2022)</w:t>
      </w:r>
      <w:r w:rsidRPr="00D963D7">
        <w:rPr>
          <w:rFonts w:ascii="Times New Roman" w:hAnsi="Times New Roman" w:cs="Times New Roman"/>
        </w:rPr>
        <w:t>. National surveillance shows that ethnic minority groups have significantly higher morbidity than the White British. A study of analysed the links between Census 2021 and NHS mortality data across 48.6 million (86.6% of England's usual resident population), revealing significant ethnic differences</w:t>
      </w:r>
      <w:r w:rsidR="00597DB1" w:rsidRPr="00D963D7">
        <w:rPr>
          <w:rFonts w:ascii="Times New Roman" w:hAnsi="Times New Roman" w:cs="Times New Roman"/>
        </w:rPr>
        <w:t xml:space="preserve"> (</w:t>
      </w:r>
      <w:r w:rsidR="009B523E" w:rsidRPr="00D963D7">
        <w:rPr>
          <w:rFonts w:ascii="Times New Roman" w:hAnsi="Times New Roman" w:cs="Times New Roman"/>
        </w:rPr>
        <w:t>UKHSA 2025</w:t>
      </w:r>
      <w:r w:rsidR="00597DB1" w:rsidRPr="00D963D7">
        <w:rPr>
          <w:rFonts w:ascii="Times New Roman" w:hAnsi="Times New Roman" w:cs="Times New Roman"/>
        </w:rPr>
        <w:t>)</w:t>
      </w:r>
      <w:r w:rsidRPr="00D963D7">
        <w:rPr>
          <w:rFonts w:ascii="Times New Roman" w:hAnsi="Times New Roman" w:cs="Times New Roman"/>
        </w:rPr>
        <w:t xml:space="preserve">. </w:t>
      </w:r>
    </w:p>
    <w:p w14:paraId="3B7C1C19" w14:textId="3157DAD7" w:rsidR="0086135E"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The Asian Other ethnic group had 29 times as many people admitted to hospital in an emergency for TB as White British people, Indian people had 27 times the rates of healthy White British people and Black African people had 15 times the rates of healthy White British people. These differences suggest that TB is not exclusively a disease of the lungs and irrelevant to social determinants of health, but rather a social determinant heightened TB disease. The high economic impact of preventable health inequalities has also been highlighted by the costs of inequalities estimated at £970m – £1.5bn to the NHS a year</w:t>
      </w:r>
      <w:r w:rsidR="009B523E" w:rsidRPr="00D963D7">
        <w:rPr>
          <w:rFonts w:ascii="Times New Roman" w:hAnsi="Times New Roman" w:cs="Times New Roman"/>
        </w:rPr>
        <w:t xml:space="preserve"> (UKHSA 2025)</w:t>
      </w:r>
      <w:r w:rsidRPr="00D963D7">
        <w:rPr>
          <w:rFonts w:ascii="Times New Roman" w:hAnsi="Times New Roman" w:cs="Times New Roman"/>
        </w:rPr>
        <w:t>.</w:t>
      </w:r>
    </w:p>
    <w:p w14:paraId="06CF8218" w14:textId="77777777" w:rsidR="004F5394" w:rsidRPr="00D963D7" w:rsidRDefault="004F5394" w:rsidP="00D963D7">
      <w:pPr>
        <w:spacing w:after="0" w:line="480" w:lineRule="auto"/>
        <w:ind w:firstLine="720"/>
        <w:contextualSpacing/>
        <w:rPr>
          <w:rFonts w:ascii="Times New Roman" w:hAnsi="Times New Roman" w:cs="Times New Roman"/>
        </w:rPr>
      </w:pPr>
    </w:p>
    <w:p w14:paraId="234EC5BF" w14:textId="77777777" w:rsidR="0086135E" w:rsidRPr="00D963D7" w:rsidRDefault="0086135E" w:rsidP="00D963D7">
      <w:pPr>
        <w:pStyle w:val="Heading1"/>
        <w:spacing w:before="0" w:after="0" w:line="480" w:lineRule="auto"/>
        <w:contextualSpacing/>
      </w:pPr>
      <w:bookmarkStart w:id="11" w:name="_Toc233770005"/>
      <w:r w:rsidRPr="00D963D7">
        <w:t>Public Health Measures for the Prevention, Protection and Promotion of Tuberculosis</w:t>
      </w:r>
      <w:bookmarkEnd w:id="11"/>
    </w:p>
    <w:p w14:paraId="4059323C" w14:textId="367F6F80" w:rsidR="004F5394" w:rsidRDefault="004F5394" w:rsidP="004F5394">
      <w:pPr>
        <w:spacing w:after="0" w:line="480" w:lineRule="auto"/>
        <w:ind w:firstLine="720"/>
        <w:contextualSpacing/>
        <w:rPr>
          <w:rFonts w:ascii="Times New Roman" w:hAnsi="Times New Roman" w:cs="Times New Roman"/>
        </w:rPr>
      </w:pPr>
      <w:r w:rsidRPr="004F5394">
        <w:rPr>
          <w:rFonts w:ascii="Times New Roman" w:hAnsi="Times New Roman" w:cs="Times New Roman"/>
        </w:rPr>
        <w:t>It requires a multi-sectoral public health strategy for TB control which is based on prevention, protection and health promotion. Applying these approaches is very relevant for people from ethnic minority communities with increased risk of TB</w:t>
      </w:r>
      <w:r>
        <w:rPr>
          <w:rFonts w:ascii="Times New Roman" w:hAnsi="Times New Roman" w:cs="Times New Roman"/>
        </w:rPr>
        <w:t xml:space="preserve"> (</w:t>
      </w:r>
      <w:r w:rsidRPr="004F5394">
        <w:rPr>
          <w:rFonts w:ascii="Times New Roman" w:hAnsi="Times New Roman" w:cs="Times New Roman"/>
        </w:rPr>
        <w:t>Chavez-Rimache</w:t>
      </w:r>
      <w:r>
        <w:rPr>
          <w:rFonts w:ascii="Times New Roman" w:hAnsi="Times New Roman" w:cs="Times New Roman"/>
        </w:rPr>
        <w:t xml:space="preserve"> et al., 2023)</w:t>
      </w:r>
      <w:r w:rsidRPr="004F5394">
        <w:rPr>
          <w:rFonts w:ascii="Times New Roman" w:hAnsi="Times New Roman" w:cs="Times New Roman"/>
        </w:rPr>
        <w:t>. Prevention involves infection prevention and the formation of on-going disease, protection involves limiting transmission, and health promotion involves raising awareness and utilization of health care resources.</w:t>
      </w:r>
    </w:p>
    <w:p w14:paraId="38E8FBCB" w14:textId="0D0C471F" w:rsidR="004F5394" w:rsidRPr="004F5394" w:rsidRDefault="004F5394" w:rsidP="004F5394">
      <w:pPr>
        <w:spacing w:after="0" w:line="480" w:lineRule="auto"/>
        <w:ind w:firstLine="720"/>
        <w:contextualSpacing/>
        <w:rPr>
          <w:rFonts w:ascii="Times New Roman" w:hAnsi="Times New Roman" w:cs="Times New Roman"/>
        </w:rPr>
      </w:pPr>
      <w:r w:rsidRPr="004F5394">
        <w:rPr>
          <w:rFonts w:ascii="Times New Roman" w:hAnsi="Times New Roman" w:cs="Times New Roman"/>
        </w:rPr>
        <w:t>Prevention will try to minimise the chances of a person getting infected with TB and the chances of them becoming infected and having the disease progress. Bacillus Calmette-Guérin (BCG) vaccination is recommended for persons who are considered to be at high risk, such as children who live in countries where TB is more common, and children with a family member who lives in such a country</w:t>
      </w:r>
      <w:r>
        <w:rPr>
          <w:rFonts w:ascii="Times New Roman" w:hAnsi="Times New Roman" w:cs="Times New Roman"/>
        </w:rPr>
        <w:t xml:space="preserve"> (</w:t>
      </w:r>
      <w:r w:rsidRPr="004F5394">
        <w:rPr>
          <w:rFonts w:ascii="Times New Roman" w:hAnsi="Times New Roman" w:cs="Times New Roman"/>
        </w:rPr>
        <w:t>Ahmed</w:t>
      </w:r>
      <w:r>
        <w:rPr>
          <w:rFonts w:ascii="Times New Roman" w:hAnsi="Times New Roman" w:cs="Times New Roman"/>
        </w:rPr>
        <w:t xml:space="preserve"> 2026)</w:t>
      </w:r>
      <w:r w:rsidRPr="004F5394">
        <w:rPr>
          <w:rFonts w:ascii="Times New Roman" w:hAnsi="Times New Roman" w:cs="Times New Roman"/>
        </w:rPr>
        <w:t>. For vaccinations to be complemented by broad-based prevention, however, Education about TB transmission (who is at risk, who to see for healthcare, and the prompt-seeking of care messages!) can help to increase the understanding of how TB is transmitted, TB symptoms, and prompt-seeking of care messages (Moreno-Agostino et al., 2024). But social determinants, like overcrowded housing and poverty, which may contribute to increased exposure and vulnerability to TB, should also be addressed in the setting of prevention.</w:t>
      </w:r>
    </w:p>
    <w:p w14:paraId="5D1065F9" w14:textId="77777777" w:rsidR="004F5394" w:rsidRPr="004F5394" w:rsidRDefault="004F5394" w:rsidP="004F5394">
      <w:pPr>
        <w:spacing w:after="0" w:line="480" w:lineRule="auto"/>
        <w:ind w:firstLine="720"/>
        <w:contextualSpacing/>
        <w:rPr>
          <w:rFonts w:ascii="Times New Roman" w:hAnsi="Times New Roman" w:cs="Times New Roman"/>
        </w:rPr>
      </w:pPr>
      <w:r w:rsidRPr="004F5394">
        <w:rPr>
          <w:rFonts w:ascii="Times New Roman" w:hAnsi="Times New Roman" w:cs="Times New Roman"/>
        </w:rPr>
        <w:t>The main importance of protection is early detection of infectious cases, preventing onward transmission. The UK Health Security Agency (UKHSA) introduce contact tracing, which is used to identify individuals potentially exposed to infected cases of TB (UKHSA, 2025). Household, workplace, school and group or community contacts can be evaluated as needed to find more cases. Infectiousness and transmission can be curtailed with prompt diagnosis and prompt antimicrobial treatment. Infection prevention measures such as taking appropriate respiratory precautions and using isolation when clinically required will also be important in a clinical/hospital setting (Mannor and Malcoe, 2022).</w:t>
      </w:r>
    </w:p>
    <w:p w14:paraId="0D262712" w14:textId="6BEA4FCD" w:rsidR="00A90B5E" w:rsidRDefault="004F5394" w:rsidP="004F5394">
      <w:pPr>
        <w:spacing w:after="0" w:line="480" w:lineRule="auto"/>
        <w:ind w:firstLine="720"/>
        <w:contextualSpacing/>
        <w:rPr>
          <w:rFonts w:ascii="Times New Roman" w:hAnsi="Times New Roman" w:cs="Times New Roman"/>
        </w:rPr>
      </w:pPr>
      <w:r w:rsidRPr="004F5394">
        <w:rPr>
          <w:rFonts w:ascii="Times New Roman" w:hAnsi="Times New Roman" w:cs="Times New Roman"/>
        </w:rPr>
        <w:t>Health promotion allows individual and community members the opportunity to enhance knowledge about TB and to interact with TB prevention and treatment services. Information should be culturally appropriate, readily available in relevant languages and through trusted community organisations as well as community centres. Community health workers (CHWs) can act as gatekeepers to access screening and treatment services and enhance awareness, trust and engagement in TB prevention programmes</w:t>
      </w:r>
      <w:r>
        <w:rPr>
          <w:rFonts w:ascii="Times New Roman" w:hAnsi="Times New Roman" w:cs="Times New Roman"/>
        </w:rPr>
        <w:t xml:space="preserve"> (</w:t>
      </w:r>
      <w:r w:rsidRPr="004F5394">
        <w:rPr>
          <w:rFonts w:ascii="Times New Roman" w:hAnsi="Times New Roman" w:cs="Times New Roman"/>
        </w:rPr>
        <w:t>Chau</w:t>
      </w:r>
      <w:r>
        <w:rPr>
          <w:rFonts w:ascii="Times New Roman" w:hAnsi="Times New Roman" w:cs="Times New Roman"/>
        </w:rPr>
        <w:t xml:space="preserve"> et al., 2023)</w:t>
      </w:r>
      <w:r w:rsidRPr="004F5394">
        <w:rPr>
          <w:rFonts w:ascii="Times New Roman" w:hAnsi="Times New Roman" w:cs="Times New Roman"/>
        </w:rPr>
        <w:t>. In the case of communities that speak different languages, or communities which have different cultures this community-based approach can be especially useful.</w:t>
      </w:r>
    </w:p>
    <w:p w14:paraId="1F159AFE" w14:textId="77777777" w:rsidR="004F5394" w:rsidRPr="00D963D7" w:rsidRDefault="004F5394" w:rsidP="004F5394">
      <w:pPr>
        <w:spacing w:after="0" w:line="480" w:lineRule="auto"/>
        <w:ind w:firstLine="720"/>
        <w:contextualSpacing/>
        <w:rPr>
          <w:rFonts w:ascii="Times New Roman" w:hAnsi="Times New Roman" w:cs="Times New Roman"/>
        </w:rPr>
      </w:pPr>
    </w:p>
    <w:p w14:paraId="354AAEE2" w14:textId="77777777" w:rsidR="0086135E" w:rsidRPr="00D963D7" w:rsidRDefault="0086135E" w:rsidP="00D963D7">
      <w:pPr>
        <w:pStyle w:val="Heading1"/>
        <w:spacing w:before="0" w:after="0" w:line="480" w:lineRule="auto"/>
        <w:contextualSpacing/>
      </w:pPr>
      <w:bookmarkStart w:id="12" w:name="_Toc233770006"/>
      <w:r w:rsidRPr="00D963D7">
        <w:t>Determinants and Risk Factors</w:t>
      </w:r>
      <w:bookmarkEnd w:id="12"/>
    </w:p>
    <w:p w14:paraId="432235C6" w14:textId="2ABB7B4D"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The epidemiology of TB is complex and dynamic and it heavily depends on a range of social determinants of health as well as the biological susceptibility. Although infection results after exposure to Mycobacterium tuberculosis, socioeconomic and environmental factors are important in determining the progression of latent infection to active disease</w:t>
      </w:r>
      <w:r w:rsidR="00BA7C80" w:rsidRPr="00D963D7">
        <w:rPr>
          <w:rFonts w:ascii="Times New Roman" w:hAnsi="Times New Roman" w:cs="Times New Roman"/>
        </w:rPr>
        <w:t xml:space="preserve"> (Bansal et al., 2022)</w:t>
      </w:r>
      <w:r w:rsidRPr="00D963D7">
        <w:rPr>
          <w:rFonts w:ascii="Times New Roman" w:hAnsi="Times New Roman" w:cs="Times New Roman"/>
        </w:rPr>
        <w:t>.</w:t>
      </w:r>
    </w:p>
    <w:p w14:paraId="448AA65C" w14:textId="77777777" w:rsidR="00A90B5E" w:rsidRPr="00D963D7" w:rsidRDefault="00A90B5E" w:rsidP="00D963D7">
      <w:pPr>
        <w:spacing w:after="0" w:line="480" w:lineRule="auto"/>
        <w:ind w:firstLine="720"/>
        <w:contextualSpacing/>
        <w:rPr>
          <w:rFonts w:ascii="Times New Roman" w:hAnsi="Times New Roman" w:cs="Times New Roman"/>
        </w:rPr>
      </w:pPr>
    </w:p>
    <w:p w14:paraId="0F7DC6BA" w14:textId="77777777" w:rsidR="0086135E" w:rsidRPr="00D963D7" w:rsidRDefault="0086135E" w:rsidP="00D963D7">
      <w:pPr>
        <w:pStyle w:val="Heading1"/>
        <w:spacing w:before="0" w:after="0" w:line="480" w:lineRule="auto"/>
        <w:contextualSpacing/>
      </w:pPr>
      <w:bookmarkStart w:id="13" w:name="_Toc233770007"/>
      <w:r w:rsidRPr="00D963D7">
        <w:t>Epidemiological Studies and Health Needs Assessment</w:t>
      </w:r>
      <w:bookmarkEnd w:id="13"/>
    </w:p>
    <w:p w14:paraId="3E39243D" w14:textId="7935971A"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Epidemiology gives evidence to inform population identification and informs resource allocation for people disproportionately affected with TB. Each year surveillance data shows that TB cases are always locally clustered within </w:t>
      </w:r>
      <w:r w:rsidR="00BA7C80" w:rsidRPr="00D963D7">
        <w:rPr>
          <w:rFonts w:ascii="Times New Roman" w:hAnsi="Times New Roman" w:cs="Times New Roman"/>
        </w:rPr>
        <w:t>low-income inner-city</w:t>
      </w:r>
      <w:r w:rsidRPr="00D963D7">
        <w:rPr>
          <w:rFonts w:ascii="Times New Roman" w:hAnsi="Times New Roman" w:cs="Times New Roman"/>
        </w:rPr>
        <w:t xml:space="preserve"> areas and in particular in London, Birmingham, Manchester and Leicester, where there are a larger proportion of ethnic minority residents</w:t>
      </w:r>
      <w:r w:rsidR="00BA7C80" w:rsidRPr="00D963D7">
        <w:rPr>
          <w:rFonts w:ascii="Times New Roman" w:hAnsi="Times New Roman" w:cs="Times New Roman"/>
        </w:rPr>
        <w:t xml:space="preserve"> (Broadbent et al., 2024)</w:t>
      </w:r>
      <w:r w:rsidRPr="00D963D7">
        <w:rPr>
          <w:rFonts w:ascii="Times New Roman" w:hAnsi="Times New Roman" w:cs="Times New Roman"/>
        </w:rPr>
        <w:t>.</w:t>
      </w:r>
    </w:p>
    <w:p w14:paraId="7B057507" w14:textId="77777777" w:rsidR="00A90B5E" w:rsidRPr="00D963D7" w:rsidRDefault="00A90B5E" w:rsidP="00D963D7">
      <w:pPr>
        <w:spacing w:after="0" w:line="480" w:lineRule="auto"/>
        <w:ind w:firstLine="720"/>
        <w:contextualSpacing/>
        <w:rPr>
          <w:rFonts w:ascii="Times New Roman" w:hAnsi="Times New Roman" w:cs="Times New Roman"/>
        </w:rPr>
      </w:pPr>
    </w:p>
    <w:p w14:paraId="46456250" w14:textId="77777777" w:rsidR="0086135E" w:rsidRPr="00D963D7" w:rsidRDefault="0086135E" w:rsidP="00D963D7">
      <w:pPr>
        <w:pStyle w:val="Heading1"/>
        <w:spacing w:before="0" w:after="0" w:line="480" w:lineRule="auto"/>
        <w:contextualSpacing/>
      </w:pPr>
      <w:bookmarkStart w:id="14" w:name="_Toc233770008"/>
      <w:r w:rsidRPr="00D963D7">
        <w:t>Surveillance and Monitoring Systems</w:t>
      </w:r>
      <w:bookmarkEnd w:id="14"/>
    </w:p>
    <w:p w14:paraId="532753D8" w14:textId="77C879A2"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The surveillance of tuberculosis is the mainstay of good epidemiological control. Outbreak-level detection, monitoring intervention effectiveness and exploration of dynamic disease patterns over time within populations are facilitated by continuous monitoring</w:t>
      </w:r>
      <w:r w:rsidR="00BA7C80" w:rsidRPr="00D963D7">
        <w:rPr>
          <w:rFonts w:ascii="Times New Roman" w:hAnsi="Times New Roman" w:cs="Times New Roman"/>
        </w:rPr>
        <w:t xml:space="preserve"> (Broadbent et al., 2024)</w:t>
      </w:r>
      <w:r w:rsidRPr="00D963D7">
        <w:rPr>
          <w:rFonts w:ascii="Times New Roman" w:hAnsi="Times New Roman" w:cs="Times New Roman"/>
        </w:rPr>
        <w:t>.</w:t>
      </w:r>
    </w:p>
    <w:p w14:paraId="26C8551F" w14:textId="239BC731"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The Enhanced Tuberculosis Surveillance (ETS) system is a surveillance system run by the UK Health Security Agency (UK HSA) that collects detailed information on patient demographics, ethnicity, geographical location, laboratory confirmation, treatment outcome and drug resistance</w:t>
      </w:r>
      <w:r w:rsidR="00BA7C80" w:rsidRPr="00D963D7">
        <w:rPr>
          <w:rFonts w:ascii="Times New Roman" w:hAnsi="Times New Roman" w:cs="Times New Roman"/>
        </w:rPr>
        <w:t xml:space="preserve"> (Moreno-Agostino et al., 2024)</w:t>
      </w:r>
      <w:r w:rsidRPr="00D963D7">
        <w:rPr>
          <w:rFonts w:ascii="Times New Roman" w:hAnsi="Times New Roman" w:cs="Times New Roman"/>
        </w:rPr>
        <w:t>. This provides a national database to monitor disease trends in real-time and make decisions about public health planning based on evidence.</w:t>
      </w:r>
    </w:p>
    <w:p w14:paraId="6077D3A4" w14:textId="75B8A261" w:rsidR="0086135E" w:rsidRPr="00D963D7" w:rsidRDefault="0086135E" w:rsidP="00D963D7">
      <w:pPr>
        <w:spacing w:after="0" w:line="480" w:lineRule="auto"/>
        <w:contextualSpacing/>
        <w:rPr>
          <w:rFonts w:ascii="Times New Roman" w:hAnsi="Times New Roman" w:cs="Times New Roman"/>
        </w:rPr>
      </w:pPr>
    </w:p>
    <w:p w14:paraId="6FFF2666" w14:textId="77777777" w:rsidR="0086135E" w:rsidRPr="00D963D7" w:rsidRDefault="0086135E" w:rsidP="00D963D7">
      <w:pPr>
        <w:pStyle w:val="Heading1"/>
        <w:spacing w:before="0" w:after="0" w:line="480" w:lineRule="auto"/>
        <w:contextualSpacing/>
      </w:pPr>
      <w:bookmarkStart w:id="15" w:name="_Toc233770009"/>
      <w:r w:rsidRPr="00D963D7">
        <w:t>Public Health Impact and Consequences</w:t>
      </w:r>
      <w:bookmarkEnd w:id="15"/>
    </w:p>
    <w:p w14:paraId="61CEF4B6" w14:textId="77777777"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TB has both immediate and long-term impacts at the individual, family, health system and community level.</w:t>
      </w:r>
    </w:p>
    <w:p w14:paraId="5B8EC4DB" w14:textId="3CCEF1E4"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When untreated at the level of the individual, TB leaves him with a chronic cough, fever, loss of weight, fatigue, weakness in his body's breathing system, and even permanent lung damage or death in severe cases</w:t>
      </w:r>
      <w:r w:rsidR="00BA7C80" w:rsidRPr="00D963D7">
        <w:rPr>
          <w:rFonts w:ascii="Times New Roman" w:hAnsi="Times New Roman" w:cs="Times New Roman"/>
        </w:rPr>
        <w:t xml:space="preserve"> (Broadbent et al., 2024)</w:t>
      </w:r>
      <w:r w:rsidRPr="00D963D7">
        <w:rPr>
          <w:rFonts w:ascii="Times New Roman" w:hAnsi="Times New Roman" w:cs="Times New Roman"/>
        </w:rPr>
        <w:t>. Delayed diagnosis leads to more severe disease and prolongs infectiousness, leading to more spread in households/community.</w:t>
      </w:r>
    </w:p>
    <w:p w14:paraId="0F01C366" w14:textId="07FBDBB9"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The economic impact is no less profound. Treatment takes typically at least six months which causes being unemployed, impacts the income in the household and causes financial hardship for patients. Self-costs associated with hospitalisation, diagnosis, contact tracing, medication, and follow-up, are also substantial costs that healthcare systems bear. The cost of inequalities in infectious disease admissions to NHS estimated to be between £970 million to £1.5 billion each year, highlighting the significant economic cost of preventable inequalities</w:t>
      </w:r>
      <w:r w:rsidR="00BA7C80" w:rsidRPr="00D963D7">
        <w:rPr>
          <w:rFonts w:ascii="Times New Roman" w:hAnsi="Times New Roman" w:cs="Times New Roman"/>
        </w:rPr>
        <w:t xml:space="preserve"> (Moreno-Agostino et al., 2024)</w:t>
      </w:r>
      <w:r w:rsidRPr="00D963D7">
        <w:rPr>
          <w:rFonts w:ascii="Times New Roman" w:hAnsi="Times New Roman" w:cs="Times New Roman"/>
        </w:rPr>
        <w:t>.</w:t>
      </w:r>
    </w:p>
    <w:p w14:paraId="2C9FCA81" w14:textId="6428FA55" w:rsidR="0086135E" w:rsidRPr="00D963D7" w:rsidRDefault="0086135E" w:rsidP="00D963D7">
      <w:pPr>
        <w:spacing w:after="0" w:line="480" w:lineRule="auto"/>
        <w:contextualSpacing/>
        <w:rPr>
          <w:rFonts w:ascii="Times New Roman" w:hAnsi="Times New Roman" w:cs="Times New Roman"/>
        </w:rPr>
      </w:pPr>
    </w:p>
    <w:p w14:paraId="0928828B" w14:textId="77777777" w:rsidR="0086135E" w:rsidRPr="00D963D7" w:rsidRDefault="0086135E" w:rsidP="00D963D7">
      <w:pPr>
        <w:pStyle w:val="Heading1"/>
        <w:spacing w:before="0" w:after="0" w:line="480" w:lineRule="auto"/>
        <w:contextualSpacing/>
      </w:pPr>
      <w:bookmarkStart w:id="16" w:name="_Toc233770010"/>
      <w:r w:rsidRPr="00D963D7">
        <w:t>Proposed Health Intervention Programme</w:t>
      </w:r>
      <w:bookmarkEnd w:id="16"/>
    </w:p>
    <w:p w14:paraId="5DAB96AE" w14:textId="2EEF9717"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To make an intervention programme effective, the epidemiological data is needed as well as the appropriate appraisal of the community through culturally sensitive approaches. Boroughs with higher ethnic minority concentrations and incidence rates should be targeted for a TB prevention strategy</w:t>
      </w:r>
      <w:r w:rsidR="00BA7C80" w:rsidRPr="00D963D7">
        <w:rPr>
          <w:rFonts w:ascii="Times New Roman" w:hAnsi="Times New Roman" w:cs="Times New Roman"/>
        </w:rPr>
        <w:t xml:space="preserve"> (Stopforth et al., 2023)</w:t>
      </w:r>
      <w:r w:rsidRPr="00D963D7">
        <w:rPr>
          <w:rFonts w:ascii="Times New Roman" w:hAnsi="Times New Roman" w:cs="Times New Roman"/>
        </w:rPr>
        <w:t>.</w:t>
      </w:r>
    </w:p>
    <w:p w14:paraId="7A0978CA" w14:textId="01A5E240"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Community based screening clinics through health centres, mobile, within faith centres, schools and community centres would feature on the programme. Screening should target recent migrants from high-incidence countries, as well as screen people living with HIV and diabetes and people who are homeless or have no fixed abode, and their household contacts</w:t>
      </w:r>
      <w:r w:rsidR="00BA7C80" w:rsidRPr="00D963D7">
        <w:rPr>
          <w:rFonts w:ascii="Times New Roman" w:hAnsi="Times New Roman" w:cs="Times New Roman"/>
        </w:rPr>
        <w:t xml:space="preserve"> (Moreno-Agostino et al., 2024)</w:t>
      </w:r>
      <w:r w:rsidRPr="00D963D7">
        <w:rPr>
          <w:rFonts w:ascii="Times New Roman" w:hAnsi="Times New Roman" w:cs="Times New Roman"/>
        </w:rPr>
        <w:t xml:space="preserve">. </w:t>
      </w:r>
    </w:p>
    <w:p w14:paraId="45934C5F" w14:textId="6A46F3ED" w:rsidR="0086135E" w:rsidRPr="00D963D7" w:rsidRDefault="0086135E" w:rsidP="00D963D7">
      <w:pPr>
        <w:spacing w:after="0" w:line="480" w:lineRule="auto"/>
        <w:contextualSpacing/>
        <w:rPr>
          <w:rFonts w:ascii="Times New Roman" w:hAnsi="Times New Roman" w:cs="Times New Roman"/>
        </w:rPr>
      </w:pPr>
    </w:p>
    <w:p w14:paraId="3EE5C17D" w14:textId="77777777" w:rsidR="0086135E" w:rsidRPr="00D963D7" w:rsidRDefault="0086135E" w:rsidP="00D963D7">
      <w:pPr>
        <w:pStyle w:val="Heading1"/>
        <w:spacing w:before="0" w:after="0" w:line="480" w:lineRule="auto"/>
        <w:contextualSpacing/>
      </w:pPr>
      <w:bookmarkStart w:id="17" w:name="_Toc233770011"/>
      <w:r w:rsidRPr="00D963D7">
        <w:t>Strengths and Weaknesses of the Epidemiological Approach</w:t>
      </w:r>
      <w:bookmarkEnd w:id="17"/>
    </w:p>
    <w:p w14:paraId="3D510072" w14:textId="49FC0BB5"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The epidemiology approach offers a number of useful advantages. By using population-based surveillance, accurate identification of high-risk communities can be made, and allocation of the limited resources of the public health system becomes efficient</w:t>
      </w:r>
      <w:r w:rsidR="00BA7C80" w:rsidRPr="00D963D7">
        <w:rPr>
          <w:rFonts w:ascii="Times New Roman" w:hAnsi="Times New Roman" w:cs="Times New Roman"/>
        </w:rPr>
        <w:t xml:space="preserve"> (Congdon, 2024)</w:t>
      </w:r>
      <w:r w:rsidRPr="00D963D7">
        <w:rPr>
          <w:rFonts w:ascii="Times New Roman" w:hAnsi="Times New Roman" w:cs="Times New Roman"/>
        </w:rPr>
        <w:t>. Lab, hospital, census and mortality data integration further supports disease surveillance and allows for the assessment of the efficacy of disease interventions over time</w:t>
      </w:r>
      <w:r w:rsidR="00BA7C80" w:rsidRPr="00D963D7">
        <w:rPr>
          <w:rFonts w:ascii="Times New Roman" w:hAnsi="Times New Roman" w:cs="Times New Roman"/>
        </w:rPr>
        <w:t xml:space="preserve"> (Bansal et al., 2022)</w:t>
      </w:r>
      <w:r w:rsidRPr="00D963D7">
        <w:rPr>
          <w:rFonts w:ascii="Times New Roman" w:hAnsi="Times New Roman" w:cs="Times New Roman"/>
        </w:rPr>
        <w:t>. Epidemiological evidence also favors targeted preventive measures, over popular measures, to enhance cost effectiveness.</w:t>
      </w:r>
    </w:p>
    <w:p w14:paraId="238F9574" w14:textId="67D0EEAF"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Some of its drawbacks, however, still exist. The actual disease burden can be underestimated when individuals make decisions not to seek care for a healthcare reason or when individuals migrate without being registered for official tracking due to other systems not monitoring these cases. </w:t>
      </w:r>
      <w:r w:rsidR="00D963D7" w:rsidRPr="00D963D7">
        <w:rPr>
          <w:rFonts w:ascii="Times New Roman" w:hAnsi="Times New Roman" w:cs="Times New Roman"/>
        </w:rPr>
        <w:t>Consisted</w:t>
      </w:r>
      <w:r w:rsidRPr="00D963D7">
        <w:rPr>
          <w:rFonts w:ascii="Times New Roman" w:hAnsi="Times New Roman" w:cs="Times New Roman"/>
        </w:rPr>
        <w:t xml:space="preserve"> datasets are not always comparable due to differences in </w:t>
      </w:r>
      <w:r w:rsidR="00BA7C80" w:rsidRPr="00D963D7">
        <w:rPr>
          <w:rFonts w:ascii="Times New Roman" w:hAnsi="Times New Roman" w:cs="Times New Roman"/>
        </w:rPr>
        <w:t>ethnos tings (Bansal et al., 2022)</w:t>
      </w:r>
      <w:r w:rsidRPr="00D963D7">
        <w:rPr>
          <w:rFonts w:ascii="Times New Roman" w:hAnsi="Times New Roman" w:cs="Times New Roman"/>
        </w:rPr>
        <w:t>. Identifying associations in observational epidemiological studies is not necessarily a sign of direct causality, since many social determinants are in play at the same time.</w:t>
      </w:r>
    </w:p>
    <w:p w14:paraId="07C710B7" w14:textId="02DE6CF0" w:rsidR="0086135E" w:rsidRPr="00D963D7" w:rsidRDefault="0086135E" w:rsidP="00D963D7">
      <w:pPr>
        <w:spacing w:after="0" w:line="480" w:lineRule="auto"/>
        <w:contextualSpacing/>
        <w:rPr>
          <w:rFonts w:ascii="Times New Roman" w:hAnsi="Times New Roman" w:cs="Times New Roman"/>
        </w:rPr>
      </w:pPr>
    </w:p>
    <w:p w14:paraId="7AD8F56C" w14:textId="77777777" w:rsidR="0086135E" w:rsidRPr="00D963D7" w:rsidRDefault="0086135E" w:rsidP="00D963D7">
      <w:pPr>
        <w:pStyle w:val="Heading1"/>
        <w:spacing w:before="0" w:after="0" w:line="480" w:lineRule="auto"/>
        <w:contextualSpacing/>
      </w:pPr>
      <w:bookmarkStart w:id="18" w:name="_Toc233770012"/>
      <w:r w:rsidRPr="00D963D7">
        <w:t>Conclusion</w:t>
      </w:r>
      <w:bookmarkEnd w:id="18"/>
    </w:p>
    <w:p w14:paraId="2A36AF9F" w14:textId="46C1828C" w:rsidR="0086135E" w:rsidRPr="00D963D7" w:rsidRDefault="00D963D7"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In conclusion, t</w:t>
      </w:r>
      <w:r w:rsidR="0086135E" w:rsidRPr="00D963D7">
        <w:rPr>
          <w:rFonts w:ascii="Times New Roman" w:hAnsi="Times New Roman" w:cs="Times New Roman"/>
        </w:rPr>
        <w:t>uberculosis is still a serious public health issue although there has been a reduction in the numbers of cases in the UK. The spikes in minority communities; migration, deprivation, housing conditions, health inequalities and wider social determinants play a key role in driving the disease and not just a focus on biological susceptibility. There are significant ethnic inequalities in emergency TB admission with a 29-fold higher emergency TB admission rate in the Asian Other group, a 27-fold higher rate in Indian groups and a 15-fold higher rate in the Black African group than in the White British group. The continuous improvements of surveillance systems, health needs assessments, and epidemiological studies have helped public health managers to identify high-risk groups and target health promotion initiatives such as vaccination, contact tracing, screening, and culturally appropriate health promotion.</w:t>
      </w:r>
    </w:p>
    <w:p w14:paraId="1E0DE370" w14:textId="77777777" w:rsidR="00BF208A" w:rsidRPr="00D963D7" w:rsidRDefault="00BF208A" w:rsidP="00D963D7">
      <w:pPr>
        <w:spacing w:after="0" w:line="480" w:lineRule="auto"/>
        <w:contextualSpacing/>
        <w:rPr>
          <w:rFonts w:ascii="Times New Roman" w:hAnsi="Times New Roman" w:cs="Times New Roman"/>
        </w:rPr>
      </w:pPr>
    </w:p>
    <w:p w14:paraId="45061084" w14:textId="77777777" w:rsidR="004F6405" w:rsidRPr="00D963D7" w:rsidRDefault="004F6405" w:rsidP="00D963D7">
      <w:pPr>
        <w:spacing w:after="0" w:line="480" w:lineRule="auto"/>
        <w:contextualSpacing/>
        <w:rPr>
          <w:rFonts w:ascii="Times New Roman" w:hAnsi="Times New Roman" w:cs="Times New Roman"/>
        </w:rPr>
      </w:pPr>
    </w:p>
    <w:p w14:paraId="682559EF" w14:textId="77777777" w:rsidR="004F6405" w:rsidRPr="00D963D7" w:rsidRDefault="004F6405" w:rsidP="00D963D7">
      <w:pPr>
        <w:spacing w:after="0" w:line="480" w:lineRule="auto"/>
        <w:contextualSpacing/>
        <w:rPr>
          <w:rFonts w:ascii="Times New Roman" w:hAnsi="Times New Roman" w:cs="Times New Roman"/>
        </w:rPr>
      </w:pPr>
    </w:p>
    <w:p w14:paraId="49461CB4" w14:textId="77777777" w:rsidR="00D963D7" w:rsidRPr="00D963D7" w:rsidRDefault="00D963D7" w:rsidP="00D963D7">
      <w:pPr>
        <w:spacing w:after="0" w:line="480" w:lineRule="auto"/>
        <w:contextualSpacing/>
        <w:rPr>
          <w:rFonts w:ascii="Times New Roman" w:hAnsi="Times New Roman" w:cs="Times New Roman"/>
        </w:rPr>
      </w:pPr>
      <w:r w:rsidRPr="00D963D7">
        <w:rPr>
          <w:rFonts w:ascii="Times New Roman" w:hAnsi="Times New Roman" w:cs="Times New Roman"/>
        </w:rPr>
        <w:br w:type="page"/>
      </w:r>
    </w:p>
    <w:p w14:paraId="2976A8D2" w14:textId="16218544" w:rsidR="00D963D7" w:rsidRPr="0030468F" w:rsidRDefault="004F6405" w:rsidP="0030468F">
      <w:pPr>
        <w:pStyle w:val="Heading1"/>
        <w:spacing w:before="0" w:after="0" w:line="480" w:lineRule="auto"/>
        <w:contextualSpacing/>
        <w:jc w:val="center"/>
        <w:rPr>
          <w:i w:val="0"/>
          <w:iCs w:val="0"/>
        </w:rPr>
      </w:pPr>
      <w:bookmarkStart w:id="19" w:name="_Toc233770013"/>
      <w:r w:rsidRPr="00D963D7">
        <w:rPr>
          <w:i w:val="0"/>
          <w:iCs w:val="0"/>
        </w:rPr>
        <w:t>References</w:t>
      </w:r>
      <w:bookmarkEnd w:id="19"/>
    </w:p>
    <w:p w14:paraId="45DE8D28" w14:textId="77777777" w:rsidR="007F17A4" w:rsidRDefault="007F17A4" w:rsidP="007F17A4">
      <w:pPr>
        <w:spacing w:after="0" w:line="480" w:lineRule="auto"/>
        <w:ind w:left="720" w:hanging="720"/>
        <w:contextualSpacing/>
        <w:rPr>
          <w:rFonts w:ascii="Times New Roman" w:hAnsi="Times New Roman" w:cs="Times New Roman"/>
        </w:rPr>
      </w:pPr>
      <w:r w:rsidRPr="007F17A4">
        <w:rPr>
          <w:rFonts w:ascii="Times New Roman" w:hAnsi="Times New Roman" w:cs="Times New Roman"/>
        </w:rPr>
        <w:t>Ahmed, A. (2026). Delayed BCG Vaccination, Disseminated BCG Disease (BCGosis) at Six Months of Age, and the Diagnostic Limitations of Tuberculin Skin Testing in Infants: A Systematic Review and Immunopathological Analysis.</w:t>
      </w:r>
    </w:p>
    <w:p w14:paraId="05DA0576"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Ajayi, O., 2021. A perspective on health inequalities in BAME communities and how to improve access to primary care. </w:t>
      </w:r>
      <w:r w:rsidRPr="00D963D7">
        <w:rPr>
          <w:rFonts w:ascii="Times New Roman" w:hAnsi="Times New Roman" w:cs="Times New Roman"/>
          <w:i/>
          <w:iCs/>
        </w:rPr>
        <w:t>Future healthcare journal</w:t>
      </w:r>
      <w:r w:rsidRPr="00D963D7">
        <w:rPr>
          <w:rFonts w:ascii="Times New Roman" w:hAnsi="Times New Roman" w:cs="Times New Roman"/>
        </w:rPr>
        <w:t>, </w:t>
      </w:r>
      <w:r w:rsidRPr="00D963D7">
        <w:rPr>
          <w:rFonts w:ascii="Times New Roman" w:hAnsi="Times New Roman" w:cs="Times New Roman"/>
          <w:i/>
          <w:iCs/>
        </w:rPr>
        <w:t>8</w:t>
      </w:r>
      <w:r w:rsidRPr="00D963D7">
        <w:rPr>
          <w:rFonts w:ascii="Times New Roman" w:hAnsi="Times New Roman" w:cs="Times New Roman"/>
        </w:rPr>
        <w:t>(1), pp.36-39.</w:t>
      </w:r>
    </w:p>
    <w:p w14:paraId="18103B37"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Alvidrez, J., Castille, D., Laude-Sharp, M., Rosario, A. and Tabor, D., 2019. The national institute on minority health and health disparities research framework. </w:t>
      </w:r>
      <w:r w:rsidRPr="00D963D7">
        <w:rPr>
          <w:rFonts w:ascii="Times New Roman" w:hAnsi="Times New Roman" w:cs="Times New Roman"/>
          <w:i/>
          <w:iCs/>
        </w:rPr>
        <w:t>American journal of public health</w:t>
      </w:r>
      <w:r w:rsidRPr="00D963D7">
        <w:rPr>
          <w:rFonts w:ascii="Times New Roman" w:hAnsi="Times New Roman" w:cs="Times New Roman"/>
        </w:rPr>
        <w:t>, </w:t>
      </w:r>
      <w:r w:rsidRPr="00D963D7">
        <w:rPr>
          <w:rFonts w:ascii="Times New Roman" w:hAnsi="Times New Roman" w:cs="Times New Roman"/>
          <w:i/>
          <w:iCs/>
        </w:rPr>
        <w:t>109</w:t>
      </w:r>
      <w:r w:rsidRPr="00D963D7">
        <w:rPr>
          <w:rFonts w:ascii="Times New Roman" w:hAnsi="Times New Roman" w:cs="Times New Roman"/>
        </w:rPr>
        <w:t>(S1), pp.S16-S20.</w:t>
      </w:r>
    </w:p>
    <w:p w14:paraId="41BC5B10"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Bansal, N., Karlsen, S., Sashidharan, S. P., Cohen, R., Chew-Graham, C. A., &amp; Malpass, A. (2022). Understanding ethnic inequalities in mental healthcare in the UK: A meta-ethnography. </w:t>
      </w:r>
      <w:r w:rsidRPr="00D963D7">
        <w:rPr>
          <w:rFonts w:ascii="Times New Roman" w:hAnsi="Times New Roman" w:cs="Times New Roman"/>
          <w:i/>
          <w:iCs/>
        </w:rPr>
        <w:t>PLoS Medicine</w:t>
      </w:r>
      <w:r w:rsidRPr="00D963D7">
        <w:rPr>
          <w:rFonts w:ascii="Times New Roman" w:hAnsi="Times New Roman" w:cs="Times New Roman"/>
        </w:rPr>
        <w:t>, </w:t>
      </w:r>
      <w:r w:rsidRPr="00D963D7">
        <w:rPr>
          <w:rFonts w:ascii="Times New Roman" w:hAnsi="Times New Roman" w:cs="Times New Roman"/>
          <w:i/>
          <w:iCs/>
        </w:rPr>
        <w:t>19</w:t>
      </w:r>
      <w:r w:rsidRPr="00D963D7">
        <w:rPr>
          <w:rFonts w:ascii="Times New Roman" w:hAnsi="Times New Roman" w:cs="Times New Roman"/>
        </w:rPr>
        <w:t>(12), e1004139.</w:t>
      </w:r>
    </w:p>
    <w:p w14:paraId="71FE437C"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Bansal, N., Karlsen, S., Sashidharan, S.P., Cohen, R., Chew-Graham, C.A. and Malpass, A., 2022. Understanding ethnic inequalities in mental healthcare in the UK: A meta-ethnography. </w:t>
      </w:r>
      <w:r w:rsidRPr="00D963D7">
        <w:rPr>
          <w:rFonts w:ascii="Times New Roman" w:hAnsi="Times New Roman" w:cs="Times New Roman"/>
          <w:i/>
          <w:iCs/>
        </w:rPr>
        <w:t>PLoS Medicine</w:t>
      </w:r>
      <w:r w:rsidRPr="00D963D7">
        <w:rPr>
          <w:rFonts w:ascii="Times New Roman" w:hAnsi="Times New Roman" w:cs="Times New Roman"/>
        </w:rPr>
        <w:t>, </w:t>
      </w:r>
      <w:r w:rsidRPr="00D963D7">
        <w:rPr>
          <w:rFonts w:ascii="Times New Roman" w:hAnsi="Times New Roman" w:cs="Times New Roman"/>
          <w:i/>
          <w:iCs/>
        </w:rPr>
        <w:t>19</w:t>
      </w:r>
      <w:r w:rsidRPr="00D963D7">
        <w:rPr>
          <w:rFonts w:ascii="Times New Roman" w:hAnsi="Times New Roman" w:cs="Times New Roman"/>
        </w:rPr>
        <w:t>(12), p.e1004139.</w:t>
      </w:r>
    </w:p>
    <w:p w14:paraId="426FE19C"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Broadbent, P., Shen, Y., Pearce, A., &amp; Katikireddi, S. V. (2024). Trends in inequalities in childhood overweight and obesity prevalence: a repeat cross-sectional analysis of the Health Survey for England. </w:t>
      </w:r>
      <w:r w:rsidRPr="00D963D7">
        <w:rPr>
          <w:rFonts w:ascii="Times New Roman" w:hAnsi="Times New Roman" w:cs="Times New Roman"/>
          <w:i/>
          <w:iCs/>
        </w:rPr>
        <w:t>Archives of disease in childhood</w:t>
      </w:r>
      <w:r w:rsidRPr="00D963D7">
        <w:rPr>
          <w:rFonts w:ascii="Times New Roman" w:hAnsi="Times New Roman" w:cs="Times New Roman"/>
        </w:rPr>
        <w:t>, </w:t>
      </w:r>
      <w:r w:rsidRPr="00D963D7">
        <w:rPr>
          <w:rFonts w:ascii="Times New Roman" w:hAnsi="Times New Roman" w:cs="Times New Roman"/>
          <w:i/>
          <w:iCs/>
        </w:rPr>
        <w:t>109</w:t>
      </w:r>
      <w:r w:rsidRPr="00D963D7">
        <w:rPr>
          <w:rFonts w:ascii="Times New Roman" w:hAnsi="Times New Roman" w:cs="Times New Roman"/>
        </w:rPr>
        <w:t>(3), 233-239.</w:t>
      </w:r>
    </w:p>
    <w:p w14:paraId="592EF75C"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Cacciatore, S., Mao, S., Nuñez, M.V., Massaro, C., Spadafora, L., Bernardi, M., Perone, F., Sabouret, P., Biondi-Zoccai, G., Banach, M. and Calvani, R., 2025. Urban health inequities and healthy longevity: traditional and emerging risk factors across the cities and policy implications. </w:t>
      </w:r>
      <w:r w:rsidRPr="00D963D7">
        <w:rPr>
          <w:rFonts w:ascii="Times New Roman" w:hAnsi="Times New Roman" w:cs="Times New Roman"/>
          <w:i/>
          <w:iCs/>
        </w:rPr>
        <w:t>Aging clinical and experimental research</w:t>
      </w:r>
      <w:r w:rsidRPr="00D963D7">
        <w:rPr>
          <w:rFonts w:ascii="Times New Roman" w:hAnsi="Times New Roman" w:cs="Times New Roman"/>
        </w:rPr>
        <w:t>, </w:t>
      </w:r>
      <w:r w:rsidRPr="00D963D7">
        <w:rPr>
          <w:rFonts w:ascii="Times New Roman" w:hAnsi="Times New Roman" w:cs="Times New Roman"/>
          <w:i/>
          <w:iCs/>
        </w:rPr>
        <w:t>37</w:t>
      </w:r>
      <w:r w:rsidRPr="00D963D7">
        <w:rPr>
          <w:rFonts w:ascii="Times New Roman" w:hAnsi="Times New Roman" w:cs="Times New Roman"/>
        </w:rPr>
        <w:t>(1), p.143.</w:t>
      </w:r>
    </w:p>
    <w:p w14:paraId="79D46E84" w14:textId="77777777" w:rsidR="007F17A4" w:rsidRPr="00D963D7" w:rsidRDefault="007F17A4" w:rsidP="00D963D7">
      <w:pPr>
        <w:spacing w:after="0" w:line="480" w:lineRule="auto"/>
        <w:ind w:left="720" w:hanging="720"/>
        <w:contextualSpacing/>
        <w:rPr>
          <w:rFonts w:ascii="Times New Roman" w:hAnsi="Times New Roman" w:cs="Times New Roman"/>
        </w:rPr>
      </w:pPr>
      <w:r w:rsidRPr="007F17A4">
        <w:rPr>
          <w:rFonts w:ascii="Times New Roman" w:hAnsi="Times New Roman" w:cs="Times New Roman"/>
        </w:rPr>
        <w:t>Chau, M. M., Ahmed, N., Pillai, S., Telzak, R., Fraser, M., &amp; Islam, N. S. (2023). Community‐based organizations as trusted messengers in health. Hastings Center Report, 53, S91-S98.</w:t>
      </w:r>
    </w:p>
    <w:p w14:paraId="65A0C5F2" w14:textId="77777777" w:rsidR="007F17A4" w:rsidRDefault="007F17A4" w:rsidP="007F17A4">
      <w:pPr>
        <w:spacing w:after="0" w:line="480" w:lineRule="auto"/>
        <w:ind w:left="720" w:hanging="720"/>
        <w:contextualSpacing/>
        <w:rPr>
          <w:rFonts w:ascii="Times New Roman" w:hAnsi="Times New Roman" w:cs="Times New Roman"/>
        </w:rPr>
      </w:pPr>
      <w:r w:rsidRPr="007F17A4">
        <w:rPr>
          <w:rFonts w:ascii="Times New Roman" w:hAnsi="Times New Roman" w:cs="Times New Roman"/>
        </w:rPr>
        <w:t>Chavez-Rimache, L., Ugarte-Gil, C., &amp; Brunette, M. J. (2023). The community as an active part in the implementation of interventions for the prevention and care of tuberculosis: a scoping review. PLOS Global Public Health, 3(12), e0001482.</w:t>
      </w:r>
    </w:p>
    <w:p w14:paraId="63D6C8D4"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Congdon, P. (2024). Neighbourhood health inequalities between ethnic groups in England: An application of ecological inference. </w:t>
      </w:r>
      <w:r w:rsidRPr="00D963D7">
        <w:rPr>
          <w:rFonts w:ascii="Times New Roman" w:hAnsi="Times New Roman" w:cs="Times New Roman"/>
          <w:i/>
          <w:iCs/>
        </w:rPr>
        <w:t>Applied Spatial Analysis and Policy</w:t>
      </w:r>
      <w:r w:rsidRPr="00D963D7">
        <w:rPr>
          <w:rFonts w:ascii="Times New Roman" w:hAnsi="Times New Roman" w:cs="Times New Roman"/>
        </w:rPr>
        <w:t>, </w:t>
      </w:r>
      <w:r w:rsidRPr="00D963D7">
        <w:rPr>
          <w:rFonts w:ascii="Times New Roman" w:hAnsi="Times New Roman" w:cs="Times New Roman"/>
          <w:i/>
          <w:iCs/>
        </w:rPr>
        <w:t>17</w:t>
      </w:r>
      <w:r w:rsidRPr="00D963D7">
        <w:rPr>
          <w:rFonts w:ascii="Times New Roman" w:hAnsi="Times New Roman" w:cs="Times New Roman"/>
        </w:rPr>
        <w:t>(2), 847-866.</w:t>
      </w:r>
    </w:p>
    <w:p w14:paraId="41E346C8"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Financial stress can also cause long-term stress—leading to such conditions as hypertension, depression, anxiety, and impaired immune system. Those in deprived neighbourhoods may also be more exposed to things like environmental pollution and crime and to having less access to health services, which can lead to increased health inequalities (La Forgia et al., 2022).</w:t>
      </w:r>
    </w:p>
    <w:p w14:paraId="471F315C"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Hayanga, B., Stafford, M., &amp; Becares, L. (2021). Ethnic inequalities in healthcare use and care quality among people with multiple long-term health conditions living in the United Kingdom: a systematic review and narrative synthesis. </w:t>
      </w:r>
      <w:r w:rsidRPr="00D963D7">
        <w:rPr>
          <w:rFonts w:ascii="Times New Roman" w:hAnsi="Times New Roman" w:cs="Times New Roman"/>
          <w:i/>
          <w:iCs/>
        </w:rPr>
        <w:t>International Journal of Environmental Research and Public Health</w:t>
      </w:r>
      <w:r w:rsidRPr="00D963D7">
        <w:rPr>
          <w:rFonts w:ascii="Times New Roman" w:hAnsi="Times New Roman" w:cs="Times New Roman"/>
        </w:rPr>
        <w:t>, </w:t>
      </w:r>
      <w:r w:rsidRPr="00D963D7">
        <w:rPr>
          <w:rFonts w:ascii="Times New Roman" w:hAnsi="Times New Roman" w:cs="Times New Roman"/>
          <w:i/>
          <w:iCs/>
        </w:rPr>
        <w:t>18</w:t>
      </w:r>
      <w:r w:rsidRPr="00D963D7">
        <w:rPr>
          <w:rFonts w:ascii="Times New Roman" w:hAnsi="Times New Roman" w:cs="Times New Roman"/>
        </w:rPr>
        <w:t>(23), 12599.</w:t>
      </w:r>
    </w:p>
    <w:p w14:paraId="12B573EF"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Hayanga, B., Stafford, M., &amp; Bécares, L. (2023). Ethnic inequalities in multiple long-term health conditions in the United Kingdom: a systematic review and narrative synthesis. </w:t>
      </w:r>
      <w:r w:rsidRPr="00D963D7">
        <w:rPr>
          <w:rFonts w:ascii="Times New Roman" w:hAnsi="Times New Roman" w:cs="Times New Roman"/>
          <w:i/>
          <w:iCs/>
        </w:rPr>
        <w:t>BMC Public Health</w:t>
      </w:r>
      <w:r w:rsidRPr="00D963D7">
        <w:rPr>
          <w:rFonts w:ascii="Times New Roman" w:hAnsi="Times New Roman" w:cs="Times New Roman"/>
        </w:rPr>
        <w:t>, </w:t>
      </w:r>
      <w:r w:rsidRPr="00D963D7">
        <w:rPr>
          <w:rFonts w:ascii="Times New Roman" w:hAnsi="Times New Roman" w:cs="Times New Roman"/>
          <w:i/>
          <w:iCs/>
        </w:rPr>
        <w:t>23</w:t>
      </w:r>
      <w:r w:rsidRPr="00D963D7">
        <w:rPr>
          <w:rFonts w:ascii="Times New Roman" w:hAnsi="Times New Roman" w:cs="Times New Roman"/>
        </w:rPr>
        <w:t>(1), 178.</w:t>
      </w:r>
    </w:p>
    <w:p w14:paraId="562D65AC"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Im, H. and Tefera, G.M., 2025. Discrimination and intersecting inequities to healthcare access among refugee newcomers in the United States. </w:t>
      </w:r>
      <w:r w:rsidRPr="00D963D7">
        <w:rPr>
          <w:rFonts w:ascii="Times New Roman" w:hAnsi="Times New Roman" w:cs="Times New Roman"/>
          <w:i/>
          <w:iCs/>
        </w:rPr>
        <w:t>Archives of Public Health</w:t>
      </w:r>
      <w:r w:rsidRPr="00D963D7">
        <w:rPr>
          <w:rFonts w:ascii="Times New Roman" w:hAnsi="Times New Roman" w:cs="Times New Roman"/>
        </w:rPr>
        <w:t>.</w:t>
      </w:r>
    </w:p>
    <w:p w14:paraId="26A26D20"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Jiao, L., 2024. Social determinants of health, diet, and health outcome. </w:t>
      </w:r>
      <w:r w:rsidRPr="00D963D7">
        <w:rPr>
          <w:rFonts w:ascii="Times New Roman" w:hAnsi="Times New Roman" w:cs="Times New Roman"/>
          <w:i/>
          <w:iCs/>
        </w:rPr>
        <w:t>Nutrients</w:t>
      </w:r>
      <w:r w:rsidRPr="00D963D7">
        <w:rPr>
          <w:rFonts w:ascii="Times New Roman" w:hAnsi="Times New Roman" w:cs="Times New Roman"/>
        </w:rPr>
        <w:t>, </w:t>
      </w:r>
      <w:r w:rsidRPr="00D963D7">
        <w:rPr>
          <w:rFonts w:ascii="Times New Roman" w:hAnsi="Times New Roman" w:cs="Times New Roman"/>
          <w:i/>
          <w:iCs/>
        </w:rPr>
        <w:t>16</w:t>
      </w:r>
      <w:r w:rsidRPr="00D963D7">
        <w:rPr>
          <w:rFonts w:ascii="Times New Roman" w:hAnsi="Times New Roman" w:cs="Times New Roman"/>
        </w:rPr>
        <w:t>(21), p.3642.</w:t>
      </w:r>
    </w:p>
    <w:p w14:paraId="40411ED8"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La Forgia, A., Bond, A.M., Braun, R.T., Yao, L.Z., Kjaer, K., Zhang, M. and Casalino, L.P., 2022. Association of physician management companies and private equity investment with commercial health care prices paid to anesthesia practitioners. </w:t>
      </w:r>
      <w:r w:rsidRPr="00D963D7">
        <w:rPr>
          <w:rFonts w:ascii="Times New Roman" w:hAnsi="Times New Roman" w:cs="Times New Roman"/>
          <w:i/>
          <w:iCs/>
        </w:rPr>
        <w:t>JAMA internal medicine</w:t>
      </w:r>
      <w:r w:rsidRPr="00D963D7">
        <w:rPr>
          <w:rFonts w:ascii="Times New Roman" w:hAnsi="Times New Roman" w:cs="Times New Roman"/>
        </w:rPr>
        <w:t>, </w:t>
      </w:r>
      <w:r w:rsidRPr="00D963D7">
        <w:rPr>
          <w:rFonts w:ascii="Times New Roman" w:hAnsi="Times New Roman" w:cs="Times New Roman"/>
          <w:i/>
          <w:iCs/>
        </w:rPr>
        <w:t>182</w:t>
      </w:r>
      <w:r w:rsidRPr="00D963D7">
        <w:rPr>
          <w:rFonts w:ascii="Times New Roman" w:hAnsi="Times New Roman" w:cs="Times New Roman"/>
        </w:rPr>
        <w:t>(4), pp.396-404.</w:t>
      </w:r>
    </w:p>
    <w:p w14:paraId="1D49237B"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Lam, J., Aldridge, R., Blackburn, R., &amp; Harron, K. (2023). How is ethnicity reported, described, and analysed in health research in the UK? A bibliographical review and focus group discussions with young refugees. </w:t>
      </w:r>
      <w:r w:rsidRPr="00D963D7">
        <w:rPr>
          <w:rFonts w:ascii="Times New Roman" w:hAnsi="Times New Roman" w:cs="Times New Roman"/>
          <w:i/>
          <w:iCs/>
        </w:rPr>
        <w:t>BMC Public Health</w:t>
      </w:r>
      <w:r w:rsidRPr="00D963D7">
        <w:rPr>
          <w:rFonts w:ascii="Times New Roman" w:hAnsi="Times New Roman" w:cs="Times New Roman"/>
        </w:rPr>
        <w:t>, </w:t>
      </w:r>
      <w:r w:rsidRPr="00D963D7">
        <w:rPr>
          <w:rFonts w:ascii="Times New Roman" w:hAnsi="Times New Roman" w:cs="Times New Roman"/>
          <w:i/>
          <w:iCs/>
        </w:rPr>
        <w:t>23</w:t>
      </w:r>
      <w:r w:rsidRPr="00D963D7">
        <w:rPr>
          <w:rFonts w:ascii="Times New Roman" w:hAnsi="Times New Roman" w:cs="Times New Roman"/>
        </w:rPr>
        <w:t>(1), 2025.</w:t>
      </w:r>
    </w:p>
    <w:p w14:paraId="19E2E573"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Lewis, C., Cohen, P.R., Bahl, D., Levine, E.M. and Khaliq, W., 2023. Race and ethnic categories: a brief review of global terms and nomenclature. </w:t>
      </w:r>
      <w:r w:rsidRPr="00D963D7">
        <w:rPr>
          <w:rFonts w:ascii="Times New Roman" w:hAnsi="Times New Roman" w:cs="Times New Roman"/>
          <w:i/>
          <w:iCs/>
        </w:rPr>
        <w:t>Cureus</w:t>
      </w:r>
      <w:r w:rsidRPr="00D963D7">
        <w:rPr>
          <w:rFonts w:ascii="Times New Roman" w:hAnsi="Times New Roman" w:cs="Times New Roman"/>
        </w:rPr>
        <w:t>, </w:t>
      </w:r>
      <w:r w:rsidRPr="00D963D7">
        <w:rPr>
          <w:rFonts w:ascii="Times New Roman" w:hAnsi="Times New Roman" w:cs="Times New Roman"/>
          <w:i/>
          <w:iCs/>
        </w:rPr>
        <w:t>15</w:t>
      </w:r>
      <w:r w:rsidRPr="00D963D7">
        <w:rPr>
          <w:rFonts w:ascii="Times New Roman" w:hAnsi="Times New Roman" w:cs="Times New Roman"/>
        </w:rPr>
        <w:t>(7).</w:t>
      </w:r>
    </w:p>
    <w:p w14:paraId="3089365C"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Mannor, K. M., &amp; Malcoe, L. H. (2022). Uses of theory in racial health disparities research: a scoping review and application of public health critical race praxis. </w:t>
      </w:r>
      <w:r w:rsidRPr="00D963D7">
        <w:rPr>
          <w:rFonts w:ascii="Times New Roman" w:hAnsi="Times New Roman" w:cs="Times New Roman"/>
          <w:i/>
          <w:iCs/>
        </w:rPr>
        <w:t>Annals of Epidemiology</w:t>
      </w:r>
      <w:r w:rsidRPr="00D963D7">
        <w:rPr>
          <w:rFonts w:ascii="Times New Roman" w:hAnsi="Times New Roman" w:cs="Times New Roman"/>
        </w:rPr>
        <w:t>, </w:t>
      </w:r>
      <w:r w:rsidRPr="00D963D7">
        <w:rPr>
          <w:rFonts w:ascii="Times New Roman" w:hAnsi="Times New Roman" w:cs="Times New Roman"/>
          <w:i/>
          <w:iCs/>
        </w:rPr>
        <w:t>66</w:t>
      </w:r>
      <w:r w:rsidRPr="00D963D7">
        <w:rPr>
          <w:rFonts w:ascii="Times New Roman" w:hAnsi="Times New Roman" w:cs="Times New Roman"/>
        </w:rPr>
        <w:t>, 56-64.</w:t>
      </w:r>
    </w:p>
    <w:p w14:paraId="1AF72923"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Merrill, R. M. (2024). </w:t>
      </w:r>
      <w:r w:rsidRPr="00D963D7">
        <w:rPr>
          <w:rFonts w:ascii="Times New Roman" w:hAnsi="Times New Roman" w:cs="Times New Roman"/>
          <w:i/>
          <w:iCs/>
        </w:rPr>
        <w:t>Introduction to epidemiology</w:t>
      </w:r>
      <w:r w:rsidRPr="00D963D7">
        <w:rPr>
          <w:rFonts w:ascii="Times New Roman" w:hAnsi="Times New Roman" w:cs="Times New Roman"/>
        </w:rPr>
        <w:t>. Jones &amp; Bartlett Learning.</w:t>
      </w:r>
    </w:p>
    <w:p w14:paraId="16F1E2A8"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Mirza, H.S. and Warwick, R., 2022. </w:t>
      </w:r>
      <w:r w:rsidRPr="00D963D7">
        <w:rPr>
          <w:rFonts w:ascii="Times New Roman" w:hAnsi="Times New Roman" w:cs="Times New Roman"/>
          <w:i/>
          <w:iCs/>
        </w:rPr>
        <w:t>Race and ethnicity</w:t>
      </w:r>
      <w:r w:rsidRPr="00D963D7">
        <w:rPr>
          <w:rFonts w:ascii="Times New Roman" w:hAnsi="Times New Roman" w:cs="Times New Roman"/>
        </w:rPr>
        <w:t> (No. R230). IFS Report.</w:t>
      </w:r>
    </w:p>
    <w:p w14:paraId="589110AF"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Miyasaka, T., Dobashi-Okuyama, K., Takahashi, T., Takayanagi, M. and Ohno, I., 2018. The interplay between neuroendocrine activity and psychological stress-induced exacerbation of allergic asthma. </w:t>
      </w:r>
      <w:r w:rsidRPr="00D963D7">
        <w:rPr>
          <w:rFonts w:ascii="Times New Roman" w:hAnsi="Times New Roman" w:cs="Times New Roman"/>
          <w:i/>
          <w:iCs/>
        </w:rPr>
        <w:t>Allergology International</w:t>
      </w:r>
      <w:r w:rsidRPr="00D963D7">
        <w:rPr>
          <w:rFonts w:ascii="Times New Roman" w:hAnsi="Times New Roman" w:cs="Times New Roman"/>
        </w:rPr>
        <w:t>, </w:t>
      </w:r>
      <w:r w:rsidRPr="00D963D7">
        <w:rPr>
          <w:rFonts w:ascii="Times New Roman" w:hAnsi="Times New Roman" w:cs="Times New Roman"/>
          <w:i/>
          <w:iCs/>
        </w:rPr>
        <w:t>67</w:t>
      </w:r>
      <w:r w:rsidRPr="00D963D7">
        <w:rPr>
          <w:rFonts w:ascii="Times New Roman" w:hAnsi="Times New Roman" w:cs="Times New Roman"/>
        </w:rPr>
        <w:t>(1), pp.32-42.</w:t>
      </w:r>
    </w:p>
    <w:p w14:paraId="5039F89E"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Moreno-Agostino, D., Woodhead, C., Ploubidis, G. B., &amp; Das-Munshi, J. (2024). A quantitative approach to the intersectional study of mental health inequalities during the COVID-19 pandemic in UK young adults. </w:t>
      </w:r>
      <w:r w:rsidRPr="00D963D7">
        <w:rPr>
          <w:rFonts w:ascii="Times New Roman" w:hAnsi="Times New Roman" w:cs="Times New Roman"/>
          <w:i/>
          <w:iCs/>
        </w:rPr>
        <w:t>Social Psychiatry and Psychiatric Epidemiology</w:t>
      </w:r>
      <w:r w:rsidRPr="00D963D7">
        <w:rPr>
          <w:rFonts w:ascii="Times New Roman" w:hAnsi="Times New Roman" w:cs="Times New Roman"/>
        </w:rPr>
        <w:t>, </w:t>
      </w:r>
      <w:r w:rsidRPr="00D963D7">
        <w:rPr>
          <w:rFonts w:ascii="Times New Roman" w:hAnsi="Times New Roman" w:cs="Times New Roman"/>
          <w:i/>
          <w:iCs/>
        </w:rPr>
        <w:t>59</w:t>
      </w:r>
      <w:r w:rsidRPr="00D963D7">
        <w:rPr>
          <w:rFonts w:ascii="Times New Roman" w:hAnsi="Times New Roman" w:cs="Times New Roman"/>
        </w:rPr>
        <w:t>(3), 417-429.</w:t>
      </w:r>
    </w:p>
    <w:p w14:paraId="5B03A694"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Odoms-Young, A., Brown, A.G., Agurs-Collins, T. and Glanz, K., 2024. Food insecurity, neighborhood food environment, and health disparities: state of the science, research gaps and opportunities. </w:t>
      </w:r>
      <w:r w:rsidRPr="00D963D7">
        <w:rPr>
          <w:rFonts w:ascii="Times New Roman" w:hAnsi="Times New Roman" w:cs="Times New Roman"/>
          <w:i/>
          <w:iCs/>
        </w:rPr>
        <w:t>The American journal of clinical nutrition</w:t>
      </w:r>
      <w:r w:rsidRPr="00D963D7">
        <w:rPr>
          <w:rFonts w:ascii="Times New Roman" w:hAnsi="Times New Roman" w:cs="Times New Roman"/>
        </w:rPr>
        <w:t>, </w:t>
      </w:r>
      <w:r w:rsidRPr="00D963D7">
        <w:rPr>
          <w:rFonts w:ascii="Times New Roman" w:hAnsi="Times New Roman" w:cs="Times New Roman"/>
          <w:i/>
          <w:iCs/>
        </w:rPr>
        <w:t>119</w:t>
      </w:r>
      <w:r w:rsidRPr="00D963D7">
        <w:rPr>
          <w:rFonts w:ascii="Times New Roman" w:hAnsi="Times New Roman" w:cs="Times New Roman"/>
        </w:rPr>
        <w:t>(3), pp.850-861.</w:t>
      </w:r>
    </w:p>
    <w:p w14:paraId="361A6C29"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Patel, M., Abatcha, S. and Uthman, O., 2022. Ethnic differences between South Asians and White Caucasians in cardiovascular disease-related mortality in developed countries: a systematic literature review. </w:t>
      </w:r>
      <w:r w:rsidRPr="00D963D7">
        <w:rPr>
          <w:rFonts w:ascii="Times New Roman" w:hAnsi="Times New Roman" w:cs="Times New Roman"/>
          <w:i/>
          <w:iCs/>
        </w:rPr>
        <w:t>Systematic Reviews</w:t>
      </w:r>
      <w:r w:rsidRPr="00D963D7">
        <w:rPr>
          <w:rFonts w:ascii="Times New Roman" w:hAnsi="Times New Roman" w:cs="Times New Roman"/>
        </w:rPr>
        <w:t>, </w:t>
      </w:r>
      <w:r w:rsidRPr="00D963D7">
        <w:rPr>
          <w:rFonts w:ascii="Times New Roman" w:hAnsi="Times New Roman" w:cs="Times New Roman"/>
          <w:i/>
          <w:iCs/>
        </w:rPr>
        <w:t>11</w:t>
      </w:r>
      <w:r w:rsidRPr="00D963D7">
        <w:rPr>
          <w:rFonts w:ascii="Times New Roman" w:hAnsi="Times New Roman" w:cs="Times New Roman"/>
        </w:rPr>
        <w:t>(1), p.207.</w:t>
      </w:r>
    </w:p>
    <w:p w14:paraId="2EB4260E"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Stopforth, S., Kapadia, D., Nazroo, J., &amp; Bécares, L. (2023). Ethnic inequalities in health in later life, 1993–2017: the persistence of health disadvantage over more than two decades. </w:t>
      </w:r>
      <w:r w:rsidRPr="00D963D7">
        <w:rPr>
          <w:rFonts w:ascii="Times New Roman" w:hAnsi="Times New Roman" w:cs="Times New Roman"/>
          <w:i/>
          <w:iCs/>
        </w:rPr>
        <w:t>Ageing &amp; Society</w:t>
      </w:r>
      <w:r w:rsidRPr="00D963D7">
        <w:rPr>
          <w:rFonts w:ascii="Times New Roman" w:hAnsi="Times New Roman" w:cs="Times New Roman"/>
        </w:rPr>
        <w:t>, </w:t>
      </w:r>
      <w:r w:rsidRPr="00D963D7">
        <w:rPr>
          <w:rFonts w:ascii="Times New Roman" w:hAnsi="Times New Roman" w:cs="Times New Roman"/>
          <w:i/>
          <w:iCs/>
        </w:rPr>
        <w:t>43</w:t>
      </w:r>
      <w:r w:rsidRPr="00D963D7">
        <w:rPr>
          <w:rFonts w:ascii="Times New Roman" w:hAnsi="Times New Roman" w:cs="Times New Roman"/>
        </w:rPr>
        <w:t>(8), 1954-1982.</w:t>
      </w:r>
    </w:p>
    <w:p w14:paraId="5024B3A9"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 xml:space="preserve">UK Health Security Agency (UKHSA) (2025) </w:t>
      </w:r>
      <w:r w:rsidRPr="00D963D7">
        <w:rPr>
          <w:rFonts w:ascii="Times New Roman" w:hAnsi="Times New Roman" w:cs="Times New Roman"/>
          <w:i/>
          <w:iCs/>
        </w:rPr>
        <w:t>Health inequalities in health protection report 2025</w:t>
      </w:r>
      <w:r w:rsidRPr="00D963D7">
        <w:rPr>
          <w:rFonts w:ascii="Times New Roman" w:hAnsi="Times New Roman" w:cs="Times New Roman"/>
        </w:rPr>
        <w:t xml:space="preserve">. GOV.UK. </w:t>
      </w:r>
    </w:p>
    <w:p w14:paraId="2B0D4CA9" w14:textId="77777777" w:rsidR="007F17A4" w:rsidRPr="00D963D7" w:rsidRDefault="007F17A4"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Vrtikapa, K., Urmy, F.H. and Hoque, F., 2025. Social Determinants of Health: The Impact of This Overlooked Vital Sign. </w:t>
      </w:r>
      <w:r w:rsidRPr="00D963D7">
        <w:rPr>
          <w:rFonts w:ascii="Times New Roman" w:hAnsi="Times New Roman" w:cs="Times New Roman"/>
          <w:i/>
          <w:iCs/>
        </w:rPr>
        <w:t>Journal of Brown hospital medicine</w:t>
      </w:r>
      <w:r w:rsidRPr="00D963D7">
        <w:rPr>
          <w:rFonts w:ascii="Times New Roman" w:hAnsi="Times New Roman" w:cs="Times New Roman"/>
        </w:rPr>
        <w:t>, </w:t>
      </w:r>
      <w:r w:rsidRPr="00D963D7">
        <w:rPr>
          <w:rFonts w:ascii="Times New Roman" w:hAnsi="Times New Roman" w:cs="Times New Roman"/>
          <w:i/>
          <w:iCs/>
        </w:rPr>
        <w:t>4</w:t>
      </w:r>
      <w:r w:rsidRPr="00D963D7">
        <w:rPr>
          <w:rFonts w:ascii="Times New Roman" w:hAnsi="Times New Roman" w:cs="Times New Roman"/>
        </w:rPr>
        <w:t>(3), p.138072.</w:t>
      </w:r>
    </w:p>
    <w:p w14:paraId="3842C94F" w14:textId="77777777" w:rsidR="007F17A4" w:rsidRDefault="007F17A4" w:rsidP="007F17A4">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Wasti, S. P., Simkhada, P., van Teijlingen, E. R., Sathian, B., &amp; Banerjee, I. (2022). The growing importance of mixed-methods research in health. </w:t>
      </w:r>
      <w:r w:rsidRPr="00D963D7">
        <w:rPr>
          <w:rFonts w:ascii="Times New Roman" w:hAnsi="Times New Roman" w:cs="Times New Roman"/>
          <w:i/>
          <w:iCs/>
        </w:rPr>
        <w:t>Nepal journal of epidemiology</w:t>
      </w:r>
      <w:r w:rsidRPr="00D963D7">
        <w:rPr>
          <w:rFonts w:ascii="Times New Roman" w:hAnsi="Times New Roman" w:cs="Times New Roman"/>
        </w:rPr>
        <w:t>, </w:t>
      </w:r>
      <w:r w:rsidRPr="00D963D7">
        <w:rPr>
          <w:rFonts w:ascii="Times New Roman" w:hAnsi="Times New Roman" w:cs="Times New Roman"/>
          <w:i/>
          <w:iCs/>
        </w:rPr>
        <w:t>12</w:t>
      </w:r>
      <w:r w:rsidRPr="00D963D7">
        <w:rPr>
          <w:rFonts w:ascii="Times New Roman" w:hAnsi="Times New Roman" w:cs="Times New Roman"/>
        </w:rPr>
        <w:t>(1), 1175.</w:t>
      </w:r>
    </w:p>
    <w:p w14:paraId="0759C6E3" w14:textId="473AA022" w:rsidR="00956F6F" w:rsidRPr="00D963D7" w:rsidRDefault="00956F6F" w:rsidP="00D963D7">
      <w:pPr>
        <w:spacing w:after="0" w:line="480" w:lineRule="auto"/>
        <w:ind w:left="360"/>
        <w:contextualSpacing/>
        <w:rPr>
          <w:rFonts w:ascii="Times New Roman" w:hAnsi="Times New Roman" w:cs="Times New Roman"/>
        </w:rPr>
      </w:pPr>
    </w:p>
    <w:p w14:paraId="1A2FAC2A" w14:textId="6B6DA88D" w:rsidR="00956F6F" w:rsidRPr="00D963D7" w:rsidRDefault="00956F6F" w:rsidP="00D963D7">
      <w:pPr>
        <w:spacing w:after="0" w:line="480" w:lineRule="auto"/>
        <w:ind w:left="360"/>
        <w:contextualSpacing/>
        <w:rPr>
          <w:rFonts w:ascii="Times New Roman" w:hAnsi="Times New Roman" w:cs="Times New Roman"/>
        </w:rPr>
      </w:pPr>
    </w:p>
    <w:p w14:paraId="31EC757D" w14:textId="28FA67F4" w:rsidR="00956F6F" w:rsidRPr="00D963D7" w:rsidRDefault="00956F6F" w:rsidP="00D963D7">
      <w:pPr>
        <w:spacing w:after="0" w:line="480" w:lineRule="auto"/>
        <w:ind w:left="360"/>
        <w:contextualSpacing/>
        <w:rPr>
          <w:rFonts w:ascii="Times New Roman" w:hAnsi="Times New Roman" w:cs="Times New Roman"/>
        </w:rPr>
      </w:pPr>
    </w:p>
    <w:p w14:paraId="57641905" w14:textId="2C2E1ED9" w:rsidR="00956F6F" w:rsidRPr="00D963D7" w:rsidRDefault="00956F6F" w:rsidP="00D963D7">
      <w:pPr>
        <w:spacing w:after="0" w:line="480" w:lineRule="auto"/>
        <w:ind w:left="360"/>
        <w:contextualSpacing/>
        <w:rPr>
          <w:rFonts w:ascii="Times New Roman" w:hAnsi="Times New Roman" w:cs="Times New Roman"/>
        </w:rPr>
      </w:pPr>
    </w:p>
    <w:p w14:paraId="3620C223" w14:textId="22B9B3BF" w:rsidR="00956F6F" w:rsidRPr="00D963D7" w:rsidRDefault="00956F6F" w:rsidP="00D963D7">
      <w:pPr>
        <w:spacing w:after="0" w:line="480" w:lineRule="auto"/>
        <w:ind w:left="360"/>
        <w:contextualSpacing/>
        <w:rPr>
          <w:rFonts w:ascii="Times New Roman" w:hAnsi="Times New Roman" w:cs="Times New Roman"/>
        </w:rPr>
      </w:pPr>
    </w:p>
    <w:p w14:paraId="21C49315" w14:textId="5698C615" w:rsidR="00956F6F" w:rsidRPr="00D963D7" w:rsidRDefault="00956F6F" w:rsidP="00D963D7">
      <w:pPr>
        <w:spacing w:after="0" w:line="480" w:lineRule="auto"/>
        <w:ind w:left="360"/>
        <w:contextualSpacing/>
        <w:rPr>
          <w:rFonts w:ascii="Times New Roman" w:hAnsi="Times New Roman" w:cs="Times New Roman"/>
        </w:rPr>
      </w:pPr>
    </w:p>
    <w:p w14:paraId="0D4B425B" w14:textId="30CC88B5" w:rsidR="00956F6F" w:rsidRPr="00D963D7" w:rsidRDefault="00956F6F" w:rsidP="00D963D7">
      <w:pPr>
        <w:spacing w:after="0" w:line="480" w:lineRule="auto"/>
        <w:ind w:left="360"/>
        <w:contextualSpacing/>
        <w:rPr>
          <w:rFonts w:ascii="Times New Roman" w:hAnsi="Times New Roman" w:cs="Times New Roman"/>
        </w:rPr>
      </w:pPr>
    </w:p>
    <w:p w14:paraId="1B3D599A" w14:textId="3DE921A8" w:rsidR="00956F6F" w:rsidRPr="00D963D7" w:rsidRDefault="00956F6F" w:rsidP="00D963D7">
      <w:pPr>
        <w:spacing w:after="0" w:line="480" w:lineRule="auto"/>
        <w:ind w:left="360"/>
        <w:contextualSpacing/>
        <w:rPr>
          <w:rFonts w:ascii="Times New Roman" w:hAnsi="Times New Roman" w:cs="Times New Roman"/>
        </w:rPr>
      </w:pPr>
    </w:p>
    <w:p w14:paraId="1BA339CC" w14:textId="56A50934" w:rsidR="00956F6F" w:rsidRPr="00D963D7" w:rsidRDefault="00956F6F" w:rsidP="00D963D7">
      <w:pPr>
        <w:spacing w:after="0" w:line="480" w:lineRule="auto"/>
        <w:ind w:left="360"/>
        <w:contextualSpacing/>
        <w:rPr>
          <w:rFonts w:ascii="Times New Roman" w:hAnsi="Times New Roman" w:cs="Times New Roman"/>
        </w:rPr>
      </w:pPr>
    </w:p>
    <w:p w14:paraId="5FECFA35" w14:textId="7D68EF62" w:rsidR="00956F6F" w:rsidRPr="00D963D7" w:rsidRDefault="00956F6F" w:rsidP="00D963D7">
      <w:pPr>
        <w:spacing w:after="0" w:line="480" w:lineRule="auto"/>
        <w:ind w:left="360"/>
        <w:contextualSpacing/>
        <w:rPr>
          <w:rFonts w:ascii="Times New Roman" w:hAnsi="Times New Roman" w:cs="Times New Roman"/>
        </w:rPr>
      </w:pPr>
    </w:p>
    <w:p w14:paraId="79B9E161" w14:textId="01F6113D" w:rsidR="00956F6F" w:rsidRPr="00D963D7" w:rsidRDefault="00956F6F" w:rsidP="00D963D7">
      <w:pPr>
        <w:spacing w:after="0" w:line="480" w:lineRule="auto"/>
        <w:ind w:left="360"/>
        <w:contextualSpacing/>
        <w:rPr>
          <w:rFonts w:ascii="Times New Roman" w:hAnsi="Times New Roman" w:cs="Times New Roman"/>
        </w:rPr>
      </w:pPr>
    </w:p>
    <w:p w14:paraId="019EB2D6" w14:textId="77777777" w:rsidR="00597DB1" w:rsidRPr="00D963D7" w:rsidRDefault="00597DB1" w:rsidP="00D963D7">
      <w:pPr>
        <w:spacing w:after="0" w:line="480" w:lineRule="auto"/>
        <w:ind w:left="360"/>
        <w:contextualSpacing/>
        <w:rPr>
          <w:rFonts w:ascii="Times New Roman" w:hAnsi="Times New Roman" w:cs="Times New Roman"/>
        </w:rPr>
      </w:pPr>
    </w:p>
    <w:p w14:paraId="385F8CC6" w14:textId="77777777" w:rsidR="00956F6F" w:rsidRPr="00D963D7" w:rsidRDefault="00956F6F" w:rsidP="00D963D7">
      <w:pPr>
        <w:spacing w:after="0" w:line="480" w:lineRule="auto"/>
        <w:ind w:left="360"/>
        <w:contextualSpacing/>
        <w:rPr>
          <w:rFonts w:ascii="Times New Roman" w:hAnsi="Times New Roman" w:cs="Times New Roman"/>
        </w:rPr>
      </w:pPr>
    </w:p>
    <w:sectPr w:rsidR="00956F6F" w:rsidRPr="00D963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BD391" w14:textId="77777777" w:rsidR="002A51D0" w:rsidRDefault="002A51D0" w:rsidP="00A90B5E">
      <w:pPr>
        <w:spacing w:after="0" w:line="240" w:lineRule="auto"/>
      </w:pPr>
      <w:r>
        <w:separator/>
      </w:r>
    </w:p>
  </w:endnote>
  <w:endnote w:type="continuationSeparator" w:id="0">
    <w:p w14:paraId="7E00919B" w14:textId="77777777" w:rsidR="002A51D0" w:rsidRDefault="002A51D0" w:rsidP="00A90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A21E1" w14:textId="77777777" w:rsidR="002A51D0" w:rsidRDefault="002A51D0" w:rsidP="00A90B5E">
      <w:pPr>
        <w:spacing w:after="0" w:line="240" w:lineRule="auto"/>
      </w:pPr>
      <w:r>
        <w:separator/>
      </w:r>
    </w:p>
  </w:footnote>
  <w:footnote w:type="continuationSeparator" w:id="0">
    <w:p w14:paraId="1FB5A301" w14:textId="77777777" w:rsidR="002A51D0" w:rsidRDefault="002A51D0" w:rsidP="00A90B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187755"/>
    <w:multiLevelType w:val="hybridMultilevel"/>
    <w:tmpl w:val="825697DA"/>
    <w:lvl w:ilvl="0" w:tplc="D188FB68">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4E0960"/>
    <w:multiLevelType w:val="hybridMultilevel"/>
    <w:tmpl w:val="D3142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5859652">
    <w:abstractNumId w:val="1"/>
  </w:num>
  <w:num w:numId="2" w16cid:durableId="276301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35E"/>
    <w:rsid w:val="000015AD"/>
    <w:rsid w:val="000A3C38"/>
    <w:rsid w:val="000F2D61"/>
    <w:rsid w:val="0010208B"/>
    <w:rsid w:val="001771F6"/>
    <w:rsid w:val="001E56E0"/>
    <w:rsid w:val="002A51D0"/>
    <w:rsid w:val="002E1F09"/>
    <w:rsid w:val="0030468F"/>
    <w:rsid w:val="003266E2"/>
    <w:rsid w:val="003829DD"/>
    <w:rsid w:val="003D0832"/>
    <w:rsid w:val="003F555B"/>
    <w:rsid w:val="00432455"/>
    <w:rsid w:val="004703BE"/>
    <w:rsid w:val="00491884"/>
    <w:rsid w:val="004979B0"/>
    <w:rsid w:val="004F5394"/>
    <w:rsid w:val="004F6405"/>
    <w:rsid w:val="004F728E"/>
    <w:rsid w:val="00597DB1"/>
    <w:rsid w:val="005B5A04"/>
    <w:rsid w:val="005C5D76"/>
    <w:rsid w:val="005E502D"/>
    <w:rsid w:val="00676237"/>
    <w:rsid w:val="00685DE4"/>
    <w:rsid w:val="006F32BF"/>
    <w:rsid w:val="00725A9C"/>
    <w:rsid w:val="00745363"/>
    <w:rsid w:val="007743C5"/>
    <w:rsid w:val="007F17A4"/>
    <w:rsid w:val="00807460"/>
    <w:rsid w:val="00807C30"/>
    <w:rsid w:val="0086135E"/>
    <w:rsid w:val="00863000"/>
    <w:rsid w:val="00875A00"/>
    <w:rsid w:val="00876804"/>
    <w:rsid w:val="00956F6F"/>
    <w:rsid w:val="009B523E"/>
    <w:rsid w:val="00A1141C"/>
    <w:rsid w:val="00A73BE5"/>
    <w:rsid w:val="00A90B5E"/>
    <w:rsid w:val="00A9245C"/>
    <w:rsid w:val="00AA2DCD"/>
    <w:rsid w:val="00B30D90"/>
    <w:rsid w:val="00B60DB5"/>
    <w:rsid w:val="00B66106"/>
    <w:rsid w:val="00B87685"/>
    <w:rsid w:val="00BA7C80"/>
    <w:rsid w:val="00BD087C"/>
    <w:rsid w:val="00BD7A65"/>
    <w:rsid w:val="00BF208A"/>
    <w:rsid w:val="00C46DF7"/>
    <w:rsid w:val="00CC4D1D"/>
    <w:rsid w:val="00D00069"/>
    <w:rsid w:val="00D14032"/>
    <w:rsid w:val="00D6798A"/>
    <w:rsid w:val="00D963D7"/>
    <w:rsid w:val="00E81941"/>
    <w:rsid w:val="00F50C4B"/>
    <w:rsid w:val="00F73EEF"/>
    <w:rsid w:val="00F77015"/>
    <w:rsid w:val="00FD600D"/>
    <w:rsid w:val="00FE6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DB8DC"/>
  <w15:chartTrackingRefBased/>
  <w15:docId w15:val="{AF1332BF-FDE2-420D-979F-48A5D69C1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3D7"/>
    <w:pPr>
      <w:keepNext/>
      <w:keepLines/>
      <w:spacing w:before="360" w:after="80"/>
      <w:outlineLvl w:val="0"/>
    </w:pPr>
    <w:rPr>
      <w:rFonts w:ascii="Times New Roman" w:eastAsiaTheme="majorEastAsia" w:hAnsi="Times New Roman" w:cs="Times New Roman"/>
      <w:b/>
      <w:bCs/>
      <w:i/>
      <w:iCs/>
      <w:color w:val="000000" w:themeColor="text1"/>
    </w:rPr>
  </w:style>
  <w:style w:type="paragraph" w:styleId="Heading2">
    <w:name w:val="heading 2"/>
    <w:basedOn w:val="Normal"/>
    <w:next w:val="Normal"/>
    <w:link w:val="Heading2Char"/>
    <w:uiPriority w:val="9"/>
    <w:unhideWhenUsed/>
    <w:qFormat/>
    <w:rsid w:val="00D963D7"/>
    <w:pPr>
      <w:keepNext/>
      <w:keepLines/>
      <w:spacing w:before="160" w:after="80"/>
      <w:outlineLvl w:val="1"/>
    </w:pPr>
    <w:rPr>
      <w:rFonts w:ascii="Times New Roman" w:eastAsiaTheme="majorEastAsia" w:hAnsi="Times New Roman" w:cs="Times New Roman"/>
      <w:i/>
      <w:iCs/>
      <w:color w:val="000000" w:themeColor="text1"/>
    </w:rPr>
  </w:style>
  <w:style w:type="paragraph" w:styleId="Heading3">
    <w:name w:val="heading 3"/>
    <w:basedOn w:val="Normal"/>
    <w:next w:val="Normal"/>
    <w:link w:val="Heading3Char"/>
    <w:uiPriority w:val="9"/>
    <w:semiHidden/>
    <w:unhideWhenUsed/>
    <w:qFormat/>
    <w:rsid w:val="008613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3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3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3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3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3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3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3D7"/>
    <w:rPr>
      <w:rFonts w:ascii="Times New Roman" w:eastAsiaTheme="majorEastAsia" w:hAnsi="Times New Roman" w:cs="Times New Roman"/>
      <w:b/>
      <w:bCs/>
      <w:i/>
      <w:iCs/>
      <w:color w:val="000000" w:themeColor="text1"/>
    </w:rPr>
  </w:style>
  <w:style w:type="character" w:customStyle="1" w:styleId="Heading2Char">
    <w:name w:val="Heading 2 Char"/>
    <w:basedOn w:val="DefaultParagraphFont"/>
    <w:link w:val="Heading2"/>
    <w:uiPriority w:val="9"/>
    <w:rsid w:val="00D963D7"/>
    <w:rPr>
      <w:rFonts w:ascii="Times New Roman" w:eastAsiaTheme="majorEastAsia" w:hAnsi="Times New Roman" w:cs="Times New Roman"/>
      <w:i/>
      <w:iCs/>
      <w:color w:val="000000" w:themeColor="text1"/>
    </w:rPr>
  </w:style>
  <w:style w:type="character" w:customStyle="1" w:styleId="Heading3Char">
    <w:name w:val="Heading 3 Char"/>
    <w:basedOn w:val="DefaultParagraphFont"/>
    <w:link w:val="Heading3"/>
    <w:uiPriority w:val="9"/>
    <w:semiHidden/>
    <w:rsid w:val="008613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3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3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3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3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3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35E"/>
    <w:rPr>
      <w:rFonts w:eastAsiaTheme="majorEastAsia" w:cstheme="majorBidi"/>
      <w:color w:val="272727" w:themeColor="text1" w:themeTint="D8"/>
    </w:rPr>
  </w:style>
  <w:style w:type="paragraph" w:styleId="Title">
    <w:name w:val="Title"/>
    <w:basedOn w:val="Normal"/>
    <w:next w:val="Normal"/>
    <w:link w:val="TitleChar"/>
    <w:uiPriority w:val="10"/>
    <w:qFormat/>
    <w:rsid w:val="008613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3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3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3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35E"/>
    <w:pPr>
      <w:spacing w:before="160"/>
      <w:jc w:val="center"/>
    </w:pPr>
    <w:rPr>
      <w:i/>
      <w:iCs/>
      <w:color w:val="404040" w:themeColor="text1" w:themeTint="BF"/>
    </w:rPr>
  </w:style>
  <w:style w:type="character" w:customStyle="1" w:styleId="QuoteChar">
    <w:name w:val="Quote Char"/>
    <w:basedOn w:val="DefaultParagraphFont"/>
    <w:link w:val="Quote"/>
    <w:uiPriority w:val="29"/>
    <w:rsid w:val="0086135E"/>
    <w:rPr>
      <w:i/>
      <w:iCs/>
      <w:color w:val="404040" w:themeColor="text1" w:themeTint="BF"/>
    </w:rPr>
  </w:style>
  <w:style w:type="paragraph" w:styleId="ListParagraph">
    <w:name w:val="List Paragraph"/>
    <w:basedOn w:val="Normal"/>
    <w:uiPriority w:val="34"/>
    <w:qFormat/>
    <w:rsid w:val="0086135E"/>
    <w:pPr>
      <w:ind w:left="720"/>
      <w:contextualSpacing/>
    </w:pPr>
  </w:style>
  <w:style w:type="character" w:styleId="IntenseEmphasis">
    <w:name w:val="Intense Emphasis"/>
    <w:basedOn w:val="DefaultParagraphFont"/>
    <w:uiPriority w:val="21"/>
    <w:qFormat/>
    <w:rsid w:val="0086135E"/>
    <w:rPr>
      <w:i/>
      <w:iCs/>
      <w:color w:val="0F4761" w:themeColor="accent1" w:themeShade="BF"/>
    </w:rPr>
  </w:style>
  <w:style w:type="paragraph" w:styleId="IntenseQuote">
    <w:name w:val="Intense Quote"/>
    <w:basedOn w:val="Normal"/>
    <w:next w:val="Normal"/>
    <w:link w:val="IntenseQuoteChar"/>
    <w:uiPriority w:val="30"/>
    <w:qFormat/>
    <w:rsid w:val="008613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35E"/>
    <w:rPr>
      <w:i/>
      <w:iCs/>
      <w:color w:val="0F4761" w:themeColor="accent1" w:themeShade="BF"/>
    </w:rPr>
  </w:style>
  <w:style w:type="character" w:styleId="IntenseReference">
    <w:name w:val="Intense Reference"/>
    <w:basedOn w:val="DefaultParagraphFont"/>
    <w:uiPriority w:val="32"/>
    <w:qFormat/>
    <w:rsid w:val="0086135E"/>
    <w:rPr>
      <w:b/>
      <w:bCs/>
      <w:smallCaps/>
      <w:color w:val="0F4761" w:themeColor="accent1" w:themeShade="BF"/>
      <w:spacing w:val="5"/>
    </w:rPr>
  </w:style>
  <w:style w:type="character" w:styleId="Hyperlink">
    <w:name w:val="Hyperlink"/>
    <w:basedOn w:val="DefaultParagraphFont"/>
    <w:uiPriority w:val="99"/>
    <w:unhideWhenUsed/>
    <w:rsid w:val="00C46DF7"/>
    <w:rPr>
      <w:color w:val="467886" w:themeColor="hyperlink"/>
      <w:u w:val="single"/>
    </w:rPr>
  </w:style>
  <w:style w:type="character" w:customStyle="1" w:styleId="UnresolvedMention1">
    <w:name w:val="Unresolved Mention1"/>
    <w:basedOn w:val="DefaultParagraphFont"/>
    <w:uiPriority w:val="99"/>
    <w:semiHidden/>
    <w:unhideWhenUsed/>
    <w:rsid w:val="00C46DF7"/>
    <w:rPr>
      <w:color w:val="605E5C"/>
      <w:shd w:val="clear" w:color="auto" w:fill="E1DFDD"/>
    </w:rPr>
  </w:style>
  <w:style w:type="paragraph" w:styleId="NoSpacing">
    <w:name w:val="No Spacing"/>
    <w:uiPriority w:val="1"/>
    <w:qFormat/>
    <w:rsid w:val="00F50C4B"/>
    <w:pPr>
      <w:spacing w:after="0" w:line="240" w:lineRule="auto"/>
    </w:pPr>
  </w:style>
  <w:style w:type="paragraph" w:styleId="Header">
    <w:name w:val="header"/>
    <w:basedOn w:val="Normal"/>
    <w:link w:val="HeaderChar"/>
    <w:uiPriority w:val="99"/>
    <w:unhideWhenUsed/>
    <w:rsid w:val="00A90B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0B5E"/>
  </w:style>
  <w:style w:type="paragraph" w:styleId="Footer">
    <w:name w:val="footer"/>
    <w:basedOn w:val="Normal"/>
    <w:link w:val="FooterChar"/>
    <w:uiPriority w:val="99"/>
    <w:unhideWhenUsed/>
    <w:rsid w:val="00A90B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0B5E"/>
  </w:style>
  <w:style w:type="paragraph" w:styleId="TOCHeading">
    <w:name w:val="TOC Heading"/>
    <w:basedOn w:val="Heading1"/>
    <w:next w:val="Normal"/>
    <w:uiPriority w:val="39"/>
    <w:unhideWhenUsed/>
    <w:qFormat/>
    <w:rsid w:val="00CC4D1D"/>
    <w:pPr>
      <w:spacing w:before="240" w:after="0" w:line="259" w:lineRule="auto"/>
      <w:outlineLvl w:val="9"/>
    </w:pPr>
    <w:rPr>
      <w:rFonts w:asciiTheme="majorHAnsi" w:hAnsiTheme="majorHAnsi" w:cstheme="majorBidi"/>
      <w:b w:val="0"/>
      <w:bCs w:val="0"/>
      <w:i w:val="0"/>
      <w:i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CC4D1D"/>
    <w:pPr>
      <w:spacing w:after="100"/>
    </w:pPr>
  </w:style>
  <w:style w:type="paragraph" w:styleId="TOC2">
    <w:name w:val="toc 2"/>
    <w:basedOn w:val="Normal"/>
    <w:next w:val="Normal"/>
    <w:autoRedefine/>
    <w:uiPriority w:val="39"/>
    <w:unhideWhenUsed/>
    <w:rsid w:val="00CC4D1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2F673-598A-4A4D-B1ED-C84C19145A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4185</Words>
  <Characters>23855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Patricia De sousa Barradas</cp:lastModifiedBy>
  <cp:revision>2</cp:revision>
  <dcterms:created xsi:type="dcterms:W3CDTF">2026-08-26T12:37:00Z</dcterms:created>
  <dcterms:modified xsi:type="dcterms:W3CDTF">2026-08-26T12:37:00Z</dcterms:modified>
</cp:coreProperties>
</file>