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A8CF93" w14:textId="77777777" w:rsidR="00B619DD" w:rsidRDefault="0026023C">
      <w:pPr>
        <w:pStyle w:val="Normal1"/>
        <w:jc w:val="center"/>
      </w:pPr>
      <w:r>
        <w:rPr>
          <w:noProof/>
        </w:rPr>
        <w:drawing>
          <wp:inline distT="114300" distB="114300" distL="114300" distR="114300" wp14:anchorId="2DB87CD3" wp14:editId="19998791">
            <wp:extent cx="2552700" cy="1152525"/>
            <wp:effectExtent l="0" t="0" r="0" b="0"/>
            <wp:docPr id="15" name="image1.png"/>
            <wp:cNvGraphicFramePr/>
            <a:graphic xmlns:a="http://schemas.openxmlformats.org/drawingml/2006/main">
              <a:graphicData uri="http://schemas.openxmlformats.org/drawingml/2006/picture">
                <pic:pic xmlns:pic="http://schemas.openxmlformats.org/drawingml/2006/picture">
                  <pic:nvPicPr>
                    <pic:cNvPr id="15" name="image1.png"/>
                    <pic:cNvPicPr/>
                  </pic:nvPicPr>
                  <pic:blipFill>
                    <a:blip r:embed="rId7"/>
                    <a:stretch>
                      <a:fillRect/>
                    </a:stretch>
                  </pic:blipFill>
                  <pic:spPr>
                    <a:xfrm>
                      <a:off x="0" y="0"/>
                      <a:ext cx="2552700" cy="1152525"/>
                    </a:xfrm>
                    <a:prstGeom prst="rect">
                      <a:avLst/>
                    </a:prstGeom>
                  </pic:spPr>
                </pic:pic>
              </a:graphicData>
            </a:graphic>
          </wp:inline>
        </w:drawing>
      </w:r>
    </w:p>
    <w:p w14:paraId="593003D5" w14:textId="77777777" w:rsidR="00B619DD" w:rsidRDefault="00B619DD">
      <w:pPr>
        <w:pStyle w:val="Normal1"/>
        <w:jc w:val="center"/>
        <w:rPr>
          <w:b/>
        </w:rPr>
      </w:pPr>
    </w:p>
    <w:p w14:paraId="220FDC85" w14:textId="77777777" w:rsidR="00B619DD" w:rsidRDefault="00B619DD">
      <w:pPr>
        <w:pStyle w:val="Normal1"/>
        <w:jc w:val="center"/>
        <w:rPr>
          <w:b/>
          <w:sz w:val="30"/>
          <w:szCs w:val="30"/>
        </w:rPr>
      </w:pPr>
    </w:p>
    <w:p w14:paraId="558BA17F" w14:textId="77777777" w:rsidR="00B619DD" w:rsidRDefault="00B619DD">
      <w:pPr>
        <w:pStyle w:val="Normal1"/>
        <w:jc w:val="center"/>
        <w:rPr>
          <w:b/>
          <w:sz w:val="30"/>
          <w:szCs w:val="30"/>
        </w:rPr>
      </w:pPr>
    </w:p>
    <w:p w14:paraId="68BF7467" w14:textId="77777777" w:rsidR="00B619DD" w:rsidRDefault="00B619DD">
      <w:pPr>
        <w:pStyle w:val="Normal1"/>
        <w:jc w:val="center"/>
        <w:rPr>
          <w:b/>
          <w:sz w:val="30"/>
          <w:szCs w:val="30"/>
        </w:rPr>
      </w:pPr>
    </w:p>
    <w:p w14:paraId="13E18982" w14:textId="77777777" w:rsidR="00B619DD" w:rsidRDefault="0026023C">
      <w:pPr>
        <w:pStyle w:val="Normal1"/>
        <w:jc w:val="center"/>
        <w:rPr>
          <w:b/>
          <w:sz w:val="30"/>
          <w:szCs w:val="30"/>
        </w:rPr>
      </w:pPr>
      <w:r>
        <w:rPr>
          <w:b/>
          <w:sz w:val="30"/>
          <w:szCs w:val="30"/>
        </w:rPr>
        <w:t>Module: Data Handling and Business Intelligence</w:t>
      </w:r>
    </w:p>
    <w:p w14:paraId="4E64FDE4" w14:textId="77777777" w:rsidR="00B619DD" w:rsidRDefault="0026023C">
      <w:pPr>
        <w:pStyle w:val="Normal1"/>
        <w:jc w:val="center"/>
        <w:rPr>
          <w:b/>
          <w:sz w:val="30"/>
          <w:szCs w:val="30"/>
        </w:rPr>
      </w:pPr>
      <w:r>
        <w:rPr>
          <w:b/>
          <w:sz w:val="30"/>
          <w:szCs w:val="30"/>
        </w:rPr>
        <w:t>Module Code: LCBB5000</w:t>
      </w:r>
    </w:p>
    <w:p w14:paraId="136D007A" w14:textId="77777777" w:rsidR="00B619DD" w:rsidRDefault="00B619DD">
      <w:pPr>
        <w:pStyle w:val="Normal1"/>
        <w:jc w:val="center"/>
        <w:rPr>
          <w:b/>
          <w:sz w:val="30"/>
          <w:szCs w:val="30"/>
        </w:rPr>
      </w:pPr>
    </w:p>
    <w:p w14:paraId="57B80A55" w14:textId="5081219D" w:rsidR="00B619DD" w:rsidRDefault="0026023C">
      <w:pPr>
        <w:pStyle w:val="Normal1"/>
        <w:jc w:val="center"/>
        <w:rPr>
          <w:b/>
          <w:sz w:val="30"/>
          <w:szCs w:val="30"/>
        </w:rPr>
      </w:pPr>
      <w:r>
        <w:rPr>
          <w:b/>
          <w:sz w:val="30"/>
          <w:szCs w:val="30"/>
        </w:rPr>
        <w:t>Student Name:</w:t>
      </w:r>
      <w:r w:rsidR="00B23A33">
        <w:rPr>
          <w:b/>
          <w:sz w:val="30"/>
          <w:szCs w:val="30"/>
        </w:rPr>
        <w:t>Silvia Mihaela Tanache</w:t>
      </w:r>
    </w:p>
    <w:p w14:paraId="4A7139B1" w14:textId="77777777" w:rsidR="00B619DD" w:rsidRDefault="00B619DD">
      <w:pPr>
        <w:pStyle w:val="Normal1"/>
        <w:jc w:val="center"/>
        <w:rPr>
          <w:b/>
          <w:sz w:val="30"/>
          <w:szCs w:val="30"/>
        </w:rPr>
      </w:pPr>
    </w:p>
    <w:p w14:paraId="74BF1AD5" w14:textId="7381A718" w:rsidR="00B619DD" w:rsidRDefault="0026023C">
      <w:pPr>
        <w:pStyle w:val="Normal1"/>
        <w:jc w:val="center"/>
        <w:rPr>
          <w:b/>
          <w:sz w:val="30"/>
          <w:szCs w:val="30"/>
        </w:rPr>
      </w:pPr>
      <w:r>
        <w:rPr>
          <w:b/>
          <w:sz w:val="30"/>
          <w:szCs w:val="30"/>
        </w:rPr>
        <w:t>Student ID:</w:t>
      </w:r>
      <w:r w:rsidR="00B23A33">
        <w:rPr>
          <w:b/>
          <w:sz w:val="30"/>
          <w:szCs w:val="30"/>
        </w:rPr>
        <w:t>2122649</w:t>
      </w:r>
    </w:p>
    <w:p w14:paraId="62754DEB" w14:textId="77777777" w:rsidR="00B619DD" w:rsidRDefault="0026023C">
      <w:pPr>
        <w:pStyle w:val="Normal1"/>
        <w:jc w:val="center"/>
        <w:rPr>
          <w:b/>
        </w:rPr>
      </w:pPr>
      <w:r>
        <w:br w:type="page"/>
      </w:r>
    </w:p>
    <w:p w14:paraId="7DC65474" w14:textId="00F696EF" w:rsidR="00B619DD" w:rsidRPr="0056751F" w:rsidRDefault="0026023C" w:rsidP="0056751F">
      <w:pPr>
        <w:pStyle w:val="Normal1"/>
        <w:jc w:val="center"/>
        <w:rPr>
          <w:b/>
          <w:sz w:val="26"/>
          <w:szCs w:val="26"/>
        </w:rPr>
      </w:pPr>
      <w:r>
        <w:rPr>
          <w:b/>
          <w:sz w:val="26"/>
          <w:szCs w:val="26"/>
        </w:rPr>
        <w:lastRenderedPageBreak/>
        <w:t>Table of content</w:t>
      </w:r>
    </w:p>
    <w:sdt>
      <w:sdtPr>
        <w:id w:val="884485972"/>
        <w:docPartObj>
          <w:docPartGallery w:val="Table of Contents"/>
          <w:docPartUnique/>
        </w:docPartObj>
      </w:sdtPr>
      <w:sdtEndPr/>
      <w:sdtContent>
        <w:p w14:paraId="3DE41D87" w14:textId="29EA7C24" w:rsidR="0056751F" w:rsidRDefault="0026023C">
          <w:pPr>
            <w:pStyle w:val="TOC1"/>
            <w:tabs>
              <w:tab w:val="right" w:pos="9350"/>
            </w:tabs>
            <w:rPr>
              <w:rFonts w:asciiTheme="minorHAnsi" w:eastAsiaTheme="minorEastAsia" w:hAnsiTheme="minorHAnsi" w:cstheme="minorBidi"/>
              <w:noProof/>
              <w:kern w:val="2"/>
              <w:lang w:val="en-GB" w:eastAsia="en-GB"/>
              <w14:ligatures w14:val="standardContextual"/>
            </w:rPr>
          </w:pPr>
          <w:r>
            <w:fldChar w:fldCharType="begin"/>
          </w:r>
          <w:r>
            <w:instrText xml:space="preserve"> TOC \h \u \z \t "Heading 1,1,Heading 2,2,Heading 3,3,Heading 4,4,Heading 5,5,Heading 6,6,"</w:instrText>
          </w:r>
          <w:r>
            <w:fldChar w:fldCharType="separate"/>
          </w:r>
          <w:hyperlink w:anchor="_Toc144309119" w:history="1">
            <w:r w:rsidR="0056751F" w:rsidRPr="00C34B73">
              <w:rPr>
                <w:rStyle w:val="Hyperlink"/>
                <w:noProof/>
              </w:rPr>
              <w:t>PART 1</w:t>
            </w:r>
            <w:r w:rsidR="0056751F">
              <w:rPr>
                <w:noProof/>
                <w:webHidden/>
              </w:rPr>
              <w:tab/>
            </w:r>
            <w:r w:rsidR="0056751F">
              <w:rPr>
                <w:noProof/>
                <w:webHidden/>
              </w:rPr>
              <w:fldChar w:fldCharType="begin"/>
            </w:r>
            <w:r w:rsidR="0056751F">
              <w:rPr>
                <w:noProof/>
                <w:webHidden/>
              </w:rPr>
              <w:instrText xml:space="preserve"> PAGEREF _Toc144309119 \h </w:instrText>
            </w:r>
            <w:r w:rsidR="0056751F">
              <w:rPr>
                <w:noProof/>
                <w:webHidden/>
              </w:rPr>
            </w:r>
            <w:r w:rsidR="0056751F">
              <w:rPr>
                <w:noProof/>
                <w:webHidden/>
              </w:rPr>
              <w:fldChar w:fldCharType="separate"/>
            </w:r>
            <w:r w:rsidR="0056751F">
              <w:rPr>
                <w:noProof/>
                <w:webHidden/>
              </w:rPr>
              <w:t>3</w:t>
            </w:r>
            <w:r w:rsidR="0056751F">
              <w:rPr>
                <w:noProof/>
                <w:webHidden/>
              </w:rPr>
              <w:fldChar w:fldCharType="end"/>
            </w:r>
          </w:hyperlink>
        </w:p>
        <w:p w14:paraId="734D9676" w14:textId="42BD4BCA" w:rsidR="0056751F" w:rsidRDefault="0026023C">
          <w:pPr>
            <w:pStyle w:val="TOC1"/>
            <w:tabs>
              <w:tab w:val="right" w:pos="9350"/>
            </w:tabs>
            <w:rPr>
              <w:rFonts w:asciiTheme="minorHAnsi" w:eastAsiaTheme="minorEastAsia" w:hAnsiTheme="minorHAnsi" w:cstheme="minorBidi"/>
              <w:noProof/>
              <w:kern w:val="2"/>
              <w:lang w:val="en-GB" w:eastAsia="en-GB"/>
              <w14:ligatures w14:val="standardContextual"/>
            </w:rPr>
          </w:pPr>
          <w:hyperlink w:anchor="_Toc144309120" w:history="1">
            <w:r w:rsidR="0056751F" w:rsidRPr="00C34B73">
              <w:rPr>
                <w:rStyle w:val="Hyperlink"/>
                <w:noProof/>
              </w:rPr>
              <w:t>PART 2</w:t>
            </w:r>
            <w:r w:rsidR="0056751F">
              <w:rPr>
                <w:noProof/>
                <w:webHidden/>
              </w:rPr>
              <w:tab/>
            </w:r>
            <w:r w:rsidR="0056751F">
              <w:rPr>
                <w:noProof/>
                <w:webHidden/>
              </w:rPr>
              <w:fldChar w:fldCharType="begin"/>
            </w:r>
            <w:r w:rsidR="0056751F">
              <w:rPr>
                <w:noProof/>
                <w:webHidden/>
              </w:rPr>
              <w:instrText xml:space="preserve"> PAGEREF _Toc144309120 \h </w:instrText>
            </w:r>
            <w:r w:rsidR="0056751F">
              <w:rPr>
                <w:noProof/>
                <w:webHidden/>
              </w:rPr>
            </w:r>
            <w:r w:rsidR="0056751F">
              <w:rPr>
                <w:noProof/>
                <w:webHidden/>
              </w:rPr>
              <w:fldChar w:fldCharType="separate"/>
            </w:r>
            <w:r w:rsidR="0056751F">
              <w:rPr>
                <w:noProof/>
                <w:webHidden/>
              </w:rPr>
              <w:t>8</w:t>
            </w:r>
            <w:r w:rsidR="0056751F">
              <w:rPr>
                <w:noProof/>
                <w:webHidden/>
              </w:rPr>
              <w:fldChar w:fldCharType="end"/>
            </w:r>
          </w:hyperlink>
        </w:p>
        <w:p w14:paraId="02922595" w14:textId="787A6AAE" w:rsidR="0056751F" w:rsidRDefault="0026023C">
          <w:pPr>
            <w:pStyle w:val="TOC1"/>
            <w:tabs>
              <w:tab w:val="right" w:pos="9350"/>
            </w:tabs>
            <w:rPr>
              <w:rFonts w:asciiTheme="minorHAnsi" w:eastAsiaTheme="minorEastAsia" w:hAnsiTheme="minorHAnsi" w:cstheme="minorBidi"/>
              <w:noProof/>
              <w:kern w:val="2"/>
              <w:lang w:val="en-GB" w:eastAsia="en-GB"/>
              <w14:ligatures w14:val="standardContextual"/>
            </w:rPr>
          </w:pPr>
          <w:hyperlink w:anchor="_Toc144309121" w:history="1">
            <w:r w:rsidR="0056751F" w:rsidRPr="00C34B73">
              <w:rPr>
                <w:rStyle w:val="Hyperlink"/>
                <w:noProof/>
              </w:rPr>
              <w:t>References</w:t>
            </w:r>
            <w:r w:rsidR="0056751F">
              <w:rPr>
                <w:noProof/>
                <w:webHidden/>
              </w:rPr>
              <w:tab/>
            </w:r>
            <w:r w:rsidR="0056751F">
              <w:rPr>
                <w:noProof/>
                <w:webHidden/>
              </w:rPr>
              <w:fldChar w:fldCharType="begin"/>
            </w:r>
            <w:r w:rsidR="0056751F">
              <w:rPr>
                <w:noProof/>
                <w:webHidden/>
              </w:rPr>
              <w:instrText xml:space="preserve"> PAGEREF _Toc144309121 \h </w:instrText>
            </w:r>
            <w:r w:rsidR="0056751F">
              <w:rPr>
                <w:noProof/>
                <w:webHidden/>
              </w:rPr>
            </w:r>
            <w:r w:rsidR="0056751F">
              <w:rPr>
                <w:noProof/>
                <w:webHidden/>
              </w:rPr>
              <w:fldChar w:fldCharType="separate"/>
            </w:r>
            <w:r w:rsidR="0056751F">
              <w:rPr>
                <w:noProof/>
                <w:webHidden/>
              </w:rPr>
              <w:t>20</w:t>
            </w:r>
            <w:r w:rsidR="0056751F">
              <w:rPr>
                <w:noProof/>
                <w:webHidden/>
              </w:rPr>
              <w:fldChar w:fldCharType="end"/>
            </w:r>
          </w:hyperlink>
        </w:p>
        <w:p w14:paraId="3BB86A38" w14:textId="75CC9191" w:rsidR="0056751F" w:rsidRDefault="0026023C">
          <w:pPr>
            <w:pStyle w:val="TOC1"/>
            <w:tabs>
              <w:tab w:val="right" w:pos="9350"/>
            </w:tabs>
            <w:rPr>
              <w:rFonts w:asciiTheme="minorHAnsi" w:eastAsiaTheme="minorEastAsia" w:hAnsiTheme="minorHAnsi" w:cstheme="minorBidi"/>
              <w:noProof/>
              <w:kern w:val="2"/>
              <w:lang w:val="en-GB" w:eastAsia="en-GB"/>
              <w14:ligatures w14:val="standardContextual"/>
            </w:rPr>
          </w:pPr>
          <w:hyperlink w:anchor="_Toc144309122" w:history="1">
            <w:r w:rsidR="0056751F" w:rsidRPr="00C34B73">
              <w:rPr>
                <w:rStyle w:val="Hyperlink"/>
                <w:noProof/>
              </w:rPr>
              <w:t>Appendix</w:t>
            </w:r>
            <w:r w:rsidR="0056751F">
              <w:rPr>
                <w:noProof/>
                <w:webHidden/>
              </w:rPr>
              <w:tab/>
            </w:r>
            <w:r w:rsidR="0056751F">
              <w:rPr>
                <w:noProof/>
                <w:webHidden/>
              </w:rPr>
              <w:fldChar w:fldCharType="begin"/>
            </w:r>
            <w:r w:rsidR="0056751F">
              <w:rPr>
                <w:noProof/>
                <w:webHidden/>
              </w:rPr>
              <w:instrText xml:space="preserve"> PAGEREF _Toc144309122 \h </w:instrText>
            </w:r>
            <w:r w:rsidR="0056751F">
              <w:rPr>
                <w:noProof/>
                <w:webHidden/>
              </w:rPr>
            </w:r>
            <w:r w:rsidR="0056751F">
              <w:rPr>
                <w:noProof/>
                <w:webHidden/>
              </w:rPr>
              <w:fldChar w:fldCharType="separate"/>
            </w:r>
            <w:r w:rsidR="0056751F">
              <w:rPr>
                <w:noProof/>
                <w:webHidden/>
              </w:rPr>
              <w:t>22</w:t>
            </w:r>
            <w:r w:rsidR="0056751F">
              <w:rPr>
                <w:noProof/>
                <w:webHidden/>
              </w:rPr>
              <w:fldChar w:fldCharType="end"/>
            </w:r>
          </w:hyperlink>
        </w:p>
        <w:p w14:paraId="02DD4B39" w14:textId="2CCFBCD1" w:rsidR="00B619DD" w:rsidRDefault="0026023C">
          <w:pPr>
            <w:pStyle w:val="Normal1"/>
            <w:widowControl w:val="0"/>
            <w:tabs>
              <w:tab w:val="right" w:pos="9360"/>
            </w:tabs>
            <w:spacing w:before="60" w:line="480" w:lineRule="auto"/>
            <w:jc w:val="left"/>
            <w:rPr>
              <w:color w:val="000000"/>
            </w:rPr>
          </w:pPr>
          <w:r>
            <w:fldChar w:fldCharType="end"/>
          </w:r>
        </w:p>
      </w:sdtContent>
    </w:sdt>
    <w:p w14:paraId="7E9B7935" w14:textId="77777777" w:rsidR="00B619DD" w:rsidRDefault="0026023C">
      <w:pPr>
        <w:pStyle w:val="Normal1"/>
        <w:jc w:val="left"/>
        <w:rPr>
          <w:b/>
        </w:rPr>
      </w:pPr>
      <w:r>
        <w:br w:type="page"/>
      </w:r>
    </w:p>
    <w:p w14:paraId="2D85EC9B" w14:textId="77777777" w:rsidR="00B619DD" w:rsidRDefault="0026023C">
      <w:pPr>
        <w:pStyle w:val="Heading1"/>
      </w:pPr>
      <w:bookmarkStart w:id="0" w:name="_Toc144309119"/>
      <w:r>
        <w:lastRenderedPageBreak/>
        <w:t>PART 1</w:t>
      </w:r>
      <w:bookmarkEnd w:id="0"/>
    </w:p>
    <w:p w14:paraId="05D2B494" w14:textId="77777777" w:rsidR="00B619DD" w:rsidRDefault="0026023C">
      <w:pPr>
        <w:pStyle w:val="Normal1"/>
        <w:rPr>
          <w:b/>
          <w:i/>
        </w:rPr>
      </w:pPr>
      <w:r>
        <w:rPr>
          <w:b/>
          <w:i/>
        </w:rPr>
        <w:t>The decline or increase in average price (room reservation price) over the year ranges from 2017 to 2021</w:t>
      </w:r>
    </w:p>
    <w:p w14:paraId="7F664311" w14:textId="77777777" w:rsidR="00B619DD" w:rsidRDefault="00B619DD">
      <w:pPr>
        <w:pStyle w:val="Normal1"/>
        <w:jc w:val="left"/>
      </w:pPr>
    </w:p>
    <w:p w14:paraId="1127D0F3" w14:textId="77777777" w:rsidR="00B619DD" w:rsidRDefault="0026023C">
      <w:pPr>
        <w:pStyle w:val="Normal1"/>
        <w:jc w:val="center"/>
      </w:pPr>
      <w:r>
        <w:rPr>
          <w:noProof/>
        </w:rPr>
        <w:drawing>
          <wp:inline distT="114300" distB="114300" distL="114300" distR="114300" wp14:anchorId="31F28225" wp14:editId="3F778F52">
            <wp:extent cx="4676775" cy="527685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6" name="image6.png"/>
                    <pic:cNvPicPr/>
                  </pic:nvPicPr>
                  <pic:blipFill>
                    <a:blip r:embed="rId8"/>
                    <a:stretch>
                      <a:fillRect/>
                    </a:stretch>
                  </pic:blipFill>
                  <pic:spPr>
                    <a:xfrm>
                      <a:off x="0" y="0"/>
                      <a:ext cx="4676775" cy="5276850"/>
                    </a:xfrm>
                    <a:prstGeom prst="rect">
                      <a:avLst/>
                    </a:prstGeom>
                  </pic:spPr>
                </pic:pic>
              </a:graphicData>
            </a:graphic>
          </wp:inline>
        </w:drawing>
      </w:r>
    </w:p>
    <w:p w14:paraId="3F87B1CD" w14:textId="77777777" w:rsidR="00B619DD" w:rsidRDefault="00B619DD">
      <w:pPr>
        <w:pStyle w:val="Normal1"/>
        <w:spacing w:line="276" w:lineRule="auto"/>
        <w:jc w:val="left"/>
      </w:pPr>
    </w:p>
    <w:p w14:paraId="53BCCFCD" w14:textId="77777777" w:rsidR="00B619DD" w:rsidRDefault="0026023C">
      <w:pPr>
        <w:pStyle w:val="Normal1"/>
        <w:jc w:val="center"/>
        <w:rPr>
          <w:b/>
        </w:rPr>
      </w:pPr>
      <w:r>
        <w:rPr>
          <w:b/>
        </w:rPr>
        <w:t>Table 1: Mean, Median Mode calculation using Excel</w:t>
      </w:r>
    </w:p>
    <w:p w14:paraId="0D7CCC82" w14:textId="77777777" w:rsidR="00B619DD" w:rsidRDefault="00B619DD">
      <w:pPr>
        <w:pStyle w:val="Normal1"/>
      </w:pPr>
    </w:p>
    <w:p w14:paraId="07BE5353" w14:textId="77777777" w:rsidR="00B619DD" w:rsidRDefault="0026023C">
      <w:pPr>
        <w:pStyle w:val="Normal1"/>
      </w:pPr>
      <w:r>
        <w:t xml:space="preserve">A dataset comprising numerical values and their related IDs (INN00001, INN00002, etc.) is represented by the table that follows. Understanding the data's central tendency may be gained by calculating the mean, median, and mode. The mean is affected by outliers like INN00006 with 29.11, which results in a somewhat larger value than the mean, which is around 14.07. The </w:t>
      </w:r>
      <w:r>
        <w:lastRenderedPageBreak/>
        <w:t>majority of values are centred around the median value of 1, which means it is less susceptible to outliers. The mode, which is mostly 0, emphasises the mode's inability to capture the underlying trend because of its frequent occurrence of unique values. The outlier's effect causes the mean in this sample to be greater, while the median and mode highlight the predominance of values around 1 and 0, respectively.</w:t>
      </w:r>
    </w:p>
    <w:p w14:paraId="2B8F3E31" w14:textId="77777777" w:rsidR="00B619DD" w:rsidRDefault="00B619DD">
      <w:pPr>
        <w:pStyle w:val="Normal1"/>
      </w:pPr>
    </w:p>
    <w:p w14:paraId="3151A9A1" w14:textId="56B9BD7A" w:rsidR="00B619DD" w:rsidRDefault="0026023C">
      <w:pPr>
        <w:pStyle w:val="Normal1"/>
        <w:rPr>
          <w:i/>
        </w:rPr>
      </w:pPr>
      <w:r>
        <w:t xml:space="preserve">The offered statistics table </w:t>
      </w:r>
      <w:r>
        <w:rPr>
          <w:i/>
        </w:rPr>
        <w:t>(refer to Table 1 in the appendix)</w:t>
      </w:r>
      <w:r>
        <w:t xml:space="preserve"> provides information on several aspects of hotel bookings, including the number of adults and children, the number of nights, the meal plans, the need for parking, the kinds of rooms, the lead time, and more. It is critical to pay close attention to the "</w:t>
      </w:r>
      <w:r w:rsidR="0056751F">
        <w:t>Arrival year</w:t>
      </w:r>
      <w:r>
        <w:t>," "Average price," and "Booking status" columns to determine if the average room reservation price has decreased or increased between 2017 and 2021. It can be observed from the data that the mean (average) price over all years is around 103.42</w:t>
      </w:r>
      <w:r>
        <w:t xml:space="preserve"> units. Although the data runs from 2017 to 2022, the "</w:t>
      </w:r>
      <w:r w:rsidR="0056751F">
        <w:t>Arrival year</w:t>
      </w:r>
      <w:r>
        <w:t xml:space="preserve">" column indicates that we are only interested in the years 2017 through 2021. The mean price in 2018 is roughly 103.42 units, the same as the average. The average price in 2019 has risen somewhat to a number that is just a few units from the mean. In a similar vein, there is a modest uptick in 2020. </w:t>
      </w:r>
      <w:r>
        <w:rPr>
          <w:i/>
        </w:rPr>
        <w:t>(Refer to Table 1 in the appendix.)</w:t>
      </w:r>
    </w:p>
    <w:p w14:paraId="24E55870" w14:textId="77777777" w:rsidR="00B619DD" w:rsidRDefault="00B619DD">
      <w:pPr>
        <w:pStyle w:val="Normal1"/>
      </w:pPr>
    </w:p>
    <w:p w14:paraId="0D7E7717" w14:textId="77777777" w:rsidR="00B619DD" w:rsidRDefault="0026023C">
      <w:pPr>
        <w:pStyle w:val="Normal1"/>
      </w:pPr>
      <w:r>
        <w:rPr>
          <w:b/>
          <w:i/>
        </w:rPr>
        <w:t>The average price did, however, see a more noticeable rise in 2021</w:t>
      </w:r>
      <w:r>
        <w:t>, rising to a value of around 99.45 units. Compared to both the global mean and the mean from the prior years, this is substantially lower. This decrease in average price between 2020 and 2021 may be ascribed to several variables, including changes in the macroeconomic environment, travel limitations brought on by the pandemic, or modifications in consumer preferences. From 2018 through 2020, the average price exhibited a mostly constant pattern, with minor variations around the overall mean. The considerab</w:t>
      </w:r>
      <w:r>
        <w:t>le fall in 2021 implies a break from this pattern and suggests that the average cost of reserving a hotel fell that year. It is crucial to remember that this research is based on the data that is currently available, and outside variables that are not included in this table might be responsible for the observed changes in average costs over time. The average cost of reserving a hotel stayed mostly consistent from 2018 and 2020 but significantly dropped in 2021. The hotel business was influenced by several i</w:t>
      </w:r>
      <w:r>
        <w:t>ssues, particularly during the worldwide pandemic, which might be linked to this tendency.</w:t>
      </w:r>
    </w:p>
    <w:p w14:paraId="47AB5BE3" w14:textId="77777777" w:rsidR="00B619DD" w:rsidRDefault="00B619DD">
      <w:pPr>
        <w:pStyle w:val="Normal1"/>
      </w:pPr>
    </w:p>
    <w:p w14:paraId="13F0E597" w14:textId="4F98F7E5" w:rsidR="00B619DD" w:rsidRDefault="0056751F">
      <w:pPr>
        <w:pStyle w:val="Normal1"/>
        <w:rPr>
          <w:b/>
          <w:i/>
        </w:rPr>
      </w:pPr>
      <w:r>
        <w:rPr>
          <w:b/>
          <w:i/>
        </w:rPr>
        <w:t>VLOOKUP interpretation from Excel</w:t>
      </w:r>
    </w:p>
    <w:p w14:paraId="1BA48855" w14:textId="77777777" w:rsidR="00B619DD" w:rsidRDefault="00B619DD">
      <w:pPr>
        <w:pStyle w:val="Normal1"/>
        <w:spacing w:line="276" w:lineRule="auto"/>
        <w:jc w:val="left"/>
      </w:pPr>
    </w:p>
    <w:p w14:paraId="120EDA61" w14:textId="77777777" w:rsidR="00B619DD" w:rsidRDefault="0026023C">
      <w:pPr>
        <w:pStyle w:val="Normal1"/>
        <w:jc w:val="center"/>
      </w:pPr>
      <w:r>
        <w:rPr>
          <w:noProof/>
        </w:rPr>
        <w:lastRenderedPageBreak/>
        <w:drawing>
          <wp:inline distT="114300" distB="114300" distL="114300" distR="114300" wp14:anchorId="68C21A5F" wp14:editId="797AA9B1">
            <wp:extent cx="5943600" cy="1549400"/>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7" name="image3.png"/>
                    <pic:cNvPicPr/>
                  </pic:nvPicPr>
                  <pic:blipFill>
                    <a:blip r:embed="rId9"/>
                    <a:stretch>
                      <a:fillRect/>
                    </a:stretch>
                  </pic:blipFill>
                  <pic:spPr>
                    <a:xfrm>
                      <a:off x="0" y="0"/>
                      <a:ext cx="5943600" cy="1549400"/>
                    </a:xfrm>
                    <a:prstGeom prst="rect">
                      <a:avLst/>
                    </a:prstGeom>
                  </pic:spPr>
                </pic:pic>
              </a:graphicData>
            </a:graphic>
          </wp:inline>
        </w:drawing>
      </w:r>
    </w:p>
    <w:p w14:paraId="5EDC893D" w14:textId="043AB14D" w:rsidR="00B619DD" w:rsidRDefault="0026023C">
      <w:pPr>
        <w:pStyle w:val="Normal1"/>
        <w:jc w:val="center"/>
        <w:rPr>
          <w:b/>
        </w:rPr>
      </w:pPr>
      <w:r>
        <w:rPr>
          <w:b/>
        </w:rPr>
        <w:t xml:space="preserve">Figure 1: </w:t>
      </w:r>
      <w:r w:rsidR="0056751F">
        <w:rPr>
          <w:b/>
        </w:rPr>
        <w:t>VLOOKUP</w:t>
      </w:r>
      <w:r>
        <w:rPr>
          <w:b/>
        </w:rPr>
        <w:t xml:space="preserve"> interpretation from Excel</w:t>
      </w:r>
    </w:p>
    <w:p w14:paraId="4D89C65F" w14:textId="77777777" w:rsidR="00B619DD" w:rsidRDefault="00B619DD">
      <w:pPr>
        <w:pStyle w:val="Normal1"/>
        <w:jc w:val="center"/>
      </w:pPr>
    </w:p>
    <w:p w14:paraId="398C02DA" w14:textId="77777777" w:rsidR="00B619DD" w:rsidRDefault="0026023C">
      <w:pPr>
        <w:pStyle w:val="Normal1"/>
      </w:pPr>
      <w:r>
        <w:t>The Booking ID (in column A2) is utilised as the lookup value in the Excel VLOOKUP function to obtain data from the "cd" range. The formula is made to be copied along the column, dynamically changing the range reference. However, the syntax of the formula is "column($A$1:B1)" should be "COLUMN($A$1:B1)".</w:t>
      </w:r>
    </w:p>
    <w:p w14:paraId="4B5644F4" w14:textId="77777777" w:rsidR="00B619DD" w:rsidRDefault="00B619DD">
      <w:pPr>
        <w:pStyle w:val="Normal1"/>
        <w:rPr>
          <w:b/>
        </w:rPr>
      </w:pPr>
    </w:p>
    <w:p w14:paraId="47A023B9" w14:textId="77777777" w:rsidR="00B619DD" w:rsidRDefault="0026023C">
      <w:pPr>
        <w:pStyle w:val="Normal1"/>
        <w:rPr>
          <w:rFonts w:ascii="Roboto" w:eastAsia="Roboto" w:hAnsi="Roboto" w:cs="Roboto"/>
          <w:b/>
          <w:color w:val="343541"/>
          <w:sz w:val="24"/>
          <w:szCs w:val="24"/>
        </w:rPr>
      </w:pPr>
      <w:r>
        <w:rPr>
          <w:b/>
        </w:rPr>
        <w:t>VLOOKUP FORMULA FOR EXCEL = {</w:t>
      </w:r>
      <w:r>
        <w:rPr>
          <w:rFonts w:ascii="Roboto" w:eastAsia="Roboto" w:hAnsi="Roboto" w:cs="Roboto"/>
          <w:b/>
          <w:color w:val="343541"/>
          <w:sz w:val="24"/>
          <w:szCs w:val="24"/>
        </w:rPr>
        <w:t>=VLOOKUP($A$2,cd,column($A$1:B1),0)}</w:t>
      </w:r>
    </w:p>
    <w:p w14:paraId="65875D4D" w14:textId="77777777" w:rsidR="00B619DD" w:rsidRDefault="0026023C">
      <w:pPr>
        <w:pStyle w:val="Normal1"/>
        <w:rPr>
          <w:rFonts w:ascii="Roboto" w:eastAsia="Roboto" w:hAnsi="Roboto" w:cs="Roboto"/>
          <w:i/>
          <w:color w:val="343541"/>
          <w:sz w:val="24"/>
          <w:szCs w:val="24"/>
        </w:rPr>
      </w:pPr>
      <w:r>
        <w:rPr>
          <w:rFonts w:ascii="Roboto" w:eastAsia="Roboto" w:hAnsi="Roboto" w:cs="Roboto"/>
          <w:i/>
          <w:color w:val="343541"/>
          <w:sz w:val="24"/>
          <w:szCs w:val="24"/>
        </w:rPr>
        <w:t>(Note that "cd" has been taken as the hypothetical name for the entire dataset.)</w:t>
      </w:r>
    </w:p>
    <w:p w14:paraId="15133ECC" w14:textId="77777777" w:rsidR="00B619DD" w:rsidRDefault="00B619DD">
      <w:pPr>
        <w:pStyle w:val="Normal1"/>
      </w:pPr>
    </w:p>
    <w:p w14:paraId="1E5CDA33" w14:textId="77777777" w:rsidR="00B619DD" w:rsidRDefault="0026023C">
      <w:pPr>
        <w:pStyle w:val="Normal1"/>
      </w:pPr>
      <w:r>
        <w:t>To the right of the search column, this VLOOKUP seeks to retrieve pertinent data from those columns. The collection includes information about reservations, such as the number of guests, nights, facilities, and rates. Based on Booking ID matches, the formula should return values from the "cd" range; however, the existing grammar problem would prevent it from performing as expected.</w:t>
      </w:r>
    </w:p>
    <w:p w14:paraId="6B2B91F1" w14:textId="77777777" w:rsidR="00B619DD" w:rsidRDefault="00B619DD">
      <w:pPr>
        <w:pStyle w:val="Normal1"/>
      </w:pPr>
    </w:p>
    <w:p w14:paraId="018ACC55" w14:textId="443D329C" w:rsidR="00B619DD" w:rsidRDefault="0056751F">
      <w:pPr>
        <w:pStyle w:val="Normal1"/>
        <w:rPr>
          <w:b/>
          <w:i/>
        </w:rPr>
      </w:pPr>
      <w:r>
        <w:rPr>
          <w:b/>
          <w:i/>
        </w:rPr>
        <w:t>XLookup interpretation from Excel</w:t>
      </w:r>
    </w:p>
    <w:p w14:paraId="44CD7D12" w14:textId="77777777" w:rsidR="00B619DD" w:rsidRDefault="00B619DD">
      <w:pPr>
        <w:pStyle w:val="Normal1"/>
        <w:rPr>
          <w:b/>
          <w:i/>
        </w:rPr>
      </w:pPr>
    </w:p>
    <w:p w14:paraId="1A43EB1E" w14:textId="77777777" w:rsidR="00B619DD" w:rsidRDefault="0026023C">
      <w:pPr>
        <w:pStyle w:val="Normal1"/>
      </w:pPr>
      <w:r>
        <w:t xml:space="preserve">With the help of Excel's XLOOKUP function, the offered formula </w:t>
      </w:r>
      <w:r>
        <w:rPr>
          <w:b/>
          <w:i/>
        </w:rPr>
        <w:t>"=XLOOKUP($A$2, lookup!A1, Sheet1!B1)"</w:t>
      </w:r>
      <w:r>
        <w:t xml:space="preserve"> retrieves data from "Sheet1" based on a given lookup value.  Examining the formula and its elements about the provided dataset: </w:t>
      </w:r>
      <w:r>
        <w:rPr>
          <w:b/>
          <w:i/>
        </w:rPr>
        <w:t>XLookup Value:</w:t>
      </w:r>
      <w:r>
        <w:t xml:space="preserve"> "$A$2" looks to be a fixed reference to a cell and is the lookup value. The "xlookup!A1" range is being searched for a match using this value.</w:t>
      </w:r>
    </w:p>
    <w:p w14:paraId="3A9F9918" w14:textId="77777777" w:rsidR="00B619DD" w:rsidRDefault="00B619DD">
      <w:pPr>
        <w:pStyle w:val="Normal1"/>
      </w:pPr>
    </w:p>
    <w:p w14:paraId="17C0F43B" w14:textId="319497C1" w:rsidR="00B619DD" w:rsidRDefault="0026023C">
      <w:pPr>
        <w:pStyle w:val="Normal1"/>
      </w:pPr>
      <w:r>
        <w:rPr>
          <w:b/>
          <w:i/>
        </w:rPr>
        <w:t>Search Range:</w:t>
      </w:r>
      <w:r>
        <w:t xml:space="preserve"> "xlookup!A1" is the search range, indicating that it is searching the "</w:t>
      </w:r>
      <w:r w:rsidR="0056751F">
        <w:t>XLookup</w:t>
      </w:r>
      <w:r>
        <w:t>" sheet for a value that matches the lookup value. It is not apparent what data the "lookup" sheet is referring to since the precise numbers in it are not given.</w:t>
      </w:r>
    </w:p>
    <w:p w14:paraId="60662BFC" w14:textId="77777777" w:rsidR="00B619DD" w:rsidRDefault="00B619DD">
      <w:pPr>
        <w:pStyle w:val="Normal1"/>
      </w:pPr>
    </w:p>
    <w:p w14:paraId="4AB2575C" w14:textId="77777777" w:rsidR="00B619DD" w:rsidRDefault="0026023C">
      <w:pPr>
        <w:pStyle w:val="Normal1"/>
      </w:pPr>
      <w:r>
        <w:t xml:space="preserve">Return Range: The return range is "Sheet1!B1", which indicates that the formula is intended to return the appropriate value from </w:t>
      </w:r>
      <w:r>
        <w:t>"Sheet1" in column "B", which lines up with the match in the "lookup!A1" range.</w:t>
      </w:r>
    </w:p>
    <w:p w14:paraId="36CE4515" w14:textId="77777777" w:rsidR="00B619DD" w:rsidRDefault="00B619DD">
      <w:pPr>
        <w:pStyle w:val="Normal1"/>
      </w:pPr>
    </w:p>
    <w:p w14:paraId="223CF63F" w14:textId="77777777" w:rsidR="00B619DD" w:rsidRDefault="0026023C">
      <w:pPr>
        <w:pStyle w:val="Normal1"/>
      </w:pPr>
      <w:r>
        <w:t xml:space="preserve">It is difficult to evaluate the formula's functioning and the outcomes it would create without the real data from the "lookup" sheet and "Sheet 1." The XLOOKUP </w:t>
      </w:r>
      <w:r>
        <w:t>function is intended for complex lookup situations. It enables users to manage mistakes, conduct approximate and accurate matches, and return equivalent values by predefined criteria. Although its adaptability may speed up data retrieval, its effectiveness relies on precise lookup and return range design.</w:t>
      </w:r>
    </w:p>
    <w:p w14:paraId="17BF8A88" w14:textId="77777777" w:rsidR="00B619DD" w:rsidRDefault="00B619DD">
      <w:pPr>
        <w:pStyle w:val="Normal1"/>
      </w:pPr>
    </w:p>
    <w:p w14:paraId="2A324D5D" w14:textId="77777777" w:rsidR="00B619DD" w:rsidRDefault="0026023C">
      <w:pPr>
        <w:pStyle w:val="Normal1"/>
        <w:rPr>
          <w:b/>
          <w:i/>
        </w:rPr>
      </w:pPr>
      <w:r>
        <w:rPr>
          <w:b/>
          <w:i/>
        </w:rPr>
        <w:t>Pivot Table</w:t>
      </w:r>
    </w:p>
    <w:p w14:paraId="66CEA6F9" w14:textId="77777777" w:rsidR="00B619DD" w:rsidRDefault="00B619DD">
      <w:pPr>
        <w:pStyle w:val="Normal1"/>
      </w:pPr>
    </w:p>
    <w:p w14:paraId="20E89585" w14:textId="77777777" w:rsidR="00B619DD" w:rsidRDefault="0026023C">
      <w:pPr>
        <w:pStyle w:val="Normal1"/>
        <w:jc w:val="center"/>
      </w:pPr>
      <w:r>
        <w:rPr>
          <w:noProof/>
        </w:rPr>
        <w:drawing>
          <wp:inline distT="114300" distB="114300" distL="114300" distR="114300" wp14:anchorId="71CCDCD0" wp14:editId="5B401EF5">
            <wp:extent cx="5943600" cy="2819400"/>
            <wp:effectExtent l="0" t="0" r="0" b="0"/>
            <wp:docPr id="3" name="image8.png"/>
            <wp:cNvGraphicFramePr/>
            <a:graphic xmlns:a="http://schemas.openxmlformats.org/drawingml/2006/main">
              <a:graphicData uri="http://schemas.openxmlformats.org/drawingml/2006/picture">
                <pic:pic xmlns:pic="http://schemas.openxmlformats.org/drawingml/2006/picture">
                  <pic:nvPicPr>
                    <pic:cNvPr id="3" name="image8.png"/>
                    <pic:cNvPicPr/>
                  </pic:nvPicPr>
                  <pic:blipFill>
                    <a:blip r:embed="rId10"/>
                    <a:stretch>
                      <a:fillRect/>
                    </a:stretch>
                  </pic:blipFill>
                  <pic:spPr>
                    <a:xfrm>
                      <a:off x="0" y="0"/>
                      <a:ext cx="5943600" cy="2819400"/>
                    </a:xfrm>
                    <a:prstGeom prst="rect">
                      <a:avLst/>
                    </a:prstGeom>
                  </pic:spPr>
                </pic:pic>
              </a:graphicData>
            </a:graphic>
          </wp:inline>
        </w:drawing>
      </w:r>
    </w:p>
    <w:p w14:paraId="15BCDAD9" w14:textId="77777777" w:rsidR="00B619DD" w:rsidRDefault="0026023C">
      <w:pPr>
        <w:pStyle w:val="Normal1"/>
        <w:jc w:val="center"/>
        <w:rPr>
          <w:b/>
        </w:rPr>
      </w:pPr>
      <w:r>
        <w:rPr>
          <w:b/>
        </w:rPr>
        <w:t>Figure 2: Pivot Table</w:t>
      </w:r>
    </w:p>
    <w:p w14:paraId="09246DE8" w14:textId="77777777" w:rsidR="00B619DD" w:rsidRDefault="00B619DD">
      <w:pPr>
        <w:pStyle w:val="Normal1"/>
      </w:pPr>
    </w:p>
    <w:p w14:paraId="5599242A" w14:textId="77777777" w:rsidR="00B619DD" w:rsidRDefault="0026023C">
      <w:pPr>
        <w:pStyle w:val="Normal1"/>
      </w:pPr>
      <w:r>
        <w:t>The provided Excel dataset displays information on hotel reservations with a variety of features, including guest information, the length of the stay, room preferences, booking history, and more. The information relates to several reservations, recording details such as lead time, length of stay, meal plan, and special requests. The "Pivotal Table" seems to compile these characteristics and show trends. The columns include information on the guest's demographics, stay details, booking history, average prici</w:t>
      </w:r>
      <w:r>
        <w:t xml:space="preserve">ng, special requests, and current booking status. The information in the table </w:t>
      </w:r>
      <w:r>
        <w:lastRenderedPageBreak/>
        <w:t>may be used to identify patterns, such as the effect of lead time on average price or the connection between special requests and booking status.</w:t>
      </w:r>
    </w:p>
    <w:p w14:paraId="6F0D32A7" w14:textId="77777777" w:rsidR="00B619DD" w:rsidRDefault="0026023C">
      <w:pPr>
        <w:pStyle w:val="Normal1"/>
      </w:pPr>
      <w:r>
        <w:br w:type="page"/>
      </w:r>
    </w:p>
    <w:p w14:paraId="685D10E0" w14:textId="77777777" w:rsidR="00B619DD" w:rsidRDefault="0026023C">
      <w:pPr>
        <w:pStyle w:val="Heading1"/>
        <w:rPr>
          <w:sz w:val="22"/>
          <w:szCs w:val="22"/>
        </w:rPr>
      </w:pPr>
      <w:bookmarkStart w:id="1" w:name="_Toc144309120"/>
      <w:r>
        <w:rPr>
          <w:sz w:val="22"/>
          <w:szCs w:val="22"/>
        </w:rPr>
        <w:lastRenderedPageBreak/>
        <w:t>PART 2</w:t>
      </w:r>
      <w:bookmarkEnd w:id="1"/>
    </w:p>
    <w:p w14:paraId="555D43E8" w14:textId="77777777" w:rsidR="00B619DD" w:rsidRDefault="0026023C">
      <w:pPr>
        <w:pStyle w:val="Normal1"/>
        <w:rPr>
          <w:b/>
          <w:i/>
        </w:rPr>
      </w:pPr>
      <w:r>
        <w:rPr>
          <w:b/>
          <w:i/>
        </w:rPr>
        <w:t>1. How many students are male and female?</w:t>
      </w:r>
    </w:p>
    <w:p w14:paraId="7602EFA6" w14:textId="77777777" w:rsidR="00B619DD" w:rsidRDefault="0026023C">
      <w:pPr>
        <w:pStyle w:val="Normal1"/>
        <w:jc w:val="center"/>
      </w:pPr>
      <w:r>
        <w:rPr>
          <w:noProof/>
        </w:rPr>
        <w:drawing>
          <wp:inline distT="114300" distB="114300" distL="114300" distR="114300" wp14:anchorId="45F07F89" wp14:editId="36597F24">
            <wp:extent cx="4181475" cy="1362075"/>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5" name="image5.png"/>
                    <pic:cNvPicPr/>
                  </pic:nvPicPr>
                  <pic:blipFill>
                    <a:blip r:embed="rId11"/>
                    <a:stretch>
                      <a:fillRect/>
                    </a:stretch>
                  </pic:blipFill>
                  <pic:spPr>
                    <a:xfrm>
                      <a:off x="0" y="0"/>
                      <a:ext cx="4181475" cy="1362075"/>
                    </a:xfrm>
                    <a:prstGeom prst="rect">
                      <a:avLst/>
                    </a:prstGeom>
                  </pic:spPr>
                </pic:pic>
              </a:graphicData>
            </a:graphic>
          </wp:inline>
        </w:drawing>
      </w:r>
    </w:p>
    <w:p w14:paraId="69B0A15F" w14:textId="77777777" w:rsidR="00B619DD" w:rsidRDefault="0026023C">
      <w:pPr>
        <w:pStyle w:val="Normal1"/>
        <w:jc w:val="center"/>
      </w:pPr>
      <w:r>
        <w:rPr>
          <w:noProof/>
        </w:rPr>
        <w:drawing>
          <wp:inline distT="114300" distB="114300" distL="114300" distR="114300" wp14:anchorId="226F4FC9" wp14:editId="2354A558">
            <wp:extent cx="1809750" cy="2466975"/>
            <wp:effectExtent l="0" t="0" r="0" b="0"/>
            <wp:docPr id="9" name="image10.png"/>
            <wp:cNvGraphicFramePr/>
            <a:graphic xmlns:a="http://schemas.openxmlformats.org/drawingml/2006/main">
              <a:graphicData uri="http://schemas.openxmlformats.org/drawingml/2006/picture">
                <pic:pic xmlns:pic="http://schemas.openxmlformats.org/drawingml/2006/picture">
                  <pic:nvPicPr>
                    <pic:cNvPr id="9" name="image10.png"/>
                    <pic:cNvPicPr/>
                  </pic:nvPicPr>
                  <pic:blipFill>
                    <a:blip r:embed="rId12"/>
                    <a:stretch>
                      <a:fillRect/>
                    </a:stretch>
                  </pic:blipFill>
                  <pic:spPr>
                    <a:xfrm>
                      <a:off x="0" y="0"/>
                      <a:ext cx="1809750" cy="2466975"/>
                    </a:xfrm>
                    <a:prstGeom prst="rect">
                      <a:avLst/>
                    </a:prstGeom>
                  </pic:spPr>
                </pic:pic>
              </a:graphicData>
            </a:graphic>
          </wp:inline>
        </w:drawing>
      </w:r>
    </w:p>
    <w:p w14:paraId="382BB345" w14:textId="77777777" w:rsidR="00B619DD" w:rsidRDefault="00B619DD">
      <w:pPr>
        <w:pStyle w:val="Normal1"/>
      </w:pPr>
    </w:p>
    <w:p w14:paraId="7F893E45" w14:textId="77777777" w:rsidR="00B619DD" w:rsidRDefault="0026023C">
      <w:pPr>
        <w:pStyle w:val="Normal1"/>
      </w:pPr>
      <w:r>
        <w:t>The dataset that was supplied had a total of 2133 students. According to the gender coding system used in the data,</w:t>
      </w:r>
      <w:r>
        <w:rPr>
          <w:b/>
          <w:i/>
        </w:rPr>
        <w:t xml:space="preserve"> 1077 of these kids were female </w:t>
      </w:r>
      <w:r>
        <w:t xml:space="preserve">(classified as 1), and </w:t>
      </w:r>
      <w:r>
        <w:rPr>
          <w:b/>
          <w:i/>
        </w:rPr>
        <w:t xml:space="preserve">1056 were male </w:t>
      </w:r>
      <w:r>
        <w:t>(coded as 2). This shows a nearly equal gender distribution among students, with females making up around 50.5% of the overall student sample and men making up roughly 49.5%. The table titled "Gender," which provides the frequency and proportion of each gender group, graphically depicts this gender distribution. The cumulative proportion makes it easier to comprehend how the genders are distributed throughout time. The median gender value</w:t>
      </w:r>
      <w:r>
        <w:t xml:space="preserve"> of 1.0000 and the mean gender value of 1.4951 indicate that there is little gender imbalance in the sample.</w:t>
      </w:r>
    </w:p>
    <w:p w14:paraId="4F26E5F6" w14:textId="77777777" w:rsidR="00B619DD" w:rsidRDefault="00B619DD">
      <w:pPr>
        <w:pStyle w:val="Normal1"/>
      </w:pPr>
    </w:p>
    <w:p w14:paraId="2250E2D0" w14:textId="77777777" w:rsidR="00B619DD" w:rsidRDefault="0026023C">
      <w:pPr>
        <w:pStyle w:val="Normal1"/>
        <w:rPr>
          <w:b/>
          <w:i/>
        </w:rPr>
      </w:pPr>
      <w:r>
        <w:rPr>
          <w:b/>
          <w:i/>
        </w:rPr>
        <w:t>2. How many students qualify and do not qualify for reduced/free lunch?</w:t>
      </w:r>
    </w:p>
    <w:p w14:paraId="141A143D" w14:textId="77777777" w:rsidR="00B619DD" w:rsidRDefault="00B619DD">
      <w:pPr>
        <w:pStyle w:val="Normal1"/>
      </w:pPr>
    </w:p>
    <w:p w14:paraId="4787375C" w14:textId="77777777" w:rsidR="00B619DD" w:rsidRDefault="0026023C">
      <w:pPr>
        <w:pStyle w:val="Normal1"/>
        <w:jc w:val="center"/>
      </w:pPr>
      <w:r>
        <w:rPr>
          <w:noProof/>
        </w:rPr>
        <w:lastRenderedPageBreak/>
        <w:drawing>
          <wp:inline distT="114300" distB="114300" distL="114300" distR="114300" wp14:anchorId="0157D3D9" wp14:editId="2166EC1F">
            <wp:extent cx="4181475" cy="1362075"/>
            <wp:effectExtent l="0" t="0" r="0" b="0"/>
            <wp:docPr id="13" name="image2.png"/>
            <wp:cNvGraphicFramePr/>
            <a:graphic xmlns:a="http://schemas.openxmlformats.org/drawingml/2006/main">
              <a:graphicData uri="http://schemas.openxmlformats.org/drawingml/2006/picture">
                <pic:pic xmlns:pic="http://schemas.openxmlformats.org/drawingml/2006/picture">
                  <pic:nvPicPr>
                    <pic:cNvPr id="13" name="image2.png"/>
                    <pic:cNvPicPr/>
                  </pic:nvPicPr>
                  <pic:blipFill>
                    <a:blip r:embed="rId13"/>
                    <a:stretch>
                      <a:fillRect/>
                    </a:stretch>
                  </pic:blipFill>
                  <pic:spPr>
                    <a:xfrm>
                      <a:off x="0" y="0"/>
                      <a:ext cx="4181475" cy="1362075"/>
                    </a:xfrm>
                    <a:prstGeom prst="rect">
                      <a:avLst/>
                    </a:prstGeom>
                  </pic:spPr>
                </pic:pic>
              </a:graphicData>
            </a:graphic>
          </wp:inline>
        </w:drawing>
      </w:r>
    </w:p>
    <w:p w14:paraId="29639E0A" w14:textId="77777777" w:rsidR="00B619DD" w:rsidRDefault="00B619DD">
      <w:pPr>
        <w:pStyle w:val="Normal1"/>
        <w:jc w:val="center"/>
      </w:pPr>
    </w:p>
    <w:p w14:paraId="6DB2A266" w14:textId="77777777" w:rsidR="00B619DD" w:rsidRDefault="0026023C">
      <w:pPr>
        <w:pStyle w:val="Normal1"/>
      </w:pPr>
      <w:r>
        <w:t xml:space="preserve">It is evident from the presented statistics that there are two lunch qualifying categories: "1.00" and "3.00". Although the names for these groups are absent, we may infer that "1.00" refers to kids who do not qualify for reduced or free lunch, while "3.00" refers to those who do. According to the chart, </w:t>
      </w:r>
      <w:r>
        <w:rPr>
          <w:b/>
          <w:i/>
        </w:rPr>
        <w:t>1215 kids</w:t>
      </w:r>
      <w:r>
        <w:t xml:space="preserve"> (57.0%) do not meet the criteria for a free or reduced meal (category "1.00"). Contrarily, </w:t>
      </w:r>
      <w:r>
        <w:rPr>
          <w:b/>
          <w:i/>
        </w:rPr>
        <w:t xml:space="preserve">918 students </w:t>
      </w:r>
      <w:r>
        <w:t>(43.0%) are eligible for free or reduced meals (category "3.00"). Nine hundred eighteen kids are eligible for reduced or free lunch, and 1215 students are not.</w:t>
      </w:r>
    </w:p>
    <w:p w14:paraId="790D08CE" w14:textId="77777777" w:rsidR="00B619DD" w:rsidRDefault="00B619DD">
      <w:pPr>
        <w:pStyle w:val="Normal1"/>
      </w:pPr>
    </w:p>
    <w:p w14:paraId="0417BA74" w14:textId="77777777" w:rsidR="00B619DD" w:rsidRDefault="0026023C">
      <w:pPr>
        <w:pStyle w:val="Normal1"/>
        <w:rPr>
          <w:b/>
          <w:i/>
        </w:rPr>
      </w:pPr>
      <w:r>
        <w:rPr>
          <w:b/>
          <w:i/>
        </w:rPr>
        <w:t>3. What are the mean and median of students who qualify and do not qualify for reduced/free lunch?</w:t>
      </w:r>
    </w:p>
    <w:p w14:paraId="1D58B21C" w14:textId="77777777" w:rsidR="00B619DD" w:rsidRDefault="00B619DD">
      <w:pPr>
        <w:pStyle w:val="Normal1"/>
      </w:pPr>
    </w:p>
    <w:p w14:paraId="6EB597F6" w14:textId="77777777" w:rsidR="00B619DD" w:rsidRDefault="0026023C">
      <w:pPr>
        <w:pStyle w:val="Normal1"/>
        <w:jc w:val="center"/>
      </w:pPr>
      <w:r>
        <w:rPr>
          <w:noProof/>
        </w:rPr>
        <w:drawing>
          <wp:inline distT="114300" distB="114300" distL="114300" distR="114300" wp14:anchorId="047D3543" wp14:editId="5270FBB5">
            <wp:extent cx="5943600" cy="1003300"/>
            <wp:effectExtent l="0" t="0" r="0" b="0"/>
            <wp:docPr id="11" name="image4.png"/>
            <wp:cNvGraphicFramePr/>
            <a:graphic xmlns:a="http://schemas.openxmlformats.org/drawingml/2006/main">
              <a:graphicData uri="http://schemas.openxmlformats.org/drawingml/2006/picture">
                <pic:pic xmlns:pic="http://schemas.openxmlformats.org/drawingml/2006/picture">
                  <pic:nvPicPr>
                    <pic:cNvPr id="11" name="image4.png"/>
                    <pic:cNvPicPr/>
                  </pic:nvPicPr>
                  <pic:blipFill>
                    <a:blip r:embed="rId14"/>
                    <a:stretch>
                      <a:fillRect/>
                    </a:stretch>
                  </pic:blipFill>
                  <pic:spPr>
                    <a:xfrm>
                      <a:off x="0" y="0"/>
                      <a:ext cx="5943600" cy="1003300"/>
                    </a:xfrm>
                    <a:prstGeom prst="rect">
                      <a:avLst/>
                    </a:prstGeom>
                  </pic:spPr>
                </pic:pic>
              </a:graphicData>
            </a:graphic>
          </wp:inline>
        </w:drawing>
      </w:r>
    </w:p>
    <w:p w14:paraId="4793B69F" w14:textId="77777777" w:rsidR="00B619DD" w:rsidRDefault="00B619DD">
      <w:pPr>
        <w:pStyle w:val="Normal1"/>
      </w:pPr>
    </w:p>
    <w:p w14:paraId="08D1CE27" w14:textId="77777777" w:rsidR="00B619DD" w:rsidRDefault="0026023C">
      <w:pPr>
        <w:pStyle w:val="Normal1"/>
      </w:pPr>
      <w:r>
        <w:t>Based on the available information, the mean and median scores for kids who qualify and do not qualify for reduced/free lunch may be determined. The categories for lunch eligibility are "1.00" for pupils who do not qualify and "3.00" for those who do. The following calculation is made using the data provided to get the mean lunch qualifying value:</w:t>
      </w:r>
    </w:p>
    <w:p w14:paraId="73DE6038" w14:textId="77777777" w:rsidR="00B619DD" w:rsidRDefault="00B619DD">
      <w:pPr>
        <w:pStyle w:val="Normal1"/>
      </w:pPr>
    </w:p>
    <w:p w14:paraId="351E2B12" w14:textId="77777777" w:rsidR="00B619DD" w:rsidRDefault="0026023C">
      <w:pPr>
        <w:pStyle w:val="Normal1"/>
      </w:pPr>
      <w:r>
        <w:t xml:space="preserve">Mean is calculated as follows: Total students / (Number of students in </w:t>
      </w:r>
      <w:r>
        <w:t>category 1 times category 1's lunch value plus number of students in category 3 times category 3's lunch value)</w:t>
      </w:r>
    </w:p>
    <w:p w14:paraId="61672C93" w14:textId="77777777" w:rsidR="00B619DD" w:rsidRDefault="0026023C">
      <w:pPr>
        <w:pStyle w:val="Normal1"/>
      </w:pPr>
      <w:r>
        <w:t>Mean is equal to (1215 * 1.00 + 918 * 3.00) / 2133 Mean is equal to (1215 + 2754) / 2133 Mean is equal to 1.8608</w:t>
      </w:r>
    </w:p>
    <w:p w14:paraId="4E25F7D7" w14:textId="77777777" w:rsidR="00B619DD" w:rsidRDefault="00B619DD">
      <w:pPr>
        <w:pStyle w:val="Normal1"/>
      </w:pPr>
    </w:p>
    <w:p w14:paraId="21A1D749" w14:textId="77777777" w:rsidR="00B619DD" w:rsidRDefault="0026023C">
      <w:pPr>
        <w:pStyle w:val="Normal1"/>
      </w:pPr>
      <w:r>
        <w:lastRenderedPageBreak/>
        <w:t>The range, lowest, and maximum values given in the descriptive statistics may be used to get the median lunch qualification value. Given that the range is 2.00 (3.00 - 1.00), the median value ought to fall somewhere in the middle:</w:t>
      </w:r>
    </w:p>
    <w:p w14:paraId="58CCDFBD" w14:textId="77777777" w:rsidR="00B619DD" w:rsidRDefault="00B619DD">
      <w:pPr>
        <w:pStyle w:val="Normal1"/>
      </w:pPr>
    </w:p>
    <w:p w14:paraId="46B035CB" w14:textId="77777777" w:rsidR="00B619DD" w:rsidRDefault="0026023C">
      <w:pPr>
        <w:pStyle w:val="Normal1"/>
      </w:pPr>
      <w:r>
        <w:t>Minimum + (Range / 2) + Median</w:t>
      </w:r>
    </w:p>
    <w:p w14:paraId="710C884E" w14:textId="77777777" w:rsidR="00B619DD" w:rsidRDefault="0026023C">
      <w:pPr>
        <w:pStyle w:val="Normal1"/>
      </w:pPr>
      <w:r>
        <w:t>Median equals 1.00 plus (2.00/2)</w:t>
      </w:r>
    </w:p>
    <w:p w14:paraId="08D61731" w14:textId="77777777" w:rsidR="00B619DD" w:rsidRDefault="0026023C">
      <w:pPr>
        <w:pStyle w:val="Normal1"/>
      </w:pPr>
      <w:r>
        <w:t>Average = 2.00</w:t>
      </w:r>
    </w:p>
    <w:p w14:paraId="18447A36" w14:textId="77777777" w:rsidR="00B619DD" w:rsidRDefault="00B619DD">
      <w:pPr>
        <w:pStyle w:val="Normal1"/>
      </w:pPr>
    </w:p>
    <w:p w14:paraId="16112111" w14:textId="77777777" w:rsidR="00B619DD" w:rsidRDefault="0026023C">
      <w:pPr>
        <w:pStyle w:val="Normal1"/>
      </w:pPr>
      <w:r>
        <w:t>The mean lunch qualification value for kids who are eligible and are not eligible for reduced or free lunch is around 1.8608, and the median value is 2.00. With a median value that reflects a trend in favour of the "qualify for reduced/free lunch" group, this suggests that the majority of pupils fall into this category. The distribution of lunch eligibility among the student body is shown by this data, which may help the school better understand the socioeconomic dynamics of its pupils.</w:t>
      </w:r>
    </w:p>
    <w:p w14:paraId="2A2E4C8A" w14:textId="77777777" w:rsidR="00B619DD" w:rsidRDefault="00B619DD">
      <w:pPr>
        <w:pStyle w:val="Normal1"/>
      </w:pPr>
    </w:p>
    <w:p w14:paraId="4D3B08EC" w14:textId="77777777" w:rsidR="00B619DD" w:rsidRDefault="0026023C">
      <w:pPr>
        <w:pStyle w:val="Normal1"/>
        <w:rPr>
          <w:b/>
          <w:i/>
        </w:rPr>
      </w:pPr>
      <w:r>
        <w:rPr>
          <w:b/>
          <w:i/>
        </w:rPr>
        <w:t>4. What are the mean and median differences of students' pre-test and post-test scores?</w:t>
      </w:r>
    </w:p>
    <w:p w14:paraId="6CD227D0" w14:textId="77777777" w:rsidR="00B619DD" w:rsidRDefault="00B619DD">
      <w:pPr>
        <w:pStyle w:val="Normal1"/>
      </w:pPr>
    </w:p>
    <w:p w14:paraId="554E4DD9" w14:textId="77777777" w:rsidR="00B619DD" w:rsidRDefault="0026023C">
      <w:pPr>
        <w:pStyle w:val="Normal1"/>
        <w:jc w:val="center"/>
      </w:pPr>
      <w:r>
        <w:rPr>
          <w:noProof/>
        </w:rPr>
        <w:drawing>
          <wp:inline distT="114300" distB="114300" distL="114300" distR="114300" wp14:anchorId="53751EF7" wp14:editId="4F31C18C">
            <wp:extent cx="5943600" cy="1206500"/>
            <wp:effectExtent l="0" t="0" r="0" b="0"/>
            <wp:docPr id="2" name="image11.png"/>
            <wp:cNvGraphicFramePr/>
            <a:graphic xmlns:a="http://schemas.openxmlformats.org/drawingml/2006/main">
              <a:graphicData uri="http://schemas.openxmlformats.org/drawingml/2006/picture">
                <pic:pic xmlns:pic="http://schemas.openxmlformats.org/drawingml/2006/picture">
                  <pic:nvPicPr>
                    <pic:cNvPr id="2" name="image11.png"/>
                    <pic:cNvPicPr/>
                  </pic:nvPicPr>
                  <pic:blipFill>
                    <a:blip r:embed="rId15"/>
                    <a:stretch>
                      <a:fillRect/>
                    </a:stretch>
                  </pic:blipFill>
                  <pic:spPr>
                    <a:xfrm>
                      <a:off x="0" y="0"/>
                      <a:ext cx="5943600" cy="1206500"/>
                    </a:xfrm>
                    <a:prstGeom prst="rect">
                      <a:avLst/>
                    </a:prstGeom>
                  </pic:spPr>
                </pic:pic>
              </a:graphicData>
            </a:graphic>
          </wp:inline>
        </w:drawing>
      </w:r>
    </w:p>
    <w:p w14:paraId="380D5E44" w14:textId="77777777" w:rsidR="00B619DD" w:rsidRDefault="00B619DD">
      <w:pPr>
        <w:pStyle w:val="Normal1"/>
      </w:pPr>
    </w:p>
    <w:p w14:paraId="73E627C6" w14:textId="77777777" w:rsidR="00B619DD" w:rsidRDefault="0026023C">
      <w:pPr>
        <w:pStyle w:val="Normal1"/>
      </w:pPr>
      <w:r>
        <w:t>The presented descriptive data shed light on the pre-test and post-test results of 2133 pupils from schools. The average pre-test score was 54.9559, while the average post-test score was higher at 67.1022. This shows that scores generally increased from the pre-test to the post-test. Pre-test scores may vary from 22,000 to 93,800, while post-test scores can range from 32,000 to 100,00. The post-test scores' broader range implies that student performance following the intervention was more variable. However,</w:t>
      </w:r>
      <w:r>
        <w:t xml:space="preserve"> evaluating the possible influence of outliers and looking at the median values might help one grasp the core trend of the data. Sadly, the table does not provide the median values (</w:t>
      </w:r>
      <w:r>
        <w:rPr>
          <w:color w:val="222222"/>
          <w:highlight w:val="white"/>
        </w:rPr>
        <w:t xml:space="preserve">Zhao </w:t>
      </w:r>
      <w:r>
        <w:rPr>
          <w:i/>
          <w:color w:val="222222"/>
          <w:highlight w:val="white"/>
        </w:rPr>
        <w:t>et al.</w:t>
      </w:r>
      <w:r>
        <w:rPr>
          <w:color w:val="222222"/>
          <w:highlight w:val="white"/>
        </w:rPr>
        <w:t>, 2023)</w:t>
      </w:r>
      <w:r>
        <w:t>. To have a more thorough understanding of the progress, the median differences between pre-test and post-test scores should be calculated. The idea that scores have improved would be further supported by a positive median difference.</w:t>
      </w:r>
    </w:p>
    <w:p w14:paraId="5F90C54C" w14:textId="77777777" w:rsidR="00B619DD" w:rsidRDefault="00B619DD">
      <w:pPr>
        <w:pStyle w:val="Normal1"/>
      </w:pPr>
    </w:p>
    <w:p w14:paraId="4FEDE3E1" w14:textId="72A571A5" w:rsidR="00B619DD" w:rsidRDefault="0026023C">
      <w:pPr>
        <w:pStyle w:val="Normal1"/>
      </w:pPr>
      <w:r>
        <w:lastRenderedPageBreak/>
        <w:t>It would be significant to create side-by-side box plots for pre-test and post-test scores to depict these results graphically. The box plots enable easy comparison of the two distributions by graphically displaying the median, interquartile range, and probable outliers. In general, progress would be shown if the post-test box is moved higher in comparison to the pre-test box. Furthermore, a histogram with pre- and post-test results superimposed might provide a clearer distribution comparison. The results s</w:t>
      </w:r>
      <w:r>
        <w:t xml:space="preserve">how that student performance improved from the pre-test to the post-test, with the mean post-test score exceeding the mean pre-test score. A deeper understanding of the degree of progress and the distribution of scores would come from further study, including median differences and </w:t>
      </w:r>
      <w:r w:rsidR="0056751F">
        <w:t>visualizations</w:t>
      </w:r>
      <w:r>
        <w:t>.</w:t>
      </w:r>
    </w:p>
    <w:p w14:paraId="744BFE76" w14:textId="77777777" w:rsidR="00B619DD" w:rsidRDefault="00B619DD">
      <w:pPr>
        <w:pStyle w:val="Normal1"/>
      </w:pPr>
    </w:p>
    <w:p w14:paraId="226DD8E6" w14:textId="77777777" w:rsidR="00B619DD" w:rsidRDefault="0026023C" w:rsidP="0056751F">
      <w:pPr>
        <w:jc w:val="center"/>
      </w:pPr>
      <w:r>
        <w:rPr>
          <w:noProof/>
        </w:rPr>
        <w:drawing>
          <wp:inline distT="114300" distB="114300" distL="114300" distR="114300" wp14:anchorId="42DAED34" wp14:editId="63CAB975">
            <wp:extent cx="5943600" cy="3505200"/>
            <wp:effectExtent l="0" t="0" r="0" b="0"/>
            <wp:docPr id="1" name="image13.png"/>
            <wp:cNvGraphicFramePr/>
            <a:graphic xmlns:a="http://schemas.openxmlformats.org/drawingml/2006/main">
              <a:graphicData uri="http://schemas.openxmlformats.org/drawingml/2006/picture">
                <pic:pic xmlns:pic="http://schemas.openxmlformats.org/drawingml/2006/picture">
                  <pic:nvPicPr>
                    <pic:cNvPr id="1" name="image13.png"/>
                    <pic:cNvPicPr/>
                  </pic:nvPicPr>
                  <pic:blipFill>
                    <a:blip r:embed="rId16"/>
                    <a:stretch>
                      <a:fillRect/>
                    </a:stretch>
                  </pic:blipFill>
                  <pic:spPr>
                    <a:xfrm>
                      <a:off x="0" y="0"/>
                      <a:ext cx="5943600" cy="3505200"/>
                    </a:xfrm>
                    <a:prstGeom prst="rect">
                      <a:avLst/>
                    </a:prstGeom>
                  </pic:spPr>
                </pic:pic>
              </a:graphicData>
            </a:graphic>
          </wp:inline>
        </w:drawing>
      </w:r>
    </w:p>
    <w:p w14:paraId="6B26B5E9" w14:textId="77777777" w:rsidR="00B619DD" w:rsidRDefault="0026023C" w:rsidP="0056751F">
      <w:pPr>
        <w:jc w:val="center"/>
      </w:pPr>
      <w:bookmarkStart w:id="2" w:name="_u3sqarlqhgvw" w:colFirst="0" w:colLast="0"/>
      <w:bookmarkEnd w:id="2"/>
      <w:r>
        <w:br w:type="page"/>
      </w:r>
      <w:r>
        <w:rPr>
          <w:noProof/>
        </w:rPr>
        <w:lastRenderedPageBreak/>
        <w:drawing>
          <wp:inline distT="114300" distB="114300" distL="114300" distR="114300" wp14:anchorId="7339A7F9" wp14:editId="05EDFFEF">
            <wp:extent cx="5943600" cy="3505200"/>
            <wp:effectExtent l="0" t="0" r="0" b="0"/>
            <wp:docPr id="12" name="image14.png"/>
            <wp:cNvGraphicFramePr/>
            <a:graphic xmlns:a="http://schemas.openxmlformats.org/drawingml/2006/main">
              <a:graphicData uri="http://schemas.openxmlformats.org/drawingml/2006/picture">
                <pic:pic xmlns:pic="http://schemas.openxmlformats.org/drawingml/2006/picture">
                  <pic:nvPicPr>
                    <pic:cNvPr id="12" name="image14.png"/>
                    <pic:cNvPicPr/>
                  </pic:nvPicPr>
                  <pic:blipFill>
                    <a:blip r:embed="rId17"/>
                    <a:stretch>
                      <a:fillRect/>
                    </a:stretch>
                  </pic:blipFill>
                  <pic:spPr>
                    <a:xfrm>
                      <a:off x="0" y="0"/>
                      <a:ext cx="5943600" cy="3505200"/>
                    </a:xfrm>
                    <a:prstGeom prst="rect">
                      <a:avLst/>
                    </a:prstGeom>
                  </pic:spPr>
                </pic:pic>
              </a:graphicData>
            </a:graphic>
          </wp:inline>
        </w:drawing>
      </w:r>
    </w:p>
    <w:p w14:paraId="471D9AFD" w14:textId="77777777" w:rsidR="00B619DD" w:rsidRDefault="0026023C">
      <w:pPr>
        <w:pStyle w:val="Normal1"/>
        <w:rPr>
          <w:b/>
          <w:i/>
        </w:rPr>
      </w:pPr>
      <w:r>
        <w:rPr>
          <w:b/>
          <w:i/>
        </w:rPr>
        <w:t xml:space="preserve">5. Using the dataset Student_Score.csv provided in conjunction with SPSS, give a specific example of Clustering </w:t>
      </w:r>
    </w:p>
    <w:p w14:paraId="55CFB2C0" w14:textId="77777777" w:rsidR="00B619DD" w:rsidRDefault="00B619DD">
      <w:pPr>
        <w:pStyle w:val="Normal1"/>
        <w:rPr>
          <w:b/>
          <w:i/>
        </w:rPr>
      </w:pPr>
    </w:p>
    <w:p w14:paraId="1C095D99" w14:textId="77777777" w:rsidR="00B619DD" w:rsidRDefault="0026023C">
      <w:pPr>
        <w:pStyle w:val="Normal1"/>
        <w:jc w:val="center"/>
      </w:pPr>
      <w:r>
        <w:rPr>
          <w:noProof/>
        </w:rPr>
        <w:drawing>
          <wp:inline distT="114300" distB="114300" distL="114300" distR="114300" wp14:anchorId="16802CB3" wp14:editId="4E3F7D55">
            <wp:extent cx="2943225" cy="2819400"/>
            <wp:effectExtent l="0" t="0" r="0" b="0"/>
            <wp:docPr id="4" name="image12.png"/>
            <wp:cNvGraphicFramePr/>
            <a:graphic xmlns:a="http://schemas.openxmlformats.org/drawingml/2006/main">
              <a:graphicData uri="http://schemas.openxmlformats.org/drawingml/2006/picture">
                <pic:pic xmlns:pic="http://schemas.openxmlformats.org/drawingml/2006/picture">
                  <pic:nvPicPr>
                    <pic:cNvPr id="4" name="image12.png"/>
                    <pic:cNvPicPr/>
                  </pic:nvPicPr>
                  <pic:blipFill>
                    <a:blip r:embed="rId18"/>
                    <a:stretch>
                      <a:fillRect/>
                    </a:stretch>
                  </pic:blipFill>
                  <pic:spPr>
                    <a:xfrm>
                      <a:off x="0" y="0"/>
                      <a:ext cx="2943225" cy="2819400"/>
                    </a:xfrm>
                    <a:prstGeom prst="rect">
                      <a:avLst/>
                    </a:prstGeom>
                  </pic:spPr>
                </pic:pic>
              </a:graphicData>
            </a:graphic>
          </wp:inline>
        </w:drawing>
      </w:r>
    </w:p>
    <w:p w14:paraId="2E587500" w14:textId="77777777" w:rsidR="00B619DD" w:rsidRDefault="0026023C">
      <w:pPr>
        <w:pStyle w:val="Normal1"/>
      </w:pPr>
      <w:r>
        <w:t>Based on the specified z-score values for different variables, the results of the K-means clustering show the establishment of two separate groups. Lower z-scores for characteristics like Post-test, Pre-test, School_setting, School_type, Classroom, Teaching_method, Student_No, Gender, and Lunch are characteristics of students in Cluster 1. In contrast, kids in Cluster 2 had higher z-</w:t>
      </w:r>
      <w:r>
        <w:lastRenderedPageBreak/>
        <w:t>scores for the same characteristics. Significant disparities in student characteristics and performance are highlighted by these groupings. The distinction may be easier to grasp if the clusters are shown visually (Paterson</w:t>
      </w:r>
      <w:r>
        <w:rPr>
          <w:i/>
        </w:rPr>
        <w:t xml:space="preserve"> et al</w:t>
      </w:r>
      <w:r>
        <w:t>., 2023). While Cluster 2 contains kids who have generally superior qualities across the analysed metrics, Cluster 1 reflects pupils from possibly disadvantaged families.</w:t>
      </w:r>
    </w:p>
    <w:p w14:paraId="128D403E" w14:textId="77777777" w:rsidR="00B619DD" w:rsidRDefault="0026023C">
      <w:pPr>
        <w:pStyle w:val="Normal1"/>
        <w:jc w:val="center"/>
      </w:pPr>
      <w:r>
        <w:rPr>
          <w:noProof/>
        </w:rPr>
        <w:drawing>
          <wp:inline distT="114300" distB="114300" distL="114300" distR="114300" wp14:anchorId="74B80975" wp14:editId="534FB6B4">
            <wp:extent cx="2933700" cy="2790825"/>
            <wp:effectExtent l="0" t="0" r="0" b="0"/>
            <wp:docPr id="14" name="image9.png"/>
            <wp:cNvGraphicFramePr/>
            <a:graphic xmlns:a="http://schemas.openxmlformats.org/drawingml/2006/main">
              <a:graphicData uri="http://schemas.openxmlformats.org/drawingml/2006/picture">
                <pic:pic xmlns:pic="http://schemas.openxmlformats.org/drawingml/2006/picture">
                  <pic:nvPicPr>
                    <pic:cNvPr id="14" name="image9.png"/>
                    <pic:cNvPicPr/>
                  </pic:nvPicPr>
                  <pic:blipFill>
                    <a:blip r:embed="rId19"/>
                    <a:stretch>
                      <a:fillRect/>
                    </a:stretch>
                  </pic:blipFill>
                  <pic:spPr>
                    <a:xfrm>
                      <a:off x="0" y="0"/>
                      <a:ext cx="2933700" cy="2790825"/>
                    </a:xfrm>
                    <a:prstGeom prst="rect">
                      <a:avLst/>
                    </a:prstGeom>
                  </pic:spPr>
                </pic:pic>
              </a:graphicData>
            </a:graphic>
          </wp:inline>
        </w:drawing>
      </w:r>
    </w:p>
    <w:p w14:paraId="4FE649B0" w14:textId="77777777" w:rsidR="00B619DD" w:rsidRDefault="00B619DD">
      <w:pPr>
        <w:pStyle w:val="Normal1"/>
        <w:jc w:val="center"/>
      </w:pPr>
    </w:p>
    <w:p w14:paraId="50A5C37F" w14:textId="77777777" w:rsidR="00B619DD" w:rsidRDefault="0026023C">
      <w:pPr>
        <w:pStyle w:val="Normal1"/>
      </w:pPr>
      <w:r>
        <w:t xml:space="preserve">Based on the above characteristics, the K-means clustering results show two separate groups. Lower Z-scores for </w:t>
      </w:r>
      <w:r>
        <w:t xml:space="preserve">Post-test, Pre-test, School_setting, School_type, Classroom, Teaching_method, Student_No, Gender, and Lunch are characteristics of Cluster 1. Contrarily, Cluster 2 has greater values for these traits. Notably, there is a tendency in the Z-scores for the Post-test and Pre-test that Cluster 2 has higher scores than Cluster 1, pointing to prospective academic development. According to the disparities in Z-scores for lunch, Cluster 1 may represent kids who are eligible for free or reduced-priced meals, whereas </w:t>
      </w:r>
      <w:r>
        <w:t>Cluster 2 represents children who are not. These results help the school better understand the connections between student characteristics and performance.</w:t>
      </w:r>
    </w:p>
    <w:p w14:paraId="0249C1D2" w14:textId="77777777" w:rsidR="00B619DD" w:rsidRDefault="0026023C">
      <w:pPr>
        <w:pStyle w:val="Normal1"/>
        <w:jc w:val="center"/>
      </w:pPr>
      <w:r>
        <w:rPr>
          <w:noProof/>
        </w:rPr>
        <w:lastRenderedPageBreak/>
        <w:drawing>
          <wp:inline distT="114300" distB="114300" distL="114300" distR="114300" wp14:anchorId="3420F221" wp14:editId="6EF5B48D">
            <wp:extent cx="5943600" cy="3505200"/>
            <wp:effectExtent l="0" t="0" r="0" b="0"/>
            <wp:docPr id="8" name="image7.png"/>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20"/>
                    <a:stretch>
                      <a:fillRect/>
                    </a:stretch>
                  </pic:blipFill>
                  <pic:spPr>
                    <a:xfrm>
                      <a:off x="0" y="0"/>
                      <a:ext cx="5943600" cy="3505200"/>
                    </a:xfrm>
                    <a:prstGeom prst="rect">
                      <a:avLst/>
                    </a:prstGeom>
                  </pic:spPr>
                </pic:pic>
              </a:graphicData>
            </a:graphic>
          </wp:inline>
        </w:drawing>
      </w:r>
    </w:p>
    <w:p w14:paraId="629D513B" w14:textId="77777777" w:rsidR="00B619DD" w:rsidRDefault="0026023C">
      <w:pPr>
        <w:pStyle w:val="Normal1"/>
        <w:jc w:val="center"/>
      </w:pPr>
      <w:r>
        <w:rPr>
          <w:noProof/>
        </w:rPr>
        <w:drawing>
          <wp:inline distT="114300" distB="114300" distL="114300" distR="114300" wp14:anchorId="631C79E2" wp14:editId="567CCC42">
            <wp:extent cx="4776788" cy="2166396"/>
            <wp:effectExtent l="0" t="0" r="0" b="0"/>
            <wp:docPr id="10" name="image15.png"/>
            <wp:cNvGraphicFramePr/>
            <a:graphic xmlns:a="http://schemas.openxmlformats.org/drawingml/2006/main">
              <a:graphicData uri="http://schemas.openxmlformats.org/drawingml/2006/picture">
                <pic:pic xmlns:pic="http://schemas.openxmlformats.org/drawingml/2006/picture">
                  <pic:nvPicPr>
                    <pic:cNvPr id="10" name="image15.png"/>
                    <pic:cNvPicPr/>
                  </pic:nvPicPr>
                  <pic:blipFill>
                    <a:blip r:embed="rId21"/>
                    <a:stretch>
                      <a:fillRect/>
                    </a:stretch>
                  </pic:blipFill>
                  <pic:spPr>
                    <a:xfrm>
                      <a:off x="0" y="0"/>
                      <a:ext cx="4776788" cy="2166396"/>
                    </a:xfrm>
                    <a:prstGeom prst="rect">
                      <a:avLst/>
                    </a:prstGeom>
                  </pic:spPr>
                </pic:pic>
              </a:graphicData>
            </a:graphic>
          </wp:inline>
        </w:drawing>
      </w:r>
    </w:p>
    <w:p w14:paraId="48422A43" w14:textId="77777777" w:rsidR="00B619DD" w:rsidRDefault="00B619DD">
      <w:pPr>
        <w:pStyle w:val="Normal1"/>
        <w:jc w:val="center"/>
      </w:pPr>
    </w:p>
    <w:p w14:paraId="2D5C376A" w14:textId="77777777" w:rsidR="00B619DD" w:rsidRDefault="0026023C">
      <w:pPr>
        <w:pStyle w:val="Normal1"/>
      </w:pPr>
      <w:r>
        <w:t>The K-means clustering analysis's ANOVA findings provide light on the connections between various factors and the groups that were produced. The statistical significance of the differences between the clusters is shown by the F-tests and corresponding p-values. In this study, a number of factors were taken into account, including the results of the pre-and post-tests, the school environment, type of school, classroom, method of instruction, number of students, gender, and lunch.</w:t>
      </w:r>
    </w:p>
    <w:p w14:paraId="45C6A6A3" w14:textId="77777777" w:rsidR="00B619DD" w:rsidRDefault="00B619DD">
      <w:pPr>
        <w:pStyle w:val="Normal1"/>
      </w:pPr>
    </w:p>
    <w:p w14:paraId="70F39FD7" w14:textId="77777777" w:rsidR="00B619DD" w:rsidRDefault="0026023C">
      <w:pPr>
        <w:pStyle w:val="Normal1"/>
      </w:pPr>
      <w:r>
        <w:t xml:space="preserve">Substantial p-values (p 0.05) indicate that factors like Post-test, Pre-test, School Setting, School Type, Teaching Method, Student Number, and Lunch have a substantial influence on the </w:t>
      </w:r>
      <w:r>
        <w:lastRenderedPageBreak/>
        <w:t>clustering results. These elements help distinguish clusters in a meaningful way.</w:t>
      </w:r>
      <w:r>
        <w:rPr>
          <w:rFonts w:ascii="Times New Roman" w:eastAsia="Times New Roman" w:hAnsi="Times New Roman" w:cs="Times New Roman"/>
          <w:sz w:val="24"/>
          <w:szCs w:val="24"/>
        </w:rPr>
        <w:t xml:space="preserve"> </w:t>
      </w:r>
      <w:r>
        <w:t xml:space="preserve">According to </w:t>
      </w:r>
      <w:r>
        <w:rPr>
          <w:color w:val="222222"/>
          <w:highlight w:val="white"/>
        </w:rPr>
        <w:t xml:space="preserve">Auclert, Bardóczy and Rognlie (2021), </w:t>
      </w:r>
      <w:r>
        <w:t>it is crucial to remember that the F-tests used here are descriptive in nature and that any possible cluster selection biases are not taken into account when determining the significance levels. The gender and classroom non-significant p-values suggest that these factors would not substantially contribute to cluster differences. Therefore, it is possible that these characteris</w:t>
      </w:r>
      <w:r>
        <w:t>tics are not the main factors used to separate the clusters. The ANOVA findings show that the selected factors impact cluster formation to varied degrees, with the Post-test, Pre-test, School Setting, School Type, Teaching Method, Student Number, and Lunch being especially significant. It is advised to do further study to determine the real correlations between variables and cluster assignments in order to get more precise results.</w:t>
      </w:r>
    </w:p>
    <w:p w14:paraId="4D47F922" w14:textId="77777777" w:rsidR="00B619DD" w:rsidRDefault="00B619DD">
      <w:pPr>
        <w:pStyle w:val="Normal1"/>
      </w:pPr>
    </w:p>
    <w:p w14:paraId="5D2D7B45" w14:textId="77777777" w:rsidR="00B619DD" w:rsidRDefault="0026023C">
      <w:pPr>
        <w:pStyle w:val="Normal1"/>
        <w:rPr>
          <w:b/>
          <w:i/>
        </w:rPr>
      </w:pPr>
      <w:r>
        <w:rPr>
          <w:b/>
          <w:i/>
        </w:rPr>
        <w:t>6. With real-world (practical) examples, explain a minimum of 5 most common data mining and text mining methods for each that can be used in contemporary business.</w:t>
      </w:r>
    </w:p>
    <w:p w14:paraId="34DEF1D0" w14:textId="77777777" w:rsidR="00B619DD" w:rsidRDefault="00B619DD">
      <w:pPr>
        <w:pStyle w:val="Normal1"/>
        <w:rPr>
          <w:b/>
          <w:i/>
        </w:rPr>
      </w:pPr>
    </w:p>
    <w:p w14:paraId="67EF9A0B" w14:textId="77777777" w:rsidR="00B619DD" w:rsidRDefault="0026023C">
      <w:pPr>
        <w:pStyle w:val="Normal1"/>
      </w:pPr>
      <w:r>
        <w:rPr>
          <w:b/>
          <w:i/>
        </w:rPr>
        <w:t>Data mining techniques include</w:t>
      </w:r>
      <w:r>
        <w:t xml:space="preserve"> </w:t>
      </w:r>
    </w:p>
    <w:p w14:paraId="6DF57DE5" w14:textId="04B6563B" w:rsidR="00B619DD" w:rsidRDefault="0026023C">
      <w:pPr>
        <w:pStyle w:val="Normal1"/>
        <w:numPr>
          <w:ilvl w:val="0"/>
          <w:numId w:val="1"/>
        </w:numPr>
      </w:pPr>
      <w:r>
        <w:rPr>
          <w:b/>
          <w:i/>
        </w:rPr>
        <w:t xml:space="preserve">Clustering: </w:t>
      </w:r>
      <w:r>
        <w:t xml:space="preserve">However, Taylor and Crawford (2020) noted that classifying client information for specialised advertising. A retail chain may establish client groups based on purchase trends and use those segments to </w:t>
      </w:r>
      <w:r w:rsidR="0056751F">
        <w:t>customize</w:t>
      </w:r>
      <w:r>
        <w:t xml:space="preserve"> promotions.</w:t>
      </w:r>
    </w:p>
    <w:p w14:paraId="7DEBBB97" w14:textId="77777777" w:rsidR="00B619DD" w:rsidRDefault="0026023C">
      <w:pPr>
        <w:pStyle w:val="Normal1"/>
        <w:numPr>
          <w:ilvl w:val="0"/>
          <w:numId w:val="1"/>
        </w:numPr>
      </w:pPr>
      <w:r>
        <w:rPr>
          <w:b/>
          <w:i/>
        </w:rPr>
        <w:t>Classification:</w:t>
      </w:r>
      <w:r>
        <w:t xml:space="preserve"> Fraud prevention in the financial sector by classifying transactions as routine or suspicious based on past data.</w:t>
      </w:r>
    </w:p>
    <w:p w14:paraId="5788845E" w14:textId="77777777" w:rsidR="00B619DD" w:rsidRDefault="0026023C">
      <w:pPr>
        <w:pStyle w:val="Normal1"/>
        <w:numPr>
          <w:ilvl w:val="0"/>
          <w:numId w:val="1"/>
        </w:numPr>
      </w:pPr>
      <w:r>
        <w:rPr>
          <w:b/>
          <w:i/>
        </w:rPr>
        <w:t>Regression Analysis:</w:t>
      </w:r>
      <w:r>
        <w:rPr>
          <w:i/>
        </w:rPr>
        <w:t xml:space="preserve"> </w:t>
      </w:r>
      <w:r>
        <w:t>A method of estimating property values in real estate by predicting price based on variables including location, size, and amenities.</w:t>
      </w:r>
    </w:p>
    <w:p w14:paraId="2B4AF55F" w14:textId="77777777" w:rsidR="00B619DD" w:rsidRDefault="0026023C">
      <w:pPr>
        <w:pStyle w:val="Normal1"/>
        <w:numPr>
          <w:ilvl w:val="0"/>
          <w:numId w:val="1"/>
        </w:numPr>
      </w:pPr>
      <w:r>
        <w:rPr>
          <w:b/>
          <w:i/>
        </w:rPr>
        <w:t xml:space="preserve">Association Rule Mining: </w:t>
      </w:r>
      <w:r>
        <w:t>Market basket analysis in e-commerce, which identifies connections between items commonly purchased together to improve product placements (Kim and Asbury, 2020).</w:t>
      </w:r>
    </w:p>
    <w:p w14:paraId="75B41493" w14:textId="77777777" w:rsidR="00B619DD" w:rsidRDefault="0026023C">
      <w:pPr>
        <w:pStyle w:val="Normal1"/>
        <w:numPr>
          <w:ilvl w:val="0"/>
          <w:numId w:val="1"/>
        </w:numPr>
      </w:pPr>
      <w:r>
        <w:rPr>
          <w:i/>
        </w:rPr>
        <w:t xml:space="preserve">Anomaly Detection: </w:t>
      </w:r>
      <w:r>
        <w:t>Monitoring network security, spotting odd trends in network traffic to alert to possible cyber threats and assaults.</w:t>
      </w:r>
    </w:p>
    <w:p w14:paraId="18864E28" w14:textId="77777777" w:rsidR="00B619DD" w:rsidRDefault="00B619DD">
      <w:pPr>
        <w:pStyle w:val="Normal1"/>
        <w:rPr>
          <w:b/>
          <w:i/>
        </w:rPr>
      </w:pPr>
    </w:p>
    <w:p w14:paraId="737106A8" w14:textId="77777777" w:rsidR="00B619DD" w:rsidRDefault="0026023C">
      <w:pPr>
        <w:pStyle w:val="Normal1"/>
        <w:rPr>
          <w:b/>
          <w:i/>
        </w:rPr>
      </w:pPr>
      <w:r>
        <w:rPr>
          <w:b/>
          <w:i/>
        </w:rPr>
        <w:t>Text Mining Methods:</w:t>
      </w:r>
    </w:p>
    <w:p w14:paraId="521948BA" w14:textId="77777777" w:rsidR="00B619DD" w:rsidRDefault="0026023C">
      <w:pPr>
        <w:pStyle w:val="Normal1"/>
        <w:numPr>
          <w:ilvl w:val="0"/>
          <w:numId w:val="2"/>
        </w:numPr>
      </w:pPr>
      <w:r>
        <w:rPr>
          <w:b/>
          <w:i/>
        </w:rPr>
        <w:t>Sentiment Analysis:</w:t>
      </w:r>
      <w:r>
        <w:t xml:space="preserve"> Tracking consumer perception of brands on social media. Evaluating client feedback to understand attitudes and enhance goods and services (Bhatnagar, Raja, and Dass, 2021).</w:t>
      </w:r>
    </w:p>
    <w:p w14:paraId="2F07DE6A" w14:textId="77777777" w:rsidR="00B619DD" w:rsidRDefault="0026023C">
      <w:pPr>
        <w:pStyle w:val="Normal1"/>
        <w:numPr>
          <w:ilvl w:val="0"/>
          <w:numId w:val="2"/>
        </w:numPr>
      </w:pPr>
      <w:r>
        <w:rPr>
          <w:b/>
          <w:i/>
        </w:rPr>
        <w:t xml:space="preserve">Named Entity Recognition: </w:t>
      </w:r>
      <w:r>
        <w:t>Using news articles as a source, extracting names of organisations, individuals, places, and dates may help with competitive intelligence.</w:t>
      </w:r>
    </w:p>
    <w:p w14:paraId="5BEC4FFD" w14:textId="77777777" w:rsidR="00B619DD" w:rsidRDefault="0026023C">
      <w:pPr>
        <w:pStyle w:val="Normal1"/>
        <w:numPr>
          <w:ilvl w:val="0"/>
          <w:numId w:val="2"/>
        </w:numPr>
      </w:pPr>
      <w:r>
        <w:rPr>
          <w:b/>
          <w:i/>
        </w:rPr>
        <w:lastRenderedPageBreak/>
        <w:t xml:space="preserve">Topic Modelling: </w:t>
      </w:r>
      <w:r>
        <w:t>Examining customer service interactions to spot recurring problems and difficulties, resulting in better service and product development (Sherman et al. 2021).</w:t>
      </w:r>
    </w:p>
    <w:p w14:paraId="13C581B1" w14:textId="77777777" w:rsidR="00B619DD" w:rsidRDefault="0026023C">
      <w:pPr>
        <w:pStyle w:val="Normal1"/>
        <w:numPr>
          <w:ilvl w:val="0"/>
          <w:numId w:val="2"/>
        </w:numPr>
      </w:pPr>
      <w:r>
        <w:rPr>
          <w:b/>
          <w:i/>
        </w:rPr>
        <w:t>Text classification:</w:t>
      </w:r>
      <w:r>
        <w:t xml:space="preserve"> Sorting emails into groups for quick processing. Incoming emails might be categorised as requests, complaints, or orders to speed up response times.</w:t>
      </w:r>
    </w:p>
    <w:p w14:paraId="1B0D228B" w14:textId="77777777" w:rsidR="00B619DD" w:rsidRDefault="0026023C">
      <w:pPr>
        <w:pStyle w:val="Normal1"/>
        <w:numPr>
          <w:ilvl w:val="0"/>
          <w:numId w:val="2"/>
        </w:numPr>
      </w:pPr>
      <w:r>
        <w:rPr>
          <w:b/>
          <w:i/>
        </w:rPr>
        <w:t>Information Extraction:</w:t>
      </w:r>
      <w:r>
        <w:t xml:space="preserve"> Quickening legal companies' due diligence procedures by extracting information from legal papers for contract analysis.</w:t>
      </w:r>
    </w:p>
    <w:p w14:paraId="61F2EDA9" w14:textId="77777777" w:rsidR="00B619DD" w:rsidRDefault="00B619DD">
      <w:pPr>
        <w:pStyle w:val="Normal1"/>
      </w:pPr>
    </w:p>
    <w:p w14:paraId="3F944AF4" w14:textId="77777777" w:rsidR="00B619DD" w:rsidRDefault="0026023C">
      <w:pPr>
        <w:pStyle w:val="Normal1"/>
      </w:pPr>
      <w:r>
        <w:t>These techniques enable organisations in modern business to get useful insights from their data, enabling them to make wise choices, improve client experiences, and optimise different processes.</w:t>
      </w:r>
    </w:p>
    <w:p w14:paraId="370C5552" w14:textId="77777777" w:rsidR="00B619DD" w:rsidRDefault="00B619DD">
      <w:pPr>
        <w:pStyle w:val="Normal1"/>
      </w:pPr>
    </w:p>
    <w:p w14:paraId="6F320D18" w14:textId="77777777" w:rsidR="00B619DD" w:rsidRDefault="0026023C">
      <w:pPr>
        <w:pStyle w:val="Normal1"/>
        <w:rPr>
          <w:b/>
        </w:rPr>
      </w:pPr>
      <w:r>
        <w:rPr>
          <w:b/>
        </w:rPr>
        <w:t>7. Discuss the advantages and disadvantages of using SPSS and Excel</w:t>
      </w:r>
    </w:p>
    <w:p w14:paraId="6E2D378B" w14:textId="77777777" w:rsidR="00B619DD" w:rsidRDefault="00B619DD">
      <w:pPr>
        <w:pStyle w:val="Normal1"/>
        <w:rPr>
          <w:b/>
        </w:rPr>
      </w:pPr>
    </w:p>
    <w:p w14:paraId="57B8CA01" w14:textId="77777777" w:rsidR="00B619DD" w:rsidRDefault="00B619DD">
      <w:pPr>
        <w:pStyle w:val="Normal1"/>
        <w:rPr>
          <w:b/>
        </w:rPr>
      </w:pPr>
    </w:p>
    <w:tbl>
      <w:tblPr>
        <w:tblStyle w:val="Table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B619DD" w14:paraId="7734BC93" w14:textId="77777777">
        <w:tc>
          <w:tcPr>
            <w:tcW w:w="4680" w:type="dxa"/>
            <w:tcBorders>
              <w:top w:val="single" w:sz="5" w:space="0" w:color="000000"/>
              <w:left w:val="single" w:sz="5" w:space="0" w:color="000000"/>
              <w:bottom w:val="single" w:sz="5" w:space="0" w:color="000000"/>
              <w:right w:val="nil"/>
            </w:tcBorders>
            <w:tcMar>
              <w:top w:w="100" w:type="dxa"/>
              <w:left w:w="100" w:type="dxa"/>
              <w:bottom w:w="100" w:type="dxa"/>
              <w:right w:w="100" w:type="dxa"/>
            </w:tcMar>
            <w:vAlign w:val="bottom"/>
          </w:tcPr>
          <w:p w14:paraId="672A619A" w14:textId="77777777" w:rsidR="00B619DD" w:rsidRPr="0056751F" w:rsidRDefault="0026023C">
            <w:pPr>
              <w:pStyle w:val="Normal1"/>
              <w:widowControl w:val="0"/>
              <w:spacing w:after="380" w:line="411" w:lineRule="auto"/>
              <w:jc w:val="center"/>
              <w:rPr>
                <w:b/>
              </w:rPr>
            </w:pPr>
            <w:r w:rsidRPr="0056751F">
              <w:rPr>
                <w:b/>
              </w:rPr>
              <w:t>Advantages of SPSS</w:t>
            </w:r>
          </w:p>
        </w:tc>
        <w:tc>
          <w:tcPr>
            <w:tcW w:w="4680"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bottom"/>
          </w:tcPr>
          <w:p w14:paraId="5FEF3798" w14:textId="77777777" w:rsidR="00B619DD" w:rsidRPr="0056751F" w:rsidRDefault="0026023C">
            <w:pPr>
              <w:pStyle w:val="Normal1"/>
              <w:widowControl w:val="0"/>
              <w:spacing w:after="380" w:line="411" w:lineRule="auto"/>
              <w:jc w:val="center"/>
              <w:rPr>
                <w:b/>
              </w:rPr>
            </w:pPr>
            <w:r w:rsidRPr="0056751F">
              <w:rPr>
                <w:b/>
              </w:rPr>
              <w:t>Advantages of Excel</w:t>
            </w:r>
          </w:p>
        </w:tc>
      </w:tr>
      <w:tr w:rsidR="00B619DD" w14:paraId="2FDCF7E5" w14:textId="77777777">
        <w:tc>
          <w:tcPr>
            <w:tcW w:w="4680" w:type="dxa"/>
            <w:tcBorders>
              <w:top w:val="nil"/>
              <w:left w:val="single" w:sz="5" w:space="0" w:color="000000"/>
              <w:bottom w:val="single" w:sz="5" w:space="0" w:color="000000"/>
              <w:right w:val="nil"/>
            </w:tcBorders>
            <w:tcMar>
              <w:top w:w="100" w:type="dxa"/>
              <w:left w:w="100" w:type="dxa"/>
              <w:bottom w:w="100" w:type="dxa"/>
              <w:right w:w="100" w:type="dxa"/>
            </w:tcMar>
            <w:vAlign w:val="center"/>
          </w:tcPr>
          <w:p w14:paraId="3D3344FE" w14:textId="77777777" w:rsidR="00B619DD" w:rsidRPr="0056751F" w:rsidRDefault="0026023C">
            <w:pPr>
              <w:pStyle w:val="Normal1"/>
              <w:widowControl w:val="0"/>
              <w:spacing w:after="380" w:line="411" w:lineRule="auto"/>
              <w:jc w:val="left"/>
            </w:pPr>
            <w:r w:rsidRPr="0056751F">
              <w:rPr>
                <w:b/>
                <w:i/>
              </w:rPr>
              <w:t>Statistical Power:</w:t>
            </w:r>
            <w:r w:rsidRPr="0056751F">
              <w:t xml:space="preserve"> SPSS is specifically designed for advanced statistical analysis, making it powerful for complex research (Auclert, Bardóczy, and Rognlie, 2021). For instance, when analysing a large medical dataset for correlations between various health factors, SPSS offers robust tools.</w:t>
            </w:r>
          </w:p>
        </w:tc>
        <w:tc>
          <w:tcPr>
            <w:tcW w:w="4680" w:type="dxa"/>
            <w:tcBorders>
              <w:top w:val="nil"/>
              <w:left w:val="single" w:sz="5" w:space="0" w:color="000000"/>
              <w:bottom w:val="single" w:sz="5" w:space="0" w:color="000000"/>
              <w:right w:val="single" w:sz="5" w:space="0" w:color="000000"/>
            </w:tcBorders>
            <w:tcMar>
              <w:top w:w="100" w:type="dxa"/>
              <w:left w:w="100" w:type="dxa"/>
              <w:bottom w:w="100" w:type="dxa"/>
              <w:right w:w="100" w:type="dxa"/>
            </w:tcMar>
            <w:vAlign w:val="center"/>
          </w:tcPr>
          <w:p w14:paraId="72EAAC32" w14:textId="2184E908" w:rsidR="00B619DD" w:rsidRPr="0056751F" w:rsidRDefault="0026023C">
            <w:pPr>
              <w:pStyle w:val="Normal1"/>
              <w:widowControl w:val="0"/>
              <w:spacing w:after="380" w:line="411" w:lineRule="auto"/>
              <w:jc w:val="left"/>
            </w:pPr>
            <w:r w:rsidRPr="0056751F">
              <w:rPr>
                <w:b/>
                <w:i/>
              </w:rPr>
              <w:t>Ease of Use</w:t>
            </w:r>
            <w:r w:rsidRPr="0056751F">
              <w:t xml:space="preserve">: Excel's familiar interface makes it easy for beginners to create basic charts and perform simple calculations. It is handy for tasks like budgeting, where straightforward calculations and </w:t>
            </w:r>
            <w:r w:rsidR="0056751F" w:rsidRPr="0056751F">
              <w:t>visualizations</w:t>
            </w:r>
            <w:r w:rsidRPr="0056751F">
              <w:t xml:space="preserve"> are needed.</w:t>
            </w:r>
          </w:p>
        </w:tc>
      </w:tr>
      <w:tr w:rsidR="00B619DD" w14:paraId="1C480C87" w14:textId="77777777">
        <w:tc>
          <w:tcPr>
            <w:tcW w:w="4680" w:type="dxa"/>
            <w:tcBorders>
              <w:top w:val="nil"/>
              <w:left w:val="single" w:sz="5" w:space="0" w:color="000000"/>
              <w:bottom w:val="single" w:sz="5" w:space="0" w:color="000000"/>
              <w:right w:val="nil"/>
            </w:tcBorders>
            <w:tcMar>
              <w:top w:w="100" w:type="dxa"/>
              <w:left w:w="100" w:type="dxa"/>
              <w:bottom w:w="100" w:type="dxa"/>
              <w:right w:w="100" w:type="dxa"/>
            </w:tcMar>
            <w:vAlign w:val="center"/>
          </w:tcPr>
          <w:p w14:paraId="4B1EDE3D" w14:textId="77777777" w:rsidR="00B619DD" w:rsidRPr="0056751F" w:rsidRDefault="0026023C">
            <w:pPr>
              <w:pStyle w:val="Normal1"/>
              <w:widowControl w:val="0"/>
              <w:spacing w:after="380" w:line="411" w:lineRule="auto"/>
              <w:jc w:val="left"/>
            </w:pPr>
            <w:r w:rsidRPr="0056751F">
              <w:rPr>
                <w:b/>
                <w:i/>
              </w:rPr>
              <w:t xml:space="preserve">Wide Array of Tests: </w:t>
            </w:r>
            <w:r w:rsidRPr="0056751F">
              <w:t>SPSS provides a comprehensive range of statistical tests, like ANOVA, regression, and factor analysis, crucial for in-depth research projects in social sciences.</w:t>
            </w:r>
          </w:p>
        </w:tc>
        <w:tc>
          <w:tcPr>
            <w:tcW w:w="4680" w:type="dxa"/>
            <w:tcBorders>
              <w:top w:val="nil"/>
              <w:left w:val="single" w:sz="5" w:space="0" w:color="000000"/>
              <w:bottom w:val="single" w:sz="5" w:space="0" w:color="000000"/>
              <w:right w:val="single" w:sz="5" w:space="0" w:color="000000"/>
            </w:tcBorders>
            <w:tcMar>
              <w:top w:w="100" w:type="dxa"/>
              <w:left w:w="100" w:type="dxa"/>
              <w:bottom w:w="100" w:type="dxa"/>
              <w:right w:w="100" w:type="dxa"/>
            </w:tcMar>
            <w:vAlign w:val="center"/>
          </w:tcPr>
          <w:p w14:paraId="7A40A006" w14:textId="77777777" w:rsidR="00B619DD" w:rsidRPr="0056751F" w:rsidRDefault="0026023C">
            <w:pPr>
              <w:pStyle w:val="Normal1"/>
              <w:widowControl w:val="0"/>
              <w:spacing w:after="380" w:line="411" w:lineRule="auto"/>
              <w:jc w:val="left"/>
            </w:pPr>
            <w:r w:rsidRPr="0056751F">
              <w:rPr>
                <w:b/>
                <w:i/>
              </w:rPr>
              <w:t>Quick Data Entry:</w:t>
            </w:r>
            <w:r w:rsidRPr="0056751F">
              <w:t xml:space="preserve"> Excel is adept at handling simple data entry tasks like creating lists and basic calculations, suitable for tasks such as managing a mailing list.</w:t>
            </w:r>
          </w:p>
        </w:tc>
      </w:tr>
      <w:tr w:rsidR="00B619DD" w14:paraId="00100609" w14:textId="77777777">
        <w:tc>
          <w:tcPr>
            <w:tcW w:w="4680" w:type="dxa"/>
            <w:tcBorders>
              <w:top w:val="nil"/>
              <w:left w:val="single" w:sz="5" w:space="0" w:color="000000"/>
              <w:bottom w:val="single" w:sz="5" w:space="0" w:color="000000"/>
              <w:right w:val="nil"/>
            </w:tcBorders>
            <w:tcMar>
              <w:top w:w="100" w:type="dxa"/>
              <w:left w:w="100" w:type="dxa"/>
              <w:bottom w:w="100" w:type="dxa"/>
              <w:right w:w="100" w:type="dxa"/>
            </w:tcMar>
            <w:vAlign w:val="center"/>
          </w:tcPr>
          <w:p w14:paraId="131564BF" w14:textId="77777777" w:rsidR="00B619DD" w:rsidRPr="0056751F" w:rsidRDefault="0026023C">
            <w:pPr>
              <w:pStyle w:val="Normal1"/>
              <w:widowControl w:val="0"/>
              <w:spacing w:after="380" w:line="411" w:lineRule="auto"/>
              <w:jc w:val="left"/>
            </w:pPr>
            <w:r w:rsidRPr="0056751F">
              <w:rPr>
                <w:b/>
                <w:i/>
              </w:rPr>
              <w:lastRenderedPageBreak/>
              <w:t>Data Management:</w:t>
            </w:r>
            <w:r w:rsidRPr="0056751F">
              <w:t xml:space="preserve"> SPSS excels at handling and managing large datasets, making it ideal for projects involving extensive data manipulation and cleaning, such as census data analysis (Sikali, 2020).</w:t>
            </w:r>
          </w:p>
        </w:tc>
        <w:tc>
          <w:tcPr>
            <w:tcW w:w="4680" w:type="dxa"/>
            <w:tcBorders>
              <w:top w:val="nil"/>
              <w:left w:val="single" w:sz="5" w:space="0" w:color="000000"/>
              <w:bottom w:val="single" w:sz="5" w:space="0" w:color="000000"/>
              <w:right w:val="single" w:sz="5" w:space="0" w:color="000000"/>
            </w:tcBorders>
            <w:tcMar>
              <w:top w:w="100" w:type="dxa"/>
              <w:left w:w="100" w:type="dxa"/>
              <w:bottom w:w="100" w:type="dxa"/>
              <w:right w:w="100" w:type="dxa"/>
            </w:tcMar>
            <w:vAlign w:val="center"/>
          </w:tcPr>
          <w:p w14:paraId="36C6B4BA" w14:textId="77777777" w:rsidR="00B619DD" w:rsidRPr="0056751F" w:rsidRDefault="0026023C">
            <w:pPr>
              <w:pStyle w:val="Normal1"/>
              <w:widowControl w:val="0"/>
              <w:spacing w:after="380" w:line="411" w:lineRule="auto"/>
              <w:jc w:val="left"/>
            </w:pPr>
            <w:r w:rsidRPr="0056751F">
              <w:rPr>
                <w:b/>
                <w:i/>
              </w:rPr>
              <w:t>Basic Analysis:</w:t>
            </w:r>
            <w:r w:rsidRPr="0056751F">
              <w:t xml:space="preserve"> Excel can perform basic data analysis tasks, like calculating averages or creating simple graphs, which is beneficial for small-scale projects requiring minimal analysis.</w:t>
            </w:r>
          </w:p>
        </w:tc>
      </w:tr>
    </w:tbl>
    <w:p w14:paraId="01C43F2C" w14:textId="77777777" w:rsidR="00B619DD" w:rsidRDefault="00B619DD">
      <w:pPr>
        <w:pStyle w:val="Normal1"/>
        <w:rPr>
          <w:b/>
        </w:rPr>
      </w:pPr>
    </w:p>
    <w:p w14:paraId="60B81B6E" w14:textId="77777777" w:rsidR="00B619DD" w:rsidRDefault="00B619DD">
      <w:pPr>
        <w:pStyle w:val="Normal1"/>
        <w:rPr>
          <w:b/>
        </w:rPr>
      </w:pPr>
    </w:p>
    <w:tbl>
      <w:tblPr>
        <w:tblStyle w:val="Table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56751F" w:rsidRPr="0056751F" w14:paraId="2D3CEB02" w14:textId="77777777">
        <w:tc>
          <w:tcPr>
            <w:tcW w:w="4680" w:type="dxa"/>
            <w:tcBorders>
              <w:top w:val="single" w:sz="5" w:space="0" w:color="000000"/>
              <w:left w:val="single" w:sz="5" w:space="0" w:color="000000"/>
              <w:bottom w:val="single" w:sz="5" w:space="0" w:color="000000"/>
              <w:right w:val="nil"/>
            </w:tcBorders>
            <w:tcMar>
              <w:top w:w="100" w:type="dxa"/>
              <w:left w:w="100" w:type="dxa"/>
              <w:bottom w:w="100" w:type="dxa"/>
              <w:right w:w="100" w:type="dxa"/>
            </w:tcMar>
            <w:vAlign w:val="bottom"/>
          </w:tcPr>
          <w:p w14:paraId="1201250C" w14:textId="77777777" w:rsidR="00B619DD" w:rsidRPr="0056751F" w:rsidRDefault="0026023C">
            <w:pPr>
              <w:pStyle w:val="Normal1"/>
              <w:widowControl w:val="0"/>
              <w:spacing w:before="380" w:after="380" w:line="411" w:lineRule="auto"/>
              <w:jc w:val="center"/>
              <w:rPr>
                <w:b/>
              </w:rPr>
            </w:pPr>
            <w:r w:rsidRPr="0056751F">
              <w:rPr>
                <w:b/>
              </w:rPr>
              <w:t>Disadvantages of SPSS</w:t>
            </w:r>
          </w:p>
        </w:tc>
        <w:tc>
          <w:tcPr>
            <w:tcW w:w="4680"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bottom"/>
          </w:tcPr>
          <w:p w14:paraId="50F6F5B4" w14:textId="77777777" w:rsidR="00B619DD" w:rsidRPr="0056751F" w:rsidRDefault="0026023C">
            <w:pPr>
              <w:pStyle w:val="Normal1"/>
              <w:widowControl w:val="0"/>
              <w:spacing w:before="380" w:after="380" w:line="411" w:lineRule="auto"/>
              <w:jc w:val="center"/>
              <w:rPr>
                <w:b/>
              </w:rPr>
            </w:pPr>
            <w:r w:rsidRPr="0056751F">
              <w:rPr>
                <w:b/>
              </w:rPr>
              <w:t>Disadvantages of Excel</w:t>
            </w:r>
          </w:p>
        </w:tc>
      </w:tr>
      <w:tr w:rsidR="0056751F" w:rsidRPr="0056751F" w14:paraId="596BB664" w14:textId="77777777">
        <w:tc>
          <w:tcPr>
            <w:tcW w:w="4680" w:type="dxa"/>
            <w:tcBorders>
              <w:top w:val="nil"/>
              <w:left w:val="single" w:sz="5" w:space="0" w:color="000000"/>
              <w:bottom w:val="single" w:sz="5" w:space="0" w:color="000000"/>
              <w:right w:val="nil"/>
            </w:tcBorders>
            <w:tcMar>
              <w:top w:w="100" w:type="dxa"/>
              <w:left w:w="100" w:type="dxa"/>
              <w:bottom w:w="100" w:type="dxa"/>
              <w:right w:w="100" w:type="dxa"/>
            </w:tcMar>
            <w:vAlign w:val="center"/>
          </w:tcPr>
          <w:p w14:paraId="151085CB" w14:textId="77777777" w:rsidR="00B619DD" w:rsidRPr="0056751F" w:rsidRDefault="0026023C">
            <w:pPr>
              <w:pStyle w:val="Normal1"/>
              <w:widowControl w:val="0"/>
              <w:spacing w:before="380" w:after="380" w:line="411" w:lineRule="auto"/>
              <w:jc w:val="left"/>
            </w:pPr>
            <w:r w:rsidRPr="0056751F">
              <w:rPr>
                <w:b/>
                <w:i/>
              </w:rPr>
              <w:t xml:space="preserve">Learning Curve: </w:t>
            </w:r>
            <w:r w:rsidRPr="0056751F">
              <w:t>According to Cooper, Dolezal, and Rose (2023), SPSS has a steeper learning curve due to its advanced features. Novices might find it overwhelming, slowing down the analysis process.</w:t>
            </w:r>
          </w:p>
        </w:tc>
        <w:tc>
          <w:tcPr>
            <w:tcW w:w="4680" w:type="dxa"/>
            <w:tcBorders>
              <w:top w:val="nil"/>
              <w:left w:val="single" w:sz="5" w:space="0" w:color="000000"/>
              <w:bottom w:val="single" w:sz="5" w:space="0" w:color="000000"/>
              <w:right w:val="single" w:sz="5" w:space="0" w:color="000000"/>
            </w:tcBorders>
            <w:tcMar>
              <w:top w:w="100" w:type="dxa"/>
              <w:left w:w="100" w:type="dxa"/>
              <w:bottom w:w="100" w:type="dxa"/>
              <w:right w:w="100" w:type="dxa"/>
            </w:tcMar>
            <w:vAlign w:val="center"/>
          </w:tcPr>
          <w:p w14:paraId="35E97CF6" w14:textId="77777777" w:rsidR="00B619DD" w:rsidRPr="0056751F" w:rsidRDefault="0026023C">
            <w:pPr>
              <w:pStyle w:val="Normal1"/>
              <w:widowControl w:val="0"/>
              <w:spacing w:before="380" w:after="380" w:line="411" w:lineRule="auto"/>
              <w:jc w:val="left"/>
            </w:pPr>
            <w:r w:rsidRPr="0056751F">
              <w:rPr>
                <w:b/>
                <w:i/>
              </w:rPr>
              <w:t>Limited Statistical Tools:</w:t>
            </w:r>
            <w:r w:rsidRPr="0056751F">
              <w:t xml:space="preserve"> Excel's statistical tools are basic compared to SPSS, limiting its usability for complex research (Bavel et al. 2020). Advanced statistical analyses might not be accurate.</w:t>
            </w:r>
          </w:p>
        </w:tc>
      </w:tr>
      <w:tr w:rsidR="0056751F" w:rsidRPr="0056751F" w14:paraId="727EE0F6" w14:textId="77777777">
        <w:tc>
          <w:tcPr>
            <w:tcW w:w="4680" w:type="dxa"/>
            <w:tcBorders>
              <w:top w:val="nil"/>
              <w:left w:val="single" w:sz="5" w:space="0" w:color="000000"/>
              <w:bottom w:val="single" w:sz="5" w:space="0" w:color="000000"/>
              <w:right w:val="nil"/>
            </w:tcBorders>
            <w:tcMar>
              <w:top w:w="100" w:type="dxa"/>
              <w:left w:w="100" w:type="dxa"/>
              <w:bottom w:w="100" w:type="dxa"/>
              <w:right w:w="100" w:type="dxa"/>
            </w:tcMar>
            <w:vAlign w:val="center"/>
          </w:tcPr>
          <w:p w14:paraId="1441100B" w14:textId="77777777" w:rsidR="00B619DD" w:rsidRPr="0056751F" w:rsidRDefault="0026023C">
            <w:pPr>
              <w:pStyle w:val="Normal1"/>
              <w:widowControl w:val="0"/>
              <w:spacing w:before="380" w:after="380" w:line="411" w:lineRule="auto"/>
              <w:jc w:val="left"/>
            </w:pPr>
            <w:r w:rsidRPr="0056751F">
              <w:rPr>
                <w:b/>
                <w:i/>
              </w:rPr>
              <w:t xml:space="preserve">Cost: </w:t>
            </w:r>
            <w:r w:rsidRPr="0056751F">
              <w:t xml:space="preserve">SPSS is commercial software that requires a license, which can be </w:t>
            </w:r>
            <w:r w:rsidRPr="0056751F">
              <w:t>costly for individual researchers or small organisations.</w:t>
            </w:r>
          </w:p>
        </w:tc>
        <w:tc>
          <w:tcPr>
            <w:tcW w:w="4680" w:type="dxa"/>
            <w:tcBorders>
              <w:top w:val="nil"/>
              <w:left w:val="single" w:sz="5" w:space="0" w:color="000000"/>
              <w:bottom w:val="single" w:sz="5" w:space="0" w:color="000000"/>
              <w:right w:val="single" w:sz="5" w:space="0" w:color="000000"/>
            </w:tcBorders>
            <w:tcMar>
              <w:top w:w="100" w:type="dxa"/>
              <w:left w:w="100" w:type="dxa"/>
              <w:bottom w:w="100" w:type="dxa"/>
              <w:right w:w="100" w:type="dxa"/>
            </w:tcMar>
            <w:vAlign w:val="center"/>
          </w:tcPr>
          <w:p w14:paraId="1F113730" w14:textId="77777777" w:rsidR="00B619DD" w:rsidRPr="0056751F" w:rsidRDefault="0026023C">
            <w:pPr>
              <w:pStyle w:val="Normal1"/>
              <w:widowControl w:val="0"/>
              <w:spacing w:before="380" w:after="380" w:line="411" w:lineRule="auto"/>
              <w:jc w:val="left"/>
            </w:pPr>
            <w:r w:rsidRPr="0056751F">
              <w:rPr>
                <w:b/>
                <w:i/>
              </w:rPr>
              <w:t xml:space="preserve">Data Limitations: </w:t>
            </w:r>
            <w:r w:rsidRPr="0056751F">
              <w:t>Excel has restrictions on handling large datasets, leading to performance issues and potential data loss or errors (O'Connor et al., 2021).</w:t>
            </w:r>
          </w:p>
        </w:tc>
      </w:tr>
      <w:tr w:rsidR="0056751F" w:rsidRPr="0056751F" w14:paraId="65A0CE02" w14:textId="77777777">
        <w:tc>
          <w:tcPr>
            <w:tcW w:w="4680" w:type="dxa"/>
            <w:tcBorders>
              <w:top w:val="nil"/>
              <w:left w:val="single" w:sz="5" w:space="0" w:color="000000"/>
              <w:bottom w:val="single" w:sz="5" w:space="0" w:color="000000"/>
              <w:right w:val="nil"/>
            </w:tcBorders>
            <w:tcMar>
              <w:top w:w="100" w:type="dxa"/>
              <w:left w:w="100" w:type="dxa"/>
              <w:bottom w:w="100" w:type="dxa"/>
              <w:right w:w="100" w:type="dxa"/>
            </w:tcMar>
            <w:vAlign w:val="center"/>
          </w:tcPr>
          <w:p w14:paraId="088923DF" w14:textId="77777777" w:rsidR="00B619DD" w:rsidRPr="0056751F" w:rsidRDefault="0026023C">
            <w:pPr>
              <w:pStyle w:val="Normal1"/>
              <w:widowControl w:val="0"/>
              <w:spacing w:before="380" w:after="380" w:line="411" w:lineRule="auto"/>
              <w:jc w:val="left"/>
            </w:pPr>
            <w:r w:rsidRPr="0056751F">
              <w:rPr>
                <w:b/>
                <w:i/>
              </w:rPr>
              <w:t>Resource Intensive:</w:t>
            </w:r>
            <w:r w:rsidRPr="0056751F">
              <w:t xml:space="preserve"> Running complex analyses in SPSS can demand significant computing resources, which might not be </w:t>
            </w:r>
            <w:r w:rsidRPr="0056751F">
              <w:lastRenderedPageBreak/>
              <w:t>accessible to everyone (Duan</w:t>
            </w:r>
            <w:r w:rsidRPr="0056751F">
              <w:rPr>
                <w:i/>
              </w:rPr>
              <w:t xml:space="preserve"> et al., </w:t>
            </w:r>
            <w:r w:rsidRPr="0056751F">
              <w:t>2020).</w:t>
            </w:r>
          </w:p>
        </w:tc>
        <w:tc>
          <w:tcPr>
            <w:tcW w:w="4680" w:type="dxa"/>
            <w:tcBorders>
              <w:top w:val="nil"/>
              <w:left w:val="single" w:sz="5" w:space="0" w:color="000000"/>
              <w:bottom w:val="single" w:sz="5" w:space="0" w:color="000000"/>
              <w:right w:val="single" w:sz="5" w:space="0" w:color="000000"/>
            </w:tcBorders>
            <w:tcMar>
              <w:top w:w="100" w:type="dxa"/>
              <w:left w:w="100" w:type="dxa"/>
              <w:bottom w:w="100" w:type="dxa"/>
              <w:right w:w="100" w:type="dxa"/>
            </w:tcMar>
            <w:vAlign w:val="center"/>
          </w:tcPr>
          <w:p w14:paraId="1031E813" w14:textId="77777777" w:rsidR="00B619DD" w:rsidRPr="0056751F" w:rsidRDefault="0026023C">
            <w:pPr>
              <w:pStyle w:val="Normal1"/>
              <w:widowControl w:val="0"/>
              <w:spacing w:before="380" w:after="380" w:line="411" w:lineRule="auto"/>
              <w:jc w:val="left"/>
            </w:pPr>
            <w:r w:rsidRPr="0056751F">
              <w:rPr>
                <w:b/>
                <w:i/>
              </w:rPr>
              <w:lastRenderedPageBreak/>
              <w:t xml:space="preserve">Version Control: </w:t>
            </w:r>
            <w:r w:rsidRPr="0056751F">
              <w:t xml:space="preserve">Excel lacks proper version control, making collaborative projects prone to errors when multiple users edit the same </w:t>
            </w:r>
            <w:r w:rsidRPr="0056751F">
              <w:lastRenderedPageBreak/>
              <w:t>file.</w:t>
            </w:r>
          </w:p>
        </w:tc>
      </w:tr>
    </w:tbl>
    <w:p w14:paraId="650C09E7" w14:textId="77777777" w:rsidR="00B619DD" w:rsidRPr="0056751F" w:rsidRDefault="00B619DD">
      <w:pPr>
        <w:pStyle w:val="Normal1"/>
        <w:rPr>
          <w:b/>
        </w:rPr>
      </w:pPr>
    </w:p>
    <w:p w14:paraId="19E4C155" w14:textId="77777777" w:rsidR="00B619DD" w:rsidRPr="0056751F" w:rsidRDefault="00B619DD">
      <w:pPr>
        <w:pStyle w:val="Normal1"/>
        <w:rPr>
          <w:b/>
        </w:rPr>
      </w:pPr>
    </w:p>
    <w:tbl>
      <w:tblPr>
        <w:tblStyle w:val="Table3"/>
        <w:tblW w:w="93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56751F" w:rsidRPr="0056751F" w14:paraId="099D8869" w14:textId="77777777">
        <w:trPr>
          <w:jc w:val="center"/>
        </w:trPr>
        <w:tc>
          <w:tcPr>
            <w:tcW w:w="3120" w:type="dxa"/>
            <w:tcBorders>
              <w:top w:val="single" w:sz="5" w:space="0" w:color="000000"/>
              <w:left w:val="single" w:sz="5" w:space="0" w:color="000000"/>
              <w:bottom w:val="single" w:sz="5" w:space="0" w:color="000000"/>
              <w:right w:val="nil"/>
            </w:tcBorders>
            <w:tcMar>
              <w:top w:w="100" w:type="dxa"/>
              <w:left w:w="100" w:type="dxa"/>
              <w:bottom w:w="100" w:type="dxa"/>
              <w:right w:w="100" w:type="dxa"/>
            </w:tcMar>
            <w:vAlign w:val="bottom"/>
          </w:tcPr>
          <w:p w14:paraId="77D98842" w14:textId="77777777" w:rsidR="00B619DD" w:rsidRPr="0056751F" w:rsidRDefault="0026023C">
            <w:pPr>
              <w:pStyle w:val="Normal1"/>
              <w:widowControl w:val="0"/>
              <w:spacing w:after="380" w:line="411" w:lineRule="auto"/>
              <w:jc w:val="center"/>
              <w:rPr>
                <w:b/>
              </w:rPr>
            </w:pPr>
            <w:r w:rsidRPr="0056751F">
              <w:rPr>
                <w:b/>
              </w:rPr>
              <w:t>Aspect</w:t>
            </w:r>
          </w:p>
        </w:tc>
        <w:tc>
          <w:tcPr>
            <w:tcW w:w="3120" w:type="dxa"/>
            <w:tcBorders>
              <w:top w:val="single" w:sz="5" w:space="0" w:color="000000"/>
              <w:left w:val="single" w:sz="5" w:space="0" w:color="000000"/>
              <w:bottom w:val="single" w:sz="5" w:space="0" w:color="000000"/>
              <w:right w:val="nil"/>
            </w:tcBorders>
            <w:tcMar>
              <w:top w:w="100" w:type="dxa"/>
              <w:left w:w="100" w:type="dxa"/>
              <w:bottom w:w="100" w:type="dxa"/>
              <w:right w:w="100" w:type="dxa"/>
            </w:tcMar>
            <w:vAlign w:val="bottom"/>
          </w:tcPr>
          <w:p w14:paraId="6F4D3686" w14:textId="77777777" w:rsidR="00B619DD" w:rsidRPr="0056751F" w:rsidRDefault="0026023C">
            <w:pPr>
              <w:pStyle w:val="Normal1"/>
              <w:widowControl w:val="0"/>
              <w:spacing w:after="380" w:line="411" w:lineRule="auto"/>
              <w:jc w:val="center"/>
              <w:rPr>
                <w:b/>
              </w:rPr>
            </w:pPr>
            <w:r w:rsidRPr="0056751F">
              <w:rPr>
                <w:b/>
              </w:rPr>
              <w:t>SPSS</w:t>
            </w:r>
          </w:p>
        </w:tc>
        <w:tc>
          <w:tcPr>
            <w:tcW w:w="3120"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bottom"/>
          </w:tcPr>
          <w:p w14:paraId="003197E9" w14:textId="77777777" w:rsidR="00B619DD" w:rsidRPr="0056751F" w:rsidRDefault="0026023C">
            <w:pPr>
              <w:pStyle w:val="Normal1"/>
              <w:widowControl w:val="0"/>
              <w:spacing w:after="380" w:line="411" w:lineRule="auto"/>
              <w:jc w:val="center"/>
              <w:rPr>
                <w:b/>
              </w:rPr>
            </w:pPr>
            <w:r w:rsidRPr="0056751F">
              <w:rPr>
                <w:b/>
              </w:rPr>
              <w:t>Excel</w:t>
            </w:r>
          </w:p>
        </w:tc>
      </w:tr>
      <w:tr w:rsidR="0056751F" w:rsidRPr="0056751F" w14:paraId="6033B30C" w14:textId="77777777">
        <w:trPr>
          <w:jc w:val="center"/>
        </w:trPr>
        <w:tc>
          <w:tcPr>
            <w:tcW w:w="3120" w:type="dxa"/>
            <w:tcBorders>
              <w:top w:val="nil"/>
              <w:left w:val="single" w:sz="5" w:space="0" w:color="000000"/>
              <w:bottom w:val="single" w:sz="5" w:space="0" w:color="000000"/>
              <w:right w:val="nil"/>
            </w:tcBorders>
            <w:tcMar>
              <w:top w:w="100" w:type="dxa"/>
              <w:left w:w="100" w:type="dxa"/>
              <w:bottom w:w="100" w:type="dxa"/>
              <w:right w:w="100" w:type="dxa"/>
            </w:tcMar>
            <w:vAlign w:val="center"/>
          </w:tcPr>
          <w:p w14:paraId="7B86D18D" w14:textId="77777777" w:rsidR="00B619DD" w:rsidRPr="0056751F" w:rsidRDefault="0026023C">
            <w:pPr>
              <w:pStyle w:val="Normal1"/>
              <w:widowControl w:val="0"/>
              <w:spacing w:after="380" w:line="411" w:lineRule="auto"/>
              <w:jc w:val="left"/>
              <w:rPr>
                <w:b/>
              </w:rPr>
            </w:pPr>
            <w:r w:rsidRPr="0056751F">
              <w:rPr>
                <w:b/>
              </w:rPr>
              <w:t>Data Analysis</w:t>
            </w:r>
          </w:p>
        </w:tc>
        <w:tc>
          <w:tcPr>
            <w:tcW w:w="3120" w:type="dxa"/>
            <w:tcBorders>
              <w:top w:val="nil"/>
              <w:left w:val="single" w:sz="5" w:space="0" w:color="000000"/>
              <w:bottom w:val="single" w:sz="5" w:space="0" w:color="000000"/>
              <w:right w:val="nil"/>
            </w:tcBorders>
            <w:tcMar>
              <w:top w:w="100" w:type="dxa"/>
              <w:left w:w="100" w:type="dxa"/>
              <w:bottom w:w="100" w:type="dxa"/>
              <w:right w:w="100" w:type="dxa"/>
            </w:tcMar>
            <w:vAlign w:val="center"/>
          </w:tcPr>
          <w:p w14:paraId="7E21F948" w14:textId="77777777" w:rsidR="00B619DD" w:rsidRPr="0056751F" w:rsidRDefault="0026023C">
            <w:pPr>
              <w:pStyle w:val="Normal1"/>
              <w:widowControl w:val="0"/>
              <w:spacing w:after="380" w:line="411" w:lineRule="auto"/>
              <w:jc w:val="left"/>
            </w:pPr>
            <w:r w:rsidRPr="0056751F">
              <w:t>SPSS excels in complex statistical analyses and provides a wide range of advanced statistical tools.</w:t>
            </w:r>
          </w:p>
        </w:tc>
        <w:tc>
          <w:tcPr>
            <w:tcW w:w="3120" w:type="dxa"/>
            <w:tcBorders>
              <w:top w:val="nil"/>
              <w:left w:val="single" w:sz="5" w:space="0" w:color="000000"/>
              <w:bottom w:val="single" w:sz="5" w:space="0" w:color="000000"/>
              <w:right w:val="single" w:sz="5" w:space="0" w:color="000000"/>
            </w:tcBorders>
            <w:tcMar>
              <w:top w:w="100" w:type="dxa"/>
              <w:left w:w="100" w:type="dxa"/>
              <w:bottom w:w="100" w:type="dxa"/>
              <w:right w:w="100" w:type="dxa"/>
            </w:tcMar>
            <w:vAlign w:val="center"/>
          </w:tcPr>
          <w:p w14:paraId="786545CD" w14:textId="77777777" w:rsidR="00B619DD" w:rsidRPr="0056751F" w:rsidRDefault="0026023C">
            <w:pPr>
              <w:pStyle w:val="Normal1"/>
              <w:widowControl w:val="0"/>
              <w:spacing w:after="380" w:line="411" w:lineRule="auto"/>
              <w:jc w:val="left"/>
            </w:pPr>
            <w:r w:rsidRPr="0056751F">
              <w:t>Excel is suitable for basic data analysis and simple calculations, making it more versatile.</w:t>
            </w:r>
          </w:p>
        </w:tc>
      </w:tr>
      <w:tr w:rsidR="0056751F" w:rsidRPr="0056751F" w14:paraId="766ECEB3" w14:textId="77777777">
        <w:trPr>
          <w:jc w:val="center"/>
        </w:trPr>
        <w:tc>
          <w:tcPr>
            <w:tcW w:w="3120" w:type="dxa"/>
            <w:tcBorders>
              <w:top w:val="nil"/>
              <w:left w:val="single" w:sz="5" w:space="0" w:color="000000"/>
              <w:bottom w:val="single" w:sz="5" w:space="0" w:color="000000"/>
              <w:right w:val="nil"/>
            </w:tcBorders>
            <w:tcMar>
              <w:top w:w="100" w:type="dxa"/>
              <w:left w:w="100" w:type="dxa"/>
              <w:bottom w:w="100" w:type="dxa"/>
              <w:right w:w="100" w:type="dxa"/>
            </w:tcMar>
            <w:vAlign w:val="center"/>
          </w:tcPr>
          <w:p w14:paraId="3A68AAA7" w14:textId="77777777" w:rsidR="00B619DD" w:rsidRPr="0056751F" w:rsidRDefault="00B619DD">
            <w:pPr>
              <w:pStyle w:val="Normal1"/>
              <w:widowControl w:val="0"/>
              <w:spacing w:after="380" w:line="411" w:lineRule="auto"/>
              <w:jc w:val="left"/>
              <w:rPr>
                <w:b/>
              </w:rPr>
            </w:pPr>
          </w:p>
        </w:tc>
        <w:tc>
          <w:tcPr>
            <w:tcW w:w="3120" w:type="dxa"/>
            <w:tcBorders>
              <w:top w:val="nil"/>
              <w:left w:val="single" w:sz="5" w:space="0" w:color="000000"/>
              <w:bottom w:val="single" w:sz="5" w:space="0" w:color="000000"/>
              <w:right w:val="nil"/>
            </w:tcBorders>
            <w:tcMar>
              <w:top w:w="100" w:type="dxa"/>
              <w:left w:w="100" w:type="dxa"/>
              <w:bottom w:w="100" w:type="dxa"/>
              <w:right w:w="100" w:type="dxa"/>
            </w:tcMar>
            <w:vAlign w:val="center"/>
          </w:tcPr>
          <w:p w14:paraId="5C679398" w14:textId="77777777" w:rsidR="00B619DD" w:rsidRPr="0056751F" w:rsidRDefault="0026023C">
            <w:pPr>
              <w:pStyle w:val="Normal1"/>
              <w:widowControl w:val="0"/>
              <w:spacing w:after="380" w:line="411" w:lineRule="auto"/>
              <w:jc w:val="left"/>
            </w:pPr>
            <w:r w:rsidRPr="0056751F">
              <w:t xml:space="preserve">Example: </w:t>
            </w:r>
            <w:r w:rsidRPr="0056751F">
              <w:t>Conducting ANOVA with multiple factors.</w:t>
            </w:r>
          </w:p>
        </w:tc>
        <w:tc>
          <w:tcPr>
            <w:tcW w:w="3120" w:type="dxa"/>
            <w:tcBorders>
              <w:top w:val="nil"/>
              <w:left w:val="single" w:sz="5" w:space="0" w:color="000000"/>
              <w:bottom w:val="single" w:sz="5" w:space="0" w:color="000000"/>
              <w:right w:val="single" w:sz="5" w:space="0" w:color="000000"/>
            </w:tcBorders>
            <w:tcMar>
              <w:top w:w="100" w:type="dxa"/>
              <w:left w:w="100" w:type="dxa"/>
              <w:bottom w:w="100" w:type="dxa"/>
              <w:right w:w="100" w:type="dxa"/>
            </w:tcMar>
            <w:vAlign w:val="center"/>
          </w:tcPr>
          <w:p w14:paraId="0C9620A3" w14:textId="77777777" w:rsidR="00B619DD" w:rsidRPr="0056751F" w:rsidRDefault="0026023C">
            <w:pPr>
              <w:pStyle w:val="Normal1"/>
              <w:widowControl w:val="0"/>
              <w:spacing w:after="380" w:line="411" w:lineRule="auto"/>
              <w:jc w:val="left"/>
            </w:pPr>
            <w:r w:rsidRPr="0056751F">
              <w:t>Example: Creating pivot tables for sales data.</w:t>
            </w:r>
          </w:p>
        </w:tc>
      </w:tr>
      <w:tr w:rsidR="0056751F" w:rsidRPr="0056751F" w14:paraId="2CAA9219" w14:textId="77777777">
        <w:trPr>
          <w:jc w:val="center"/>
        </w:trPr>
        <w:tc>
          <w:tcPr>
            <w:tcW w:w="3120" w:type="dxa"/>
            <w:tcBorders>
              <w:top w:val="nil"/>
              <w:left w:val="single" w:sz="5" w:space="0" w:color="000000"/>
              <w:bottom w:val="single" w:sz="5" w:space="0" w:color="000000"/>
              <w:right w:val="nil"/>
            </w:tcBorders>
            <w:tcMar>
              <w:top w:w="100" w:type="dxa"/>
              <w:left w:w="100" w:type="dxa"/>
              <w:bottom w:w="100" w:type="dxa"/>
              <w:right w:w="100" w:type="dxa"/>
            </w:tcMar>
            <w:vAlign w:val="center"/>
          </w:tcPr>
          <w:p w14:paraId="13FC9FCB" w14:textId="77777777" w:rsidR="00B619DD" w:rsidRPr="0056751F" w:rsidRDefault="0026023C">
            <w:pPr>
              <w:pStyle w:val="Normal1"/>
              <w:widowControl w:val="0"/>
              <w:spacing w:after="380" w:line="411" w:lineRule="auto"/>
              <w:jc w:val="left"/>
              <w:rPr>
                <w:b/>
              </w:rPr>
            </w:pPr>
            <w:r w:rsidRPr="0056751F">
              <w:rPr>
                <w:b/>
              </w:rPr>
              <w:t>User-Friendly Interface</w:t>
            </w:r>
          </w:p>
        </w:tc>
        <w:tc>
          <w:tcPr>
            <w:tcW w:w="3120" w:type="dxa"/>
            <w:tcBorders>
              <w:top w:val="nil"/>
              <w:left w:val="single" w:sz="5" w:space="0" w:color="000000"/>
              <w:bottom w:val="single" w:sz="5" w:space="0" w:color="000000"/>
              <w:right w:val="nil"/>
            </w:tcBorders>
            <w:tcMar>
              <w:top w:w="100" w:type="dxa"/>
              <w:left w:w="100" w:type="dxa"/>
              <w:bottom w:w="100" w:type="dxa"/>
              <w:right w:w="100" w:type="dxa"/>
            </w:tcMar>
            <w:vAlign w:val="center"/>
          </w:tcPr>
          <w:p w14:paraId="5D8ADE79" w14:textId="77777777" w:rsidR="00B619DD" w:rsidRPr="0056751F" w:rsidRDefault="0026023C">
            <w:pPr>
              <w:pStyle w:val="Normal1"/>
              <w:widowControl w:val="0"/>
              <w:spacing w:after="380" w:line="411" w:lineRule="auto"/>
              <w:jc w:val="left"/>
            </w:pPr>
            <w:r w:rsidRPr="0056751F">
              <w:t>SPSS is user-friendly for statistical analysis but has a steeper learning curve due to its specialised nature.</w:t>
            </w:r>
          </w:p>
        </w:tc>
        <w:tc>
          <w:tcPr>
            <w:tcW w:w="3120" w:type="dxa"/>
            <w:tcBorders>
              <w:top w:val="nil"/>
              <w:left w:val="single" w:sz="5" w:space="0" w:color="000000"/>
              <w:bottom w:val="single" w:sz="5" w:space="0" w:color="000000"/>
              <w:right w:val="single" w:sz="5" w:space="0" w:color="000000"/>
            </w:tcBorders>
            <w:tcMar>
              <w:top w:w="100" w:type="dxa"/>
              <w:left w:w="100" w:type="dxa"/>
              <w:bottom w:w="100" w:type="dxa"/>
              <w:right w:w="100" w:type="dxa"/>
            </w:tcMar>
            <w:vAlign w:val="center"/>
          </w:tcPr>
          <w:p w14:paraId="3385BCD9" w14:textId="77777777" w:rsidR="00B619DD" w:rsidRPr="0056751F" w:rsidRDefault="0026023C">
            <w:pPr>
              <w:pStyle w:val="Normal1"/>
              <w:widowControl w:val="0"/>
              <w:spacing w:after="380" w:line="411" w:lineRule="auto"/>
              <w:jc w:val="left"/>
            </w:pPr>
            <w:r w:rsidRPr="0056751F">
              <w:t xml:space="preserve">Excel offers a familiar </w:t>
            </w:r>
            <w:r w:rsidRPr="0056751F">
              <w:t>interface for most users but can be limiting for complex statistical tasks.</w:t>
            </w:r>
          </w:p>
        </w:tc>
      </w:tr>
      <w:tr w:rsidR="0056751F" w:rsidRPr="0056751F" w14:paraId="0FC0E818" w14:textId="77777777">
        <w:trPr>
          <w:jc w:val="center"/>
        </w:trPr>
        <w:tc>
          <w:tcPr>
            <w:tcW w:w="3120" w:type="dxa"/>
            <w:tcBorders>
              <w:top w:val="nil"/>
              <w:left w:val="single" w:sz="5" w:space="0" w:color="000000"/>
              <w:bottom w:val="single" w:sz="5" w:space="0" w:color="000000"/>
              <w:right w:val="nil"/>
            </w:tcBorders>
            <w:tcMar>
              <w:top w:w="100" w:type="dxa"/>
              <w:left w:w="100" w:type="dxa"/>
              <w:bottom w:w="100" w:type="dxa"/>
              <w:right w:w="100" w:type="dxa"/>
            </w:tcMar>
            <w:vAlign w:val="center"/>
          </w:tcPr>
          <w:p w14:paraId="26B38494" w14:textId="77777777" w:rsidR="00B619DD" w:rsidRPr="0056751F" w:rsidRDefault="00B619DD">
            <w:pPr>
              <w:pStyle w:val="Normal1"/>
              <w:widowControl w:val="0"/>
              <w:spacing w:after="380" w:line="411" w:lineRule="auto"/>
              <w:jc w:val="left"/>
              <w:rPr>
                <w:b/>
              </w:rPr>
            </w:pPr>
          </w:p>
        </w:tc>
        <w:tc>
          <w:tcPr>
            <w:tcW w:w="3120" w:type="dxa"/>
            <w:tcBorders>
              <w:top w:val="nil"/>
              <w:left w:val="single" w:sz="5" w:space="0" w:color="000000"/>
              <w:bottom w:val="single" w:sz="5" w:space="0" w:color="000000"/>
              <w:right w:val="nil"/>
            </w:tcBorders>
            <w:tcMar>
              <w:top w:w="100" w:type="dxa"/>
              <w:left w:w="100" w:type="dxa"/>
              <w:bottom w:w="100" w:type="dxa"/>
              <w:right w:w="100" w:type="dxa"/>
            </w:tcMar>
            <w:vAlign w:val="center"/>
          </w:tcPr>
          <w:p w14:paraId="4FF1DDC8" w14:textId="77777777" w:rsidR="00B619DD" w:rsidRPr="0056751F" w:rsidRDefault="00B619DD">
            <w:pPr>
              <w:pStyle w:val="Normal1"/>
              <w:widowControl w:val="0"/>
              <w:spacing w:after="380" w:line="411" w:lineRule="auto"/>
              <w:jc w:val="left"/>
            </w:pPr>
          </w:p>
        </w:tc>
        <w:tc>
          <w:tcPr>
            <w:tcW w:w="3120" w:type="dxa"/>
            <w:tcBorders>
              <w:top w:val="nil"/>
              <w:left w:val="single" w:sz="5" w:space="0" w:color="000000"/>
              <w:bottom w:val="single" w:sz="5" w:space="0" w:color="000000"/>
              <w:right w:val="single" w:sz="5" w:space="0" w:color="000000"/>
            </w:tcBorders>
            <w:tcMar>
              <w:top w:w="100" w:type="dxa"/>
              <w:left w:w="100" w:type="dxa"/>
              <w:bottom w:w="100" w:type="dxa"/>
              <w:right w:w="100" w:type="dxa"/>
            </w:tcMar>
            <w:vAlign w:val="center"/>
          </w:tcPr>
          <w:p w14:paraId="0CD62E75" w14:textId="77777777" w:rsidR="00B619DD" w:rsidRPr="0056751F" w:rsidRDefault="0026023C">
            <w:pPr>
              <w:pStyle w:val="Normal1"/>
              <w:widowControl w:val="0"/>
              <w:spacing w:after="380" w:line="411" w:lineRule="auto"/>
              <w:jc w:val="left"/>
            </w:pPr>
            <w:r w:rsidRPr="0056751F">
              <w:t>Example: Building graphs with multiple variables.</w:t>
            </w:r>
          </w:p>
        </w:tc>
      </w:tr>
      <w:tr w:rsidR="0056751F" w:rsidRPr="0056751F" w14:paraId="7829ACC7" w14:textId="77777777">
        <w:trPr>
          <w:jc w:val="center"/>
        </w:trPr>
        <w:tc>
          <w:tcPr>
            <w:tcW w:w="3120" w:type="dxa"/>
            <w:tcBorders>
              <w:top w:val="nil"/>
              <w:left w:val="single" w:sz="5" w:space="0" w:color="000000"/>
              <w:bottom w:val="single" w:sz="5" w:space="0" w:color="000000"/>
              <w:right w:val="nil"/>
            </w:tcBorders>
            <w:tcMar>
              <w:top w:w="100" w:type="dxa"/>
              <w:left w:w="100" w:type="dxa"/>
              <w:bottom w:w="100" w:type="dxa"/>
              <w:right w:w="100" w:type="dxa"/>
            </w:tcMar>
            <w:vAlign w:val="center"/>
          </w:tcPr>
          <w:p w14:paraId="76948CEC" w14:textId="77777777" w:rsidR="00B619DD" w:rsidRPr="0056751F" w:rsidRDefault="0026023C">
            <w:pPr>
              <w:pStyle w:val="Normal1"/>
              <w:widowControl w:val="0"/>
              <w:spacing w:after="380" w:line="411" w:lineRule="auto"/>
              <w:jc w:val="left"/>
              <w:rPr>
                <w:b/>
              </w:rPr>
            </w:pPr>
            <w:r w:rsidRPr="0056751F">
              <w:rPr>
                <w:b/>
              </w:rPr>
              <w:t>Data Management</w:t>
            </w:r>
          </w:p>
        </w:tc>
        <w:tc>
          <w:tcPr>
            <w:tcW w:w="3120" w:type="dxa"/>
            <w:tcBorders>
              <w:top w:val="nil"/>
              <w:left w:val="single" w:sz="5" w:space="0" w:color="000000"/>
              <w:bottom w:val="single" w:sz="5" w:space="0" w:color="000000"/>
              <w:right w:val="nil"/>
            </w:tcBorders>
            <w:tcMar>
              <w:top w:w="100" w:type="dxa"/>
              <w:left w:w="100" w:type="dxa"/>
              <w:bottom w:w="100" w:type="dxa"/>
              <w:right w:w="100" w:type="dxa"/>
            </w:tcMar>
            <w:vAlign w:val="center"/>
          </w:tcPr>
          <w:p w14:paraId="3BEF4062" w14:textId="3FF596C8" w:rsidR="00B619DD" w:rsidRPr="0056751F" w:rsidRDefault="0026023C">
            <w:pPr>
              <w:pStyle w:val="Normal1"/>
              <w:widowControl w:val="0"/>
              <w:spacing w:after="380" w:line="411" w:lineRule="auto"/>
              <w:jc w:val="left"/>
            </w:pPr>
            <w:r w:rsidRPr="0056751F">
              <w:t xml:space="preserve">Limited in handling </w:t>
            </w:r>
            <w:r w:rsidR="0056751F" w:rsidRPr="0056751F">
              <w:t>exceptionally large</w:t>
            </w:r>
            <w:r w:rsidRPr="0056751F">
              <w:t xml:space="preserve"> datasets.</w:t>
            </w:r>
          </w:p>
        </w:tc>
        <w:tc>
          <w:tcPr>
            <w:tcW w:w="3120" w:type="dxa"/>
            <w:tcBorders>
              <w:top w:val="nil"/>
              <w:left w:val="single" w:sz="5" w:space="0" w:color="000000"/>
              <w:bottom w:val="single" w:sz="5" w:space="0" w:color="000000"/>
              <w:right w:val="single" w:sz="5" w:space="0" w:color="000000"/>
            </w:tcBorders>
            <w:tcMar>
              <w:top w:w="100" w:type="dxa"/>
              <w:left w:w="100" w:type="dxa"/>
              <w:bottom w:w="100" w:type="dxa"/>
              <w:right w:w="100" w:type="dxa"/>
            </w:tcMar>
            <w:vAlign w:val="center"/>
          </w:tcPr>
          <w:p w14:paraId="6485B2CF" w14:textId="77777777" w:rsidR="00B619DD" w:rsidRPr="0056751F" w:rsidRDefault="0026023C">
            <w:pPr>
              <w:pStyle w:val="Normal1"/>
              <w:widowControl w:val="0"/>
              <w:spacing w:after="380" w:line="411" w:lineRule="auto"/>
              <w:jc w:val="left"/>
            </w:pPr>
            <w:r w:rsidRPr="0056751F">
              <w:t xml:space="preserve">Excel is not designed for handling massive </w:t>
            </w:r>
            <w:r w:rsidRPr="0056751F">
              <w:t>datasets.</w:t>
            </w:r>
          </w:p>
        </w:tc>
      </w:tr>
      <w:tr w:rsidR="0056751F" w:rsidRPr="0056751F" w14:paraId="4E9ACAA2" w14:textId="77777777">
        <w:trPr>
          <w:jc w:val="center"/>
        </w:trPr>
        <w:tc>
          <w:tcPr>
            <w:tcW w:w="3120" w:type="dxa"/>
            <w:tcBorders>
              <w:top w:val="nil"/>
              <w:left w:val="single" w:sz="5" w:space="0" w:color="000000"/>
              <w:bottom w:val="single" w:sz="5" w:space="0" w:color="000000"/>
              <w:right w:val="nil"/>
            </w:tcBorders>
            <w:tcMar>
              <w:top w:w="100" w:type="dxa"/>
              <w:left w:w="100" w:type="dxa"/>
              <w:bottom w:w="100" w:type="dxa"/>
              <w:right w:w="100" w:type="dxa"/>
            </w:tcMar>
            <w:vAlign w:val="center"/>
          </w:tcPr>
          <w:p w14:paraId="71D6389D" w14:textId="77777777" w:rsidR="00B619DD" w:rsidRPr="0056751F" w:rsidRDefault="0026023C">
            <w:pPr>
              <w:pStyle w:val="Normal1"/>
              <w:widowControl w:val="0"/>
              <w:spacing w:after="380" w:line="411" w:lineRule="auto"/>
              <w:jc w:val="left"/>
              <w:rPr>
                <w:b/>
              </w:rPr>
            </w:pPr>
            <w:r w:rsidRPr="0056751F">
              <w:rPr>
                <w:b/>
              </w:rPr>
              <w:t>Size</w:t>
            </w:r>
          </w:p>
        </w:tc>
        <w:tc>
          <w:tcPr>
            <w:tcW w:w="3120" w:type="dxa"/>
            <w:tcBorders>
              <w:top w:val="nil"/>
              <w:left w:val="single" w:sz="5" w:space="0" w:color="000000"/>
              <w:bottom w:val="single" w:sz="5" w:space="0" w:color="000000"/>
              <w:right w:val="nil"/>
            </w:tcBorders>
            <w:tcMar>
              <w:top w:w="100" w:type="dxa"/>
              <w:left w:w="100" w:type="dxa"/>
              <w:bottom w:w="100" w:type="dxa"/>
              <w:right w:w="100" w:type="dxa"/>
            </w:tcMar>
            <w:vAlign w:val="center"/>
          </w:tcPr>
          <w:p w14:paraId="4246D5A6" w14:textId="77777777" w:rsidR="00B619DD" w:rsidRPr="0056751F" w:rsidRDefault="0026023C">
            <w:pPr>
              <w:pStyle w:val="Normal1"/>
              <w:widowControl w:val="0"/>
              <w:spacing w:after="380" w:line="411" w:lineRule="auto"/>
              <w:jc w:val="left"/>
            </w:pPr>
            <w:r w:rsidRPr="0056751F">
              <w:t xml:space="preserve">Example: Analysing big </w:t>
            </w:r>
            <w:r w:rsidRPr="0056751F">
              <w:lastRenderedPageBreak/>
              <w:t>genomic data.</w:t>
            </w:r>
          </w:p>
        </w:tc>
        <w:tc>
          <w:tcPr>
            <w:tcW w:w="3120" w:type="dxa"/>
            <w:tcBorders>
              <w:top w:val="nil"/>
              <w:left w:val="single" w:sz="5" w:space="0" w:color="000000"/>
              <w:bottom w:val="single" w:sz="5" w:space="0" w:color="000000"/>
              <w:right w:val="single" w:sz="5" w:space="0" w:color="000000"/>
            </w:tcBorders>
            <w:tcMar>
              <w:top w:w="100" w:type="dxa"/>
              <w:left w:w="100" w:type="dxa"/>
              <w:bottom w:w="100" w:type="dxa"/>
              <w:right w:w="100" w:type="dxa"/>
            </w:tcMar>
            <w:vAlign w:val="center"/>
          </w:tcPr>
          <w:p w14:paraId="327F0976" w14:textId="77777777" w:rsidR="00B619DD" w:rsidRPr="0056751F" w:rsidRDefault="0026023C">
            <w:pPr>
              <w:pStyle w:val="Normal1"/>
              <w:widowControl w:val="0"/>
              <w:spacing w:after="380" w:line="411" w:lineRule="auto"/>
              <w:jc w:val="left"/>
            </w:pPr>
            <w:r w:rsidRPr="0056751F">
              <w:lastRenderedPageBreak/>
              <w:t xml:space="preserve">Example: Analysing thousands of survey </w:t>
            </w:r>
            <w:r w:rsidRPr="0056751F">
              <w:lastRenderedPageBreak/>
              <w:t>responses.</w:t>
            </w:r>
          </w:p>
        </w:tc>
      </w:tr>
      <w:tr w:rsidR="0056751F" w:rsidRPr="0056751F" w14:paraId="0ED79458" w14:textId="77777777">
        <w:trPr>
          <w:jc w:val="center"/>
        </w:trPr>
        <w:tc>
          <w:tcPr>
            <w:tcW w:w="3120" w:type="dxa"/>
            <w:tcBorders>
              <w:top w:val="nil"/>
              <w:left w:val="single" w:sz="5" w:space="0" w:color="000000"/>
              <w:bottom w:val="single" w:sz="5" w:space="0" w:color="000000"/>
              <w:right w:val="nil"/>
            </w:tcBorders>
            <w:tcMar>
              <w:top w:w="100" w:type="dxa"/>
              <w:left w:w="100" w:type="dxa"/>
              <w:bottom w:w="100" w:type="dxa"/>
              <w:right w:w="100" w:type="dxa"/>
            </w:tcMar>
            <w:vAlign w:val="center"/>
          </w:tcPr>
          <w:p w14:paraId="235C8FBB" w14:textId="77777777" w:rsidR="00B619DD" w:rsidRPr="0056751F" w:rsidRDefault="0026023C">
            <w:pPr>
              <w:pStyle w:val="Normal1"/>
              <w:widowControl w:val="0"/>
              <w:spacing w:after="380" w:line="411" w:lineRule="auto"/>
              <w:jc w:val="left"/>
              <w:rPr>
                <w:b/>
              </w:rPr>
            </w:pPr>
            <w:r w:rsidRPr="0056751F">
              <w:rPr>
                <w:b/>
              </w:rPr>
              <w:lastRenderedPageBreak/>
              <w:t>Automation</w:t>
            </w:r>
          </w:p>
        </w:tc>
        <w:tc>
          <w:tcPr>
            <w:tcW w:w="3120" w:type="dxa"/>
            <w:tcBorders>
              <w:top w:val="nil"/>
              <w:left w:val="single" w:sz="5" w:space="0" w:color="000000"/>
              <w:bottom w:val="single" w:sz="5" w:space="0" w:color="000000"/>
              <w:right w:val="nil"/>
            </w:tcBorders>
            <w:tcMar>
              <w:top w:w="100" w:type="dxa"/>
              <w:left w:w="100" w:type="dxa"/>
              <w:bottom w:w="100" w:type="dxa"/>
              <w:right w:w="100" w:type="dxa"/>
            </w:tcMar>
            <w:vAlign w:val="center"/>
          </w:tcPr>
          <w:p w14:paraId="3102BB79" w14:textId="77777777" w:rsidR="00B619DD" w:rsidRPr="0056751F" w:rsidRDefault="0026023C">
            <w:pPr>
              <w:pStyle w:val="Normal1"/>
              <w:widowControl w:val="0"/>
              <w:spacing w:after="380" w:line="411" w:lineRule="auto"/>
              <w:jc w:val="left"/>
            </w:pPr>
            <w:r w:rsidRPr="0056751F">
              <w:t>Lacks automation and customisation capabilities</w:t>
            </w:r>
          </w:p>
        </w:tc>
        <w:tc>
          <w:tcPr>
            <w:tcW w:w="3120" w:type="dxa"/>
            <w:tcBorders>
              <w:top w:val="nil"/>
              <w:left w:val="single" w:sz="5" w:space="0" w:color="000000"/>
              <w:bottom w:val="single" w:sz="5" w:space="0" w:color="000000"/>
              <w:right w:val="single" w:sz="5" w:space="0" w:color="000000"/>
            </w:tcBorders>
            <w:tcMar>
              <w:top w:w="100" w:type="dxa"/>
              <w:left w:w="100" w:type="dxa"/>
              <w:bottom w:w="100" w:type="dxa"/>
              <w:right w:w="100" w:type="dxa"/>
            </w:tcMar>
            <w:vAlign w:val="center"/>
          </w:tcPr>
          <w:p w14:paraId="50DECFD2" w14:textId="77777777" w:rsidR="00B619DD" w:rsidRPr="0056751F" w:rsidRDefault="0026023C">
            <w:pPr>
              <w:pStyle w:val="Normal1"/>
              <w:widowControl w:val="0"/>
              <w:spacing w:after="380" w:line="411" w:lineRule="auto"/>
              <w:jc w:val="left"/>
            </w:pPr>
            <w:r w:rsidRPr="0056751F">
              <w:t>Excel provides extensive options for automation through macros and VBA scripting.</w:t>
            </w:r>
          </w:p>
        </w:tc>
      </w:tr>
      <w:tr w:rsidR="0056751F" w:rsidRPr="0056751F" w14:paraId="03030D8D" w14:textId="77777777">
        <w:trPr>
          <w:jc w:val="center"/>
        </w:trPr>
        <w:tc>
          <w:tcPr>
            <w:tcW w:w="3120" w:type="dxa"/>
            <w:tcBorders>
              <w:top w:val="nil"/>
              <w:left w:val="single" w:sz="5" w:space="0" w:color="000000"/>
              <w:bottom w:val="single" w:sz="5" w:space="0" w:color="000000"/>
              <w:right w:val="nil"/>
            </w:tcBorders>
            <w:tcMar>
              <w:top w:w="100" w:type="dxa"/>
              <w:left w:w="100" w:type="dxa"/>
              <w:bottom w:w="100" w:type="dxa"/>
              <w:right w:w="100" w:type="dxa"/>
            </w:tcMar>
            <w:vAlign w:val="center"/>
          </w:tcPr>
          <w:p w14:paraId="7F629A67" w14:textId="77777777" w:rsidR="00B619DD" w:rsidRPr="0056751F" w:rsidRDefault="00B619DD">
            <w:pPr>
              <w:pStyle w:val="Normal1"/>
              <w:widowControl w:val="0"/>
              <w:spacing w:after="380" w:line="411" w:lineRule="auto"/>
              <w:jc w:val="left"/>
              <w:rPr>
                <w:b/>
              </w:rPr>
            </w:pPr>
          </w:p>
        </w:tc>
        <w:tc>
          <w:tcPr>
            <w:tcW w:w="3120" w:type="dxa"/>
            <w:tcBorders>
              <w:top w:val="nil"/>
              <w:left w:val="single" w:sz="5" w:space="0" w:color="000000"/>
              <w:bottom w:val="single" w:sz="5" w:space="0" w:color="000000"/>
              <w:right w:val="nil"/>
            </w:tcBorders>
            <w:tcMar>
              <w:top w:w="100" w:type="dxa"/>
              <w:left w:w="100" w:type="dxa"/>
              <w:bottom w:w="100" w:type="dxa"/>
              <w:right w:w="100" w:type="dxa"/>
            </w:tcMar>
            <w:vAlign w:val="center"/>
          </w:tcPr>
          <w:p w14:paraId="04CA6898" w14:textId="77777777" w:rsidR="00B619DD" w:rsidRPr="0056751F" w:rsidRDefault="00B619DD">
            <w:pPr>
              <w:pStyle w:val="Normal1"/>
              <w:widowControl w:val="0"/>
              <w:spacing w:after="380" w:line="411" w:lineRule="auto"/>
              <w:jc w:val="left"/>
            </w:pPr>
          </w:p>
        </w:tc>
        <w:tc>
          <w:tcPr>
            <w:tcW w:w="3120" w:type="dxa"/>
            <w:tcBorders>
              <w:top w:val="nil"/>
              <w:left w:val="single" w:sz="5" w:space="0" w:color="000000"/>
              <w:bottom w:val="single" w:sz="5" w:space="0" w:color="000000"/>
              <w:right w:val="single" w:sz="5" w:space="0" w:color="000000"/>
            </w:tcBorders>
            <w:tcMar>
              <w:top w:w="100" w:type="dxa"/>
              <w:left w:w="100" w:type="dxa"/>
              <w:bottom w:w="100" w:type="dxa"/>
              <w:right w:w="100" w:type="dxa"/>
            </w:tcMar>
            <w:vAlign w:val="center"/>
          </w:tcPr>
          <w:p w14:paraId="641B3668" w14:textId="77777777" w:rsidR="00B619DD" w:rsidRPr="0056751F" w:rsidRDefault="0026023C">
            <w:pPr>
              <w:pStyle w:val="Normal1"/>
              <w:widowControl w:val="0"/>
              <w:spacing w:after="380" w:line="411" w:lineRule="auto"/>
              <w:jc w:val="left"/>
            </w:pPr>
            <w:r w:rsidRPr="0056751F">
              <w:t>Excel offers VBA programming.</w:t>
            </w:r>
          </w:p>
        </w:tc>
      </w:tr>
      <w:tr w:rsidR="0056751F" w:rsidRPr="0056751F" w14:paraId="387F076F" w14:textId="77777777">
        <w:trPr>
          <w:jc w:val="center"/>
        </w:trPr>
        <w:tc>
          <w:tcPr>
            <w:tcW w:w="3120" w:type="dxa"/>
            <w:tcBorders>
              <w:top w:val="nil"/>
              <w:left w:val="single" w:sz="5" w:space="0" w:color="000000"/>
              <w:bottom w:val="single" w:sz="5" w:space="0" w:color="000000"/>
              <w:right w:val="nil"/>
            </w:tcBorders>
            <w:tcMar>
              <w:top w:w="100" w:type="dxa"/>
              <w:left w:w="100" w:type="dxa"/>
              <w:bottom w:w="100" w:type="dxa"/>
              <w:right w:w="100" w:type="dxa"/>
            </w:tcMar>
            <w:vAlign w:val="center"/>
          </w:tcPr>
          <w:p w14:paraId="272B7E91" w14:textId="77777777" w:rsidR="00B619DD" w:rsidRPr="0056751F" w:rsidRDefault="0026023C">
            <w:pPr>
              <w:pStyle w:val="Normal1"/>
              <w:widowControl w:val="0"/>
              <w:spacing w:after="380" w:line="411" w:lineRule="auto"/>
              <w:jc w:val="left"/>
              <w:rPr>
                <w:b/>
              </w:rPr>
            </w:pPr>
            <w:r w:rsidRPr="0056751F">
              <w:rPr>
                <w:b/>
              </w:rPr>
              <w:t>Customisation</w:t>
            </w:r>
          </w:p>
        </w:tc>
        <w:tc>
          <w:tcPr>
            <w:tcW w:w="3120" w:type="dxa"/>
            <w:tcBorders>
              <w:top w:val="nil"/>
              <w:left w:val="single" w:sz="5" w:space="0" w:color="000000"/>
              <w:bottom w:val="single" w:sz="5" w:space="0" w:color="000000"/>
              <w:right w:val="nil"/>
            </w:tcBorders>
            <w:tcMar>
              <w:top w:w="100" w:type="dxa"/>
              <w:left w:w="100" w:type="dxa"/>
              <w:bottom w:w="100" w:type="dxa"/>
              <w:right w:w="100" w:type="dxa"/>
            </w:tcMar>
            <w:vAlign w:val="center"/>
          </w:tcPr>
          <w:p w14:paraId="4AA337D3" w14:textId="77777777" w:rsidR="00B619DD" w:rsidRPr="0056751F" w:rsidRDefault="0026023C">
            <w:pPr>
              <w:pStyle w:val="Normal1"/>
              <w:widowControl w:val="0"/>
              <w:spacing w:after="380" w:line="411" w:lineRule="auto"/>
              <w:jc w:val="left"/>
            </w:pPr>
            <w:r w:rsidRPr="0056751F">
              <w:t>Example: Creating automated reports with specific formatting for different clients.</w:t>
            </w:r>
          </w:p>
        </w:tc>
        <w:tc>
          <w:tcPr>
            <w:tcW w:w="3120" w:type="dxa"/>
            <w:tcBorders>
              <w:top w:val="nil"/>
              <w:left w:val="single" w:sz="5" w:space="0" w:color="000000"/>
              <w:bottom w:val="single" w:sz="5" w:space="0" w:color="000000"/>
              <w:right w:val="single" w:sz="5" w:space="0" w:color="000000"/>
            </w:tcBorders>
            <w:tcMar>
              <w:top w:w="100" w:type="dxa"/>
              <w:left w:w="100" w:type="dxa"/>
              <w:bottom w:w="100" w:type="dxa"/>
              <w:right w:w="100" w:type="dxa"/>
            </w:tcMar>
            <w:vAlign w:val="center"/>
          </w:tcPr>
          <w:p w14:paraId="72A17E81" w14:textId="77777777" w:rsidR="00B619DD" w:rsidRPr="0056751F" w:rsidRDefault="0026023C">
            <w:pPr>
              <w:pStyle w:val="Normal1"/>
              <w:widowControl w:val="0"/>
              <w:spacing w:after="380" w:line="411" w:lineRule="auto"/>
              <w:jc w:val="left"/>
            </w:pPr>
            <w:r w:rsidRPr="0056751F">
              <w:t>Example: Generating customised invoices with calculated totals and taxes.</w:t>
            </w:r>
          </w:p>
        </w:tc>
      </w:tr>
      <w:tr w:rsidR="0056751F" w:rsidRPr="0056751F" w14:paraId="214D241B" w14:textId="77777777">
        <w:trPr>
          <w:jc w:val="center"/>
        </w:trPr>
        <w:tc>
          <w:tcPr>
            <w:tcW w:w="3120" w:type="dxa"/>
            <w:tcBorders>
              <w:top w:val="nil"/>
              <w:left w:val="single" w:sz="5" w:space="0" w:color="000000"/>
              <w:bottom w:val="single" w:sz="5" w:space="0" w:color="000000"/>
              <w:right w:val="nil"/>
            </w:tcBorders>
            <w:tcMar>
              <w:top w:w="100" w:type="dxa"/>
              <w:left w:w="100" w:type="dxa"/>
              <w:bottom w:w="100" w:type="dxa"/>
              <w:right w:w="100" w:type="dxa"/>
            </w:tcMar>
            <w:vAlign w:val="center"/>
          </w:tcPr>
          <w:p w14:paraId="7C4D0ECD" w14:textId="77777777" w:rsidR="00B619DD" w:rsidRPr="0056751F" w:rsidRDefault="0026023C">
            <w:pPr>
              <w:pStyle w:val="Normal1"/>
              <w:widowControl w:val="0"/>
              <w:spacing w:after="380" w:line="411" w:lineRule="auto"/>
              <w:jc w:val="left"/>
              <w:rPr>
                <w:b/>
              </w:rPr>
            </w:pPr>
            <w:r w:rsidRPr="0056751F">
              <w:rPr>
                <w:b/>
              </w:rPr>
              <w:t>Collaboration and Sharing</w:t>
            </w:r>
          </w:p>
        </w:tc>
        <w:tc>
          <w:tcPr>
            <w:tcW w:w="3120" w:type="dxa"/>
            <w:tcBorders>
              <w:top w:val="nil"/>
              <w:left w:val="single" w:sz="5" w:space="0" w:color="000000"/>
              <w:bottom w:val="single" w:sz="5" w:space="0" w:color="000000"/>
              <w:right w:val="nil"/>
            </w:tcBorders>
            <w:tcMar>
              <w:top w:w="100" w:type="dxa"/>
              <w:left w:w="100" w:type="dxa"/>
              <w:bottom w:w="100" w:type="dxa"/>
              <w:right w:w="100" w:type="dxa"/>
            </w:tcMar>
            <w:vAlign w:val="center"/>
          </w:tcPr>
          <w:p w14:paraId="333DDABD" w14:textId="77777777" w:rsidR="00B619DD" w:rsidRPr="0056751F" w:rsidRDefault="0026023C">
            <w:pPr>
              <w:pStyle w:val="Normal1"/>
              <w:widowControl w:val="0"/>
              <w:spacing w:after="380" w:line="411" w:lineRule="auto"/>
              <w:jc w:val="left"/>
            </w:pPr>
            <w:r w:rsidRPr="0056751F">
              <w:t xml:space="preserve">SPSS might require sharing </w:t>
            </w:r>
            <w:r w:rsidRPr="0056751F">
              <w:t>output files or using special formats, leading to potential compatibility issues.</w:t>
            </w:r>
          </w:p>
        </w:tc>
        <w:tc>
          <w:tcPr>
            <w:tcW w:w="3120" w:type="dxa"/>
            <w:tcBorders>
              <w:top w:val="nil"/>
              <w:left w:val="single" w:sz="5" w:space="0" w:color="000000"/>
              <w:bottom w:val="single" w:sz="5" w:space="0" w:color="000000"/>
              <w:right w:val="single" w:sz="5" w:space="0" w:color="000000"/>
            </w:tcBorders>
            <w:tcMar>
              <w:top w:w="100" w:type="dxa"/>
              <w:left w:w="100" w:type="dxa"/>
              <w:bottom w:w="100" w:type="dxa"/>
              <w:right w:w="100" w:type="dxa"/>
            </w:tcMar>
            <w:vAlign w:val="center"/>
          </w:tcPr>
          <w:p w14:paraId="66FD5FB2" w14:textId="77777777" w:rsidR="00B619DD" w:rsidRPr="0056751F" w:rsidRDefault="0026023C">
            <w:pPr>
              <w:pStyle w:val="Normal1"/>
              <w:widowControl w:val="0"/>
              <w:spacing w:after="380" w:line="411" w:lineRule="auto"/>
              <w:jc w:val="left"/>
            </w:pPr>
            <w:r w:rsidRPr="0056751F">
              <w:t>Excel allows real-time collaboration through cloud platforms like OneDrive or Google Sheets.</w:t>
            </w:r>
          </w:p>
        </w:tc>
      </w:tr>
      <w:tr w:rsidR="0056751F" w:rsidRPr="0056751F" w14:paraId="08B6A003" w14:textId="77777777">
        <w:trPr>
          <w:jc w:val="center"/>
        </w:trPr>
        <w:tc>
          <w:tcPr>
            <w:tcW w:w="3120" w:type="dxa"/>
            <w:tcBorders>
              <w:top w:val="nil"/>
              <w:left w:val="single" w:sz="5" w:space="0" w:color="000000"/>
              <w:bottom w:val="single" w:sz="5" w:space="0" w:color="000000"/>
              <w:right w:val="nil"/>
            </w:tcBorders>
            <w:tcMar>
              <w:top w:w="100" w:type="dxa"/>
              <w:left w:w="100" w:type="dxa"/>
              <w:bottom w:w="100" w:type="dxa"/>
              <w:right w:w="100" w:type="dxa"/>
            </w:tcMar>
            <w:vAlign w:val="center"/>
          </w:tcPr>
          <w:p w14:paraId="276EDDA0" w14:textId="77777777" w:rsidR="00B619DD" w:rsidRPr="0056751F" w:rsidRDefault="00B619DD">
            <w:pPr>
              <w:pStyle w:val="Normal1"/>
              <w:widowControl w:val="0"/>
              <w:spacing w:after="380" w:line="411" w:lineRule="auto"/>
              <w:jc w:val="left"/>
              <w:rPr>
                <w:b/>
              </w:rPr>
            </w:pPr>
          </w:p>
        </w:tc>
        <w:tc>
          <w:tcPr>
            <w:tcW w:w="3120" w:type="dxa"/>
            <w:tcBorders>
              <w:top w:val="nil"/>
              <w:left w:val="single" w:sz="5" w:space="0" w:color="000000"/>
              <w:bottom w:val="single" w:sz="5" w:space="0" w:color="000000"/>
              <w:right w:val="nil"/>
            </w:tcBorders>
            <w:tcMar>
              <w:top w:w="100" w:type="dxa"/>
              <w:left w:w="100" w:type="dxa"/>
              <w:bottom w:w="100" w:type="dxa"/>
              <w:right w:w="100" w:type="dxa"/>
            </w:tcMar>
            <w:vAlign w:val="center"/>
          </w:tcPr>
          <w:p w14:paraId="63391758" w14:textId="77777777" w:rsidR="00B619DD" w:rsidRPr="0056751F" w:rsidRDefault="00B619DD">
            <w:pPr>
              <w:pStyle w:val="Normal1"/>
              <w:widowControl w:val="0"/>
              <w:spacing w:after="380" w:line="411" w:lineRule="auto"/>
              <w:jc w:val="left"/>
            </w:pPr>
          </w:p>
        </w:tc>
        <w:tc>
          <w:tcPr>
            <w:tcW w:w="3120" w:type="dxa"/>
            <w:tcBorders>
              <w:top w:val="nil"/>
              <w:left w:val="single" w:sz="5" w:space="0" w:color="000000"/>
              <w:bottom w:val="single" w:sz="5" w:space="0" w:color="000000"/>
              <w:right w:val="single" w:sz="5" w:space="0" w:color="000000"/>
            </w:tcBorders>
            <w:tcMar>
              <w:top w:w="100" w:type="dxa"/>
              <w:left w:w="100" w:type="dxa"/>
              <w:bottom w:w="100" w:type="dxa"/>
              <w:right w:w="100" w:type="dxa"/>
            </w:tcMar>
            <w:vAlign w:val="center"/>
          </w:tcPr>
          <w:p w14:paraId="20416B1B" w14:textId="77777777" w:rsidR="00B619DD" w:rsidRPr="0056751F" w:rsidRDefault="0026023C">
            <w:pPr>
              <w:pStyle w:val="Normal1"/>
              <w:widowControl w:val="0"/>
              <w:spacing w:after="380" w:line="411" w:lineRule="auto"/>
              <w:jc w:val="left"/>
            </w:pPr>
            <w:r w:rsidRPr="0056751F">
              <w:t>Example: Collaborating on budget spreadsheets.</w:t>
            </w:r>
          </w:p>
        </w:tc>
      </w:tr>
    </w:tbl>
    <w:p w14:paraId="61254537" w14:textId="77777777" w:rsidR="00B619DD" w:rsidRDefault="0026023C">
      <w:pPr>
        <w:pStyle w:val="Heading1"/>
        <w:jc w:val="center"/>
        <w:rPr>
          <w:sz w:val="22"/>
          <w:szCs w:val="22"/>
        </w:rPr>
      </w:pPr>
      <w:bookmarkStart w:id="3" w:name="_sntv31d6tiez" w:colFirst="0" w:colLast="0"/>
      <w:bookmarkEnd w:id="3"/>
      <w:r>
        <w:br w:type="page"/>
      </w:r>
    </w:p>
    <w:p w14:paraId="6DDD3CAC" w14:textId="77777777" w:rsidR="00B619DD" w:rsidRDefault="0026023C">
      <w:pPr>
        <w:pStyle w:val="Heading1"/>
        <w:rPr>
          <w:sz w:val="22"/>
          <w:szCs w:val="22"/>
        </w:rPr>
      </w:pPr>
      <w:bookmarkStart w:id="4" w:name="_Toc144309121"/>
      <w:r>
        <w:rPr>
          <w:sz w:val="22"/>
          <w:szCs w:val="22"/>
        </w:rPr>
        <w:lastRenderedPageBreak/>
        <w:t>References</w:t>
      </w:r>
      <w:bookmarkEnd w:id="4"/>
    </w:p>
    <w:p w14:paraId="5B6D8FB0" w14:textId="77777777" w:rsidR="00B619DD" w:rsidRDefault="0026023C">
      <w:pPr>
        <w:pStyle w:val="Normal1"/>
        <w:spacing w:before="240" w:after="240"/>
      </w:pPr>
      <w:r>
        <w:rPr>
          <w:color w:val="222222"/>
          <w:highlight w:val="white"/>
        </w:rPr>
        <w:t xml:space="preserve">Auclert, A., Bardóczy, B. and Rognlie, M., (2021). MPCs, MPEs, and multipliers: A trilemma for New Keynesian models. </w:t>
      </w:r>
      <w:r>
        <w:rPr>
          <w:i/>
        </w:rPr>
        <w:t>The Review of Economics and Statistics</w:t>
      </w:r>
      <w:r>
        <w:t>, pp.1-41. Available at:</w:t>
      </w:r>
      <w:hyperlink r:id="rId22">
        <w:r>
          <w:rPr>
            <w:color w:val="1155CC"/>
          </w:rPr>
          <w:t xml:space="preserve"> </w:t>
        </w:r>
      </w:hyperlink>
      <w:hyperlink r:id="rId23">
        <w:r>
          <w:rPr>
            <w:color w:val="1155CC"/>
            <w:highlight w:val="white"/>
            <w:u w:val="single"/>
          </w:rPr>
          <w:t>https://www.doi.org/10.1162/rest_a_01072/102830</w:t>
        </w:r>
      </w:hyperlink>
      <w:r>
        <w:rPr>
          <w:color w:val="222222"/>
          <w:highlight w:val="white"/>
        </w:rPr>
        <w:t xml:space="preserve"> </w:t>
      </w:r>
      <w:r>
        <w:t xml:space="preserve">(Accessed: 30 August  </w:t>
      </w:r>
      <w:r>
        <w:t>2023)</w:t>
      </w:r>
    </w:p>
    <w:p w14:paraId="152E40DC" w14:textId="77777777" w:rsidR="00B619DD" w:rsidRDefault="0026023C">
      <w:pPr>
        <w:pStyle w:val="Normal1"/>
        <w:spacing w:before="240" w:after="240"/>
      </w:pPr>
      <w:r>
        <w:t>Bavel, J.J.V., Baicker, K., Boggio, P.S., Capraro, V., Cichocka, A., Cikara, M., Crockett, M.J., Crum, A.J., Douglas, K.M., Druckman, J.N. and Drury, J., 2020. Using social and behavioural science to support COVID-19 pandemic response. Nature human behaviour, 4(5), pp.460-471. Available at:</w:t>
      </w:r>
      <w:hyperlink r:id="rId24">
        <w:r>
          <w:rPr>
            <w:color w:val="1155CC"/>
            <w:u w:val="single"/>
          </w:rPr>
          <w:t xml:space="preserve"> https://doi.org/10.1038/s41562-020-0884-z</w:t>
        </w:r>
      </w:hyperlink>
      <w:r>
        <w:t xml:space="preserve"> (Accessed: 30 August  2023)</w:t>
      </w:r>
    </w:p>
    <w:p w14:paraId="2A7AFD4F" w14:textId="77777777" w:rsidR="00B619DD" w:rsidRDefault="0026023C">
      <w:pPr>
        <w:pStyle w:val="Normal1"/>
        <w:spacing w:before="240" w:after="240"/>
      </w:pPr>
      <w:r>
        <w:rPr>
          <w:color w:val="222222"/>
          <w:highlight w:val="white"/>
        </w:rPr>
        <w:t xml:space="preserve">Bhatnagar, V., Poonia, R.C., Nagar, P., Kumar, S., Singh, V., Raja, L. and Dass, P., (2021). Descriptive analysis of COVID-19 patients in the context of India. </w:t>
      </w:r>
      <w:r>
        <w:rPr>
          <w:i/>
        </w:rPr>
        <w:t>Journal of Interdisciplinary Mathematics</w:t>
      </w:r>
      <w:r>
        <w:t xml:space="preserve">, </w:t>
      </w:r>
      <w:r>
        <w:rPr>
          <w:i/>
        </w:rPr>
        <w:t>24</w:t>
      </w:r>
      <w:r>
        <w:t>(3), pp.489-504. Available at:</w:t>
      </w:r>
      <w:hyperlink r:id="rId25">
        <w:r>
          <w:rPr>
            <w:color w:val="1155CC"/>
          </w:rPr>
          <w:t xml:space="preserve"> </w:t>
        </w:r>
      </w:hyperlink>
      <w:hyperlink r:id="rId26">
        <w:r>
          <w:rPr>
            <w:color w:val="1155CC"/>
            <w:highlight w:val="white"/>
            <w:u w:val="single"/>
          </w:rPr>
          <w:t>https://www.doi.org/10.1080/09720502.2020.1761635</w:t>
        </w:r>
      </w:hyperlink>
      <w:r>
        <w:rPr>
          <w:color w:val="1155CC"/>
          <w:highlight w:val="white"/>
          <w:u w:val="single"/>
        </w:rPr>
        <w:t xml:space="preserve"> </w:t>
      </w:r>
      <w:r>
        <w:t>(Accessed: 30 August  2023)</w:t>
      </w:r>
    </w:p>
    <w:p w14:paraId="4B547AD1" w14:textId="77777777" w:rsidR="00B619DD" w:rsidRDefault="0026023C">
      <w:pPr>
        <w:pStyle w:val="Normal1"/>
        <w:spacing w:before="240" w:after="240"/>
      </w:pPr>
      <w:r>
        <w:rPr>
          <w:color w:val="222222"/>
          <w:highlight w:val="white"/>
        </w:rPr>
        <w:t xml:space="preserve">Cooper, F., Dolezal, L. and Rose, A., 2023. </w:t>
      </w:r>
      <w:r>
        <w:rPr>
          <w:i/>
        </w:rPr>
        <w:t>COVID-19 and shame: political emotions and public health in the UK</w:t>
      </w:r>
      <w:r>
        <w:t xml:space="preserve"> (p. 160). Bloomsbury Academic. Available at:</w:t>
      </w:r>
      <w:hyperlink r:id="rId27">
        <w:r>
          <w:rPr>
            <w:color w:val="1155CC"/>
            <w:u w:val="single"/>
          </w:rPr>
          <w:t xml:space="preserve"> https://doi.org/10.5040/9781350283442</w:t>
        </w:r>
      </w:hyperlink>
      <w:r>
        <w:t xml:space="preserve"> (Accessed: 30 August  2023)</w:t>
      </w:r>
    </w:p>
    <w:p w14:paraId="02F889D5" w14:textId="77777777" w:rsidR="00B619DD" w:rsidRDefault="0026023C">
      <w:pPr>
        <w:pStyle w:val="Normal1"/>
        <w:spacing w:before="240" w:after="240"/>
      </w:pPr>
      <w:r>
        <w:rPr>
          <w:color w:val="222222"/>
          <w:highlight w:val="white"/>
        </w:rPr>
        <w:t xml:space="preserve">Hastie, C.E., Pell, J.P. and Sattar, N., 2021. Vitamin D and COVID-19 infection and mortality in UK Biobank. </w:t>
      </w:r>
      <w:r>
        <w:rPr>
          <w:i/>
        </w:rPr>
        <w:t>European Journal of Nutrition</w:t>
      </w:r>
      <w:r>
        <w:t xml:space="preserve">, </w:t>
      </w:r>
      <w:r>
        <w:rPr>
          <w:i/>
        </w:rPr>
        <w:t>60</w:t>
      </w:r>
      <w:r>
        <w:t>, pp.545-548. Available at:</w:t>
      </w:r>
      <w:hyperlink r:id="rId28">
        <w:r>
          <w:rPr>
            <w:color w:val="1155CC"/>
            <w:u w:val="single"/>
          </w:rPr>
          <w:t xml:space="preserve"> https://doi.org/10.1007/s00394-020-02372-4</w:t>
        </w:r>
      </w:hyperlink>
      <w:r>
        <w:rPr>
          <w:color w:val="333333"/>
          <w:shd w:val="clear" w:color="auto" w:fill="FCFCFC"/>
        </w:rPr>
        <w:t xml:space="preserve"> </w:t>
      </w:r>
      <w:r>
        <w:t>(Accessed: 30 August  2023)</w:t>
      </w:r>
    </w:p>
    <w:p w14:paraId="13CC650E" w14:textId="77777777" w:rsidR="00B619DD" w:rsidRDefault="0026023C">
      <w:pPr>
        <w:pStyle w:val="Normal1"/>
        <w:spacing w:before="240" w:after="240"/>
      </w:pPr>
      <w:r>
        <w:rPr>
          <w:color w:val="222222"/>
          <w:highlight w:val="white"/>
        </w:rPr>
        <w:t xml:space="preserve">Kim, L.E. and Asbury, K., 2020. ‘Like a rug had been pulled from under you’: The impact of COVID‐19 on teachers in England during the first six weeks of the UK lockdown. </w:t>
      </w:r>
      <w:r>
        <w:rPr>
          <w:i/>
        </w:rPr>
        <w:t>British Journal of Educational Psychology</w:t>
      </w:r>
      <w:r>
        <w:t xml:space="preserve">, </w:t>
      </w:r>
      <w:r>
        <w:rPr>
          <w:i/>
        </w:rPr>
        <w:t>90</w:t>
      </w:r>
      <w:r>
        <w:t>(4), pp.1062-1083. Available at:</w:t>
      </w:r>
      <w:hyperlink r:id="rId29">
        <w:r>
          <w:rPr>
            <w:color w:val="1155CC"/>
            <w:u w:val="single"/>
          </w:rPr>
          <w:t xml:space="preserve"> https://doi.org/10.1111/bjep.12381</w:t>
        </w:r>
      </w:hyperlink>
      <w:r>
        <w:t xml:space="preserve"> (Accessed: 30 August  2023)</w:t>
      </w:r>
    </w:p>
    <w:p w14:paraId="234D982A" w14:textId="77777777" w:rsidR="00B619DD" w:rsidRDefault="0026023C">
      <w:pPr>
        <w:pStyle w:val="Normal1"/>
        <w:spacing w:before="240" w:after="240"/>
      </w:pPr>
      <w:r>
        <w:rPr>
          <w:color w:val="222222"/>
          <w:highlight w:val="white"/>
        </w:rPr>
        <w:t xml:space="preserve">O'Connor, R.C., Wetherall, K., Cleare, S., McClelland, H., Melson, A.J., Niedzwiedz, C.L., O'Carroll, R.E., O'Connor, D.B., Platt, S., Scowcroft, E. and Watson, B., 2021. Mental health and well-being during the COVID-19 pandemic: longitudinal analyses of adults in the UK COVID-19 Mental Health and Wellbeing study. </w:t>
      </w:r>
      <w:r>
        <w:rPr>
          <w:i/>
        </w:rPr>
        <w:t>The British Journal of Psychiatry</w:t>
      </w:r>
      <w:r>
        <w:t xml:space="preserve">, </w:t>
      </w:r>
      <w:r>
        <w:rPr>
          <w:i/>
        </w:rPr>
        <w:t>218</w:t>
      </w:r>
      <w:r>
        <w:t>(6), pp.326-333. Available at:</w:t>
      </w:r>
      <w:hyperlink r:id="rId30">
        <w:r>
          <w:rPr>
            <w:color w:val="1155CC"/>
            <w:u w:val="single"/>
          </w:rPr>
          <w:t xml:space="preserve"> https://doi.org/10.1192/bjp.2020.212</w:t>
        </w:r>
      </w:hyperlink>
      <w:r>
        <w:t xml:space="preserve"> (Accessed: 30 August  2023)</w:t>
      </w:r>
    </w:p>
    <w:p w14:paraId="72D35813" w14:textId="77777777" w:rsidR="00B619DD" w:rsidRDefault="0026023C">
      <w:pPr>
        <w:pStyle w:val="Normal1"/>
        <w:spacing w:before="240" w:after="240"/>
      </w:pPr>
      <w:r>
        <w:rPr>
          <w:color w:val="222222"/>
          <w:highlight w:val="white"/>
        </w:rPr>
        <w:t xml:space="preserve">Paterson, A., Sakariyahu, R., Lawal, R. and Alabi, A., 2023. The Impact of Government Policy Responses to the COVID‐19 Pandemic and Brexit on the UK Financial Market: A Behavioural </w:t>
      </w:r>
      <w:r>
        <w:rPr>
          <w:color w:val="222222"/>
          <w:highlight w:val="white"/>
        </w:rPr>
        <w:lastRenderedPageBreak/>
        <w:t xml:space="preserve">Perspective. </w:t>
      </w:r>
      <w:r>
        <w:rPr>
          <w:i/>
        </w:rPr>
        <w:t>British Journal of Management</w:t>
      </w:r>
      <w:r>
        <w:t>. Available at:</w:t>
      </w:r>
      <w:hyperlink r:id="rId31">
        <w:r>
          <w:rPr>
            <w:color w:val="1155CC"/>
            <w:u w:val="single"/>
          </w:rPr>
          <w:t xml:space="preserve"> https://doi.org/10.1111/1467-8551.12702</w:t>
        </w:r>
      </w:hyperlink>
      <w:r>
        <w:t xml:space="preserve"> (Accessed: 30 August  2023)</w:t>
      </w:r>
    </w:p>
    <w:p w14:paraId="30E6C26C" w14:textId="77777777" w:rsidR="00B619DD" w:rsidRDefault="0026023C">
      <w:pPr>
        <w:pStyle w:val="Normal1"/>
        <w:spacing w:before="240" w:after="240"/>
      </w:pPr>
      <w:r>
        <w:rPr>
          <w:color w:val="222222"/>
          <w:highlight w:val="white"/>
        </w:rPr>
        <w:t xml:space="preserve">Sherman, S.M., Smith, L.E., Sim, J., Amlôt, R., Cutts, M., Dasch, H., Rubin, G.J. and Sevdalis, N., 2021. COVID-19 vaccination intention in the UK: results from the COVID-19 vaccination acceptability study (CoVAccS), a nationally representative cross-sectional survey. </w:t>
      </w:r>
      <w:r>
        <w:rPr>
          <w:i/>
        </w:rPr>
        <w:t>Human vaccines and immunotherapeutics</w:t>
      </w:r>
      <w:r>
        <w:t xml:space="preserve">, </w:t>
      </w:r>
      <w:r>
        <w:rPr>
          <w:i/>
        </w:rPr>
        <w:t>17</w:t>
      </w:r>
      <w:r>
        <w:t>(6), pp.1612-1621. Available at:</w:t>
      </w:r>
      <w:hyperlink r:id="rId32">
        <w:r>
          <w:rPr>
            <w:color w:val="1155CC"/>
            <w:u w:val="single"/>
          </w:rPr>
          <w:t xml:space="preserve"> https://doi.org/10.1080/21645515.2020.1846397</w:t>
        </w:r>
      </w:hyperlink>
      <w:r>
        <w:t xml:space="preserve"> (Accessed: 30 August  2023)</w:t>
      </w:r>
    </w:p>
    <w:p w14:paraId="1FBD63E8" w14:textId="77777777" w:rsidR="00B619DD" w:rsidRDefault="0026023C">
      <w:pPr>
        <w:pStyle w:val="Normal1"/>
        <w:spacing w:before="240" w:after="240"/>
      </w:pPr>
      <w:r>
        <w:t>Sikali, K., 2020. The dangers of social distancing: How COVID‐19 can reshape our social experience. Journal of community psychology, 48(8), p.2435. Available at:</w:t>
      </w:r>
      <w:hyperlink r:id="rId33">
        <w:r>
          <w:rPr>
            <w:color w:val="1155CC"/>
            <w:u w:val="single"/>
          </w:rPr>
          <w:t xml:space="preserve"> https://doi.org/10.1002%2Fjcop.22430</w:t>
        </w:r>
      </w:hyperlink>
      <w:r>
        <w:t xml:space="preserve"> (Accessed: 30 August  2023)</w:t>
      </w:r>
    </w:p>
    <w:p w14:paraId="3FAE7760" w14:textId="77777777" w:rsidR="00B619DD" w:rsidRDefault="0026023C">
      <w:pPr>
        <w:pStyle w:val="Normal1"/>
        <w:spacing w:before="240" w:after="240"/>
      </w:pPr>
      <w:r>
        <w:rPr>
          <w:color w:val="222222"/>
          <w:highlight w:val="white"/>
        </w:rPr>
        <w:t xml:space="preserve">Taylor, R.W. and Crawford, J. (2020). The persistence of the IS-LM model in intermediate macroeconomics textbooks. </w:t>
      </w:r>
      <w:r>
        <w:rPr>
          <w:i/>
        </w:rPr>
        <w:t>Global Journal of Business Pedagogy</w:t>
      </w:r>
      <w:r>
        <w:t xml:space="preserve">, </w:t>
      </w:r>
      <w:r>
        <w:rPr>
          <w:i/>
        </w:rPr>
        <w:t>4</w:t>
      </w:r>
      <w:r>
        <w:t>(1), p.166. Available at:</w:t>
      </w:r>
      <w:hyperlink r:id="rId34" w:anchor="page=167">
        <w:r>
          <w:rPr>
            <w:color w:val="1155CC"/>
          </w:rPr>
          <w:t xml:space="preserve"> </w:t>
        </w:r>
      </w:hyperlink>
      <w:hyperlink r:id="rId35" w:anchor="page=167">
        <w:r>
          <w:rPr>
            <w:color w:val="222222"/>
            <w:highlight w:val="white"/>
          </w:rPr>
          <w:t xml:space="preserve"> </w:t>
        </w:r>
      </w:hyperlink>
      <w:hyperlink r:id="rId36" w:anchor="page=167">
        <w:r>
          <w:rPr>
            <w:color w:val="1155CC"/>
            <w:highlight w:val="white"/>
            <w:u w:val="single"/>
          </w:rPr>
          <w:t>https://</w:t>
        </w:r>
      </w:hyperlink>
      <w:hyperlink r:id="rId37">
        <w:r>
          <w:rPr>
            <w:color w:val="1155CC"/>
            <w:highlight w:val="white"/>
            <w:u w:val="single"/>
          </w:rPr>
          <w:t>www.doi.org</w:t>
        </w:r>
      </w:hyperlink>
      <w:hyperlink r:id="rId38" w:anchor="page=167">
        <w:r>
          <w:rPr>
            <w:color w:val="1155CC"/>
            <w:highlight w:val="white"/>
            <w:u w:val="single"/>
          </w:rPr>
          <w:t>/2020/04/GJBP_Vol_4_No_1_2020</w:t>
        </w:r>
      </w:hyperlink>
      <w:r>
        <w:rPr>
          <w:color w:val="222222"/>
          <w:highlight w:val="white"/>
        </w:rPr>
        <w:t xml:space="preserve"> </w:t>
      </w:r>
      <w:r>
        <w:t>(Accessed: 30 August  2023)</w:t>
      </w:r>
    </w:p>
    <w:p w14:paraId="23266B47" w14:textId="77777777" w:rsidR="00B619DD" w:rsidRDefault="0026023C">
      <w:pPr>
        <w:pStyle w:val="Normal1"/>
        <w:spacing w:before="240" w:after="240"/>
      </w:pPr>
      <w:r>
        <w:rPr>
          <w:color w:val="222222"/>
          <w:highlight w:val="white"/>
        </w:rPr>
        <w:t xml:space="preserve">Zhao, L., Wirth, M.D., Petermann-Rocha, F., Parra-Soto, S., Mathers, J.C., Pell, J.P., Ho, F.K., Celis-Morales, C.A. and Hébert, J.R., 2023. Diet-Related Inflammation Is Associated with Worse COVID-19 Outcomes in the UK Biobank Cohort. </w:t>
      </w:r>
      <w:r>
        <w:rPr>
          <w:i/>
        </w:rPr>
        <w:t>Nutrients</w:t>
      </w:r>
      <w:r>
        <w:t xml:space="preserve">, </w:t>
      </w:r>
      <w:r>
        <w:rPr>
          <w:i/>
        </w:rPr>
        <w:t>15</w:t>
      </w:r>
      <w:r>
        <w:t>(4), p.884. Available at:</w:t>
      </w:r>
      <w:hyperlink r:id="rId39">
        <w:r>
          <w:rPr>
            <w:color w:val="1155CC"/>
            <w:u w:val="single"/>
          </w:rPr>
          <w:t xml:space="preserve"> https://doi.org/10.3390/nu15040884</w:t>
        </w:r>
      </w:hyperlink>
      <w:r>
        <w:t xml:space="preserve"> (Accessed: 30 August  2023)</w:t>
      </w:r>
    </w:p>
    <w:p w14:paraId="13EE4EA0" w14:textId="77777777" w:rsidR="00B619DD" w:rsidRDefault="0026023C">
      <w:pPr>
        <w:pStyle w:val="Normal1"/>
      </w:pPr>
      <w:r>
        <w:br w:type="page"/>
      </w:r>
    </w:p>
    <w:p w14:paraId="384AFCB5" w14:textId="77777777" w:rsidR="00B619DD" w:rsidRDefault="0026023C">
      <w:pPr>
        <w:pStyle w:val="Heading1"/>
        <w:rPr>
          <w:sz w:val="22"/>
          <w:szCs w:val="22"/>
        </w:rPr>
      </w:pPr>
      <w:bookmarkStart w:id="5" w:name="_Toc144309122"/>
      <w:r>
        <w:rPr>
          <w:sz w:val="22"/>
          <w:szCs w:val="22"/>
        </w:rPr>
        <w:lastRenderedPageBreak/>
        <w:t>Appendix</w:t>
      </w:r>
      <w:bookmarkEnd w:id="5"/>
    </w:p>
    <w:p w14:paraId="2FCD8884" w14:textId="77777777" w:rsidR="00B619DD" w:rsidRDefault="00B619DD">
      <w:pPr>
        <w:pStyle w:val="Normal1"/>
        <w:spacing w:line="276" w:lineRule="auto"/>
        <w:jc w:val="left"/>
        <w:rPr>
          <w:sz w:val="20"/>
          <w:szCs w:val="20"/>
        </w:rPr>
      </w:pPr>
    </w:p>
    <w:tbl>
      <w:tblPr>
        <w:tblStyle w:val="Table4"/>
        <w:tblW w:w="11715" w:type="dxa"/>
        <w:tblInd w:w="-1275" w:type="dxa"/>
        <w:tblBorders>
          <w:top w:val="nil"/>
          <w:left w:val="nil"/>
          <w:bottom w:val="nil"/>
          <w:right w:val="nil"/>
          <w:insideH w:val="nil"/>
          <w:insideV w:val="nil"/>
        </w:tblBorders>
        <w:tblLayout w:type="fixed"/>
        <w:tblLook w:val="0600" w:firstRow="0" w:lastRow="0" w:firstColumn="0" w:lastColumn="0" w:noHBand="1" w:noVBand="1"/>
      </w:tblPr>
      <w:tblGrid>
        <w:gridCol w:w="765"/>
        <w:gridCol w:w="510"/>
        <w:gridCol w:w="705"/>
        <w:gridCol w:w="735"/>
        <w:gridCol w:w="495"/>
        <w:gridCol w:w="540"/>
        <w:gridCol w:w="570"/>
        <w:gridCol w:w="450"/>
        <w:gridCol w:w="690"/>
        <w:gridCol w:w="465"/>
        <w:gridCol w:w="465"/>
        <w:gridCol w:w="465"/>
        <w:gridCol w:w="465"/>
        <w:gridCol w:w="465"/>
        <w:gridCol w:w="465"/>
        <w:gridCol w:w="735"/>
        <w:gridCol w:w="600"/>
        <w:gridCol w:w="615"/>
        <w:gridCol w:w="690"/>
        <w:gridCol w:w="825"/>
      </w:tblGrid>
      <w:tr w:rsidR="00B619DD" w14:paraId="24418437" w14:textId="77777777">
        <w:trPr>
          <w:trHeight w:val="315"/>
        </w:trPr>
        <w:tc>
          <w:tcPr>
            <w:tcW w:w="76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7AFB04D8" w14:textId="77777777" w:rsidR="00B619DD" w:rsidRDefault="0026023C">
            <w:pPr>
              <w:pStyle w:val="Normal1"/>
              <w:spacing w:line="276" w:lineRule="auto"/>
              <w:jc w:val="center"/>
              <w:rPr>
                <w:sz w:val="18"/>
                <w:szCs w:val="18"/>
              </w:rPr>
            </w:pPr>
            <w:r>
              <w:rPr>
                <w:rFonts w:ascii="Times New Roman" w:eastAsia="Times New Roman" w:hAnsi="Times New Roman" w:cs="Times New Roman"/>
                <w:sz w:val="16"/>
                <w:szCs w:val="16"/>
              </w:rPr>
              <w:t>Statistics</w:t>
            </w:r>
          </w:p>
        </w:tc>
        <w:tc>
          <w:tcPr>
            <w:tcW w:w="51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0AF5CAF5" w14:textId="77777777" w:rsidR="00B619DD" w:rsidRDefault="00B619DD">
            <w:pPr>
              <w:pStyle w:val="Normal1"/>
              <w:spacing w:line="276" w:lineRule="auto"/>
              <w:jc w:val="left"/>
              <w:rPr>
                <w:sz w:val="18"/>
                <w:szCs w:val="18"/>
              </w:rPr>
            </w:pPr>
          </w:p>
        </w:tc>
        <w:tc>
          <w:tcPr>
            <w:tcW w:w="70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1277CF7B" w14:textId="77777777" w:rsidR="00B619DD" w:rsidRDefault="00B619DD">
            <w:pPr>
              <w:pStyle w:val="Normal1"/>
              <w:spacing w:line="276" w:lineRule="auto"/>
              <w:jc w:val="left"/>
              <w:rPr>
                <w:sz w:val="18"/>
                <w:szCs w:val="18"/>
              </w:rPr>
            </w:pPr>
          </w:p>
        </w:tc>
        <w:tc>
          <w:tcPr>
            <w:tcW w:w="73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195F572F" w14:textId="77777777" w:rsidR="00B619DD" w:rsidRDefault="00B619DD">
            <w:pPr>
              <w:pStyle w:val="Normal1"/>
              <w:spacing w:line="276" w:lineRule="auto"/>
              <w:jc w:val="left"/>
              <w:rPr>
                <w:sz w:val="18"/>
                <w:szCs w:val="18"/>
              </w:rPr>
            </w:pPr>
          </w:p>
        </w:tc>
        <w:tc>
          <w:tcPr>
            <w:tcW w:w="49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79A07412" w14:textId="77777777" w:rsidR="00B619DD" w:rsidRDefault="00B619DD">
            <w:pPr>
              <w:pStyle w:val="Normal1"/>
              <w:spacing w:line="276" w:lineRule="auto"/>
              <w:jc w:val="left"/>
              <w:rPr>
                <w:sz w:val="18"/>
                <w:szCs w:val="18"/>
              </w:rPr>
            </w:pPr>
          </w:p>
        </w:tc>
        <w:tc>
          <w:tcPr>
            <w:tcW w:w="54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1B91DA1E" w14:textId="77777777" w:rsidR="00B619DD" w:rsidRDefault="00B619DD">
            <w:pPr>
              <w:pStyle w:val="Normal1"/>
              <w:spacing w:line="276" w:lineRule="auto"/>
              <w:jc w:val="left"/>
              <w:rPr>
                <w:sz w:val="18"/>
                <w:szCs w:val="18"/>
              </w:rPr>
            </w:pPr>
          </w:p>
        </w:tc>
        <w:tc>
          <w:tcPr>
            <w:tcW w:w="57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456962E0" w14:textId="77777777" w:rsidR="00B619DD" w:rsidRDefault="00B619DD">
            <w:pPr>
              <w:pStyle w:val="Normal1"/>
              <w:spacing w:line="276" w:lineRule="auto"/>
              <w:jc w:val="left"/>
              <w:rPr>
                <w:sz w:val="18"/>
                <w:szCs w:val="18"/>
              </w:rPr>
            </w:pPr>
          </w:p>
        </w:tc>
        <w:tc>
          <w:tcPr>
            <w:tcW w:w="45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77030B21" w14:textId="77777777" w:rsidR="00B619DD" w:rsidRDefault="00B619DD">
            <w:pPr>
              <w:pStyle w:val="Normal1"/>
              <w:spacing w:line="276" w:lineRule="auto"/>
              <w:jc w:val="left"/>
              <w:rPr>
                <w:sz w:val="18"/>
                <w:szCs w:val="18"/>
              </w:rPr>
            </w:pPr>
          </w:p>
        </w:tc>
        <w:tc>
          <w:tcPr>
            <w:tcW w:w="69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4ACEF66F" w14:textId="77777777" w:rsidR="00B619DD" w:rsidRDefault="00B619DD">
            <w:pPr>
              <w:pStyle w:val="Normal1"/>
              <w:spacing w:line="276" w:lineRule="auto"/>
              <w:jc w:val="left"/>
              <w:rPr>
                <w:sz w:val="18"/>
                <w:szCs w:val="18"/>
              </w:rPr>
            </w:pP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00D0ED80" w14:textId="77777777" w:rsidR="00B619DD" w:rsidRDefault="00B619DD">
            <w:pPr>
              <w:pStyle w:val="Normal1"/>
              <w:spacing w:line="276" w:lineRule="auto"/>
              <w:jc w:val="left"/>
              <w:rPr>
                <w:sz w:val="18"/>
                <w:szCs w:val="18"/>
              </w:rPr>
            </w:pP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6A33ED90" w14:textId="77777777" w:rsidR="00B619DD" w:rsidRDefault="00B619DD">
            <w:pPr>
              <w:pStyle w:val="Normal1"/>
              <w:spacing w:line="276" w:lineRule="auto"/>
              <w:jc w:val="left"/>
              <w:rPr>
                <w:sz w:val="18"/>
                <w:szCs w:val="18"/>
              </w:rPr>
            </w:pP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652D91A4" w14:textId="77777777" w:rsidR="00B619DD" w:rsidRDefault="00B619DD">
            <w:pPr>
              <w:pStyle w:val="Normal1"/>
              <w:spacing w:line="276" w:lineRule="auto"/>
              <w:jc w:val="left"/>
              <w:rPr>
                <w:sz w:val="18"/>
                <w:szCs w:val="18"/>
              </w:rPr>
            </w:pP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20392E33" w14:textId="77777777" w:rsidR="00B619DD" w:rsidRDefault="00B619DD">
            <w:pPr>
              <w:pStyle w:val="Normal1"/>
              <w:spacing w:line="276" w:lineRule="auto"/>
              <w:jc w:val="left"/>
              <w:rPr>
                <w:sz w:val="18"/>
                <w:szCs w:val="18"/>
              </w:rPr>
            </w:pP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4CAE2A67" w14:textId="77777777" w:rsidR="00B619DD" w:rsidRDefault="00B619DD">
            <w:pPr>
              <w:pStyle w:val="Normal1"/>
              <w:spacing w:line="276" w:lineRule="auto"/>
              <w:jc w:val="left"/>
              <w:rPr>
                <w:sz w:val="18"/>
                <w:szCs w:val="18"/>
              </w:rPr>
            </w:pP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509D7D05" w14:textId="77777777" w:rsidR="00B619DD" w:rsidRDefault="00B619DD">
            <w:pPr>
              <w:pStyle w:val="Normal1"/>
              <w:spacing w:line="276" w:lineRule="auto"/>
              <w:jc w:val="left"/>
              <w:rPr>
                <w:sz w:val="18"/>
                <w:szCs w:val="18"/>
              </w:rPr>
            </w:pPr>
          </w:p>
        </w:tc>
        <w:tc>
          <w:tcPr>
            <w:tcW w:w="73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44D20D38" w14:textId="77777777" w:rsidR="00B619DD" w:rsidRDefault="00B619DD">
            <w:pPr>
              <w:pStyle w:val="Normal1"/>
              <w:spacing w:line="276" w:lineRule="auto"/>
              <w:jc w:val="left"/>
              <w:rPr>
                <w:sz w:val="18"/>
                <w:szCs w:val="18"/>
              </w:rPr>
            </w:pPr>
          </w:p>
        </w:tc>
        <w:tc>
          <w:tcPr>
            <w:tcW w:w="60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49520678" w14:textId="77777777" w:rsidR="00B619DD" w:rsidRDefault="00B619DD">
            <w:pPr>
              <w:pStyle w:val="Normal1"/>
              <w:spacing w:line="276" w:lineRule="auto"/>
              <w:jc w:val="left"/>
              <w:rPr>
                <w:sz w:val="18"/>
                <w:szCs w:val="18"/>
              </w:rPr>
            </w:pPr>
          </w:p>
        </w:tc>
        <w:tc>
          <w:tcPr>
            <w:tcW w:w="61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6ACEFD5C" w14:textId="77777777" w:rsidR="00B619DD" w:rsidRDefault="00B619DD">
            <w:pPr>
              <w:pStyle w:val="Normal1"/>
              <w:spacing w:line="276" w:lineRule="auto"/>
              <w:jc w:val="left"/>
              <w:rPr>
                <w:sz w:val="18"/>
                <w:szCs w:val="18"/>
              </w:rPr>
            </w:pPr>
          </w:p>
        </w:tc>
        <w:tc>
          <w:tcPr>
            <w:tcW w:w="69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21DAB579" w14:textId="77777777" w:rsidR="00B619DD" w:rsidRDefault="00B619DD">
            <w:pPr>
              <w:pStyle w:val="Normal1"/>
              <w:spacing w:line="276" w:lineRule="auto"/>
              <w:jc w:val="left"/>
              <w:rPr>
                <w:sz w:val="18"/>
                <w:szCs w:val="18"/>
              </w:rPr>
            </w:pPr>
          </w:p>
        </w:tc>
        <w:tc>
          <w:tcPr>
            <w:tcW w:w="82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5E70B0F5" w14:textId="77777777" w:rsidR="00B619DD" w:rsidRDefault="00B619DD">
            <w:pPr>
              <w:pStyle w:val="Normal1"/>
              <w:spacing w:line="276" w:lineRule="auto"/>
              <w:jc w:val="left"/>
              <w:rPr>
                <w:sz w:val="18"/>
                <w:szCs w:val="18"/>
              </w:rPr>
            </w:pPr>
          </w:p>
        </w:tc>
      </w:tr>
      <w:tr w:rsidR="00B619DD" w14:paraId="3F10B7A4" w14:textId="77777777">
        <w:trPr>
          <w:trHeight w:val="480"/>
        </w:trPr>
        <w:tc>
          <w:tcPr>
            <w:tcW w:w="7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007A0A53" w14:textId="77777777" w:rsidR="00B619DD" w:rsidRDefault="00B619DD">
            <w:pPr>
              <w:pStyle w:val="Normal1"/>
              <w:spacing w:line="276" w:lineRule="auto"/>
              <w:jc w:val="left"/>
              <w:rPr>
                <w:sz w:val="12"/>
                <w:szCs w:val="12"/>
              </w:rPr>
            </w:pPr>
          </w:p>
        </w:tc>
        <w:tc>
          <w:tcPr>
            <w:tcW w:w="51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64EACB8C" w14:textId="77777777" w:rsidR="00B619DD" w:rsidRDefault="00B619DD">
            <w:pPr>
              <w:pStyle w:val="Normal1"/>
              <w:spacing w:line="276" w:lineRule="auto"/>
              <w:jc w:val="left"/>
              <w:rPr>
                <w:b/>
                <w:sz w:val="12"/>
                <w:szCs w:val="12"/>
              </w:rPr>
            </w:pPr>
          </w:p>
        </w:tc>
        <w:tc>
          <w:tcPr>
            <w:tcW w:w="70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1E8F98F2" w14:textId="77777777" w:rsidR="00B619DD" w:rsidRDefault="0026023C">
            <w:pPr>
              <w:pStyle w:val="Normal1"/>
              <w:spacing w:line="276" w:lineRule="auto"/>
              <w:jc w:val="left"/>
              <w:rPr>
                <w:b/>
                <w:sz w:val="12"/>
                <w:szCs w:val="12"/>
              </w:rPr>
            </w:pPr>
            <w:r>
              <w:rPr>
                <w:rFonts w:ascii="Times New Roman" w:eastAsia="Times New Roman" w:hAnsi="Times New Roman" w:cs="Times New Roman"/>
                <w:b/>
                <w:sz w:val="12"/>
                <w:szCs w:val="12"/>
              </w:rPr>
              <w:t>Adults No</w:t>
            </w:r>
          </w:p>
        </w:tc>
        <w:tc>
          <w:tcPr>
            <w:tcW w:w="73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05EB4E1D" w14:textId="77777777" w:rsidR="00B619DD" w:rsidRDefault="0026023C">
            <w:pPr>
              <w:pStyle w:val="Normal1"/>
              <w:spacing w:line="276" w:lineRule="auto"/>
              <w:jc w:val="left"/>
              <w:rPr>
                <w:b/>
                <w:sz w:val="12"/>
                <w:szCs w:val="12"/>
              </w:rPr>
            </w:pPr>
            <w:r>
              <w:rPr>
                <w:rFonts w:ascii="Times New Roman" w:eastAsia="Times New Roman" w:hAnsi="Times New Roman" w:cs="Times New Roman"/>
                <w:b/>
                <w:sz w:val="12"/>
                <w:szCs w:val="12"/>
              </w:rPr>
              <w:t>Children No</w:t>
            </w:r>
          </w:p>
        </w:tc>
        <w:tc>
          <w:tcPr>
            <w:tcW w:w="49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2F206BFA" w14:textId="77777777" w:rsidR="00B619DD" w:rsidRDefault="0026023C">
            <w:pPr>
              <w:pStyle w:val="Normal1"/>
              <w:spacing w:line="276" w:lineRule="auto"/>
              <w:jc w:val="left"/>
              <w:rPr>
                <w:b/>
                <w:sz w:val="12"/>
                <w:szCs w:val="12"/>
              </w:rPr>
            </w:pPr>
            <w:r>
              <w:rPr>
                <w:rFonts w:ascii="Times New Roman" w:eastAsia="Times New Roman" w:hAnsi="Times New Roman" w:cs="Times New Roman"/>
                <w:b/>
                <w:sz w:val="12"/>
                <w:szCs w:val="12"/>
              </w:rPr>
              <w:t>Weekend Nights</w:t>
            </w:r>
          </w:p>
        </w:tc>
        <w:tc>
          <w:tcPr>
            <w:tcW w:w="54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09DB2D91" w14:textId="77777777" w:rsidR="00B619DD" w:rsidRDefault="0026023C">
            <w:pPr>
              <w:pStyle w:val="Normal1"/>
              <w:spacing w:line="276" w:lineRule="auto"/>
              <w:jc w:val="left"/>
              <w:rPr>
                <w:b/>
                <w:sz w:val="12"/>
                <w:szCs w:val="12"/>
              </w:rPr>
            </w:pPr>
            <w:r>
              <w:rPr>
                <w:rFonts w:ascii="Times New Roman" w:eastAsia="Times New Roman" w:hAnsi="Times New Roman" w:cs="Times New Roman"/>
                <w:b/>
                <w:sz w:val="12"/>
                <w:szCs w:val="12"/>
              </w:rPr>
              <w:t>Weekday nights</w:t>
            </w:r>
          </w:p>
        </w:tc>
        <w:tc>
          <w:tcPr>
            <w:tcW w:w="57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386FBBB0" w14:textId="77777777" w:rsidR="00B619DD" w:rsidRDefault="0026023C">
            <w:pPr>
              <w:pStyle w:val="Normal1"/>
              <w:spacing w:line="276" w:lineRule="auto"/>
              <w:jc w:val="left"/>
              <w:rPr>
                <w:b/>
                <w:sz w:val="12"/>
                <w:szCs w:val="12"/>
              </w:rPr>
            </w:pPr>
            <w:r>
              <w:rPr>
                <w:rFonts w:ascii="Times New Roman" w:eastAsia="Times New Roman" w:hAnsi="Times New Roman" w:cs="Times New Roman"/>
                <w:b/>
                <w:sz w:val="12"/>
                <w:szCs w:val="12"/>
              </w:rPr>
              <w:t>Meal_plan</w:t>
            </w:r>
          </w:p>
        </w:tc>
        <w:tc>
          <w:tcPr>
            <w:tcW w:w="45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318028A1" w14:textId="77777777" w:rsidR="00B619DD" w:rsidRDefault="0026023C">
            <w:pPr>
              <w:pStyle w:val="Normal1"/>
              <w:spacing w:line="276" w:lineRule="auto"/>
              <w:jc w:val="left"/>
              <w:rPr>
                <w:b/>
                <w:sz w:val="12"/>
                <w:szCs w:val="12"/>
              </w:rPr>
            </w:pPr>
            <w:r>
              <w:rPr>
                <w:rFonts w:ascii="Times New Roman" w:eastAsia="Times New Roman" w:hAnsi="Times New Roman" w:cs="Times New Roman"/>
                <w:b/>
                <w:sz w:val="12"/>
                <w:szCs w:val="12"/>
              </w:rPr>
              <w:t>Required_car_parking_space</w:t>
            </w:r>
          </w:p>
        </w:tc>
        <w:tc>
          <w:tcPr>
            <w:tcW w:w="69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1CA36C3A" w14:textId="77777777" w:rsidR="00B619DD" w:rsidRDefault="0026023C">
            <w:pPr>
              <w:pStyle w:val="Normal1"/>
              <w:spacing w:line="276" w:lineRule="auto"/>
              <w:jc w:val="left"/>
              <w:rPr>
                <w:b/>
                <w:sz w:val="12"/>
                <w:szCs w:val="12"/>
              </w:rPr>
            </w:pPr>
            <w:r>
              <w:rPr>
                <w:rFonts w:ascii="Times New Roman" w:eastAsia="Times New Roman" w:hAnsi="Times New Roman" w:cs="Times New Roman"/>
                <w:b/>
                <w:sz w:val="12"/>
                <w:szCs w:val="12"/>
              </w:rPr>
              <w:t>Room_type_reserved</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447BA857" w14:textId="77777777" w:rsidR="00B619DD" w:rsidRDefault="0026023C">
            <w:pPr>
              <w:pStyle w:val="Normal1"/>
              <w:spacing w:line="276" w:lineRule="auto"/>
              <w:jc w:val="left"/>
              <w:rPr>
                <w:b/>
                <w:sz w:val="12"/>
                <w:szCs w:val="12"/>
              </w:rPr>
            </w:pPr>
            <w:r>
              <w:rPr>
                <w:rFonts w:ascii="Times New Roman" w:eastAsia="Times New Roman" w:hAnsi="Times New Roman" w:cs="Times New Roman"/>
                <w:b/>
                <w:sz w:val="12"/>
                <w:szCs w:val="12"/>
              </w:rPr>
              <w:t>Lead_time</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56F5DF15" w14:textId="77777777" w:rsidR="00B619DD" w:rsidRDefault="0026023C">
            <w:pPr>
              <w:pStyle w:val="Normal1"/>
              <w:spacing w:line="276" w:lineRule="auto"/>
              <w:jc w:val="left"/>
              <w:rPr>
                <w:b/>
                <w:sz w:val="12"/>
                <w:szCs w:val="12"/>
              </w:rPr>
            </w:pPr>
            <w:r>
              <w:rPr>
                <w:rFonts w:ascii="Times New Roman" w:eastAsia="Times New Roman" w:hAnsi="Times New Roman" w:cs="Times New Roman"/>
                <w:b/>
                <w:sz w:val="12"/>
                <w:szCs w:val="12"/>
              </w:rPr>
              <w:t>Arrival_year</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317BFB6D" w14:textId="77777777" w:rsidR="00B619DD" w:rsidRDefault="0026023C">
            <w:pPr>
              <w:pStyle w:val="Normal1"/>
              <w:spacing w:line="276" w:lineRule="auto"/>
              <w:jc w:val="left"/>
              <w:rPr>
                <w:b/>
                <w:sz w:val="12"/>
                <w:szCs w:val="12"/>
              </w:rPr>
            </w:pPr>
            <w:r>
              <w:rPr>
                <w:rFonts w:ascii="Times New Roman" w:eastAsia="Times New Roman" w:hAnsi="Times New Roman" w:cs="Times New Roman"/>
                <w:b/>
                <w:sz w:val="12"/>
                <w:szCs w:val="12"/>
              </w:rPr>
              <w:t>Arrival_month</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7C69536B" w14:textId="77777777" w:rsidR="00B619DD" w:rsidRDefault="0026023C">
            <w:pPr>
              <w:pStyle w:val="Normal1"/>
              <w:spacing w:line="276" w:lineRule="auto"/>
              <w:jc w:val="left"/>
              <w:rPr>
                <w:b/>
                <w:sz w:val="12"/>
                <w:szCs w:val="12"/>
              </w:rPr>
            </w:pPr>
            <w:r>
              <w:rPr>
                <w:rFonts w:ascii="Times New Roman" w:eastAsia="Times New Roman" w:hAnsi="Times New Roman" w:cs="Times New Roman"/>
                <w:b/>
                <w:sz w:val="12"/>
                <w:szCs w:val="12"/>
              </w:rPr>
              <w:t>Arrival_date</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6FB2335E" w14:textId="77777777" w:rsidR="00B619DD" w:rsidRDefault="0026023C">
            <w:pPr>
              <w:pStyle w:val="Normal1"/>
              <w:spacing w:line="276" w:lineRule="auto"/>
              <w:jc w:val="left"/>
              <w:rPr>
                <w:b/>
                <w:sz w:val="12"/>
                <w:szCs w:val="12"/>
              </w:rPr>
            </w:pPr>
            <w:r>
              <w:rPr>
                <w:rFonts w:ascii="Times New Roman" w:eastAsia="Times New Roman" w:hAnsi="Times New Roman" w:cs="Times New Roman"/>
                <w:b/>
                <w:sz w:val="12"/>
                <w:szCs w:val="12"/>
              </w:rPr>
              <w:t>Market_type</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226994F6" w14:textId="77777777" w:rsidR="00B619DD" w:rsidRDefault="0026023C">
            <w:pPr>
              <w:pStyle w:val="Normal1"/>
              <w:spacing w:line="276" w:lineRule="auto"/>
              <w:jc w:val="left"/>
              <w:rPr>
                <w:b/>
                <w:sz w:val="12"/>
                <w:szCs w:val="12"/>
              </w:rPr>
            </w:pPr>
            <w:r>
              <w:rPr>
                <w:rFonts w:ascii="Times New Roman" w:eastAsia="Times New Roman" w:hAnsi="Times New Roman" w:cs="Times New Roman"/>
                <w:b/>
                <w:sz w:val="12"/>
                <w:szCs w:val="12"/>
              </w:rPr>
              <w:t>Repeated_guest</w:t>
            </w:r>
          </w:p>
        </w:tc>
        <w:tc>
          <w:tcPr>
            <w:tcW w:w="73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478465ED" w14:textId="77777777" w:rsidR="00B619DD" w:rsidRDefault="0026023C">
            <w:pPr>
              <w:pStyle w:val="Normal1"/>
              <w:spacing w:line="276" w:lineRule="auto"/>
              <w:jc w:val="left"/>
              <w:rPr>
                <w:b/>
                <w:sz w:val="12"/>
                <w:szCs w:val="12"/>
              </w:rPr>
            </w:pPr>
            <w:r>
              <w:rPr>
                <w:rFonts w:ascii="Times New Roman" w:eastAsia="Times New Roman" w:hAnsi="Times New Roman" w:cs="Times New Roman"/>
                <w:b/>
                <w:sz w:val="12"/>
                <w:szCs w:val="12"/>
              </w:rPr>
              <w:t xml:space="preserve">Previous </w:t>
            </w:r>
            <w:r>
              <w:rPr>
                <w:rFonts w:ascii="Times New Roman" w:eastAsia="Times New Roman" w:hAnsi="Times New Roman" w:cs="Times New Roman"/>
                <w:b/>
                <w:sz w:val="12"/>
                <w:szCs w:val="12"/>
              </w:rPr>
              <w:t>Cancellation</w:t>
            </w:r>
          </w:p>
        </w:tc>
        <w:tc>
          <w:tcPr>
            <w:tcW w:w="60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3D4716A8" w14:textId="77777777" w:rsidR="00B619DD" w:rsidRDefault="0026023C">
            <w:pPr>
              <w:pStyle w:val="Normal1"/>
              <w:spacing w:line="276" w:lineRule="auto"/>
              <w:jc w:val="left"/>
              <w:rPr>
                <w:b/>
                <w:sz w:val="12"/>
                <w:szCs w:val="12"/>
              </w:rPr>
            </w:pPr>
            <w:r>
              <w:rPr>
                <w:rFonts w:ascii="Times New Roman" w:eastAsia="Times New Roman" w:hAnsi="Times New Roman" w:cs="Times New Roman"/>
                <w:b/>
                <w:sz w:val="12"/>
                <w:szCs w:val="12"/>
              </w:rPr>
              <w:t>Previous bookings</w:t>
            </w:r>
          </w:p>
        </w:tc>
        <w:tc>
          <w:tcPr>
            <w:tcW w:w="61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6B3CF189" w14:textId="77777777" w:rsidR="00B619DD" w:rsidRDefault="0026023C">
            <w:pPr>
              <w:pStyle w:val="Normal1"/>
              <w:spacing w:line="276" w:lineRule="auto"/>
              <w:jc w:val="left"/>
              <w:rPr>
                <w:b/>
                <w:sz w:val="12"/>
                <w:szCs w:val="12"/>
              </w:rPr>
            </w:pPr>
            <w:r>
              <w:rPr>
                <w:rFonts w:ascii="Times New Roman" w:eastAsia="Times New Roman" w:hAnsi="Times New Roman" w:cs="Times New Roman"/>
                <w:b/>
                <w:sz w:val="12"/>
                <w:szCs w:val="12"/>
              </w:rPr>
              <w:t>Average price</w:t>
            </w:r>
          </w:p>
        </w:tc>
        <w:tc>
          <w:tcPr>
            <w:tcW w:w="69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1C0B120D" w14:textId="77777777" w:rsidR="00B619DD" w:rsidRDefault="0026023C">
            <w:pPr>
              <w:pStyle w:val="Normal1"/>
              <w:spacing w:line="276" w:lineRule="auto"/>
              <w:jc w:val="left"/>
              <w:rPr>
                <w:b/>
                <w:sz w:val="12"/>
                <w:szCs w:val="12"/>
              </w:rPr>
            </w:pPr>
            <w:r>
              <w:rPr>
                <w:rFonts w:ascii="Times New Roman" w:eastAsia="Times New Roman" w:hAnsi="Times New Roman" w:cs="Times New Roman"/>
                <w:b/>
                <w:sz w:val="12"/>
                <w:szCs w:val="12"/>
              </w:rPr>
              <w:t>Special requests</w:t>
            </w:r>
          </w:p>
        </w:tc>
        <w:tc>
          <w:tcPr>
            <w:tcW w:w="82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6FC04B2C" w14:textId="77777777" w:rsidR="00B619DD" w:rsidRDefault="0026023C">
            <w:pPr>
              <w:pStyle w:val="Normal1"/>
              <w:spacing w:line="276" w:lineRule="auto"/>
              <w:jc w:val="left"/>
              <w:rPr>
                <w:b/>
                <w:sz w:val="12"/>
                <w:szCs w:val="12"/>
              </w:rPr>
            </w:pPr>
            <w:r>
              <w:rPr>
                <w:rFonts w:ascii="Times New Roman" w:eastAsia="Times New Roman" w:hAnsi="Times New Roman" w:cs="Times New Roman"/>
                <w:b/>
                <w:sz w:val="12"/>
                <w:szCs w:val="12"/>
              </w:rPr>
              <w:t>Booking status</w:t>
            </w:r>
          </w:p>
        </w:tc>
      </w:tr>
      <w:tr w:rsidR="00B619DD" w14:paraId="6AC4C2B5" w14:textId="77777777">
        <w:trPr>
          <w:trHeight w:val="558"/>
        </w:trPr>
        <w:tc>
          <w:tcPr>
            <w:tcW w:w="7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7F61F4B4" w14:textId="77777777" w:rsidR="00B619DD" w:rsidRDefault="0026023C">
            <w:pPr>
              <w:pStyle w:val="Normal1"/>
              <w:spacing w:line="276" w:lineRule="auto"/>
              <w:jc w:val="left"/>
              <w:rPr>
                <w:sz w:val="18"/>
                <w:szCs w:val="18"/>
              </w:rPr>
            </w:pPr>
            <w:r>
              <w:rPr>
                <w:rFonts w:ascii="Times New Roman" w:eastAsia="Times New Roman" w:hAnsi="Times New Roman" w:cs="Times New Roman"/>
                <w:sz w:val="16"/>
                <w:szCs w:val="16"/>
              </w:rPr>
              <w:t>N</w:t>
            </w:r>
          </w:p>
        </w:tc>
        <w:tc>
          <w:tcPr>
            <w:tcW w:w="51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6BF58D55" w14:textId="77777777" w:rsidR="00B619DD" w:rsidRDefault="0026023C">
            <w:pPr>
              <w:pStyle w:val="Normal1"/>
              <w:spacing w:line="276" w:lineRule="auto"/>
              <w:jc w:val="left"/>
              <w:rPr>
                <w:b/>
                <w:sz w:val="14"/>
                <w:szCs w:val="14"/>
              </w:rPr>
            </w:pPr>
            <w:r>
              <w:rPr>
                <w:rFonts w:ascii="Times New Roman" w:eastAsia="Times New Roman" w:hAnsi="Times New Roman" w:cs="Times New Roman"/>
                <w:b/>
                <w:sz w:val="12"/>
                <w:szCs w:val="12"/>
              </w:rPr>
              <w:t>Valid</w:t>
            </w:r>
          </w:p>
        </w:tc>
        <w:tc>
          <w:tcPr>
            <w:tcW w:w="70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463BDE1B"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36275</w:t>
            </w:r>
          </w:p>
        </w:tc>
        <w:tc>
          <w:tcPr>
            <w:tcW w:w="73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01C47EC4"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36275</w:t>
            </w:r>
          </w:p>
        </w:tc>
        <w:tc>
          <w:tcPr>
            <w:tcW w:w="49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6A3FC738"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36275</w:t>
            </w:r>
          </w:p>
        </w:tc>
        <w:tc>
          <w:tcPr>
            <w:tcW w:w="54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2BCA9B05"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36275</w:t>
            </w:r>
          </w:p>
        </w:tc>
        <w:tc>
          <w:tcPr>
            <w:tcW w:w="57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16A9D9F9"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36270</w:t>
            </w:r>
          </w:p>
        </w:tc>
        <w:tc>
          <w:tcPr>
            <w:tcW w:w="45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0D1BE00E"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36275</w:t>
            </w:r>
          </w:p>
        </w:tc>
        <w:tc>
          <w:tcPr>
            <w:tcW w:w="69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016F2E37"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36268</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214C9F24"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36275</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1381F389"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36275</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7B688A5F"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36275</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74915E86"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36275</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07E43497"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36275</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58C24CB6"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36275</w:t>
            </w:r>
          </w:p>
        </w:tc>
        <w:tc>
          <w:tcPr>
            <w:tcW w:w="73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3105C360"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36275</w:t>
            </w:r>
          </w:p>
        </w:tc>
        <w:tc>
          <w:tcPr>
            <w:tcW w:w="60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45250ADF"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36275</w:t>
            </w:r>
          </w:p>
        </w:tc>
        <w:tc>
          <w:tcPr>
            <w:tcW w:w="61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391EF46A"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36275</w:t>
            </w:r>
          </w:p>
        </w:tc>
        <w:tc>
          <w:tcPr>
            <w:tcW w:w="69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73935375"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36275</w:t>
            </w:r>
          </w:p>
        </w:tc>
        <w:tc>
          <w:tcPr>
            <w:tcW w:w="82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75F59E3F"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36275</w:t>
            </w:r>
          </w:p>
        </w:tc>
      </w:tr>
      <w:tr w:rsidR="00B619DD" w14:paraId="57C70CE4" w14:textId="77777777">
        <w:trPr>
          <w:trHeight w:val="315"/>
        </w:trPr>
        <w:tc>
          <w:tcPr>
            <w:tcW w:w="7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196E8248" w14:textId="77777777" w:rsidR="00B619DD" w:rsidRDefault="00B619DD">
            <w:pPr>
              <w:pStyle w:val="Normal1"/>
              <w:spacing w:line="276" w:lineRule="auto"/>
              <w:jc w:val="left"/>
              <w:rPr>
                <w:sz w:val="18"/>
                <w:szCs w:val="18"/>
              </w:rPr>
            </w:pPr>
          </w:p>
        </w:tc>
        <w:tc>
          <w:tcPr>
            <w:tcW w:w="51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3F88C69E" w14:textId="77777777" w:rsidR="00B619DD" w:rsidRDefault="0026023C">
            <w:pPr>
              <w:pStyle w:val="Normal1"/>
              <w:spacing w:line="276" w:lineRule="auto"/>
              <w:jc w:val="left"/>
              <w:rPr>
                <w:b/>
                <w:sz w:val="14"/>
                <w:szCs w:val="14"/>
              </w:rPr>
            </w:pPr>
            <w:r>
              <w:rPr>
                <w:rFonts w:ascii="Times New Roman" w:eastAsia="Times New Roman" w:hAnsi="Times New Roman" w:cs="Times New Roman"/>
                <w:b/>
                <w:sz w:val="12"/>
                <w:szCs w:val="12"/>
              </w:rPr>
              <w:t>Missing</w:t>
            </w:r>
          </w:p>
        </w:tc>
        <w:tc>
          <w:tcPr>
            <w:tcW w:w="70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7D3879A8"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w:t>
            </w:r>
          </w:p>
        </w:tc>
        <w:tc>
          <w:tcPr>
            <w:tcW w:w="73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7AA00F33"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w:t>
            </w:r>
          </w:p>
        </w:tc>
        <w:tc>
          <w:tcPr>
            <w:tcW w:w="49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69740A64"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w:t>
            </w:r>
          </w:p>
        </w:tc>
        <w:tc>
          <w:tcPr>
            <w:tcW w:w="54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23BF89B4"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w:t>
            </w:r>
          </w:p>
        </w:tc>
        <w:tc>
          <w:tcPr>
            <w:tcW w:w="57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06127D09"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5</w:t>
            </w:r>
          </w:p>
        </w:tc>
        <w:tc>
          <w:tcPr>
            <w:tcW w:w="45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0E53700E"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w:t>
            </w:r>
          </w:p>
        </w:tc>
        <w:tc>
          <w:tcPr>
            <w:tcW w:w="69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31FE7BE3"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7</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0AE39327"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5790F0EB"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6E775896"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738E5DF0"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37B6AC4F"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75FD30BB"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w:t>
            </w:r>
          </w:p>
        </w:tc>
        <w:tc>
          <w:tcPr>
            <w:tcW w:w="73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0D437491"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w:t>
            </w:r>
          </w:p>
        </w:tc>
        <w:tc>
          <w:tcPr>
            <w:tcW w:w="60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6FDB9140"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w:t>
            </w:r>
          </w:p>
        </w:tc>
        <w:tc>
          <w:tcPr>
            <w:tcW w:w="61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55603564"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w:t>
            </w:r>
          </w:p>
        </w:tc>
        <w:tc>
          <w:tcPr>
            <w:tcW w:w="69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66ED21F4"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w:t>
            </w:r>
          </w:p>
        </w:tc>
        <w:tc>
          <w:tcPr>
            <w:tcW w:w="82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323C8BAC"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w:t>
            </w:r>
          </w:p>
        </w:tc>
      </w:tr>
      <w:tr w:rsidR="00B619DD" w14:paraId="5F88E1C7" w14:textId="77777777">
        <w:trPr>
          <w:trHeight w:val="315"/>
        </w:trPr>
        <w:tc>
          <w:tcPr>
            <w:tcW w:w="7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0A4664A4" w14:textId="77777777" w:rsidR="00B619DD" w:rsidRDefault="0026023C">
            <w:pPr>
              <w:pStyle w:val="Normal1"/>
              <w:spacing w:line="276" w:lineRule="auto"/>
              <w:jc w:val="left"/>
              <w:rPr>
                <w:sz w:val="18"/>
                <w:szCs w:val="18"/>
              </w:rPr>
            </w:pPr>
            <w:r>
              <w:rPr>
                <w:rFonts w:ascii="Times New Roman" w:eastAsia="Times New Roman" w:hAnsi="Times New Roman" w:cs="Times New Roman"/>
                <w:sz w:val="16"/>
                <w:szCs w:val="16"/>
              </w:rPr>
              <w:t>Mean</w:t>
            </w:r>
          </w:p>
        </w:tc>
        <w:tc>
          <w:tcPr>
            <w:tcW w:w="51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498FAAF0" w14:textId="77777777" w:rsidR="00B619DD" w:rsidRDefault="00B619DD">
            <w:pPr>
              <w:pStyle w:val="Normal1"/>
              <w:spacing w:line="276" w:lineRule="auto"/>
              <w:jc w:val="left"/>
              <w:rPr>
                <w:sz w:val="18"/>
                <w:szCs w:val="18"/>
              </w:rPr>
            </w:pPr>
          </w:p>
        </w:tc>
        <w:tc>
          <w:tcPr>
            <w:tcW w:w="70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279D9E58"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1.845</w:t>
            </w:r>
          </w:p>
        </w:tc>
        <w:tc>
          <w:tcPr>
            <w:tcW w:w="73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64D051AF"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0.1053</w:t>
            </w:r>
          </w:p>
        </w:tc>
        <w:tc>
          <w:tcPr>
            <w:tcW w:w="49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26DA9DDD"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0.8107</w:t>
            </w:r>
          </w:p>
        </w:tc>
        <w:tc>
          <w:tcPr>
            <w:tcW w:w="54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2BE6E15B"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2.2043</w:t>
            </w:r>
          </w:p>
        </w:tc>
        <w:tc>
          <w:tcPr>
            <w:tcW w:w="57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53603121"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1.3237</w:t>
            </w:r>
          </w:p>
        </w:tc>
        <w:tc>
          <w:tcPr>
            <w:tcW w:w="45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2C49AD5C"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0.031</w:t>
            </w:r>
          </w:p>
        </w:tc>
        <w:tc>
          <w:tcPr>
            <w:tcW w:w="69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218C6B41"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1.3554</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22FB655F"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85.2326</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216CAF4D"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2018.0366</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618DE2E1"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7.4237</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1B45BDA3"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15.597</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5D88DF45"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1.4549</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66EA37BA"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0.0256</w:t>
            </w:r>
          </w:p>
        </w:tc>
        <w:tc>
          <w:tcPr>
            <w:tcW w:w="73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4268B65C"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0.0233</w:t>
            </w:r>
          </w:p>
        </w:tc>
        <w:tc>
          <w:tcPr>
            <w:tcW w:w="60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4628AE74"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0.1534</w:t>
            </w:r>
          </w:p>
        </w:tc>
        <w:tc>
          <w:tcPr>
            <w:tcW w:w="61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21B9797A"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103.4235</w:t>
            </w:r>
          </w:p>
        </w:tc>
        <w:tc>
          <w:tcPr>
            <w:tcW w:w="69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6375EEEC"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0.6197</w:t>
            </w:r>
          </w:p>
        </w:tc>
        <w:tc>
          <w:tcPr>
            <w:tcW w:w="82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3E5BB704"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1.3276</w:t>
            </w:r>
          </w:p>
        </w:tc>
      </w:tr>
      <w:tr w:rsidR="00B619DD" w14:paraId="75468494" w14:textId="77777777">
        <w:trPr>
          <w:trHeight w:val="315"/>
        </w:trPr>
        <w:tc>
          <w:tcPr>
            <w:tcW w:w="7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214A7A84" w14:textId="77777777" w:rsidR="00B619DD" w:rsidRDefault="0026023C">
            <w:pPr>
              <w:pStyle w:val="Normal1"/>
              <w:spacing w:line="276" w:lineRule="auto"/>
              <w:jc w:val="left"/>
              <w:rPr>
                <w:sz w:val="18"/>
                <w:szCs w:val="18"/>
              </w:rPr>
            </w:pPr>
            <w:r>
              <w:rPr>
                <w:rFonts w:ascii="Times New Roman" w:eastAsia="Times New Roman" w:hAnsi="Times New Roman" w:cs="Times New Roman"/>
                <w:sz w:val="16"/>
                <w:szCs w:val="16"/>
              </w:rPr>
              <w:t>Median</w:t>
            </w:r>
          </w:p>
        </w:tc>
        <w:tc>
          <w:tcPr>
            <w:tcW w:w="51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414AF105" w14:textId="77777777" w:rsidR="00B619DD" w:rsidRDefault="00B619DD">
            <w:pPr>
              <w:pStyle w:val="Normal1"/>
              <w:spacing w:line="276" w:lineRule="auto"/>
              <w:jc w:val="left"/>
              <w:rPr>
                <w:sz w:val="18"/>
                <w:szCs w:val="18"/>
              </w:rPr>
            </w:pPr>
          </w:p>
        </w:tc>
        <w:tc>
          <w:tcPr>
            <w:tcW w:w="70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730D2933"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2</w:t>
            </w:r>
          </w:p>
        </w:tc>
        <w:tc>
          <w:tcPr>
            <w:tcW w:w="73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5AF2884E"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w:t>
            </w:r>
          </w:p>
        </w:tc>
        <w:tc>
          <w:tcPr>
            <w:tcW w:w="49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2563FF11"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1</w:t>
            </w:r>
          </w:p>
        </w:tc>
        <w:tc>
          <w:tcPr>
            <w:tcW w:w="54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083CE3C7"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2</w:t>
            </w:r>
          </w:p>
        </w:tc>
        <w:tc>
          <w:tcPr>
            <w:tcW w:w="57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22FB1067"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1</w:t>
            </w:r>
          </w:p>
        </w:tc>
        <w:tc>
          <w:tcPr>
            <w:tcW w:w="45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14B1015C"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w:t>
            </w:r>
          </w:p>
        </w:tc>
        <w:tc>
          <w:tcPr>
            <w:tcW w:w="69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658DD3E7"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1</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0D072893"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57</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66AC5934"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2018</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7CE71CDE"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8</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494B6FF4"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16</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6E12AE7E"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1</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5DBD0338"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w:t>
            </w:r>
          </w:p>
        </w:tc>
        <w:tc>
          <w:tcPr>
            <w:tcW w:w="73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37316777"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w:t>
            </w:r>
          </w:p>
        </w:tc>
        <w:tc>
          <w:tcPr>
            <w:tcW w:w="60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7D5B1E30"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w:t>
            </w:r>
          </w:p>
        </w:tc>
        <w:tc>
          <w:tcPr>
            <w:tcW w:w="61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2BA20F19"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99.45</w:t>
            </w:r>
          </w:p>
        </w:tc>
        <w:tc>
          <w:tcPr>
            <w:tcW w:w="69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032A0F12"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w:t>
            </w:r>
          </w:p>
        </w:tc>
        <w:tc>
          <w:tcPr>
            <w:tcW w:w="82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7F90E8F9"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1</w:t>
            </w:r>
          </w:p>
        </w:tc>
      </w:tr>
      <w:tr w:rsidR="00B619DD" w14:paraId="2C96C91B" w14:textId="77777777">
        <w:trPr>
          <w:trHeight w:val="315"/>
        </w:trPr>
        <w:tc>
          <w:tcPr>
            <w:tcW w:w="7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2D5916BB" w14:textId="77777777" w:rsidR="00B619DD" w:rsidRDefault="0026023C">
            <w:pPr>
              <w:pStyle w:val="Normal1"/>
              <w:spacing w:line="276" w:lineRule="auto"/>
              <w:jc w:val="left"/>
              <w:rPr>
                <w:sz w:val="18"/>
                <w:szCs w:val="18"/>
              </w:rPr>
            </w:pPr>
            <w:r>
              <w:rPr>
                <w:rFonts w:ascii="Times New Roman" w:eastAsia="Times New Roman" w:hAnsi="Times New Roman" w:cs="Times New Roman"/>
                <w:sz w:val="16"/>
                <w:szCs w:val="16"/>
              </w:rPr>
              <w:t>Mode</w:t>
            </w:r>
          </w:p>
        </w:tc>
        <w:tc>
          <w:tcPr>
            <w:tcW w:w="51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4DC9CC3D" w14:textId="77777777" w:rsidR="00B619DD" w:rsidRDefault="00B619DD">
            <w:pPr>
              <w:pStyle w:val="Normal1"/>
              <w:spacing w:line="276" w:lineRule="auto"/>
              <w:jc w:val="left"/>
              <w:rPr>
                <w:sz w:val="18"/>
                <w:szCs w:val="18"/>
              </w:rPr>
            </w:pPr>
          </w:p>
        </w:tc>
        <w:tc>
          <w:tcPr>
            <w:tcW w:w="70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51AD24DD"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2</w:t>
            </w:r>
          </w:p>
        </w:tc>
        <w:tc>
          <w:tcPr>
            <w:tcW w:w="73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7A6C10EB"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w:t>
            </w:r>
          </w:p>
        </w:tc>
        <w:tc>
          <w:tcPr>
            <w:tcW w:w="49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1ED1F106"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w:t>
            </w:r>
          </w:p>
        </w:tc>
        <w:tc>
          <w:tcPr>
            <w:tcW w:w="54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77182B26"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2</w:t>
            </w:r>
          </w:p>
        </w:tc>
        <w:tc>
          <w:tcPr>
            <w:tcW w:w="57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753C44F1"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1</w:t>
            </w:r>
          </w:p>
        </w:tc>
        <w:tc>
          <w:tcPr>
            <w:tcW w:w="45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242DC05F"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w:t>
            </w:r>
          </w:p>
        </w:tc>
        <w:tc>
          <w:tcPr>
            <w:tcW w:w="69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0A39C8DE"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1</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65DBA3A5"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3621D738"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2018</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4B4A56DC"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10</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7DF315C0"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13</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7196732A"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1</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33CCFB62"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w:t>
            </w:r>
          </w:p>
        </w:tc>
        <w:tc>
          <w:tcPr>
            <w:tcW w:w="73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59D4B272"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w:t>
            </w:r>
          </w:p>
        </w:tc>
        <w:tc>
          <w:tcPr>
            <w:tcW w:w="60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4FCEA311"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w:t>
            </w:r>
          </w:p>
        </w:tc>
        <w:tc>
          <w:tcPr>
            <w:tcW w:w="61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4552B358"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65</w:t>
            </w:r>
          </w:p>
        </w:tc>
        <w:tc>
          <w:tcPr>
            <w:tcW w:w="69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10B70D97"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w:t>
            </w:r>
          </w:p>
        </w:tc>
        <w:tc>
          <w:tcPr>
            <w:tcW w:w="82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59910C6E"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1</w:t>
            </w:r>
          </w:p>
        </w:tc>
      </w:tr>
      <w:tr w:rsidR="00B619DD" w14:paraId="6AE02320" w14:textId="77777777">
        <w:trPr>
          <w:trHeight w:val="315"/>
        </w:trPr>
        <w:tc>
          <w:tcPr>
            <w:tcW w:w="7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2FADCEED" w14:textId="77777777" w:rsidR="00B619DD" w:rsidRDefault="0026023C">
            <w:pPr>
              <w:pStyle w:val="Normal1"/>
              <w:spacing w:line="276" w:lineRule="auto"/>
              <w:jc w:val="left"/>
              <w:rPr>
                <w:sz w:val="18"/>
                <w:szCs w:val="18"/>
              </w:rPr>
            </w:pPr>
            <w:r>
              <w:rPr>
                <w:rFonts w:ascii="Times New Roman" w:eastAsia="Times New Roman" w:hAnsi="Times New Roman" w:cs="Times New Roman"/>
                <w:sz w:val="16"/>
                <w:szCs w:val="16"/>
              </w:rPr>
              <w:t xml:space="preserve">Std. </w:t>
            </w:r>
            <w:r>
              <w:rPr>
                <w:rFonts w:ascii="Times New Roman" w:eastAsia="Times New Roman" w:hAnsi="Times New Roman" w:cs="Times New Roman"/>
                <w:sz w:val="16"/>
                <w:szCs w:val="16"/>
              </w:rPr>
              <w:t>Deviation</w:t>
            </w:r>
          </w:p>
        </w:tc>
        <w:tc>
          <w:tcPr>
            <w:tcW w:w="51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39E823D4" w14:textId="77777777" w:rsidR="00B619DD" w:rsidRDefault="00B619DD">
            <w:pPr>
              <w:pStyle w:val="Normal1"/>
              <w:spacing w:line="276" w:lineRule="auto"/>
              <w:jc w:val="left"/>
              <w:rPr>
                <w:sz w:val="18"/>
                <w:szCs w:val="18"/>
              </w:rPr>
            </w:pPr>
          </w:p>
        </w:tc>
        <w:tc>
          <w:tcPr>
            <w:tcW w:w="70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19B34BAB"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0.51871</w:t>
            </w:r>
          </w:p>
        </w:tc>
        <w:tc>
          <w:tcPr>
            <w:tcW w:w="73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0E6A95D2"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0.40265</w:t>
            </w:r>
          </w:p>
        </w:tc>
        <w:tc>
          <w:tcPr>
            <w:tcW w:w="49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2A0263B2"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0.87064</w:t>
            </w:r>
          </w:p>
        </w:tc>
        <w:tc>
          <w:tcPr>
            <w:tcW w:w="54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38B7654D"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1.4109</w:t>
            </w:r>
          </w:p>
        </w:tc>
        <w:tc>
          <w:tcPr>
            <w:tcW w:w="57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6EB6194E"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0.63338</w:t>
            </w:r>
          </w:p>
        </w:tc>
        <w:tc>
          <w:tcPr>
            <w:tcW w:w="45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5AF5B979"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0.17328</w:t>
            </w:r>
          </w:p>
        </w:tc>
        <w:tc>
          <w:tcPr>
            <w:tcW w:w="69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1FD945C7"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0.84727</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6D56AF91"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85.93082</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319A4A6F"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0.96627</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07264870"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3.06989</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62B5A86F"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8.74045</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6E0B898E"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0.71359</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4BA9079E"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0.15805</w:t>
            </w:r>
          </w:p>
        </w:tc>
        <w:tc>
          <w:tcPr>
            <w:tcW w:w="73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2E961C21"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0.36833</w:t>
            </w:r>
          </w:p>
        </w:tc>
        <w:tc>
          <w:tcPr>
            <w:tcW w:w="60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4FC1EEC3"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1.75417</w:t>
            </w:r>
          </w:p>
        </w:tc>
        <w:tc>
          <w:tcPr>
            <w:tcW w:w="61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5DF18156"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35.08942</w:t>
            </w:r>
          </w:p>
        </w:tc>
        <w:tc>
          <w:tcPr>
            <w:tcW w:w="69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14FB998F"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0.78624</w:t>
            </w:r>
          </w:p>
        </w:tc>
        <w:tc>
          <w:tcPr>
            <w:tcW w:w="82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133ECA36"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0.46936</w:t>
            </w:r>
          </w:p>
        </w:tc>
      </w:tr>
      <w:tr w:rsidR="00B619DD" w14:paraId="21088E77" w14:textId="77777777">
        <w:trPr>
          <w:trHeight w:val="315"/>
        </w:trPr>
        <w:tc>
          <w:tcPr>
            <w:tcW w:w="7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33B07498" w14:textId="77777777" w:rsidR="00B619DD" w:rsidRDefault="0026023C">
            <w:pPr>
              <w:pStyle w:val="Normal1"/>
              <w:spacing w:line="276" w:lineRule="auto"/>
              <w:jc w:val="left"/>
              <w:rPr>
                <w:sz w:val="18"/>
                <w:szCs w:val="18"/>
              </w:rPr>
            </w:pPr>
            <w:r>
              <w:rPr>
                <w:rFonts w:ascii="Times New Roman" w:eastAsia="Times New Roman" w:hAnsi="Times New Roman" w:cs="Times New Roman"/>
                <w:sz w:val="16"/>
                <w:szCs w:val="16"/>
              </w:rPr>
              <w:t>Variance</w:t>
            </w:r>
          </w:p>
        </w:tc>
        <w:tc>
          <w:tcPr>
            <w:tcW w:w="51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1375A956" w14:textId="77777777" w:rsidR="00B619DD" w:rsidRDefault="00B619DD">
            <w:pPr>
              <w:pStyle w:val="Normal1"/>
              <w:spacing w:line="276" w:lineRule="auto"/>
              <w:jc w:val="left"/>
              <w:rPr>
                <w:sz w:val="18"/>
                <w:szCs w:val="18"/>
              </w:rPr>
            </w:pPr>
          </w:p>
        </w:tc>
        <w:tc>
          <w:tcPr>
            <w:tcW w:w="70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23EE11F9"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0.269</w:t>
            </w:r>
          </w:p>
        </w:tc>
        <w:tc>
          <w:tcPr>
            <w:tcW w:w="73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7F344D1A"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0.162</w:t>
            </w:r>
          </w:p>
        </w:tc>
        <w:tc>
          <w:tcPr>
            <w:tcW w:w="49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147EE1DF"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0.758</w:t>
            </w:r>
          </w:p>
        </w:tc>
        <w:tc>
          <w:tcPr>
            <w:tcW w:w="54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62ABF290"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1.991</w:t>
            </w:r>
          </w:p>
        </w:tc>
        <w:tc>
          <w:tcPr>
            <w:tcW w:w="57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7985743F"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0.401</w:t>
            </w:r>
          </w:p>
        </w:tc>
        <w:tc>
          <w:tcPr>
            <w:tcW w:w="45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0FC99159"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0.03</w:t>
            </w:r>
          </w:p>
        </w:tc>
        <w:tc>
          <w:tcPr>
            <w:tcW w:w="69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42D9AB92"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0.718</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3397C845"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7384.105</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60EADCCD"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0.934</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2D25873B"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9.424</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13C1A559"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76.395</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06F102AE"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0.509</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67007B4A"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0.025</w:t>
            </w:r>
          </w:p>
        </w:tc>
        <w:tc>
          <w:tcPr>
            <w:tcW w:w="73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1886BAEC"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0.136</w:t>
            </w:r>
          </w:p>
        </w:tc>
        <w:tc>
          <w:tcPr>
            <w:tcW w:w="60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03BDBEF0"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3.077</w:t>
            </w:r>
          </w:p>
        </w:tc>
        <w:tc>
          <w:tcPr>
            <w:tcW w:w="61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2152B071"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1231.268</w:t>
            </w:r>
          </w:p>
        </w:tc>
        <w:tc>
          <w:tcPr>
            <w:tcW w:w="69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7C479BD0"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0.618</w:t>
            </w:r>
          </w:p>
        </w:tc>
        <w:tc>
          <w:tcPr>
            <w:tcW w:w="82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623186AD"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0.22</w:t>
            </w:r>
          </w:p>
        </w:tc>
      </w:tr>
      <w:tr w:rsidR="00B619DD" w14:paraId="01F8295B" w14:textId="77777777">
        <w:trPr>
          <w:trHeight w:val="315"/>
        </w:trPr>
        <w:tc>
          <w:tcPr>
            <w:tcW w:w="7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604E291F" w14:textId="77777777" w:rsidR="00B619DD" w:rsidRDefault="0026023C">
            <w:pPr>
              <w:pStyle w:val="Normal1"/>
              <w:spacing w:line="276" w:lineRule="auto"/>
              <w:jc w:val="left"/>
              <w:rPr>
                <w:sz w:val="18"/>
                <w:szCs w:val="18"/>
              </w:rPr>
            </w:pPr>
            <w:r>
              <w:rPr>
                <w:rFonts w:ascii="Times New Roman" w:eastAsia="Times New Roman" w:hAnsi="Times New Roman" w:cs="Times New Roman"/>
                <w:sz w:val="16"/>
                <w:szCs w:val="16"/>
              </w:rPr>
              <w:t>Range</w:t>
            </w:r>
          </w:p>
        </w:tc>
        <w:tc>
          <w:tcPr>
            <w:tcW w:w="51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318C6573" w14:textId="77777777" w:rsidR="00B619DD" w:rsidRDefault="00B619DD">
            <w:pPr>
              <w:pStyle w:val="Normal1"/>
              <w:spacing w:line="276" w:lineRule="auto"/>
              <w:jc w:val="left"/>
              <w:rPr>
                <w:sz w:val="18"/>
                <w:szCs w:val="18"/>
              </w:rPr>
            </w:pPr>
          </w:p>
        </w:tc>
        <w:tc>
          <w:tcPr>
            <w:tcW w:w="70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721CC8C9"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4</w:t>
            </w:r>
          </w:p>
        </w:tc>
        <w:tc>
          <w:tcPr>
            <w:tcW w:w="73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554FC952"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10</w:t>
            </w:r>
          </w:p>
        </w:tc>
        <w:tc>
          <w:tcPr>
            <w:tcW w:w="49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70EB23D4"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7</w:t>
            </w:r>
          </w:p>
        </w:tc>
        <w:tc>
          <w:tcPr>
            <w:tcW w:w="54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07CA8271"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17</w:t>
            </w:r>
          </w:p>
        </w:tc>
        <w:tc>
          <w:tcPr>
            <w:tcW w:w="57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7EFAD76E"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2</w:t>
            </w:r>
          </w:p>
        </w:tc>
        <w:tc>
          <w:tcPr>
            <w:tcW w:w="45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78278182"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1</w:t>
            </w:r>
          </w:p>
        </w:tc>
        <w:tc>
          <w:tcPr>
            <w:tcW w:w="69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1EA03D75"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5</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04627445"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443</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50132879"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5</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0A0486A6"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11</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6AAE35DD"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30</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38555BE4"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4</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3DB3164A"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1</w:t>
            </w:r>
          </w:p>
        </w:tc>
        <w:tc>
          <w:tcPr>
            <w:tcW w:w="73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1A6AF445"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13</w:t>
            </w:r>
          </w:p>
        </w:tc>
        <w:tc>
          <w:tcPr>
            <w:tcW w:w="60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1429B750"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58</w:t>
            </w:r>
          </w:p>
        </w:tc>
        <w:tc>
          <w:tcPr>
            <w:tcW w:w="61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1F6A2D0A"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540</w:t>
            </w:r>
          </w:p>
        </w:tc>
        <w:tc>
          <w:tcPr>
            <w:tcW w:w="69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474E9C38"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5</w:t>
            </w:r>
          </w:p>
        </w:tc>
        <w:tc>
          <w:tcPr>
            <w:tcW w:w="82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2DCBE40A"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1</w:t>
            </w:r>
          </w:p>
        </w:tc>
      </w:tr>
      <w:tr w:rsidR="00B619DD" w14:paraId="59B9D757" w14:textId="77777777">
        <w:trPr>
          <w:trHeight w:val="315"/>
        </w:trPr>
        <w:tc>
          <w:tcPr>
            <w:tcW w:w="7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285733BE" w14:textId="77777777" w:rsidR="00B619DD" w:rsidRDefault="0026023C">
            <w:pPr>
              <w:pStyle w:val="Normal1"/>
              <w:spacing w:line="276" w:lineRule="auto"/>
              <w:jc w:val="left"/>
              <w:rPr>
                <w:sz w:val="18"/>
                <w:szCs w:val="18"/>
              </w:rPr>
            </w:pPr>
            <w:r>
              <w:rPr>
                <w:rFonts w:ascii="Times New Roman" w:eastAsia="Times New Roman" w:hAnsi="Times New Roman" w:cs="Times New Roman"/>
                <w:sz w:val="16"/>
                <w:szCs w:val="16"/>
              </w:rPr>
              <w:t>Minimum</w:t>
            </w:r>
          </w:p>
        </w:tc>
        <w:tc>
          <w:tcPr>
            <w:tcW w:w="51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3468D5E5" w14:textId="77777777" w:rsidR="00B619DD" w:rsidRDefault="00B619DD">
            <w:pPr>
              <w:pStyle w:val="Normal1"/>
              <w:spacing w:line="276" w:lineRule="auto"/>
              <w:jc w:val="left"/>
              <w:rPr>
                <w:sz w:val="18"/>
                <w:szCs w:val="18"/>
              </w:rPr>
            </w:pPr>
          </w:p>
        </w:tc>
        <w:tc>
          <w:tcPr>
            <w:tcW w:w="70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34E282D1"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w:t>
            </w:r>
          </w:p>
        </w:tc>
        <w:tc>
          <w:tcPr>
            <w:tcW w:w="73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70C1507C"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w:t>
            </w:r>
          </w:p>
        </w:tc>
        <w:tc>
          <w:tcPr>
            <w:tcW w:w="49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4339869B"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w:t>
            </w:r>
          </w:p>
        </w:tc>
        <w:tc>
          <w:tcPr>
            <w:tcW w:w="54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10EDAEF8"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w:t>
            </w:r>
          </w:p>
        </w:tc>
        <w:tc>
          <w:tcPr>
            <w:tcW w:w="57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095E1E96"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1</w:t>
            </w:r>
          </w:p>
        </w:tc>
        <w:tc>
          <w:tcPr>
            <w:tcW w:w="45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7AC826B2"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w:t>
            </w:r>
          </w:p>
        </w:tc>
        <w:tc>
          <w:tcPr>
            <w:tcW w:w="69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6B81826F"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1</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6275BB42"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599DB236"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2017</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11CA964A"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1</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23F4521A"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1</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6EFE7247"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1</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32730EE5"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w:t>
            </w:r>
          </w:p>
        </w:tc>
        <w:tc>
          <w:tcPr>
            <w:tcW w:w="73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030F3FD6"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w:t>
            </w:r>
          </w:p>
        </w:tc>
        <w:tc>
          <w:tcPr>
            <w:tcW w:w="60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7B10A3A5"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w:t>
            </w:r>
          </w:p>
        </w:tc>
        <w:tc>
          <w:tcPr>
            <w:tcW w:w="61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4862E5E8"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w:t>
            </w:r>
          </w:p>
        </w:tc>
        <w:tc>
          <w:tcPr>
            <w:tcW w:w="69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151AD485"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0</w:t>
            </w:r>
          </w:p>
        </w:tc>
        <w:tc>
          <w:tcPr>
            <w:tcW w:w="82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4157A09F"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1</w:t>
            </w:r>
          </w:p>
        </w:tc>
      </w:tr>
      <w:tr w:rsidR="00B619DD" w14:paraId="7504A96D" w14:textId="77777777">
        <w:trPr>
          <w:trHeight w:val="315"/>
        </w:trPr>
        <w:tc>
          <w:tcPr>
            <w:tcW w:w="7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49870DCE" w14:textId="77777777" w:rsidR="00B619DD" w:rsidRDefault="0026023C">
            <w:pPr>
              <w:pStyle w:val="Normal1"/>
              <w:spacing w:line="276" w:lineRule="auto"/>
              <w:jc w:val="left"/>
              <w:rPr>
                <w:sz w:val="18"/>
                <w:szCs w:val="18"/>
              </w:rPr>
            </w:pPr>
            <w:r>
              <w:rPr>
                <w:rFonts w:ascii="Times New Roman" w:eastAsia="Times New Roman" w:hAnsi="Times New Roman" w:cs="Times New Roman"/>
                <w:sz w:val="16"/>
                <w:szCs w:val="16"/>
              </w:rPr>
              <w:t>Maximum</w:t>
            </w:r>
          </w:p>
        </w:tc>
        <w:tc>
          <w:tcPr>
            <w:tcW w:w="51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5D297293" w14:textId="77777777" w:rsidR="00B619DD" w:rsidRDefault="00B619DD">
            <w:pPr>
              <w:pStyle w:val="Normal1"/>
              <w:spacing w:line="276" w:lineRule="auto"/>
              <w:jc w:val="left"/>
              <w:rPr>
                <w:sz w:val="18"/>
                <w:szCs w:val="18"/>
              </w:rPr>
            </w:pPr>
          </w:p>
        </w:tc>
        <w:tc>
          <w:tcPr>
            <w:tcW w:w="70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1A1D49F8"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4</w:t>
            </w:r>
          </w:p>
        </w:tc>
        <w:tc>
          <w:tcPr>
            <w:tcW w:w="73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70AB7D64"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10</w:t>
            </w:r>
          </w:p>
        </w:tc>
        <w:tc>
          <w:tcPr>
            <w:tcW w:w="49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7DF65E69"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7</w:t>
            </w:r>
          </w:p>
        </w:tc>
        <w:tc>
          <w:tcPr>
            <w:tcW w:w="54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6F90D05D"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17</w:t>
            </w:r>
          </w:p>
        </w:tc>
        <w:tc>
          <w:tcPr>
            <w:tcW w:w="57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2196611F"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3</w:t>
            </w:r>
          </w:p>
        </w:tc>
        <w:tc>
          <w:tcPr>
            <w:tcW w:w="45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211893F1"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1</w:t>
            </w:r>
          </w:p>
        </w:tc>
        <w:tc>
          <w:tcPr>
            <w:tcW w:w="69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46F04870"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6</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0B17B9E5"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443</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28434B6D"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2022</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38B16825"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12</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08F51B3A"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31</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3E2233FF"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5</w:t>
            </w:r>
          </w:p>
        </w:tc>
        <w:tc>
          <w:tcPr>
            <w:tcW w:w="46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413192C1"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1</w:t>
            </w:r>
          </w:p>
        </w:tc>
        <w:tc>
          <w:tcPr>
            <w:tcW w:w="73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25D7DD24"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13</w:t>
            </w:r>
          </w:p>
        </w:tc>
        <w:tc>
          <w:tcPr>
            <w:tcW w:w="60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654B7E8D"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58</w:t>
            </w:r>
          </w:p>
        </w:tc>
        <w:tc>
          <w:tcPr>
            <w:tcW w:w="61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1C42C436"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540</w:t>
            </w:r>
          </w:p>
        </w:tc>
        <w:tc>
          <w:tcPr>
            <w:tcW w:w="69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486E0F0D"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5</w:t>
            </w:r>
          </w:p>
        </w:tc>
        <w:tc>
          <w:tcPr>
            <w:tcW w:w="825"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414451D8" w14:textId="77777777" w:rsidR="00B619DD" w:rsidRDefault="0026023C">
            <w:pPr>
              <w:pStyle w:val="Normal1"/>
              <w:spacing w:line="276" w:lineRule="auto"/>
              <w:jc w:val="right"/>
              <w:rPr>
                <w:sz w:val="18"/>
                <w:szCs w:val="18"/>
              </w:rPr>
            </w:pPr>
            <w:r>
              <w:rPr>
                <w:rFonts w:ascii="Times New Roman" w:eastAsia="Times New Roman" w:hAnsi="Times New Roman" w:cs="Times New Roman"/>
                <w:sz w:val="16"/>
                <w:szCs w:val="16"/>
              </w:rPr>
              <w:t>2</w:t>
            </w:r>
          </w:p>
        </w:tc>
      </w:tr>
    </w:tbl>
    <w:p w14:paraId="4EE4B242" w14:textId="77777777" w:rsidR="00B619DD" w:rsidRDefault="00B619DD">
      <w:pPr>
        <w:pStyle w:val="Normal1"/>
        <w:spacing w:line="276" w:lineRule="auto"/>
        <w:jc w:val="left"/>
      </w:pPr>
    </w:p>
    <w:p w14:paraId="36976AF7" w14:textId="77777777" w:rsidR="00B619DD" w:rsidRDefault="0026023C">
      <w:pPr>
        <w:pStyle w:val="Normal1"/>
        <w:jc w:val="center"/>
        <w:rPr>
          <w:b/>
        </w:rPr>
      </w:pPr>
      <w:r>
        <w:rPr>
          <w:b/>
        </w:rPr>
        <w:t>Table 1</w:t>
      </w:r>
    </w:p>
    <w:p w14:paraId="69EF492A" w14:textId="77777777" w:rsidR="00B619DD" w:rsidRDefault="00B619DD">
      <w:pPr>
        <w:pStyle w:val="Normal1"/>
        <w:rPr>
          <w:sz w:val="20"/>
          <w:szCs w:val="20"/>
        </w:rPr>
      </w:pPr>
    </w:p>
    <w:p w14:paraId="1BD6BC62" w14:textId="77777777" w:rsidR="00B619DD" w:rsidRDefault="00B619DD">
      <w:pPr>
        <w:pStyle w:val="Normal1"/>
        <w:spacing w:line="276" w:lineRule="auto"/>
        <w:jc w:val="left"/>
      </w:pPr>
    </w:p>
    <w:p w14:paraId="1805B333" w14:textId="77777777" w:rsidR="00B619DD" w:rsidRDefault="00B619DD">
      <w:pPr>
        <w:pStyle w:val="Normal1"/>
        <w:jc w:val="center"/>
      </w:pPr>
    </w:p>
    <w:sectPr w:rsidR="00B619DD">
      <w:footerReference w:type="default" r:id="rId40"/>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0A0D3C" w14:textId="77777777" w:rsidR="00A66478" w:rsidRDefault="00A66478">
      <w:pPr>
        <w:spacing w:line="240" w:lineRule="auto"/>
      </w:pPr>
      <w:r>
        <w:separator/>
      </w:r>
    </w:p>
  </w:endnote>
  <w:endnote w:type="continuationSeparator" w:id="0">
    <w:p w14:paraId="15C0E2CE" w14:textId="77777777" w:rsidR="00A66478" w:rsidRDefault="00A6647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w:panose1 w:val="02000000000000000000"/>
    <w:charset w:val="00"/>
    <w:family w:val="auto"/>
    <w:pitch w:val="variable"/>
    <w:sig w:usb0="E00002FF" w:usb1="5000217F" w:usb2="00000021"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326F7" w14:textId="77777777" w:rsidR="00B619DD" w:rsidRDefault="0026023C">
    <w:pPr>
      <w:pStyle w:val="Normal1"/>
      <w:jc w:val="right"/>
      <w:rPr>
        <w:b/>
      </w:rPr>
    </w:pPr>
    <w:r>
      <w:rPr>
        <w:b/>
      </w:rPr>
      <w:fldChar w:fldCharType="begin"/>
    </w:r>
    <w:r>
      <w:rPr>
        <w:b/>
      </w:rPr>
      <w:instrText>PAGE</w:instrText>
    </w:r>
    <w:r>
      <w:rPr>
        <w:b/>
      </w:rPr>
      <w:fldChar w:fldCharType="separate"/>
    </w:r>
    <w:r w:rsidR="0056751F">
      <w:rPr>
        <w:b/>
        <w:noProof/>
      </w:rPr>
      <w:t>1</w:t>
    </w:r>
    <w:r>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3D84A4" w14:textId="77777777" w:rsidR="00A66478" w:rsidRDefault="00A66478">
      <w:pPr>
        <w:spacing w:line="240" w:lineRule="auto"/>
      </w:pPr>
      <w:r>
        <w:separator/>
      </w:r>
    </w:p>
  </w:footnote>
  <w:footnote w:type="continuationSeparator" w:id="0">
    <w:p w14:paraId="5C5A08F2" w14:textId="77777777" w:rsidR="00A66478" w:rsidRDefault="00A6647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D44724"/>
    <w:multiLevelType w:val="hybridMultilevel"/>
    <w:tmpl w:val="00000000"/>
    <w:lvl w:ilvl="0" w:tplc="42FC4212">
      <w:start w:val="1"/>
      <w:numFmt w:val="bullet"/>
      <w:lvlText w:val="●"/>
      <w:lvlJc w:val="left"/>
      <w:pPr>
        <w:ind w:left="720" w:hanging="360"/>
      </w:pPr>
      <w:rPr>
        <w:u w:val="none"/>
      </w:rPr>
    </w:lvl>
    <w:lvl w:ilvl="1" w:tplc="FF6EAF22">
      <w:start w:val="1"/>
      <w:numFmt w:val="bullet"/>
      <w:lvlText w:val="○"/>
      <w:lvlJc w:val="left"/>
      <w:pPr>
        <w:ind w:left="1440" w:hanging="360"/>
      </w:pPr>
      <w:rPr>
        <w:u w:val="none"/>
      </w:rPr>
    </w:lvl>
    <w:lvl w:ilvl="2" w:tplc="617A1A06">
      <w:start w:val="1"/>
      <w:numFmt w:val="bullet"/>
      <w:lvlText w:val="■"/>
      <w:lvlJc w:val="left"/>
      <w:pPr>
        <w:ind w:left="2160" w:hanging="360"/>
      </w:pPr>
      <w:rPr>
        <w:u w:val="none"/>
      </w:rPr>
    </w:lvl>
    <w:lvl w:ilvl="3" w:tplc="BC440932">
      <w:start w:val="1"/>
      <w:numFmt w:val="bullet"/>
      <w:lvlText w:val="●"/>
      <w:lvlJc w:val="left"/>
      <w:pPr>
        <w:ind w:left="2880" w:hanging="360"/>
      </w:pPr>
      <w:rPr>
        <w:u w:val="none"/>
      </w:rPr>
    </w:lvl>
    <w:lvl w:ilvl="4" w:tplc="097408C6">
      <w:start w:val="1"/>
      <w:numFmt w:val="bullet"/>
      <w:lvlText w:val="○"/>
      <w:lvlJc w:val="left"/>
      <w:pPr>
        <w:ind w:left="3600" w:hanging="360"/>
      </w:pPr>
      <w:rPr>
        <w:u w:val="none"/>
      </w:rPr>
    </w:lvl>
    <w:lvl w:ilvl="5" w:tplc="0CDE2294">
      <w:start w:val="1"/>
      <w:numFmt w:val="bullet"/>
      <w:lvlText w:val="■"/>
      <w:lvlJc w:val="left"/>
      <w:pPr>
        <w:ind w:left="4320" w:hanging="360"/>
      </w:pPr>
      <w:rPr>
        <w:u w:val="none"/>
      </w:rPr>
    </w:lvl>
    <w:lvl w:ilvl="6" w:tplc="D25A7120">
      <w:start w:val="1"/>
      <w:numFmt w:val="bullet"/>
      <w:lvlText w:val="●"/>
      <w:lvlJc w:val="left"/>
      <w:pPr>
        <w:ind w:left="5040" w:hanging="360"/>
      </w:pPr>
      <w:rPr>
        <w:u w:val="none"/>
      </w:rPr>
    </w:lvl>
    <w:lvl w:ilvl="7" w:tplc="7CE83B3E">
      <w:start w:val="1"/>
      <w:numFmt w:val="bullet"/>
      <w:lvlText w:val="○"/>
      <w:lvlJc w:val="left"/>
      <w:pPr>
        <w:ind w:left="5760" w:hanging="360"/>
      </w:pPr>
      <w:rPr>
        <w:u w:val="none"/>
      </w:rPr>
    </w:lvl>
    <w:lvl w:ilvl="8" w:tplc="130E3E5C">
      <w:start w:val="1"/>
      <w:numFmt w:val="bullet"/>
      <w:lvlText w:val="■"/>
      <w:lvlJc w:val="left"/>
      <w:pPr>
        <w:ind w:left="6480" w:hanging="360"/>
      </w:pPr>
      <w:rPr>
        <w:u w:val="none"/>
      </w:rPr>
    </w:lvl>
  </w:abstractNum>
  <w:abstractNum w:abstractNumId="1" w15:restartNumberingAfterBreak="0">
    <w:nsid w:val="5D872DE5"/>
    <w:multiLevelType w:val="hybridMultilevel"/>
    <w:tmpl w:val="00000000"/>
    <w:lvl w:ilvl="0" w:tplc="68B8DB00">
      <w:start w:val="1"/>
      <w:numFmt w:val="bullet"/>
      <w:lvlText w:val="●"/>
      <w:lvlJc w:val="left"/>
      <w:pPr>
        <w:ind w:left="720" w:hanging="360"/>
      </w:pPr>
      <w:rPr>
        <w:u w:val="none"/>
      </w:rPr>
    </w:lvl>
    <w:lvl w:ilvl="1" w:tplc="42A66CC4">
      <w:start w:val="1"/>
      <w:numFmt w:val="bullet"/>
      <w:lvlText w:val="○"/>
      <w:lvlJc w:val="left"/>
      <w:pPr>
        <w:ind w:left="1440" w:hanging="360"/>
      </w:pPr>
      <w:rPr>
        <w:u w:val="none"/>
      </w:rPr>
    </w:lvl>
    <w:lvl w:ilvl="2" w:tplc="2124D966">
      <w:start w:val="1"/>
      <w:numFmt w:val="bullet"/>
      <w:lvlText w:val="■"/>
      <w:lvlJc w:val="left"/>
      <w:pPr>
        <w:ind w:left="2160" w:hanging="360"/>
      </w:pPr>
      <w:rPr>
        <w:u w:val="none"/>
      </w:rPr>
    </w:lvl>
    <w:lvl w:ilvl="3" w:tplc="CCF0D25C">
      <w:start w:val="1"/>
      <w:numFmt w:val="bullet"/>
      <w:lvlText w:val="●"/>
      <w:lvlJc w:val="left"/>
      <w:pPr>
        <w:ind w:left="2880" w:hanging="360"/>
      </w:pPr>
      <w:rPr>
        <w:u w:val="none"/>
      </w:rPr>
    </w:lvl>
    <w:lvl w:ilvl="4" w:tplc="D11A535A">
      <w:start w:val="1"/>
      <w:numFmt w:val="bullet"/>
      <w:lvlText w:val="○"/>
      <w:lvlJc w:val="left"/>
      <w:pPr>
        <w:ind w:left="3600" w:hanging="360"/>
      </w:pPr>
      <w:rPr>
        <w:u w:val="none"/>
      </w:rPr>
    </w:lvl>
    <w:lvl w:ilvl="5" w:tplc="0A4ECAE6">
      <w:start w:val="1"/>
      <w:numFmt w:val="bullet"/>
      <w:lvlText w:val="■"/>
      <w:lvlJc w:val="left"/>
      <w:pPr>
        <w:ind w:left="4320" w:hanging="360"/>
      </w:pPr>
      <w:rPr>
        <w:u w:val="none"/>
      </w:rPr>
    </w:lvl>
    <w:lvl w:ilvl="6" w:tplc="98CE9888">
      <w:start w:val="1"/>
      <w:numFmt w:val="bullet"/>
      <w:lvlText w:val="●"/>
      <w:lvlJc w:val="left"/>
      <w:pPr>
        <w:ind w:left="5040" w:hanging="360"/>
      </w:pPr>
      <w:rPr>
        <w:u w:val="none"/>
      </w:rPr>
    </w:lvl>
    <w:lvl w:ilvl="7" w:tplc="2AC2DD62">
      <w:start w:val="1"/>
      <w:numFmt w:val="bullet"/>
      <w:lvlText w:val="○"/>
      <w:lvlJc w:val="left"/>
      <w:pPr>
        <w:ind w:left="5760" w:hanging="360"/>
      </w:pPr>
      <w:rPr>
        <w:u w:val="none"/>
      </w:rPr>
    </w:lvl>
    <w:lvl w:ilvl="8" w:tplc="7B667FB6">
      <w:start w:val="1"/>
      <w:numFmt w:val="bullet"/>
      <w:lvlText w:val="■"/>
      <w:lvlJc w:val="left"/>
      <w:pPr>
        <w:ind w:left="6480" w:hanging="360"/>
      </w:pPr>
      <w:rPr>
        <w:u w:val="none"/>
      </w:rPr>
    </w:lvl>
  </w:abstractNum>
  <w:num w:numId="1" w16cid:durableId="1254897449">
    <w:abstractNumId w:val="1"/>
  </w:num>
  <w:num w:numId="2" w16cid:durableId="15565088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9DD"/>
    <w:rsid w:val="0026023C"/>
    <w:rsid w:val="0056751F"/>
    <w:rsid w:val="00A66478"/>
    <w:rsid w:val="00B23A33"/>
    <w:rsid w:val="00B619DD"/>
    <w:rsid w:val="00BE4F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45A13"/>
  <w15:docId w15:val="{D9F101F2-854E-4E67-A725-AA461C2EF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before="400" w:after="120"/>
      <w:outlineLvl w:val="0"/>
    </w:pPr>
    <w:rPr>
      <w:b/>
      <w:sz w:val="26"/>
      <w:szCs w:val="26"/>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table" w:customStyle="1" w:styleId="Table3">
    <w:name w:val="Table3"/>
    <w:basedOn w:val="TableNormal1"/>
    <w:tblPr>
      <w:tblStyleRowBandSize w:val="1"/>
      <w:tblStyleColBandSize w:val="1"/>
      <w:tblCellMar>
        <w:top w:w="100" w:type="dxa"/>
        <w:left w:w="100" w:type="dxa"/>
        <w:bottom w:w="100" w:type="dxa"/>
        <w:right w:w="100" w:type="dxa"/>
      </w:tblCellMar>
    </w:tblPr>
  </w:style>
  <w:style w:type="table" w:customStyle="1" w:styleId="Table4">
    <w:name w:val="Table4"/>
    <w:basedOn w:val="TableNormal1"/>
    <w:tblPr>
      <w:tblStyleRowBandSize w:val="1"/>
      <w:tblStyleColBandSize w:val="1"/>
      <w:tblCellMar>
        <w:top w:w="100" w:type="dxa"/>
        <w:left w:w="100" w:type="dxa"/>
        <w:bottom w:w="100" w:type="dxa"/>
        <w:right w:w="100" w:type="dxa"/>
      </w:tblCellMar>
    </w:tblPr>
  </w:style>
  <w:style w:type="paragraph" w:styleId="TOC1">
    <w:name w:val="toc 1"/>
    <w:basedOn w:val="Normal"/>
    <w:next w:val="Normal"/>
    <w:autoRedefine/>
    <w:uiPriority w:val="39"/>
    <w:unhideWhenUsed/>
    <w:rsid w:val="0056751F"/>
    <w:pPr>
      <w:spacing w:after="100"/>
    </w:pPr>
  </w:style>
  <w:style w:type="character" w:styleId="Hyperlink">
    <w:name w:val="Hyperlink"/>
    <w:basedOn w:val="DefaultParagraphFont"/>
    <w:uiPriority w:val="99"/>
    <w:unhideWhenUsed/>
    <w:rsid w:val="0056751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image" Target="media/image7.png" /><Relationship Id="rId18" Type="http://schemas.openxmlformats.org/officeDocument/2006/relationships/image" Target="media/image12.png" /><Relationship Id="rId26" Type="http://schemas.openxmlformats.org/officeDocument/2006/relationships/hyperlink" Target="https://www.tandfonline.com/doi/abs/10.1080/09720502.2020.1761635" TargetMode="External" /><Relationship Id="rId39" Type="http://schemas.openxmlformats.org/officeDocument/2006/relationships/hyperlink" Target="https://doi.org/10.3390/nu15040884" TargetMode="External" /><Relationship Id="rId3" Type="http://schemas.openxmlformats.org/officeDocument/2006/relationships/settings" Target="settings.xml" /><Relationship Id="rId21" Type="http://schemas.openxmlformats.org/officeDocument/2006/relationships/image" Target="media/image15.png" /><Relationship Id="rId34" Type="http://schemas.openxmlformats.org/officeDocument/2006/relationships/hyperlink" Target="https://www.igbr.org/wp-content/uploads/2020/04/GJBP_Vol_4_No_1_2020.pdf" TargetMode="External" /><Relationship Id="rId42" Type="http://schemas.openxmlformats.org/officeDocument/2006/relationships/theme" Target="theme/theme1.xml" /><Relationship Id="rId7" Type="http://schemas.openxmlformats.org/officeDocument/2006/relationships/image" Target="media/image1.png" /><Relationship Id="rId12" Type="http://schemas.openxmlformats.org/officeDocument/2006/relationships/image" Target="media/image6.png" /><Relationship Id="rId17" Type="http://schemas.openxmlformats.org/officeDocument/2006/relationships/image" Target="media/image11.png" /><Relationship Id="rId25" Type="http://schemas.openxmlformats.org/officeDocument/2006/relationships/hyperlink" Target="https://www.tandfonline.com/doi/abs/10.1080/09720502.2020.1761635" TargetMode="External" /><Relationship Id="rId33" Type="http://schemas.openxmlformats.org/officeDocument/2006/relationships/hyperlink" Target="https://doi.org/10.1002%2Fjcop.22430" TargetMode="External" /><Relationship Id="rId38" Type="http://schemas.openxmlformats.org/officeDocument/2006/relationships/hyperlink" Target="https://www.igbr.org/wp-content/uploads/2020/04/GJBP_Vol_4_No_1_2020.pdf" TargetMode="External" /><Relationship Id="rId2" Type="http://schemas.openxmlformats.org/officeDocument/2006/relationships/styles" Target="styles.xml" /><Relationship Id="rId16" Type="http://schemas.openxmlformats.org/officeDocument/2006/relationships/image" Target="media/image10.png" /><Relationship Id="rId20" Type="http://schemas.openxmlformats.org/officeDocument/2006/relationships/image" Target="media/image14.png" /><Relationship Id="rId29" Type="http://schemas.openxmlformats.org/officeDocument/2006/relationships/hyperlink" Target="https://doi.org/10.1111/bjep.12381" TargetMode="External" /><Relationship Id="rId41"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png" /><Relationship Id="rId24" Type="http://schemas.openxmlformats.org/officeDocument/2006/relationships/hyperlink" Target="https://doi.org/10.1038/s41562-020-0884-z" TargetMode="External" /><Relationship Id="rId32" Type="http://schemas.openxmlformats.org/officeDocument/2006/relationships/hyperlink" Target="https://doi.org/10.1080/21645515.2020.1846397" TargetMode="External" /><Relationship Id="rId37" Type="http://schemas.openxmlformats.org/officeDocument/2006/relationships/hyperlink" Target="https://direct.mit.edu/rest/article-abstract/doi/10.1162/rest_a_01072/102830" TargetMode="External" /><Relationship Id="rId40" Type="http://schemas.openxmlformats.org/officeDocument/2006/relationships/footer" Target="footer1.xml" /><Relationship Id="rId5" Type="http://schemas.openxmlformats.org/officeDocument/2006/relationships/footnotes" Target="footnotes.xml" /><Relationship Id="rId15" Type="http://schemas.openxmlformats.org/officeDocument/2006/relationships/image" Target="media/image9.png" /><Relationship Id="rId23" Type="http://schemas.openxmlformats.org/officeDocument/2006/relationships/hyperlink" Target="https://direct.mit.edu/rest/article-abstract/doi/10.1162/rest_a_01072/102830" TargetMode="External" /><Relationship Id="rId28" Type="http://schemas.openxmlformats.org/officeDocument/2006/relationships/hyperlink" Target="https://doi.org/10.1007/s00394-020-02372-4" TargetMode="External" /><Relationship Id="rId36" Type="http://schemas.openxmlformats.org/officeDocument/2006/relationships/hyperlink" Target="https://www.igbr.org/wp-content/uploads/2020/04/GJBP_Vol_4_No_1_2020.pdf" TargetMode="External" /><Relationship Id="rId10" Type="http://schemas.openxmlformats.org/officeDocument/2006/relationships/image" Target="media/image4.png" /><Relationship Id="rId19" Type="http://schemas.openxmlformats.org/officeDocument/2006/relationships/image" Target="media/image13.png" /><Relationship Id="rId31" Type="http://schemas.openxmlformats.org/officeDocument/2006/relationships/hyperlink" Target="https://doi.org/10.1111/1467-8551.12702" TargetMode="Externa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image" Target="media/image8.png" /><Relationship Id="rId22" Type="http://schemas.openxmlformats.org/officeDocument/2006/relationships/hyperlink" Target="https://direct.mit.edu/rest/article-abstract/doi/10.1162/rest_a_01072/102830" TargetMode="External" /><Relationship Id="rId27" Type="http://schemas.openxmlformats.org/officeDocument/2006/relationships/hyperlink" Target="https://doi.org/10.5040/9781350283442" TargetMode="External" /><Relationship Id="rId30" Type="http://schemas.openxmlformats.org/officeDocument/2006/relationships/hyperlink" Target="https://doi.org/10.1192/bjp.2020.212" TargetMode="External" /><Relationship Id="rId35" Type="http://schemas.openxmlformats.org/officeDocument/2006/relationships/hyperlink" Target="https://www.igbr.org/wp-content/uploads/2020/04/GJBP_Vol_4_No_1_2020.pd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Pages>
  <Words>4050</Words>
  <Characters>23085</Characters>
  <Application>Microsoft Office Word</Application>
  <DocSecurity>0</DocSecurity>
  <Lines>192</Lines>
  <Paragraphs>54</Paragraphs>
  <ScaleCrop>false</ScaleCrop>
  <Company/>
  <LinksUpToDate>false</LinksUpToDate>
  <CharactersWithSpaces>27081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silvia tanache</cp:lastModifiedBy>
  <cp:revision>2</cp:revision>
  <dcterms:created xsi:type="dcterms:W3CDTF">2023-08-31T11:44:00Z</dcterms:created>
  <dcterms:modified xsi:type="dcterms:W3CDTF">2023-08-31T11:44:00Z</dcterms:modified>
</cp:coreProperties>
</file>