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5677A7" w14:textId="77777777" w:rsidR="00145634" w:rsidRPr="00AE36D9" w:rsidRDefault="00145634" w:rsidP="00EB6684">
      <w:pPr>
        <w:jc w:val="center"/>
        <w:rPr>
          <w:rFonts w:ascii="Times New Roman" w:hAnsi="Times New Roman" w:cs="Times New Roman"/>
          <w:b/>
          <w:bCs/>
          <w:sz w:val="32"/>
          <w:szCs w:val="32"/>
        </w:rPr>
      </w:pPr>
    </w:p>
    <w:p w14:paraId="309DFD6D" w14:textId="71C872F7" w:rsidR="2B0AED11" w:rsidRDefault="2B0AED11" w:rsidP="2B0AED11"/>
    <w:p w14:paraId="11392746" w14:textId="77777777" w:rsidR="00145634" w:rsidRPr="006660DB" w:rsidRDefault="00145634" w:rsidP="00EB6684">
      <w:pPr>
        <w:pStyle w:val="Title"/>
        <w:jc w:val="center"/>
        <w:rPr>
          <w:rFonts w:ascii="Times New Roman" w:hAnsi="Times New Roman" w:cs="Times New Roman"/>
          <w:color w:val="000000" w:themeColor="text1"/>
          <w:sz w:val="18"/>
          <w:szCs w:val="18"/>
        </w:rPr>
      </w:pPr>
      <w:r w:rsidRPr="006660DB">
        <w:rPr>
          <w:noProof/>
          <w:color w:val="000000" w:themeColor="text1"/>
          <w:sz w:val="32"/>
          <w:szCs w:val="32"/>
        </w:rPr>
        <w:drawing>
          <wp:inline distT="0" distB="0" distL="0" distR="0" wp14:anchorId="58CC7946" wp14:editId="3755460D">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8A46798" w14:textId="77777777" w:rsidR="00145634" w:rsidRPr="006660DB" w:rsidRDefault="00145634" w:rsidP="00EB6684">
      <w:pPr>
        <w:pStyle w:val="Title"/>
        <w:jc w:val="center"/>
        <w:rPr>
          <w:color w:val="000000" w:themeColor="text1"/>
          <w:sz w:val="32"/>
          <w:szCs w:val="32"/>
        </w:rPr>
      </w:pPr>
    </w:p>
    <w:p w14:paraId="362710C7" w14:textId="77777777" w:rsidR="00145634" w:rsidRPr="00A87D51" w:rsidRDefault="00145634" w:rsidP="00EB6684">
      <w:pPr>
        <w:pStyle w:val="Title"/>
        <w:jc w:val="center"/>
        <w:rPr>
          <w:b/>
          <w:bCs/>
          <w:color w:val="000000" w:themeColor="text1"/>
          <w:sz w:val="32"/>
          <w:szCs w:val="32"/>
        </w:rPr>
      </w:pPr>
      <w:r w:rsidRPr="00A87D51">
        <w:rPr>
          <w:b/>
          <w:bCs/>
          <w:color w:val="000000" w:themeColor="text1"/>
          <w:sz w:val="32"/>
          <w:szCs w:val="32"/>
        </w:rPr>
        <w:t>Master of Business Administration</w:t>
      </w:r>
    </w:p>
    <w:p w14:paraId="13BB84FA" w14:textId="77777777" w:rsidR="00145634" w:rsidRPr="00A87D51" w:rsidRDefault="00145634" w:rsidP="00EB6684">
      <w:pPr>
        <w:rPr>
          <w:b/>
          <w:bCs/>
        </w:rPr>
      </w:pPr>
    </w:p>
    <w:p w14:paraId="1BE926C4" w14:textId="77777777" w:rsidR="00145634" w:rsidRDefault="00145634" w:rsidP="00EB6684">
      <w:pPr>
        <w:pStyle w:val="Title"/>
        <w:jc w:val="center"/>
        <w:rPr>
          <w:b/>
          <w:bCs/>
          <w:color w:val="000000" w:themeColor="text1"/>
          <w:sz w:val="32"/>
          <w:szCs w:val="32"/>
        </w:rPr>
      </w:pPr>
      <w:r w:rsidRPr="00A87D51">
        <w:rPr>
          <w:b/>
          <w:bCs/>
          <w:color w:val="000000" w:themeColor="text1"/>
          <w:sz w:val="32"/>
          <w:szCs w:val="32"/>
        </w:rPr>
        <w:t>Student Name:</w:t>
      </w:r>
      <w:r w:rsidRPr="00E5184F">
        <w:rPr>
          <w:color w:val="000000" w:themeColor="text1"/>
          <w:sz w:val="32"/>
          <w:szCs w:val="32"/>
        </w:rPr>
        <w:t xml:space="preserve"> </w:t>
      </w:r>
      <w:r w:rsidRPr="0045544B">
        <w:rPr>
          <w:b/>
          <w:bCs/>
          <w:color w:val="000000" w:themeColor="text1"/>
          <w:sz w:val="32"/>
          <w:szCs w:val="32"/>
        </w:rPr>
        <w:t>Harshkumar Manojkumar Patel</w:t>
      </w:r>
    </w:p>
    <w:p w14:paraId="40C30B20" w14:textId="77777777" w:rsidR="00145634" w:rsidRPr="00145634" w:rsidRDefault="00145634" w:rsidP="00145634"/>
    <w:p w14:paraId="5A80ECAB" w14:textId="77777777" w:rsidR="00145634" w:rsidRPr="0045544B" w:rsidRDefault="00145634" w:rsidP="00EB6684">
      <w:pPr>
        <w:pStyle w:val="Title"/>
        <w:jc w:val="center"/>
        <w:rPr>
          <w:b/>
          <w:bCs/>
          <w:color w:val="000000" w:themeColor="text1"/>
          <w:sz w:val="32"/>
          <w:szCs w:val="32"/>
        </w:rPr>
      </w:pPr>
      <w:r w:rsidRPr="0045544B">
        <w:rPr>
          <w:b/>
          <w:bCs/>
          <w:color w:val="000000" w:themeColor="text1"/>
          <w:sz w:val="32"/>
          <w:szCs w:val="32"/>
        </w:rPr>
        <w:t>Student ID: 2503790</w:t>
      </w:r>
    </w:p>
    <w:p w14:paraId="1F043031" w14:textId="77777777" w:rsidR="00145634" w:rsidRPr="0045544B" w:rsidRDefault="00145634" w:rsidP="00EB6684">
      <w:pPr>
        <w:rPr>
          <w:b/>
          <w:bCs/>
        </w:rPr>
      </w:pPr>
    </w:p>
    <w:p w14:paraId="7EB999FE" w14:textId="64953608" w:rsidR="00145634" w:rsidRDefault="00145634" w:rsidP="00EB6684">
      <w:pPr>
        <w:pStyle w:val="Title"/>
        <w:jc w:val="center"/>
        <w:rPr>
          <w:b/>
          <w:bCs/>
          <w:color w:val="000000" w:themeColor="text1"/>
          <w:sz w:val="32"/>
          <w:szCs w:val="32"/>
        </w:rPr>
      </w:pPr>
      <w:r w:rsidRPr="2B0AED11">
        <w:rPr>
          <w:b/>
          <w:bCs/>
          <w:color w:val="000000" w:themeColor="text1"/>
          <w:sz w:val="32"/>
          <w:szCs w:val="32"/>
        </w:rPr>
        <w:t>Module Name: Financ</w:t>
      </w:r>
      <w:r w:rsidR="5F3AD7B5" w:rsidRPr="2B0AED11">
        <w:rPr>
          <w:b/>
          <w:bCs/>
          <w:color w:val="000000" w:themeColor="text1"/>
          <w:sz w:val="32"/>
          <w:szCs w:val="32"/>
        </w:rPr>
        <w:t>ial</w:t>
      </w:r>
      <w:r w:rsidRPr="2B0AED11">
        <w:rPr>
          <w:b/>
          <w:bCs/>
          <w:color w:val="000000" w:themeColor="text1"/>
          <w:sz w:val="32"/>
          <w:szCs w:val="32"/>
        </w:rPr>
        <w:t xml:space="preserve"> Management </w:t>
      </w:r>
    </w:p>
    <w:p w14:paraId="48AB8A3C" w14:textId="77777777" w:rsidR="009B6A77" w:rsidRPr="009B6A77" w:rsidRDefault="009B6A77" w:rsidP="009B6A77"/>
    <w:p w14:paraId="3155AF71" w14:textId="08D9F768" w:rsidR="00145634" w:rsidRPr="0045544B" w:rsidRDefault="00145634" w:rsidP="00EB6684">
      <w:pPr>
        <w:pStyle w:val="Title"/>
        <w:jc w:val="center"/>
        <w:rPr>
          <w:b/>
          <w:bCs/>
          <w:color w:val="000000" w:themeColor="text1"/>
          <w:sz w:val="32"/>
          <w:szCs w:val="32"/>
        </w:rPr>
      </w:pPr>
      <w:r w:rsidRPr="0045544B">
        <w:rPr>
          <w:b/>
          <w:bCs/>
          <w:color w:val="000000" w:themeColor="text1"/>
          <w:sz w:val="32"/>
          <w:szCs w:val="32"/>
        </w:rPr>
        <w:t>Module Code: LCMB7</w:t>
      </w:r>
      <w:r w:rsidR="006C0545">
        <w:rPr>
          <w:b/>
          <w:bCs/>
          <w:color w:val="000000" w:themeColor="text1"/>
          <w:sz w:val="32"/>
          <w:szCs w:val="32"/>
        </w:rPr>
        <w:t>002</w:t>
      </w:r>
    </w:p>
    <w:p w14:paraId="3F3859CB" w14:textId="77777777" w:rsidR="00145634" w:rsidRPr="0045544B" w:rsidRDefault="00145634" w:rsidP="00EB6684">
      <w:pPr>
        <w:rPr>
          <w:b/>
          <w:bCs/>
        </w:rPr>
      </w:pPr>
    </w:p>
    <w:p w14:paraId="2AA46174" w14:textId="43D2F3E6" w:rsidR="00145634" w:rsidRPr="0045544B" w:rsidRDefault="00145634" w:rsidP="0003637E">
      <w:pPr>
        <w:pStyle w:val="Title"/>
        <w:ind w:left="53"/>
        <w:jc w:val="center"/>
        <w:rPr>
          <w:b/>
          <w:bCs/>
          <w:color w:val="000000" w:themeColor="text1"/>
          <w:sz w:val="32"/>
          <w:szCs w:val="32"/>
        </w:rPr>
      </w:pPr>
      <w:r w:rsidRPr="0045544B">
        <w:rPr>
          <w:b/>
          <w:bCs/>
          <w:color w:val="000000" w:themeColor="text1"/>
          <w:sz w:val="32"/>
          <w:szCs w:val="32"/>
        </w:rPr>
        <w:t xml:space="preserve">Lecturer’s Name: </w:t>
      </w:r>
      <w:r w:rsidR="009E4950">
        <w:rPr>
          <w:b/>
          <w:bCs/>
          <w:color w:val="000000" w:themeColor="text1"/>
          <w:sz w:val="32"/>
          <w:szCs w:val="32"/>
        </w:rPr>
        <w:t>Dr Sheng</w:t>
      </w:r>
      <w:r w:rsidR="00A41732">
        <w:rPr>
          <w:b/>
          <w:bCs/>
          <w:color w:val="000000" w:themeColor="text1"/>
          <w:sz w:val="32"/>
          <w:szCs w:val="32"/>
        </w:rPr>
        <w:t xml:space="preserve">feng Mei </w:t>
      </w:r>
    </w:p>
    <w:p w14:paraId="7F3B6160" w14:textId="77777777" w:rsidR="00145634" w:rsidRPr="0045544B" w:rsidRDefault="00145634" w:rsidP="00EB6684">
      <w:pPr>
        <w:rPr>
          <w:b/>
          <w:bCs/>
        </w:rPr>
      </w:pPr>
    </w:p>
    <w:p w14:paraId="4F6E8144" w14:textId="792F56CE" w:rsidR="00145634" w:rsidRDefault="00145634" w:rsidP="2B0AED11">
      <w:pPr>
        <w:pStyle w:val="Title"/>
        <w:jc w:val="center"/>
        <w:rPr>
          <w:b/>
          <w:bCs/>
          <w:color w:val="000000" w:themeColor="text1"/>
          <w:sz w:val="32"/>
          <w:szCs w:val="32"/>
        </w:rPr>
      </w:pPr>
      <w:r w:rsidRPr="2B0AED11">
        <w:rPr>
          <w:b/>
          <w:bCs/>
          <w:color w:val="000000" w:themeColor="text1"/>
          <w:sz w:val="32"/>
          <w:szCs w:val="32"/>
        </w:rPr>
        <w:t xml:space="preserve">Word Count: </w:t>
      </w:r>
      <w:r w:rsidR="72BC30A9" w:rsidRPr="2B0AED11">
        <w:rPr>
          <w:b/>
          <w:bCs/>
          <w:color w:val="000000" w:themeColor="text1"/>
          <w:sz w:val="32"/>
          <w:szCs w:val="32"/>
        </w:rPr>
        <w:t>4995</w:t>
      </w:r>
    </w:p>
    <w:p w14:paraId="4F092D74" w14:textId="77777777" w:rsidR="00A41732" w:rsidRPr="00A41732" w:rsidRDefault="00A41732" w:rsidP="00A41732"/>
    <w:p w14:paraId="1D788D77" w14:textId="77777777" w:rsidR="00145634" w:rsidRPr="0045544B" w:rsidRDefault="00145634" w:rsidP="00EB6684">
      <w:pPr>
        <w:pStyle w:val="Title"/>
        <w:jc w:val="center"/>
        <w:rPr>
          <w:b/>
          <w:bCs/>
          <w:color w:val="000000" w:themeColor="text1"/>
          <w:sz w:val="32"/>
          <w:szCs w:val="32"/>
        </w:rPr>
      </w:pPr>
      <w:r w:rsidRPr="0045544B">
        <w:rPr>
          <w:b/>
          <w:bCs/>
          <w:color w:val="000000" w:themeColor="text1"/>
          <w:sz w:val="32"/>
          <w:szCs w:val="32"/>
        </w:rPr>
        <w:t>Term 1</w:t>
      </w:r>
    </w:p>
    <w:p w14:paraId="34D7E081" w14:textId="77777777" w:rsidR="00145634" w:rsidRPr="00E5184F" w:rsidRDefault="00145634" w:rsidP="00EB6684">
      <w:r w:rsidRPr="00E5184F">
        <w:br w:type="page"/>
      </w:r>
    </w:p>
    <w:p w14:paraId="6ED90771"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16FF7F5A"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62C55890"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47E38758"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7ECC1E8C" w14:textId="77777777" w:rsidR="00085290" w:rsidRPr="00085290" w:rsidRDefault="00085290" w:rsidP="00085290">
      <w:pPr>
        <w:spacing w:before="120" w:after="120" w:line="360" w:lineRule="auto"/>
        <w:jc w:val="both"/>
        <w:rPr>
          <w:rFonts w:ascii="Times New Roman" w:eastAsia="Times New Roman" w:hAnsi="Times New Roman" w:cs="Times New Roman"/>
          <w:b/>
          <w:bCs/>
          <w:kern w:val="0"/>
          <w:sz w:val="32"/>
          <w:szCs w:val="32"/>
          <w:lang w:eastAsia="zh-CN"/>
          <w14:ligatures w14:val="none"/>
        </w:rPr>
      </w:pPr>
    </w:p>
    <w:p w14:paraId="77BCCA0E" w14:textId="77777777" w:rsidR="00085290" w:rsidRPr="00085290" w:rsidRDefault="00085290" w:rsidP="00085290">
      <w:pPr>
        <w:spacing w:before="120" w:after="120" w:line="360" w:lineRule="auto"/>
        <w:jc w:val="both"/>
        <w:rPr>
          <w:rFonts w:ascii="Times New Roman" w:eastAsia="Times New Roman" w:hAnsi="Times New Roman" w:cs="Times New Roman"/>
          <w:b/>
          <w:bCs/>
          <w:kern w:val="0"/>
          <w:sz w:val="32"/>
          <w:szCs w:val="32"/>
          <w:lang w:eastAsia="zh-CN"/>
          <w14:ligatures w14:val="none"/>
        </w:rPr>
      </w:pPr>
    </w:p>
    <w:p w14:paraId="20A07C31"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47C91614"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p>
    <w:p w14:paraId="0860D28A"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r w:rsidRPr="00085290">
        <w:rPr>
          <w:rFonts w:ascii="Times New Roman" w:eastAsia="Times New Roman" w:hAnsi="Times New Roman" w:cs="Times New Roman"/>
          <w:b/>
          <w:bCs/>
          <w:kern w:val="0"/>
          <w:sz w:val="32"/>
          <w:szCs w:val="32"/>
          <w:lang w:eastAsia="zh-CN"/>
          <w14:ligatures w14:val="none"/>
        </w:rPr>
        <w:t>A DETAILED FINANCIAL MANAGEMENT REPORT OF STRATEGIC CFO CHALLENGE: SAVING A FAILING GLOBAL FIRM</w:t>
      </w:r>
    </w:p>
    <w:p w14:paraId="0579A060" w14:textId="77777777" w:rsidR="00085290" w:rsidRPr="00085290" w:rsidRDefault="00085290" w:rsidP="00085290">
      <w:pPr>
        <w:spacing w:before="120" w:after="120" w:line="360" w:lineRule="auto"/>
        <w:jc w:val="center"/>
        <w:rPr>
          <w:rFonts w:ascii="Times New Roman" w:eastAsia="Times New Roman" w:hAnsi="Times New Roman" w:cs="Times New Roman"/>
          <w:b/>
          <w:bCs/>
          <w:kern w:val="0"/>
          <w:sz w:val="32"/>
          <w:szCs w:val="32"/>
          <w:lang w:eastAsia="zh-CN"/>
          <w14:ligatures w14:val="none"/>
        </w:rPr>
      </w:pPr>
      <w:r w:rsidRPr="00085290">
        <w:rPr>
          <w:rFonts w:ascii="Times New Roman" w:eastAsia="Arial" w:hAnsi="Times New Roman" w:cs="Arial"/>
          <w:kern w:val="0"/>
          <w:szCs w:val="22"/>
          <w:lang w:eastAsia="zh-CN"/>
          <w14:ligatures w14:val="none"/>
        </w:rPr>
        <w:br w:type="page"/>
      </w:r>
    </w:p>
    <w:sdt>
      <w:sdtPr>
        <w:rPr>
          <w:rFonts w:ascii="Times New Roman" w:eastAsia="Arial" w:hAnsi="Times New Roman" w:cs="Arial"/>
          <w:kern w:val="0"/>
          <w:lang w:eastAsia="zh-CN"/>
          <w14:ligatures w14:val="none"/>
        </w:rPr>
        <w:id w:val="1811514400"/>
        <w:docPartObj>
          <w:docPartGallery w:val="Table of Contents"/>
          <w:docPartUnique/>
        </w:docPartObj>
      </w:sdtPr>
      <w:sdtEndPr/>
      <w:sdtContent>
        <w:p w14:paraId="260A24BF" w14:textId="77777777" w:rsidR="00085290" w:rsidRPr="00085290" w:rsidRDefault="00085290" w:rsidP="00085290">
          <w:pPr>
            <w:keepNext/>
            <w:keepLines/>
            <w:spacing w:before="240" w:after="0" w:line="256" w:lineRule="auto"/>
            <w:jc w:val="center"/>
            <w:rPr>
              <w:rFonts w:ascii="Times New Roman" w:eastAsiaTheme="majorEastAsia" w:hAnsi="Times New Roman" w:cs="Times New Roman"/>
              <w:b/>
              <w:bCs/>
              <w:color w:val="000000" w:themeColor="text1"/>
              <w:kern w:val="0"/>
              <w:sz w:val="28"/>
              <w:szCs w:val="28"/>
              <w:lang w:val="en-US" w:eastAsia="en-US"/>
              <w14:ligatures w14:val="none"/>
            </w:rPr>
          </w:pPr>
          <w:r w:rsidRPr="00085290">
            <w:rPr>
              <w:rFonts w:ascii="Times New Roman" w:eastAsiaTheme="majorEastAsia" w:hAnsi="Times New Roman" w:cs="Times New Roman"/>
              <w:b/>
              <w:bCs/>
              <w:color w:val="000000" w:themeColor="text1"/>
              <w:kern w:val="0"/>
              <w:sz w:val="28"/>
              <w:szCs w:val="28"/>
              <w:lang w:val="en-US" w:eastAsia="en-US"/>
              <w14:ligatures w14:val="none"/>
            </w:rPr>
            <w:t>Table of Contents</w:t>
          </w:r>
        </w:p>
        <w:p w14:paraId="6E306AC2" w14:textId="77777777" w:rsidR="00085290" w:rsidRPr="00085290" w:rsidRDefault="00085290" w:rsidP="00085290">
          <w:pPr>
            <w:tabs>
              <w:tab w:val="right" w:leader="dot" w:pos="9019"/>
            </w:tabs>
            <w:spacing w:before="120" w:after="100" w:line="360" w:lineRule="auto"/>
            <w:jc w:val="both"/>
            <w:rPr>
              <w:noProof/>
              <w:lang w:val="en-IN" w:eastAsia="zh-CN"/>
            </w:rPr>
          </w:pPr>
          <w:r w:rsidRPr="00085290">
            <w:rPr>
              <w:rFonts w:ascii="Times New Roman" w:eastAsia="Arial" w:hAnsi="Times New Roman" w:cs="Arial"/>
              <w:kern w:val="0"/>
              <w:szCs w:val="22"/>
              <w:lang w:eastAsia="zh-CN"/>
              <w14:ligatures w14:val="none"/>
            </w:rPr>
            <w:fldChar w:fldCharType="begin"/>
          </w:r>
          <w:r w:rsidRPr="00085290">
            <w:rPr>
              <w:rFonts w:ascii="Times New Roman" w:eastAsia="Arial" w:hAnsi="Times New Roman" w:cs="Arial"/>
              <w:kern w:val="0"/>
              <w:szCs w:val="22"/>
              <w:lang w:eastAsia="zh-CN"/>
              <w14:ligatures w14:val="none"/>
            </w:rPr>
            <w:instrText xml:space="preserve"> TOC \o "1-3" \h \z \u </w:instrText>
          </w:r>
          <w:r w:rsidRPr="00085290">
            <w:rPr>
              <w:rFonts w:ascii="Times New Roman" w:eastAsia="Arial" w:hAnsi="Times New Roman" w:cs="Arial"/>
              <w:kern w:val="0"/>
              <w:szCs w:val="22"/>
              <w:lang w:eastAsia="zh-CN"/>
              <w14:ligatures w14:val="none"/>
            </w:rPr>
            <w:fldChar w:fldCharType="separate"/>
          </w:r>
          <w:hyperlink w:anchor="_Toc216378990" w:history="1">
            <w:r w:rsidRPr="00085290">
              <w:rPr>
                <w:rFonts w:ascii="Times New Roman" w:eastAsia="Arial" w:hAnsi="Times New Roman" w:cs="Arial"/>
                <w:noProof/>
                <w:color w:val="467886" w:themeColor="hyperlink"/>
                <w:kern w:val="0"/>
                <w:szCs w:val="22"/>
                <w:u w:val="single"/>
                <w:lang w:eastAsia="zh-CN"/>
                <w14:ligatures w14:val="none"/>
              </w:rPr>
              <w:t>1. Financial Health Check</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_Toc216378990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4</w:t>
            </w:r>
            <w:r w:rsidRPr="00085290">
              <w:rPr>
                <w:rFonts w:ascii="Times New Roman" w:eastAsia="Arial" w:hAnsi="Times New Roman" w:cs="Arial"/>
                <w:noProof/>
                <w:webHidden/>
                <w:kern w:val="0"/>
                <w:szCs w:val="22"/>
                <w:lang w:eastAsia="zh-CN"/>
                <w14:ligatures w14:val="none"/>
              </w:rPr>
              <w:fldChar w:fldCharType="end"/>
            </w:r>
          </w:hyperlink>
        </w:p>
        <w:p w14:paraId="527C773B"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1" w:history="1">
            <w:r w:rsidRPr="00085290">
              <w:rPr>
                <w:rFonts w:ascii="Times New Roman" w:eastAsia="Arial" w:hAnsi="Times New Roman" w:cs="Arial"/>
                <w:noProof/>
                <w:color w:val="467886" w:themeColor="hyperlink"/>
                <w:kern w:val="0"/>
                <w:szCs w:val="22"/>
                <w:u w:val="single"/>
                <w:lang w:eastAsia="zh-CN"/>
                <w14:ligatures w14:val="none"/>
              </w:rPr>
              <w:t>1.1 Overview of Five-Year Financial Performance</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_Toc216378991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4</w:t>
            </w:r>
            <w:r w:rsidRPr="00085290">
              <w:rPr>
                <w:rFonts w:ascii="Times New Roman" w:eastAsia="Arial" w:hAnsi="Times New Roman" w:cs="Arial"/>
                <w:noProof/>
                <w:webHidden/>
                <w:kern w:val="0"/>
                <w:szCs w:val="22"/>
                <w:lang w:eastAsia="zh-CN"/>
                <w14:ligatures w14:val="none"/>
              </w:rPr>
              <w:fldChar w:fldCharType="end"/>
            </w:r>
          </w:hyperlink>
        </w:p>
        <w:p w14:paraId="0BF6FBB6"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2" w:history="1">
            <w:r w:rsidRPr="00085290">
              <w:rPr>
                <w:rFonts w:ascii="Times New Roman" w:eastAsia="Arial" w:hAnsi="Times New Roman" w:cs="Arial"/>
                <w:noProof/>
                <w:color w:val="467886" w:themeColor="hyperlink"/>
                <w:kern w:val="0"/>
                <w:szCs w:val="22"/>
                <w:u w:val="single"/>
                <w:lang w:eastAsia="zh-CN"/>
                <w14:ligatures w14:val="none"/>
              </w:rPr>
              <w:t>1.2 Profitability Analysis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_Toc216378992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4</w:t>
            </w:r>
            <w:r w:rsidRPr="00085290">
              <w:rPr>
                <w:rFonts w:ascii="Times New Roman" w:eastAsia="Arial" w:hAnsi="Times New Roman" w:cs="Arial"/>
                <w:noProof/>
                <w:webHidden/>
                <w:kern w:val="0"/>
                <w:szCs w:val="22"/>
                <w:lang w:eastAsia="zh-CN"/>
                <w14:ligatures w14:val="none"/>
              </w:rPr>
              <w:fldChar w:fldCharType="end"/>
            </w:r>
          </w:hyperlink>
        </w:p>
        <w:p w14:paraId="1D233076"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3" w:history="1">
            <w:r w:rsidRPr="00085290">
              <w:rPr>
                <w:rFonts w:ascii="Times New Roman" w:eastAsia="Arial" w:hAnsi="Times New Roman" w:cs="Arial"/>
                <w:noProof/>
                <w:color w:val="467886" w:themeColor="hyperlink"/>
                <w:kern w:val="0"/>
                <w:szCs w:val="22"/>
                <w:u w:val="single"/>
                <w:lang w:eastAsia="zh-CN"/>
                <w14:ligatures w14:val="none"/>
              </w:rPr>
              <w:t>1.3 Liquidity Analysis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_Toc216378993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5</w:t>
            </w:r>
            <w:r w:rsidRPr="00085290">
              <w:rPr>
                <w:rFonts w:ascii="Times New Roman" w:eastAsia="Arial" w:hAnsi="Times New Roman" w:cs="Arial"/>
                <w:noProof/>
                <w:webHidden/>
                <w:kern w:val="0"/>
                <w:szCs w:val="22"/>
                <w:lang w:eastAsia="zh-CN"/>
                <w14:ligatures w14:val="none"/>
              </w:rPr>
              <w:fldChar w:fldCharType="end"/>
            </w:r>
          </w:hyperlink>
        </w:p>
        <w:p w14:paraId="6A06F34F"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4" w:history="1">
            <w:r w:rsidRPr="00085290">
              <w:rPr>
                <w:rFonts w:ascii="Times New Roman" w:eastAsia="Arial" w:hAnsi="Times New Roman" w:cs="Arial"/>
                <w:noProof/>
                <w:color w:val="467886" w:themeColor="hyperlink"/>
                <w:kern w:val="0"/>
                <w:szCs w:val="22"/>
                <w:u w:val="single"/>
                <w:lang w:eastAsia="zh-CN"/>
                <w14:ligatures w14:val="none"/>
              </w:rPr>
              <w:t>1.4 Efficiency / Working Capital Ratios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_Toc216378994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5</w:t>
            </w:r>
            <w:r w:rsidRPr="00085290">
              <w:rPr>
                <w:rFonts w:ascii="Times New Roman" w:eastAsia="Arial" w:hAnsi="Times New Roman" w:cs="Arial"/>
                <w:noProof/>
                <w:webHidden/>
                <w:kern w:val="0"/>
                <w:szCs w:val="22"/>
                <w:lang w:eastAsia="zh-CN"/>
                <w14:ligatures w14:val="none"/>
              </w:rPr>
              <w:fldChar w:fldCharType="end"/>
            </w:r>
          </w:hyperlink>
        </w:p>
        <w:p w14:paraId="27B112BD"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5" w:history="1">
            <w:r w:rsidRPr="00085290">
              <w:rPr>
                <w:rFonts w:ascii="Times New Roman" w:eastAsia="Arial" w:hAnsi="Times New Roman" w:cs="Arial"/>
                <w:noProof/>
                <w:color w:val="467886" w:themeColor="hyperlink"/>
                <w:kern w:val="0"/>
                <w:szCs w:val="22"/>
                <w:u w:val="single"/>
                <w:lang w:eastAsia="zh-CN"/>
                <w14:ligatures w14:val="none"/>
              </w:rPr>
              <w:t>1.5 Gearing and Capital Structure Analysis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_Toc216378995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6</w:t>
            </w:r>
            <w:r w:rsidRPr="00085290">
              <w:rPr>
                <w:rFonts w:ascii="Times New Roman" w:eastAsia="Arial" w:hAnsi="Times New Roman" w:cs="Arial"/>
                <w:noProof/>
                <w:webHidden/>
                <w:kern w:val="0"/>
                <w:szCs w:val="22"/>
                <w:lang w:eastAsia="zh-CN"/>
                <w14:ligatures w14:val="none"/>
              </w:rPr>
              <w:fldChar w:fldCharType="end"/>
            </w:r>
          </w:hyperlink>
        </w:p>
        <w:p w14:paraId="4F28ABDC"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6" w:history="1">
            <w:r w:rsidRPr="00085290">
              <w:rPr>
                <w:rFonts w:ascii="Times New Roman" w:eastAsia="Arial" w:hAnsi="Times New Roman" w:cs="Arial"/>
                <w:noProof/>
                <w:color w:val="467886" w:themeColor="hyperlink"/>
                <w:kern w:val="0"/>
                <w:szCs w:val="22"/>
                <w:u w:val="single"/>
                <w:lang w:eastAsia="zh-CN"/>
                <w14:ligatures w14:val="none"/>
              </w:rPr>
              <w:t>1.6 Investment Ratios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_Toc216378996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6</w:t>
            </w:r>
            <w:r w:rsidRPr="00085290">
              <w:rPr>
                <w:rFonts w:ascii="Times New Roman" w:eastAsia="Arial" w:hAnsi="Times New Roman" w:cs="Arial"/>
                <w:noProof/>
                <w:webHidden/>
                <w:kern w:val="0"/>
                <w:szCs w:val="22"/>
                <w:lang w:eastAsia="zh-CN"/>
                <w14:ligatures w14:val="none"/>
              </w:rPr>
              <w:fldChar w:fldCharType="end"/>
            </w:r>
          </w:hyperlink>
        </w:p>
        <w:p w14:paraId="6655F089"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7" w:history="1">
            <w:r w:rsidRPr="00085290">
              <w:rPr>
                <w:rFonts w:ascii="Times New Roman" w:eastAsia="Arial" w:hAnsi="Times New Roman" w:cs="Arial"/>
                <w:noProof/>
                <w:color w:val="467886" w:themeColor="hyperlink"/>
                <w:kern w:val="0"/>
                <w:szCs w:val="22"/>
                <w:u w:val="single"/>
                <w:lang w:eastAsia="zh-CN"/>
                <w14:ligatures w14:val="none"/>
              </w:rPr>
              <w:t>1.7 Cash Flow Quality Assessment</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_Toc216378997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7</w:t>
            </w:r>
            <w:r w:rsidRPr="00085290">
              <w:rPr>
                <w:rFonts w:ascii="Times New Roman" w:eastAsia="Arial" w:hAnsi="Times New Roman" w:cs="Arial"/>
                <w:noProof/>
                <w:webHidden/>
                <w:kern w:val="0"/>
                <w:szCs w:val="22"/>
                <w:lang w:eastAsia="zh-CN"/>
                <w14:ligatures w14:val="none"/>
              </w:rPr>
              <w:fldChar w:fldCharType="end"/>
            </w:r>
          </w:hyperlink>
        </w:p>
        <w:p w14:paraId="09F99AE7"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8998" w:history="1">
            <w:r w:rsidRPr="00085290">
              <w:rPr>
                <w:rFonts w:ascii="Times New Roman" w:eastAsia="Arial" w:hAnsi="Times New Roman" w:cs="Arial"/>
                <w:noProof/>
                <w:color w:val="467886" w:themeColor="hyperlink"/>
                <w:kern w:val="0"/>
                <w:szCs w:val="22"/>
                <w:u w:val="single"/>
                <w:lang w:eastAsia="zh-CN"/>
                <w14:ligatures w14:val="none"/>
              </w:rPr>
              <w:t>1.8 Corporate Failure Prediction Models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_Toc216378998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7</w:t>
            </w:r>
            <w:r w:rsidRPr="00085290">
              <w:rPr>
                <w:rFonts w:ascii="Times New Roman" w:eastAsia="Arial" w:hAnsi="Times New Roman" w:cs="Arial"/>
                <w:noProof/>
                <w:webHidden/>
                <w:kern w:val="0"/>
                <w:szCs w:val="22"/>
                <w:lang w:eastAsia="zh-CN"/>
                <w14:ligatures w14:val="none"/>
              </w:rPr>
              <w:fldChar w:fldCharType="end"/>
            </w:r>
          </w:hyperlink>
        </w:p>
        <w:p w14:paraId="47B84F4F" w14:textId="77777777" w:rsidR="00085290" w:rsidRPr="00085290" w:rsidRDefault="00085290" w:rsidP="00085290">
          <w:pPr>
            <w:tabs>
              <w:tab w:val="right" w:leader="dot" w:pos="9019"/>
            </w:tabs>
            <w:spacing w:before="120" w:after="100" w:line="360" w:lineRule="auto"/>
            <w:jc w:val="both"/>
            <w:rPr>
              <w:noProof/>
              <w:lang w:val="en-IN" w:eastAsia="zh-CN"/>
            </w:rPr>
          </w:pPr>
          <w:hyperlink w:anchor="_Toc216378999" w:history="1">
            <w:r w:rsidRPr="00085290">
              <w:rPr>
                <w:rFonts w:ascii="Times New Roman" w:eastAsia="Arial" w:hAnsi="Times New Roman" w:cs="Arial"/>
                <w:noProof/>
                <w:color w:val="467886" w:themeColor="hyperlink"/>
                <w:kern w:val="0"/>
                <w:szCs w:val="22"/>
                <w:u w:val="single"/>
                <w:lang w:eastAsia="zh-CN"/>
                <w14:ligatures w14:val="none"/>
              </w:rPr>
              <w:t>2. Working Capital Management Analysis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_Toc216378999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8</w:t>
            </w:r>
            <w:r w:rsidRPr="00085290">
              <w:rPr>
                <w:rFonts w:ascii="Times New Roman" w:eastAsia="Arial" w:hAnsi="Times New Roman" w:cs="Arial"/>
                <w:noProof/>
                <w:webHidden/>
                <w:kern w:val="0"/>
                <w:szCs w:val="22"/>
                <w:lang w:eastAsia="zh-CN"/>
                <w14:ligatures w14:val="none"/>
              </w:rPr>
              <w:fldChar w:fldCharType="end"/>
            </w:r>
          </w:hyperlink>
        </w:p>
        <w:p w14:paraId="04C756CE"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0" w:history="1">
            <w:r w:rsidRPr="00085290">
              <w:rPr>
                <w:rFonts w:ascii="Times New Roman" w:eastAsia="Arial" w:hAnsi="Times New Roman" w:cs="Arial"/>
                <w:noProof/>
                <w:color w:val="467886" w:themeColor="hyperlink"/>
                <w:kern w:val="0"/>
                <w:szCs w:val="22"/>
                <w:u w:val="single"/>
                <w:lang w:eastAsia="zh-CN"/>
                <w14:ligatures w14:val="none"/>
              </w:rPr>
              <w:t>2.1 Cash Conversion Cycle (CCC) Evaluation</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_Toc216379000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8</w:t>
            </w:r>
            <w:r w:rsidRPr="00085290">
              <w:rPr>
                <w:rFonts w:ascii="Times New Roman" w:eastAsia="Arial" w:hAnsi="Times New Roman" w:cs="Arial"/>
                <w:noProof/>
                <w:webHidden/>
                <w:kern w:val="0"/>
                <w:szCs w:val="22"/>
                <w:lang w:eastAsia="zh-CN"/>
                <w14:ligatures w14:val="none"/>
              </w:rPr>
              <w:fldChar w:fldCharType="end"/>
            </w:r>
          </w:hyperlink>
        </w:p>
        <w:p w14:paraId="6E59CCCA"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1" w:history="1">
            <w:r w:rsidRPr="00085290">
              <w:rPr>
                <w:rFonts w:ascii="Times New Roman" w:eastAsia="Arial" w:hAnsi="Times New Roman" w:cs="Arial"/>
                <w:noProof/>
                <w:color w:val="467886" w:themeColor="hyperlink"/>
                <w:kern w:val="0"/>
                <w:szCs w:val="22"/>
                <w:u w:val="single"/>
                <w:lang w:eastAsia="zh-CN"/>
                <w14:ligatures w14:val="none"/>
              </w:rPr>
              <w:t>2.2 Inventory Management Challenge</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_Toc216379001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8</w:t>
            </w:r>
            <w:r w:rsidRPr="00085290">
              <w:rPr>
                <w:rFonts w:ascii="Times New Roman" w:eastAsia="Arial" w:hAnsi="Times New Roman" w:cs="Arial"/>
                <w:noProof/>
                <w:webHidden/>
                <w:kern w:val="0"/>
                <w:szCs w:val="22"/>
                <w:lang w:eastAsia="zh-CN"/>
                <w14:ligatures w14:val="none"/>
              </w:rPr>
              <w:fldChar w:fldCharType="end"/>
            </w:r>
          </w:hyperlink>
        </w:p>
        <w:p w14:paraId="061244D1"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2" w:history="1">
            <w:r w:rsidRPr="00085290">
              <w:rPr>
                <w:rFonts w:ascii="Times New Roman" w:eastAsia="Arial" w:hAnsi="Times New Roman" w:cs="Arial"/>
                <w:noProof/>
                <w:color w:val="467886" w:themeColor="hyperlink"/>
                <w:kern w:val="0"/>
                <w:szCs w:val="22"/>
                <w:u w:val="single"/>
                <w:lang w:eastAsia="zh-CN"/>
                <w14:ligatures w14:val="none"/>
              </w:rPr>
              <w:t>2.3 Receivables and Credit Policy Weaknesses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_Toc216379002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9</w:t>
            </w:r>
            <w:r w:rsidRPr="00085290">
              <w:rPr>
                <w:rFonts w:ascii="Times New Roman" w:eastAsia="Arial" w:hAnsi="Times New Roman" w:cs="Arial"/>
                <w:noProof/>
                <w:webHidden/>
                <w:kern w:val="0"/>
                <w:szCs w:val="22"/>
                <w:lang w:eastAsia="zh-CN"/>
                <w14:ligatures w14:val="none"/>
              </w:rPr>
              <w:fldChar w:fldCharType="end"/>
            </w:r>
          </w:hyperlink>
        </w:p>
        <w:p w14:paraId="05E6BAE7"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3" w:history="1">
            <w:r w:rsidRPr="00085290">
              <w:rPr>
                <w:rFonts w:ascii="Times New Roman" w:eastAsia="Arial" w:hAnsi="Times New Roman" w:cs="Arial"/>
                <w:noProof/>
                <w:color w:val="467886" w:themeColor="hyperlink"/>
                <w:kern w:val="0"/>
                <w:szCs w:val="22"/>
                <w:u w:val="single"/>
                <w:lang w:eastAsia="zh-CN"/>
                <w14:ligatures w14:val="none"/>
              </w:rPr>
              <w:t>2.4 Payables and Supplier Management Issues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_Toc216379003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9</w:t>
            </w:r>
            <w:r w:rsidRPr="00085290">
              <w:rPr>
                <w:rFonts w:ascii="Times New Roman" w:eastAsia="Arial" w:hAnsi="Times New Roman" w:cs="Arial"/>
                <w:noProof/>
                <w:webHidden/>
                <w:kern w:val="0"/>
                <w:szCs w:val="22"/>
                <w:lang w:eastAsia="zh-CN"/>
                <w14:ligatures w14:val="none"/>
              </w:rPr>
              <w:fldChar w:fldCharType="end"/>
            </w:r>
          </w:hyperlink>
        </w:p>
        <w:p w14:paraId="7F9CF380"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4" w:history="1">
            <w:r w:rsidRPr="00085290">
              <w:rPr>
                <w:rFonts w:ascii="Times New Roman" w:eastAsia="Arial" w:hAnsi="Times New Roman" w:cs="Arial"/>
                <w:noProof/>
                <w:color w:val="467886" w:themeColor="hyperlink"/>
                <w:kern w:val="0"/>
                <w:szCs w:val="22"/>
                <w:u w:val="single"/>
                <w:lang w:eastAsia="zh-CN"/>
                <w14:ligatures w14:val="none"/>
              </w:rPr>
              <w:t>2.5 Short-Term vs Long-Term Financing</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_Toc216379004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10</w:t>
            </w:r>
            <w:r w:rsidRPr="00085290">
              <w:rPr>
                <w:rFonts w:ascii="Times New Roman" w:eastAsia="Arial" w:hAnsi="Times New Roman" w:cs="Arial"/>
                <w:noProof/>
                <w:webHidden/>
                <w:kern w:val="0"/>
                <w:szCs w:val="22"/>
                <w:lang w:eastAsia="zh-CN"/>
                <w14:ligatures w14:val="none"/>
              </w:rPr>
              <w:fldChar w:fldCharType="end"/>
            </w:r>
          </w:hyperlink>
        </w:p>
        <w:p w14:paraId="43366F8F" w14:textId="77777777" w:rsidR="00085290" w:rsidRPr="00085290" w:rsidRDefault="00085290" w:rsidP="00085290">
          <w:pPr>
            <w:tabs>
              <w:tab w:val="right" w:leader="dot" w:pos="9019"/>
            </w:tabs>
            <w:spacing w:before="120" w:after="100" w:line="360" w:lineRule="auto"/>
            <w:jc w:val="both"/>
            <w:rPr>
              <w:noProof/>
              <w:lang w:val="en-IN" w:eastAsia="zh-CN"/>
            </w:rPr>
          </w:pPr>
          <w:hyperlink w:anchor="_Toc216379005" w:history="1">
            <w:r w:rsidRPr="00085290">
              <w:rPr>
                <w:rFonts w:ascii="Times New Roman" w:eastAsia="Arial" w:hAnsi="Times New Roman" w:cs="Arial"/>
                <w:noProof/>
                <w:color w:val="467886" w:themeColor="hyperlink"/>
                <w:kern w:val="0"/>
                <w:szCs w:val="22"/>
                <w:u w:val="single"/>
                <w:lang w:eastAsia="zh-CN"/>
                <w14:ligatures w14:val="none"/>
              </w:rPr>
              <w:t>3. Strategic Financial Restructuring Plan</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_Toc216379005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10</w:t>
            </w:r>
            <w:r w:rsidRPr="00085290">
              <w:rPr>
                <w:rFonts w:ascii="Times New Roman" w:eastAsia="Arial" w:hAnsi="Times New Roman" w:cs="Arial"/>
                <w:noProof/>
                <w:webHidden/>
                <w:kern w:val="0"/>
                <w:szCs w:val="22"/>
                <w:lang w:eastAsia="zh-CN"/>
                <w14:ligatures w14:val="none"/>
              </w:rPr>
              <w:fldChar w:fldCharType="end"/>
            </w:r>
          </w:hyperlink>
        </w:p>
        <w:p w14:paraId="1A6296BF"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6" w:history="1">
            <w:r w:rsidRPr="00085290">
              <w:rPr>
                <w:rFonts w:ascii="Times New Roman" w:eastAsia="Arial" w:hAnsi="Times New Roman" w:cs="Arial"/>
                <w:noProof/>
                <w:color w:val="467886" w:themeColor="hyperlink"/>
                <w:kern w:val="0"/>
                <w:szCs w:val="22"/>
                <w:u w:val="single"/>
                <w:lang w:eastAsia="zh-CN"/>
                <w14:ligatures w14:val="none"/>
              </w:rPr>
              <w:t>3.1 Diagnosis of Structural Problems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_Toc216379006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10</w:t>
            </w:r>
            <w:r w:rsidRPr="00085290">
              <w:rPr>
                <w:rFonts w:ascii="Times New Roman" w:eastAsia="Arial" w:hAnsi="Times New Roman" w:cs="Arial"/>
                <w:noProof/>
                <w:webHidden/>
                <w:kern w:val="0"/>
                <w:szCs w:val="22"/>
                <w:lang w:eastAsia="zh-CN"/>
                <w14:ligatures w14:val="none"/>
              </w:rPr>
              <w:fldChar w:fldCharType="end"/>
            </w:r>
          </w:hyperlink>
        </w:p>
        <w:p w14:paraId="533DD00A"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7" w:history="1">
            <w:r w:rsidRPr="00085290">
              <w:rPr>
                <w:rFonts w:ascii="Times New Roman" w:eastAsia="Arial" w:hAnsi="Times New Roman" w:cs="Arial"/>
                <w:noProof/>
                <w:color w:val="467886" w:themeColor="hyperlink"/>
                <w:kern w:val="0"/>
                <w:szCs w:val="22"/>
                <w:u w:val="single"/>
                <w:lang w:eastAsia="zh-CN"/>
                <w14:ligatures w14:val="none"/>
              </w:rPr>
              <w:t>3.2 Option 1: Divestiture Strategy</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_Toc216379007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11</w:t>
            </w:r>
            <w:r w:rsidRPr="00085290">
              <w:rPr>
                <w:rFonts w:ascii="Times New Roman" w:eastAsia="Arial" w:hAnsi="Times New Roman" w:cs="Arial"/>
                <w:noProof/>
                <w:webHidden/>
                <w:kern w:val="0"/>
                <w:szCs w:val="22"/>
                <w:lang w:eastAsia="zh-CN"/>
                <w14:ligatures w14:val="none"/>
              </w:rPr>
              <w:fldChar w:fldCharType="end"/>
            </w:r>
          </w:hyperlink>
        </w:p>
        <w:p w14:paraId="0562E162"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8" w:history="1">
            <w:r w:rsidRPr="00085290">
              <w:rPr>
                <w:rFonts w:ascii="Times New Roman" w:eastAsia="Arial" w:hAnsi="Times New Roman" w:cs="Arial"/>
                <w:noProof/>
                <w:color w:val="467886" w:themeColor="hyperlink"/>
                <w:kern w:val="0"/>
                <w:szCs w:val="22"/>
                <w:u w:val="single"/>
                <w:lang w:eastAsia="zh-CN"/>
                <w14:ligatures w14:val="none"/>
              </w:rPr>
              <w:t>3.3 Option 2: Merger or Strategic Partnership</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_Toc216379008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11</w:t>
            </w:r>
            <w:r w:rsidRPr="00085290">
              <w:rPr>
                <w:rFonts w:ascii="Times New Roman" w:eastAsia="Arial" w:hAnsi="Times New Roman" w:cs="Arial"/>
                <w:noProof/>
                <w:webHidden/>
                <w:kern w:val="0"/>
                <w:szCs w:val="22"/>
                <w:lang w:eastAsia="zh-CN"/>
                <w14:ligatures w14:val="none"/>
              </w:rPr>
              <w:fldChar w:fldCharType="end"/>
            </w:r>
          </w:hyperlink>
        </w:p>
        <w:p w14:paraId="3D6D2699"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09" w:history="1">
            <w:r w:rsidRPr="00085290">
              <w:rPr>
                <w:rFonts w:ascii="Times New Roman" w:eastAsia="Arial" w:hAnsi="Times New Roman" w:cs="Arial"/>
                <w:noProof/>
                <w:color w:val="467886" w:themeColor="hyperlink"/>
                <w:kern w:val="0"/>
                <w:szCs w:val="22"/>
                <w:u w:val="single"/>
                <w:lang w:eastAsia="zh-CN"/>
                <w14:ligatures w14:val="none"/>
              </w:rPr>
              <w:t>3.5 International Considerations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_Toc216379009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12</w:t>
            </w:r>
            <w:r w:rsidRPr="00085290">
              <w:rPr>
                <w:rFonts w:ascii="Times New Roman" w:eastAsia="Arial" w:hAnsi="Times New Roman" w:cs="Arial"/>
                <w:noProof/>
                <w:webHidden/>
                <w:kern w:val="0"/>
                <w:szCs w:val="22"/>
                <w:lang w:eastAsia="zh-CN"/>
                <w14:ligatures w14:val="none"/>
              </w:rPr>
              <w:fldChar w:fldCharType="end"/>
            </w:r>
          </w:hyperlink>
        </w:p>
        <w:p w14:paraId="1F6E85B0"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0" w:history="1">
            <w:r w:rsidRPr="00085290">
              <w:rPr>
                <w:rFonts w:ascii="Times New Roman" w:eastAsia="Arial" w:hAnsi="Times New Roman" w:cs="Arial"/>
                <w:noProof/>
                <w:color w:val="467886" w:themeColor="hyperlink"/>
                <w:kern w:val="0"/>
                <w:szCs w:val="22"/>
                <w:u w:val="single"/>
                <w:lang w:eastAsia="zh-CN"/>
                <w14:ligatures w14:val="none"/>
              </w:rPr>
              <w:t>3.6 Ethical and CSR Considerations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_Toc216379010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13</w:t>
            </w:r>
            <w:r w:rsidRPr="00085290">
              <w:rPr>
                <w:rFonts w:ascii="Times New Roman" w:eastAsia="Arial" w:hAnsi="Times New Roman" w:cs="Arial"/>
                <w:noProof/>
                <w:webHidden/>
                <w:kern w:val="0"/>
                <w:szCs w:val="22"/>
                <w:lang w:eastAsia="zh-CN"/>
                <w14:ligatures w14:val="none"/>
              </w:rPr>
              <w:fldChar w:fldCharType="end"/>
            </w:r>
          </w:hyperlink>
        </w:p>
        <w:p w14:paraId="6E0B7D10" w14:textId="77777777" w:rsidR="00085290" w:rsidRPr="00085290" w:rsidRDefault="00085290" w:rsidP="00085290">
          <w:pPr>
            <w:tabs>
              <w:tab w:val="right" w:leader="dot" w:pos="9019"/>
            </w:tabs>
            <w:spacing w:before="120" w:after="100" w:line="360" w:lineRule="auto"/>
            <w:jc w:val="both"/>
            <w:rPr>
              <w:noProof/>
              <w:lang w:val="en-IN" w:eastAsia="zh-CN"/>
            </w:rPr>
          </w:pPr>
          <w:hyperlink w:anchor="_Toc216379011" w:history="1">
            <w:r w:rsidRPr="00085290">
              <w:rPr>
                <w:rFonts w:ascii="Times New Roman" w:eastAsia="Arial" w:hAnsi="Times New Roman" w:cs="Arial"/>
                <w:noProof/>
                <w:color w:val="467886" w:themeColor="hyperlink"/>
                <w:kern w:val="0"/>
                <w:szCs w:val="22"/>
                <w:u w:val="single"/>
                <w:lang w:eastAsia="zh-CN"/>
                <w14:ligatures w14:val="none"/>
              </w:rPr>
              <w:t>4. Investment Appraisal and Capital Budgeting</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_Toc216379011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13</w:t>
            </w:r>
            <w:r w:rsidRPr="00085290">
              <w:rPr>
                <w:rFonts w:ascii="Times New Roman" w:eastAsia="Arial" w:hAnsi="Times New Roman" w:cs="Arial"/>
                <w:noProof/>
                <w:webHidden/>
                <w:kern w:val="0"/>
                <w:szCs w:val="22"/>
                <w:lang w:eastAsia="zh-CN"/>
                <w14:ligatures w14:val="none"/>
              </w:rPr>
              <w:fldChar w:fldCharType="end"/>
            </w:r>
          </w:hyperlink>
        </w:p>
        <w:p w14:paraId="49C9BDA2"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2" w:history="1">
            <w:r w:rsidRPr="00085290">
              <w:rPr>
                <w:rFonts w:ascii="Times New Roman" w:eastAsia="Arial" w:hAnsi="Times New Roman" w:cs="Arial"/>
                <w:noProof/>
                <w:color w:val="467886" w:themeColor="hyperlink"/>
                <w:kern w:val="0"/>
                <w:szCs w:val="22"/>
                <w:u w:val="single"/>
                <w:lang w:eastAsia="zh-CN"/>
                <w14:ligatures w14:val="none"/>
              </w:rPr>
              <w:t>4.1 Overview of Investment Decision Context</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_Toc216379012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13</w:t>
            </w:r>
            <w:r w:rsidRPr="00085290">
              <w:rPr>
                <w:rFonts w:ascii="Times New Roman" w:eastAsia="Arial" w:hAnsi="Times New Roman" w:cs="Arial"/>
                <w:noProof/>
                <w:webHidden/>
                <w:kern w:val="0"/>
                <w:szCs w:val="22"/>
                <w:lang w:eastAsia="zh-CN"/>
                <w14:ligatures w14:val="none"/>
              </w:rPr>
              <w:fldChar w:fldCharType="end"/>
            </w:r>
          </w:hyperlink>
        </w:p>
        <w:p w14:paraId="5B7CBC34"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3" w:history="1">
            <w:r w:rsidRPr="00085290">
              <w:rPr>
                <w:rFonts w:ascii="Times New Roman" w:eastAsia="Arial" w:hAnsi="Times New Roman" w:cs="Arial"/>
                <w:noProof/>
                <w:color w:val="467886" w:themeColor="hyperlink"/>
                <w:kern w:val="0"/>
                <w:szCs w:val="22"/>
                <w:u w:val="single"/>
                <w:lang w:eastAsia="zh-CN"/>
                <w14:ligatures w14:val="none"/>
              </w:rPr>
              <w:t>4.2 Appraisal of Project A</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_Toc216379013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14</w:t>
            </w:r>
            <w:r w:rsidRPr="00085290">
              <w:rPr>
                <w:rFonts w:ascii="Times New Roman" w:eastAsia="Arial" w:hAnsi="Times New Roman" w:cs="Arial"/>
                <w:noProof/>
                <w:webHidden/>
                <w:kern w:val="0"/>
                <w:szCs w:val="22"/>
                <w:lang w:eastAsia="zh-CN"/>
                <w14:ligatures w14:val="none"/>
              </w:rPr>
              <w:fldChar w:fldCharType="end"/>
            </w:r>
          </w:hyperlink>
        </w:p>
        <w:p w14:paraId="5B4CF440"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4" w:history="1">
            <w:r w:rsidRPr="00085290">
              <w:rPr>
                <w:rFonts w:ascii="Times New Roman" w:eastAsia="Arial" w:hAnsi="Times New Roman" w:cs="Arial"/>
                <w:noProof/>
                <w:color w:val="467886" w:themeColor="hyperlink"/>
                <w:kern w:val="0"/>
                <w:szCs w:val="22"/>
                <w:u w:val="single"/>
                <w:lang w:eastAsia="zh-CN"/>
                <w14:ligatures w14:val="none"/>
              </w:rPr>
              <w:t>4.3 Appraisal of Project B</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_Toc216379014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14</w:t>
            </w:r>
            <w:r w:rsidRPr="00085290">
              <w:rPr>
                <w:rFonts w:ascii="Times New Roman" w:eastAsia="Arial" w:hAnsi="Times New Roman" w:cs="Arial"/>
                <w:noProof/>
                <w:webHidden/>
                <w:kern w:val="0"/>
                <w:szCs w:val="22"/>
                <w:lang w:eastAsia="zh-CN"/>
                <w14:ligatures w14:val="none"/>
              </w:rPr>
              <w:fldChar w:fldCharType="end"/>
            </w:r>
          </w:hyperlink>
        </w:p>
        <w:p w14:paraId="32432187"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5" w:history="1">
            <w:r w:rsidRPr="00085290">
              <w:rPr>
                <w:rFonts w:ascii="Times New Roman" w:eastAsia="Arial" w:hAnsi="Times New Roman" w:cs="Arial"/>
                <w:noProof/>
                <w:color w:val="467886" w:themeColor="hyperlink"/>
                <w:kern w:val="0"/>
                <w:szCs w:val="22"/>
                <w:u w:val="single"/>
                <w:lang w:eastAsia="zh-CN"/>
                <w14:ligatures w14:val="none"/>
              </w:rPr>
              <w:t>4.4 Appraisal of Project C</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_Toc216379015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15</w:t>
            </w:r>
            <w:r w:rsidRPr="00085290">
              <w:rPr>
                <w:rFonts w:ascii="Times New Roman" w:eastAsia="Arial" w:hAnsi="Times New Roman" w:cs="Arial"/>
                <w:noProof/>
                <w:webHidden/>
                <w:kern w:val="0"/>
                <w:szCs w:val="22"/>
                <w:lang w:eastAsia="zh-CN"/>
                <w14:ligatures w14:val="none"/>
              </w:rPr>
              <w:fldChar w:fldCharType="end"/>
            </w:r>
          </w:hyperlink>
        </w:p>
        <w:p w14:paraId="546A0F8F"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6" w:history="1">
            <w:r w:rsidRPr="00085290">
              <w:rPr>
                <w:rFonts w:ascii="Times New Roman" w:eastAsia="Arial" w:hAnsi="Times New Roman" w:cs="Arial"/>
                <w:noProof/>
                <w:color w:val="467886" w:themeColor="hyperlink"/>
                <w:kern w:val="0"/>
                <w:szCs w:val="22"/>
                <w:u w:val="single"/>
                <w:lang w:eastAsia="zh-CN"/>
                <w14:ligatures w14:val="none"/>
              </w:rPr>
              <w:t>4.5 Comparative Analysis of Investment Results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_Toc216379016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15</w:t>
            </w:r>
            <w:r w:rsidRPr="00085290">
              <w:rPr>
                <w:rFonts w:ascii="Times New Roman" w:eastAsia="Arial" w:hAnsi="Times New Roman" w:cs="Arial"/>
                <w:noProof/>
                <w:webHidden/>
                <w:kern w:val="0"/>
                <w:szCs w:val="22"/>
                <w:lang w:eastAsia="zh-CN"/>
                <w14:ligatures w14:val="none"/>
              </w:rPr>
              <w:fldChar w:fldCharType="end"/>
            </w:r>
          </w:hyperlink>
        </w:p>
        <w:p w14:paraId="03E3C0C9"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17" w:history="1">
            <w:r w:rsidRPr="00085290">
              <w:rPr>
                <w:rFonts w:ascii="Times New Roman" w:eastAsia="Arial" w:hAnsi="Times New Roman" w:cs="Arial"/>
                <w:noProof/>
                <w:color w:val="467886" w:themeColor="hyperlink"/>
                <w:kern w:val="0"/>
                <w:szCs w:val="22"/>
                <w:u w:val="single"/>
                <w:lang w:eastAsia="zh-CN"/>
                <w14:ligatures w14:val="none"/>
              </w:rPr>
              <w:t>4.6 Final Investment Recommendation Under £60m Constraint</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_Toc216379017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16</w:t>
            </w:r>
            <w:r w:rsidRPr="00085290">
              <w:rPr>
                <w:rFonts w:ascii="Times New Roman" w:eastAsia="Arial" w:hAnsi="Times New Roman" w:cs="Arial"/>
                <w:noProof/>
                <w:webHidden/>
                <w:kern w:val="0"/>
                <w:szCs w:val="22"/>
                <w:lang w:eastAsia="zh-CN"/>
                <w14:ligatures w14:val="none"/>
              </w:rPr>
              <w:fldChar w:fldCharType="end"/>
            </w:r>
          </w:hyperlink>
        </w:p>
        <w:p w14:paraId="53679EB5" w14:textId="77777777" w:rsidR="00085290" w:rsidRPr="00085290" w:rsidRDefault="00085290" w:rsidP="00085290">
          <w:pPr>
            <w:tabs>
              <w:tab w:val="right" w:leader="dot" w:pos="9019"/>
            </w:tabs>
            <w:spacing w:before="120" w:after="100" w:line="360" w:lineRule="auto"/>
            <w:jc w:val="both"/>
            <w:rPr>
              <w:noProof/>
              <w:lang w:val="en-IN" w:eastAsia="zh-CN"/>
            </w:rPr>
          </w:pPr>
          <w:hyperlink w:anchor="_Toc216379018" w:history="1">
            <w:r w:rsidRPr="00085290">
              <w:rPr>
                <w:rFonts w:ascii="Times New Roman" w:eastAsia="Arial" w:hAnsi="Times New Roman" w:cs="Arial"/>
                <w:noProof/>
                <w:color w:val="467886" w:themeColor="hyperlink"/>
                <w:kern w:val="0"/>
                <w:szCs w:val="22"/>
                <w:u w:val="single"/>
                <w:lang w:eastAsia="zh-CN"/>
                <w14:ligatures w14:val="none"/>
              </w:rPr>
              <w:t>Reference List</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_Toc216379018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17</w:t>
            </w:r>
            <w:r w:rsidRPr="00085290">
              <w:rPr>
                <w:rFonts w:ascii="Times New Roman" w:eastAsia="Arial" w:hAnsi="Times New Roman" w:cs="Arial"/>
                <w:noProof/>
                <w:webHidden/>
                <w:kern w:val="0"/>
                <w:szCs w:val="22"/>
                <w:lang w:eastAsia="zh-CN"/>
                <w14:ligatures w14:val="none"/>
              </w:rPr>
              <w:fldChar w:fldCharType="end"/>
            </w:r>
          </w:hyperlink>
        </w:p>
        <w:p w14:paraId="49406EBA" w14:textId="77777777" w:rsidR="00085290" w:rsidRPr="00085290" w:rsidRDefault="00085290" w:rsidP="00085290">
          <w:pPr>
            <w:tabs>
              <w:tab w:val="right" w:leader="dot" w:pos="9019"/>
            </w:tabs>
            <w:spacing w:before="120" w:after="100" w:line="360" w:lineRule="auto"/>
            <w:jc w:val="both"/>
            <w:rPr>
              <w:noProof/>
              <w:lang w:val="en-IN" w:eastAsia="zh-CN"/>
            </w:rPr>
          </w:pPr>
          <w:hyperlink w:anchor="_Toc216379019" w:history="1">
            <w:r w:rsidRPr="00085290">
              <w:rPr>
                <w:rFonts w:ascii="Times New Roman" w:eastAsia="Arial" w:hAnsi="Times New Roman" w:cs="Arial"/>
                <w:noProof/>
                <w:color w:val="467886" w:themeColor="hyperlink"/>
                <w:kern w:val="0"/>
                <w:szCs w:val="22"/>
                <w:u w:val="single"/>
                <w:lang w:val="en-IN" w:eastAsia="zh-CN"/>
                <w14:ligatures w14:val="none"/>
              </w:rPr>
              <w:t>Appendices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_Toc216379019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20</w:t>
            </w:r>
            <w:r w:rsidRPr="00085290">
              <w:rPr>
                <w:rFonts w:ascii="Times New Roman" w:eastAsia="Arial" w:hAnsi="Times New Roman" w:cs="Arial"/>
                <w:noProof/>
                <w:webHidden/>
                <w:kern w:val="0"/>
                <w:szCs w:val="22"/>
                <w:lang w:eastAsia="zh-CN"/>
                <w14:ligatures w14:val="none"/>
              </w:rPr>
              <w:fldChar w:fldCharType="end"/>
            </w:r>
          </w:hyperlink>
        </w:p>
        <w:p w14:paraId="47E4C1C4"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20" w:history="1">
            <w:r w:rsidRPr="00085290">
              <w:rPr>
                <w:rFonts w:ascii="Times New Roman" w:eastAsia="Arial" w:hAnsi="Times New Roman" w:cs="Arial"/>
                <w:noProof/>
                <w:color w:val="467886" w:themeColor="hyperlink"/>
                <w:kern w:val="0"/>
                <w:szCs w:val="22"/>
                <w:u w:val="single"/>
                <w:lang w:val="en-IN" w:eastAsia="zh-CN"/>
                <w14:ligatures w14:val="none"/>
              </w:rPr>
              <w:t>Appendix 1: Ratio Analysis</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_Toc216379020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20</w:t>
            </w:r>
            <w:r w:rsidRPr="00085290">
              <w:rPr>
                <w:rFonts w:ascii="Times New Roman" w:eastAsia="Arial" w:hAnsi="Times New Roman" w:cs="Arial"/>
                <w:noProof/>
                <w:webHidden/>
                <w:kern w:val="0"/>
                <w:szCs w:val="22"/>
                <w:lang w:eastAsia="zh-CN"/>
                <w14:ligatures w14:val="none"/>
              </w:rPr>
              <w:fldChar w:fldCharType="end"/>
            </w:r>
          </w:hyperlink>
        </w:p>
        <w:p w14:paraId="2DEA6122"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21" w:history="1">
            <w:r w:rsidRPr="00085290">
              <w:rPr>
                <w:rFonts w:ascii="Times New Roman" w:eastAsia="Arial" w:hAnsi="Times New Roman" w:cs="Arial"/>
                <w:noProof/>
                <w:color w:val="467886" w:themeColor="hyperlink"/>
                <w:kern w:val="0"/>
                <w:szCs w:val="22"/>
                <w:u w:val="single"/>
                <w:lang w:eastAsia="zh-CN"/>
                <w14:ligatures w14:val="none"/>
              </w:rPr>
              <w:t>Appendix 2: Altman Z</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_Toc216379021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20</w:t>
            </w:r>
            <w:r w:rsidRPr="00085290">
              <w:rPr>
                <w:rFonts w:ascii="Times New Roman" w:eastAsia="Arial" w:hAnsi="Times New Roman" w:cs="Arial"/>
                <w:noProof/>
                <w:webHidden/>
                <w:kern w:val="0"/>
                <w:szCs w:val="22"/>
                <w:lang w:eastAsia="zh-CN"/>
                <w14:ligatures w14:val="none"/>
              </w:rPr>
              <w:fldChar w:fldCharType="end"/>
            </w:r>
          </w:hyperlink>
        </w:p>
        <w:p w14:paraId="139D2288"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22" w:history="1">
            <w:r w:rsidRPr="00085290">
              <w:rPr>
                <w:rFonts w:ascii="Times New Roman" w:eastAsia="Arial" w:hAnsi="Times New Roman" w:cs="Arial"/>
                <w:noProof/>
                <w:color w:val="467886" w:themeColor="hyperlink"/>
                <w:kern w:val="0"/>
                <w:szCs w:val="22"/>
                <w:u w:val="single"/>
                <w:lang w:eastAsia="zh-CN"/>
                <w14:ligatures w14:val="none"/>
              </w:rPr>
              <w:t>Appendix 3: Cash Conversion Cycle (CCC)</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_Toc216379022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20</w:t>
            </w:r>
            <w:r w:rsidRPr="00085290">
              <w:rPr>
                <w:rFonts w:ascii="Times New Roman" w:eastAsia="Arial" w:hAnsi="Times New Roman" w:cs="Arial"/>
                <w:noProof/>
                <w:webHidden/>
                <w:kern w:val="0"/>
                <w:szCs w:val="22"/>
                <w:lang w:eastAsia="zh-CN"/>
                <w14:ligatures w14:val="none"/>
              </w:rPr>
              <w:fldChar w:fldCharType="end"/>
            </w:r>
          </w:hyperlink>
        </w:p>
        <w:p w14:paraId="0E427255" w14:textId="77777777" w:rsidR="00085290" w:rsidRPr="00085290" w:rsidRDefault="00085290" w:rsidP="00085290">
          <w:pPr>
            <w:tabs>
              <w:tab w:val="right" w:leader="dot" w:pos="9019"/>
            </w:tabs>
            <w:spacing w:before="120" w:after="100" w:line="360" w:lineRule="auto"/>
            <w:ind w:left="240"/>
            <w:jc w:val="both"/>
            <w:rPr>
              <w:noProof/>
              <w:lang w:val="en-IN" w:eastAsia="zh-CN"/>
            </w:rPr>
          </w:pPr>
          <w:hyperlink w:anchor="_Toc216379023" w:history="1">
            <w:r w:rsidRPr="00085290">
              <w:rPr>
                <w:rFonts w:ascii="Times New Roman" w:eastAsia="Arial" w:hAnsi="Times New Roman" w:cs="Arial"/>
                <w:noProof/>
                <w:color w:val="467886" w:themeColor="hyperlink"/>
                <w:kern w:val="0"/>
                <w:szCs w:val="22"/>
                <w:u w:val="single"/>
                <w:lang w:eastAsia="zh-CN"/>
                <w14:ligatures w14:val="none"/>
              </w:rPr>
              <w:t>Appendix 4: Computation of Investment Appraisal Techniques (values in (£m)</w:t>
            </w:r>
            <w:r w:rsidRPr="00085290">
              <w:rPr>
                <w:rFonts w:ascii="Times New Roman" w:eastAsia="Arial" w:hAnsi="Times New Roman" w:cs="Arial"/>
                <w:noProof/>
                <w:webHidden/>
                <w:kern w:val="0"/>
                <w:szCs w:val="22"/>
                <w:lang w:eastAsia="zh-CN"/>
                <w14:ligatures w14:val="none"/>
              </w:rPr>
              <w:tab/>
            </w:r>
            <w:r w:rsidRPr="00085290">
              <w:rPr>
                <w:rFonts w:ascii="Times New Roman" w:eastAsia="Arial" w:hAnsi="Times New Roman" w:cs="Arial"/>
                <w:noProof/>
                <w:webHidden/>
                <w:kern w:val="0"/>
                <w:szCs w:val="22"/>
                <w:lang w:eastAsia="zh-CN"/>
                <w14:ligatures w14:val="none"/>
              </w:rPr>
              <w:fldChar w:fldCharType="begin"/>
            </w:r>
            <w:r w:rsidRPr="00085290">
              <w:rPr>
                <w:rFonts w:ascii="Times New Roman" w:eastAsia="Arial" w:hAnsi="Times New Roman" w:cs="Arial"/>
                <w:noProof/>
                <w:webHidden/>
                <w:kern w:val="0"/>
                <w:szCs w:val="22"/>
                <w:lang w:eastAsia="zh-CN"/>
                <w14:ligatures w14:val="none"/>
              </w:rPr>
              <w:instrText xml:space="preserve"> PAGEREF _Toc216379023 \h </w:instrText>
            </w:r>
            <w:r w:rsidRPr="00085290">
              <w:rPr>
                <w:rFonts w:ascii="Times New Roman" w:eastAsia="Arial" w:hAnsi="Times New Roman" w:cs="Arial"/>
                <w:noProof/>
                <w:webHidden/>
                <w:kern w:val="0"/>
                <w:szCs w:val="22"/>
                <w:lang w:eastAsia="zh-CN"/>
                <w14:ligatures w14:val="none"/>
              </w:rPr>
            </w:r>
            <w:r w:rsidRPr="00085290">
              <w:rPr>
                <w:rFonts w:ascii="Times New Roman" w:eastAsia="Arial" w:hAnsi="Times New Roman" w:cs="Arial"/>
                <w:noProof/>
                <w:webHidden/>
                <w:kern w:val="0"/>
                <w:szCs w:val="22"/>
                <w:lang w:eastAsia="zh-CN"/>
                <w14:ligatures w14:val="none"/>
              </w:rPr>
              <w:fldChar w:fldCharType="separate"/>
            </w:r>
            <w:r w:rsidRPr="00085290">
              <w:rPr>
                <w:rFonts w:ascii="Times New Roman" w:eastAsia="Arial" w:hAnsi="Times New Roman" w:cs="Arial"/>
                <w:noProof/>
                <w:webHidden/>
                <w:kern w:val="0"/>
                <w:szCs w:val="22"/>
                <w:lang w:eastAsia="zh-CN"/>
                <w14:ligatures w14:val="none"/>
              </w:rPr>
              <w:t>21</w:t>
            </w:r>
            <w:r w:rsidRPr="00085290">
              <w:rPr>
                <w:rFonts w:ascii="Times New Roman" w:eastAsia="Arial" w:hAnsi="Times New Roman" w:cs="Arial"/>
                <w:noProof/>
                <w:webHidden/>
                <w:kern w:val="0"/>
                <w:szCs w:val="22"/>
                <w:lang w:eastAsia="zh-CN"/>
                <w14:ligatures w14:val="none"/>
              </w:rPr>
              <w:fldChar w:fldCharType="end"/>
            </w:r>
          </w:hyperlink>
        </w:p>
        <w:p w14:paraId="2628DFD4" w14:textId="77777777" w:rsidR="00085290" w:rsidRPr="00085290" w:rsidRDefault="00085290" w:rsidP="00085290">
          <w:pPr>
            <w:spacing w:before="120" w:after="120" w:line="360" w:lineRule="auto"/>
            <w:jc w:val="both"/>
            <w:rPr>
              <w:rFonts w:ascii="Times New Roman" w:eastAsia="Arial" w:hAnsi="Times New Roman" w:cs="Arial"/>
              <w:kern w:val="0"/>
              <w:szCs w:val="22"/>
              <w:lang w:eastAsia="zh-CN"/>
              <w14:ligatures w14:val="none"/>
            </w:rPr>
          </w:pPr>
          <w:r w:rsidRPr="00085290">
            <w:rPr>
              <w:rFonts w:ascii="Times New Roman" w:eastAsia="Arial" w:hAnsi="Times New Roman" w:cs="Arial"/>
              <w:b/>
              <w:bCs/>
              <w:noProof/>
              <w:kern w:val="0"/>
              <w:szCs w:val="22"/>
              <w:lang w:eastAsia="zh-CN"/>
              <w14:ligatures w14:val="none"/>
            </w:rPr>
            <w:fldChar w:fldCharType="end"/>
          </w:r>
        </w:p>
      </w:sdtContent>
    </w:sdt>
    <w:p w14:paraId="091F7D4B" w14:textId="77777777" w:rsidR="00085290" w:rsidRPr="00085290" w:rsidRDefault="00085290" w:rsidP="00085290">
      <w:pPr>
        <w:spacing w:before="120" w:after="120" w:line="360" w:lineRule="auto"/>
        <w:jc w:val="both"/>
        <w:rPr>
          <w:rFonts w:ascii="Times New Roman" w:eastAsia="Times New Roman" w:hAnsi="Times New Roman" w:cs="Times New Roman"/>
          <w:b/>
          <w:bCs/>
          <w:kern w:val="0"/>
          <w:lang w:eastAsia="zh-CN"/>
          <w14:ligatures w14:val="none"/>
        </w:rPr>
      </w:pPr>
      <w:r w:rsidRPr="00085290">
        <w:rPr>
          <w:rFonts w:ascii="Times New Roman" w:eastAsia="Times New Roman" w:hAnsi="Times New Roman" w:cs="Times New Roman"/>
          <w:b/>
          <w:bCs/>
          <w:kern w:val="0"/>
          <w:lang w:eastAsia="zh-CN"/>
          <w14:ligatures w14:val="none"/>
        </w:rPr>
        <w:br w:type="page"/>
      </w:r>
    </w:p>
    <w:p w14:paraId="18165F58" w14:textId="77777777" w:rsidR="00085290" w:rsidRPr="00085290" w:rsidRDefault="00085290" w:rsidP="2B0AED11">
      <w:pPr>
        <w:keepNext/>
        <w:keepLines/>
        <w:spacing w:before="400" w:after="120" w:line="360" w:lineRule="auto"/>
        <w:jc w:val="both"/>
        <w:outlineLvl w:val="0"/>
        <w:rPr>
          <w:rFonts w:ascii="Times New Roman" w:eastAsia="Arial" w:hAnsi="Times New Roman" w:cs="Arial"/>
          <w:b/>
          <w:bCs/>
          <w:kern w:val="0"/>
          <w:sz w:val="28"/>
          <w:szCs w:val="28"/>
          <w:lang w:eastAsia="zh-CN"/>
          <w14:ligatures w14:val="none"/>
        </w:rPr>
      </w:pPr>
      <w:bookmarkStart w:id="0" w:name="_Toc216378990"/>
      <w:r w:rsidRPr="2B0AED11">
        <w:rPr>
          <w:rFonts w:ascii="Times New Roman" w:eastAsia="Arial" w:hAnsi="Times New Roman" w:cs="Arial"/>
          <w:b/>
          <w:bCs/>
          <w:kern w:val="0"/>
          <w:sz w:val="28"/>
          <w:szCs w:val="28"/>
          <w:lang w:eastAsia="zh-CN"/>
          <w14:ligatures w14:val="none"/>
        </w:rPr>
        <w:t>1. Financial Health Check</w:t>
      </w:r>
      <w:bookmarkEnd w:id="0"/>
      <w:r w:rsidRPr="2B0AED11">
        <w:rPr>
          <w:rFonts w:ascii="Times New Roman" w:eastAsia="Arial" w:hAnsi="Times New Roman" w:cs="Arial"/>
          <w:b/>
          <w:bCs/>
          <w:kern w:val="0"/>
          <w:sz w:val="28"/>
          <w:szCs w:val="28"/>
          <w:lang w:eastAsia="zh-CN"/>
          <w14:ligatures w14:val="none"/>
        </w:rPr>
        <w:t xml:space="preserve"> </w:t>
      </w:r>
    </w:p>
    <w:p w14:paraId="2D54762E"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1" w:name="_Toc216378991"/>
      <w:r w:rsidRPr="2B0AED11">
        <w:rPr>
          <w:rFonts w:ascii="Times New Roman" w:eastAsia="Arial" w:hAnsi="Times New Roman" w:cs="Arial"/>
          <w:b/>
          <w:bCs/>
          <w:kern w:val="0"/>
          <w:lang w:eastAsia="zh-CN"/>
          <w14:ligatures w14:val="none"/>
        </w:rPr>
        <w:t>1.1 Overview of Five-Year Financial Performance</w:t>
      </w:r>
      <w:bookmarkEnd w:id="1"/>
    </w:p>
    <w:p w14:paraId="1C4699E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financial performance of General Electronics in the last five years has shown a major decline in revenue, profitability, and operational stability. The net sales fell steadily between the years 2020 and 2024, which is between £614.7bn and £394.9bn, respectively; an overall shrinkage of 36%. This sharp decline indicates competition, loss of relevance of the product, and may be operational efficiency. There was a severe decline in profitability, and the net income went down to losses of £24bn and £98bn in 2024 and 2023, respectively. Both 2023 and 2024 operating income became negative, which indicated weaknesses in the management of costs and a reduction in margins. The firm has had the benefits of revenue erosion, but still has positive operating cash flows, but now they are reduced to between £14.8bn (2024) and 73bn (2020). The Balance sheet represents a falling asset and declining equity, which is caused by cumulative losses and impairments. </w:t>
      </w:r>
    </w:p>
    <w:p w14:paraId="5B8C036B"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2" w:name="_Toc216378992"/>
      <w:r w:rsidRPr="2B0AED11">
        <w:rPr>
          <w:rFonts w:ascii="Times New Roman" w:eastAsia="Arial" w:hAnsi="Times New Roman" w:cs="Arial"/>
          <w:b/>
          <w:bCs/>
          <w:kern w:val="0"/>
          <w:lang w:eastAsia="zh-CN"/>
          <w14:ligatures w14:val="none"/>
        </w:rPr>
        <w:t>1.2 Profitability Analysis</w:t>
      </w:r>
      <w:bookmarkEnd w:id="2"/>
    </w:p>
    <w:p w14:paraId="256C1669" w14:textId="77777777" w:rsidR="00085290" w:rsidRPr="00085290" w:rsidRDefault="00085290" w:rsidP="00085290">
      <w:pPr>
        <w:spacing w:before="120" w:after="120" w:line="360" w:lineRule="auto"/>
        <w:jc w:val="both"/>
        <w:rPr>
          <w:rFonts w:ascii="Times New Roman" w:eastAsia="Times New Roman" w:hAnsi="Times New Roman" w:cs="Times New Roman"/>
          <w:kern w:val="0"/>
          <w:szCs w:val="22"/>
          <w:lang w:eastAsia="zh-CN"/>
          <w14:ligatures w14:val="none"/>
        </w:rPr>
      </w:pPr>
      <w:r w:rsidRPr="00085290">
        <w:rPr>
          <w:rFonts w:ascii="Times New Roman" w:eastAsia="Arial" w:hAnsi="Times New Roman" w:cs="Arial"/>
          <w:kern w:val="0"/>
          <w:szCs w:val="22"/>
          <w:lang w:eastAsia="zh-CN"/>
          <w14:ligatures w14:val="none"/>
        </w:rPr>
        <w:t xml:space="preserve">The profitability ratios show a high level of deterioration as the company is shifting towards low profitability or permanent losses </w:t>
      </w:r>
      <w:r w:rsidRPr="00085290">
        <w:rPr>
          <w:rFonts w:ascii="Times New Roman" w:eastAsia="Arial" w:hAnsi="Times New Roman" w:cs="Arial"/>
          <w:i/>
          <w:iCs/>
          <w:kern w:val="0"/>
          <w:szCs w:val="22"/>
          <w:lang w:eastAsia="zh-CN"/>
          <w14:ligatures w14:val="none"/>
        </w:rPr>
        <w:t>[Referred to Appendix 1]</w:t>
      </w:r>
      <w:r w:rsidRPr="00085290">
        <w:rPr>
          <w:rFonts w:ascii="Times New Roman" w:eastAsia="Arial" w:hAnsi="Times New Roman" w:cs="Arial"/>
          <w:kern w:val="0"/>
          <w:szCs w:val="22"/>
          <w:lang w:eastAsia="zh-CN"/>
          <w14:ligatures w14:val="none"/>
        </w:rPr>
        <w:t xml:space="preserve">. The gross margin stayed in a more or less stable range in 2020-2022 (≈28-29%), which means that efficiency in direct production costs was not the main problem. Nonetheless, the gross margin declined to 23.2% in 2023 and partly improved to 28.9% in 2024 as a result of cost rationalisation rather than an increase in revenue (Andrianto and Amin, 2023, p.3433). Operating margin demonstrates a worse fall and becomes negative, from 6.1% respectively to -20.3 in 2024. This indicates inflation in overheads, reorganization costs, and eroding economies of scale as volumes declined. Net margin is not an exception, which showed a decrease from 6.28 percent (2020) to -23.36 percent (2023) and an increase to -6.08 percent (2024), but still negative. The loss in 2023 is particularly motivated by a goodwill impairment amounting to £49bn, which decreased the reported profitability considerably. Nonetheless, consecutive years of negative net margins imply underlying problems of operation. Return on Assets (ROA) indicates a decreasing profitability of -27.6 in 2023, before returning to a margin of -7.43 in 2024. Return on Equity (ROE) is even more volatile as it decreased to -54.9% against 12.31% (Rijata et al., 2022, p.69). </w:t>
      </w:r>
    </w:p>
    <w:p w14:paraId="3EA47B42"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 w:name="_Toc216378993"/>
      <w:r w:rsidRPr="2B0AED11">
        <w:rPr>
          <w:rFonts w:ascii="Times New Roman" w:eastAsia="Arial" w:hAnsi="Times New Roman" w:cs="Arial"/>
          <w:b/>
          <w:bCs/>
          <w:kern w:val="0"/>
          <w:lang w:eastAsia="zh-CN"/>
          <w14:ligatures w14:val="none"/>
        </w:rPr>
        <w:t>1.3 Liquidity Analysis</w:t>
      </w:r>
      <w:bookmarkEnd w:id="3"/>
    </w:p>
    <w:p w14:paraId="471966E5"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liquidity ratios indicate that General Electronics has a seemingly satisfactory short-term liquidity position, but the underlying dynamics are not strong </w:t>
      </w:r>
      <w:r w:rsidRPr="00085290">
        <w:rPr>
          <w:rFonts w:ascii="Times New Roman" w:eastAsia="Times New Roman" w:hAnsi="Times New Roman" w:cs="Times New Roman"/>
          <w:i/>
          <w:iCs/>
          <w:kern w:val="0"/>
          <w:lang w:eastAsia="zh-CN"/>
          <w14:ligatures w14:val="none"/>
        </w:rPr>
        <w:t>[Referred to Appendix 1]</w:t>
      </w:r>
      <w:r w:rsidRPr="00085290">
        <w:rPr>
          <w:rFonts w:ascii="Times New Roman" w:eastAsia="Times New Roman" w:hAnsi="Times New Roman" w:cs="Times New Roman"/>
          <w:kern w:val="0"/>
          <w:lang w:eastAsia="zh-CN"/>
          <w14:ligatures w14:val="none"/>
        </w:rPr>
        <w:t xml:space="preserve">. The current ratio changes between 1.53 and 1.82, remaining higher than the traditional level of 1.0. The current ratio of 1.53 in 2024 compared to 1.61 in 2023 shows that the working capital flexibility has decreased because the assets decreased more than the liabilities (Handayani et al., 2023, p.867). Although these values indicate short-term solvency, they might be misleading because of the decreasing cash balances and an increase in the dependence on inventory and receivables. The quick ratio is more reserved. It decreases in 2024 to 0.89, which is lower than 1.0 for three years in a row from 2020. This means that it has inadequate quality liquid assets to meet short-term liabilities without having to rely on inventory sales (Pandeirot et al., 2022, p.528). A decline in the cash reserves, which dropped to £26.7bn in 2024 compared to £57bn as of 2020, undermines the strength of liquidity further. Despite the high accounts receivable, the receivable days rose by 76.86 days (2020) to 105.54 days (2024), which indicates worsened customer credit performance and reduced conversion of cash. </w:t>
      </w:r>
    </w:p>
    <w:p w14:paraId="348D49D1"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4" w:name="_Toc216378994"/>
      <w:r w:rsidRPr="2B0AED11">
        <w:rPr>
          <w:rFonts w:ascii="Times New Roman" w:eastAsia="Arial" w:hAnsi="Times New Roman" w:cs="Arial"/>
          <w:b/>
          <w:bCs/>
          <w:kern w:val="0"/>
          <w:lang w:eastAsia="zh-CN"/>
          <w14:ligatures w14:val="none"/>
        </w:rPr>
        <w:t>1.4 Efficiency / Working Capital Ratios</w:t>
      </w:r>
      <w:bookmarkEnd w:id="4"/>
    </w:p>
    <w:p w14:paraId="2B559C9C"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efficiency ratios indicate deteriorating operational performance and a reduction in working capital effectiveness </w:t>
      </w:r>
      <w:r w:rsidRPr="00085290">
        <w:rPr>
          <w:rFonts w:ascii="Times New Roman" w:eastAsia="Times New Roman" w:hAnsi="Times New Roman" w:cs="Times New Roman"/>
          <w:i/>
          <w:iCs/>
          <w:kern w:val="0"/>
          <w:lang w:eastAsia="zh-CN"/>
          <w14:ligatures w14:val="none"/>
        </w:rPr>
        <w:t>[Referred to Appendix 1]</w:t>
      </w:r>
      <w:r w:rsidRPr="00085290">
        <w:rPr>
          <w:rFonts w:ascii="Times New Roman" w:eastAsia="Times New Roman" w:hAnsi="Times New Roman" w:cs="Times New Roman"/>
          <w:kern w:val="0"/>
          <w:lang w:eastAsia="zh-CN"/>
          <w14:ligatures w14:val="none"/>
        </w:rPr>
        <w:t>. The inventory turnover has a high and low point of 2.79x and 3.54x, respectively, in 2022 and 2024. The respective inventory days show that there is an escalating growth in holding periods, which have gone up to 131 days (2022) before culminating at 103 days (2024). These long periods of inventory turnover refer to slow stock and potential outdated stock, and poor demand predictions (Aljaaidi and Bagais, 2020, p.1113). The trend of accounts receivable days is not good enough, as the level has increased to 105.5 days (2024) as compared to 76.9 days (2020). This is an indication of loose credit conditions or reduced pay discipline among the customers, which ends up slowing the collection of cash (Vásquez Villanueva et al., 2021, p.219). This, together with decreasing sales, means that the company is becoming less efficient in its operations, and its bargaining power with customers decreases. Payable management also displays some strain, albeit not directly reflected in the ratios which are disclosed; cash flow statements reflect significant positive contributions, such as the rising payable in 2024, and this indicates supplier stretching. A combination of these signals indicates that the working capital cycle of General Electronics is getting longer and relies more on the short-term financing of creditors. This declining performance has been a major contributor to progressive liquidity and falling operational strength of the company.</w:t>
      </w:r>
    </w:p>
    <w:p w14:paraId="0E65E3AB"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5" w:name="_Toc216378995"/>
      <w:r w:rsidRPr="2B0AED11">
        <w:rPr>
          <w:rFonts w:ascii="Times New Roman" w:eastAsia="Arial" w:hAnsi="Times New Roman" w:cs="Arial"/>
          <w:b/>
          <w:bCs/>
          <w:kern w:val="0"/>
          <w:lang w:eastAsia="zh-CN"/>
          <w14:ligatures w14:val="none"/>
        </w:rPr>
        <w:t>1.5 Gearing and Capital Structure Analysis</w:t>
      </w:r>
      <w:bookmarkEnd w:id="5"/>
    </w:p>
    <w:p w14:paraId="75DBC62C"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In the capital structure, General Electronics has been showing an increasing financial risk even though the leverage levels have been moderating in the past years </w:t>
      </w:r>
      <w:r w:rsidRPr="00085290">
        <w:rPr>
          <w:rFonts w:ascii="Times New Roman" w:eastAsia="Times New Roman" w:hAnsi="Times New Roman" w:cs="Times New Roman"/>
          <w:i/>
          <w:iCs/>
          <w:kern w:val="0"/>
          <w:lang w:eastAsia="zh-CN"/>
          <w14:ligatures w14:val="none"/>
        </w:rPr>
        <w:t>[Referred to Appendix 1]</w:t>
      </w:r>
      <w:r w:rsidRPr="00085290">
        <w:rPr>
          <w:rFonts w:ascii="Times New Roman" w:eastAsia="Times New Roman" w:hAnsi="Times New Roman" w:cs="Times New Roman"/>
          <w:kern w:val="0"/>
          <w:lang w:eastAsia="zh-CN"/>
          <w14:ligatures w14:val="none"/>
        </w:rPr>
        <w:t>. The debt-to-equity ratio rose from 0.63 in 2020 to 1.11 in 2024, which shows that the company is more dependent on debt financing and less on equity than before. Equity decline, which is estimated to be down to £153bn in 2024 after being £313bn in 2020, is mainly due to massive accumulated losses and impairments. With the weakening of equity, even fixed levels of debt seem riskier. This trend is highlighted in the equity ratio because it fell by 61.4 percent (2020) to 47.3 percent (2024), showing the deterioration of the capital cushion. Leverage is not very high in comparison with other industry players. However, the problem is that the profitability is getting worse, and cash flow support is weak. As the credit quality decreases, the risks of refinancing increase. Further, the short-term lines of credit of General Electronics are volatile, as they peaked at 88bn pounds in 2022 and did not decrease further. This reliance on short-term borrowing heightens the rollover risk and subjects the firm to fluctuations in interest rates.</w:t>
      </w:r>
    </w:p>
    <w:p w14:paraId="0B4E88E3"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6" w:name="_Toc216378996"/>
      <w:r w:rsidRPr="2B0AED11">
        <w:rPr>
          <w:rFonts w:ascii="Times New Roman" w:eastAsia="Arial" w:hAnsi="Times New Roman" w:cs="Arial"/>
          <w:b/>
          <w:bCs/>
          <w:kern w:val="0"/>
          <w:lang w:eastAsia="zh-CN"/>
          <w14:ligatures w14:val="none"/>
        </w:rPr>
        <w:t>1.6 Investment Ratios</w:t>
      </w:r>
      <w:bookmarkEnd w:id="6"/>
    </w:p>
    <w:p w14:paraId="5EE62C87"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General Electronics has been recording a growing financial risk in the capital structure despite the moderate levels of leverage taken over the previous years </w:t>
      </w:r>
      <w:r w:rsidRPr="00085290">
        <w:rPr>
          <w:rFonts w:ascii="Times New Roman" w:eastAsia="Times New Roman" w:hAnsi="Times New Roman" w:cs="Times New Roman"/>
          <w:i/>
          <w:iCs/>
          <w:kern w:val="0"/>
          <w:lang w:eastAsia="zh-CN"/>
          <w14:ligatures w14:val="none"/>
        </w:rPr>
        <w:t>[Referred to Appendix 1]</w:t>
      </w:r>
      <w:r w:rsidRPr="00085290">
        <w:rPr>
          <w:rFonts w:ascii="Times New Roman" w:eastAsia="Times New Roman" w:hAnsi="Times New Roman" w:cs="Times New Roman"/>
          <w:kern w:val="0"/>
          <w:lang w:eastAsia="zh-CN"/>
          <w14:ligatures w14:val="none"/>
        </w:rPr>
        <w:t>. Debt-to-equity ratio increased to 1.11 in 2024 as compared to 0.63 in 2020, indicating that the business relies on debt financing and less equity now than it used to be (Rijata et al., 2022, p.70). The reason is equity decline, which is projected to fall as low as 153bn in 2024 after being £313bn in 2020, mostly caused by huge accumulated losses and impairments. Even the fixed levels of debt appear to be safer with the weakening of equity. Such a tendency is reflected in the equity ratio since it dropped by 61.4 percent (2020) to 47.3 percent (2024), indicating a decline in the capital cushion. Its leverage is not considered to be high compared to other industry participants. The issue, however, is that the profitability is increasingly deteriorating, and there is poor cash flow support. The lower the quality of the credit, the greater the risks of refinancing become. In addition, General Electronics' short-term lines of credit are fluctuating, as it reached its highest point of £88bn pounds in 2022 and has not dropped any further. This dependence on short-term borrowing increases the rollover risk and exposes the firm to interest rate fluctuations.</w:t>
      </w:r>
    </w:p>
    <w:p w14:paraId="3F471C7F"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7" w:name="_Toc216378997"/>
      <w:r w:rsidRPr="2B0AED11">
        <w:rPr>
          <w:rFonts w:ascii="Times New Roman" w:eastAsia="Arial" w:hAnsi="Times New Roman" w:cs="Arial"/>
          <w:b/>
          <w:bCs/>
          <w:kern w:val="0"/>
          <w:lang w:eastAsia="zh-CN"/>
          <w14:ligatures w14:val="none"/>
        </w:rPr>
        <w:t>1.7 Cash Flow Quality Assessment</w:t>
      </w:r>
      <w:bookmarkEnd w:id="7"/>
    </w:p>
    <w:p w14:paraId="261D0BBB"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quality of cash flow analysis is an indication of inconsistencies in earnings and cash generation </w:t>
      </w:r>
      <w:r w:rsidRPr="00085290">
        <w:rPr>
          <w:rFonts w:ascii="Times New Roman" w:eastAsia="Times New Roman" w:hAnsi="Times New Roman" w:cs="Times New Roman"/>
          <w:i/>
          <w:iCs/>
          <w:kern w:val="0"/>
          <w:lang w:eastAsia="zh-CN"/>
          <w14:ligatures w14:val="none"/>
        </w:rPr>
        <w:t>[Referred to Appendix 1]</w:t>
      </w:r>
      <w:r w:rsidRPr="00085290">
        <w:rPr>
          <w:rFonts w:ascii="Times New Roman" w:eastAsia="Times New Roman" w:hAnsi="Times New Roman" w:cs="Times New Roman"/>
          <w:kern w:val="0"/>
          <w:lang w:eastAsia="zh-CN"/>
          <w14:ligatures w14:val="none"/>
        </w:rPr>
        <w:t xml:space="preserve">. The CFO-to-Net Income ratio is very volatile, with 26.85x, 7.60x, and -0.61x achieved in 2022, 2021, and 2024, respectively. This is evidenced by high ratios as was in 2022, which shows that non-cash adjustments, such as impairments, supported cash flows, but not actual performance (Das, 2019, p.4). Negative values of 2024 indicate negative operating cash flows, which are not in a position to cover the losses. Cash flow operating decreased from £73bn (2020) to £14.8bn (2024), which highlights the deteriorating core operations. The CFO is also greatly affected by the working capital flows, where the high growth in accounts payable increases 2024 cash flows, and the weaknesses are disguised. In the meantime, investing cash flows are continually negative, indicating a continued capital expenditure, and financing cash flows are based on dependence on borrowing in earlier years and deleveraging in later years. </w:t>
      </w:r>
    </w:p>
    <w:p w14:paraId="4357C55F"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8" w:name="_Toc216378998"/>
      <w:r w:rsidRPr="2B0AED11">
        <w:rPr>
          <w:rFonts w:ascii="Times New Roman" w:eastAsia="Arial" w:hAnsi="Times New Roman" w:cs="Arial"/>
          <w:b/>
          <w:bCs/>
          <w:kern w:val="0"/>
          <w:lang w:eastAsia="zh-CN"/>
          <w14:ligatures w14:val="none"/>
        </w:rPr>
        <w:t>1.8 Corporate Failure Prediction Models</w:t>
      </w:r>
      <w:bookmarkEnd w:id="8"/>
    </w:p>
    <w:p w14:paraId="193BAF72"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Altman Z-Score gives a quantitative analysis of bankruptcy risk </w:t>
      </w:r>
      <w:r w:rsidRPr="00085290">
        <w:rPr>
          <w:rFonts w:ascii="Times New Roman" w:eastAsia="Times New Roman" w:hAnsi="Times New Roman" w:cs="Times New Roman"/>
          <w:i/>
          <w:iCs/>
          <w:kern w:val="0"/>
          <w:lang w:eastAsia="zh-CN"/>
          <w14:ligatures w14:val="none"/>
        </w:rPr>
        <w:t>[Referred to Appendix 2]</w:t>
      </w:r>
      <w:r w:rsidRPr="00085290">
        <w:rPr>
          <w:rFonts w:ascii="Times New Roman" w:eastAsia="Times New Roman" w:hAnsi="Times New Roman" w:cs="Times New Roman"/>
          <w:kern w:val="0"/>
          <w:lang w:eastAsia="zh-CN"/>
          <w14:ligatures w14:val="none"/>
        </w:rPr>
        <w:t>. The Z-scores of General Electronics have reduced to 2.24 in 2023 and modestly increased to 2.82 in 2024, as compared to 3.64 in the base year, 2020. A score of 2.99 and above is a sign of financial security, whereas scores of 1.81-2.99 are a sign of the grey zone, a moderate part of distress. A score of less than 1.81 means that it is most likely to fail. In 2024, General Electronics will be in the grey zone, which means that it will have a high, yet not a critical, distress risk. The 2023 drop represents huge losses and a reduction in equity, especially following the £49bn goodwill impairment. The partial revival in 2024 is due to the improvement of the gross margin and lessening of the write-downs, although profitability is still negative. Considering the decreased sales, diminishing equity, liquidity strain, and poor quality of cash flow, the trend of Z-score shows that the company is in dire need of a strategic restructuring. The further deterioration of operations, in the case of no corrective measures, may lead the company to a state of distress.</w:t>
      </w:r>
    </w:p>
    <w:p w14:paraId="21C66B67" w14:textId="77777777" w:rsidR="00085290" w:rsidRPr="00085290" w:rsidRDefault="00085290" w:rsidP="2B0AED11">
      <w:pPr>
        <w:keepNext/>
        <w:keepLines/>
        <w:spacing w:before="400" w:after="120" w:line="360" w:lineRule="auto"/>
        <w:jc w:val="both"/>
        <w:outlineLvl w:val="0"/>
        <w:rPr>
          <w:rFonts w:ascii="Times New Roman" w:eastAsia="Arial" w:hAnsi="Times New Roman" w:cs="Arial"/>
          <w:b/>
          <w:bCs/>
          <w:color w:val="000000" w:themeColor="text1"/>
          <w:kern w:val="0"/>
          <w:sz w:val="28"/>
          <w:szCs w:val="28"/>
          <w:lang w:eastAsia="zh-CN"/>
          <w14:ligatures w14:val="none"/>
        </w:rPr>
      </w:pPr>
      <w:bookmarkStart w:id="9" w:name="_Toc216373147"/>
      <w:bookmarkStart w:id="10" w:name="_Toc216378999"/>
      <w:r w:rsidRPr="2B0AED11">
        <w:rPr>
          <w:rFonts w:ascii="Times New Roman" w:eastAsia="Arial" w:hAnsi="Times New Roman" w:cs="Arial"/>
          <w:b/>
          <w:bCs/>
          <w:color w:val="000000" w:themeColor="text1"/>
          <w:kern w:val="0"/>
          <w:sz w:val="28"/>
          <w:szCs w:val="28"/>
          <w:lang w:eastAsia="zh-CN"/>
          <w14:ligatures w14:val="none"/>
        </w:rPr>
        <w:t>2. Working Capital Management Analysis</w:t>
      </w:r>
      <w:bookmarkEnd w:id="9"/>
      <w:bookmarkEnd w:id="10"/>
    </w:p>
    <w:p w14:paraId="541310BB"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11" w:name="_Toc216373148"/>
      <w:bookmarkStart w:id="12" w:name="_Toc216379000"/>
      <w:r w:rsidRPr="2B0AED11">
        <w:rPr>
          <w:rFonts w:ascii="Times New Roman" w:eastAsia="Arial" w:hAnsi="Times New Roman" w:cs="Arial"/>
          <w:b/>
          <w:bCs/>
          <w:kern w:val="0"/>
          <w:lang w:eastAsia="zh-CN"/>
          <w14:ligatures w14:val="none"/>
        </w:rPr>
        <w:t>2.1 Cash Conversion Cycle (CCC) Evaluation</w:t>
      </w:r>
      <w:bookmarkEnd w:id="11"/>
      <w:bookmarkEnd w:id="12"/>
    </w:p>
    <w:p w14:paraId="7A75A641"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The Cash Conversion Cycle is an important indicator of operating efficiency in fundamental analysis. The cash conversion cycle (CCC) of General Electronics has shown a clear trend of declining efficiency in working capital management from 2020 to 2024, with the CCC reaching an all-time high of 139.9 days in 2022 and then declining to 133.1 days in 2023 and finally dropping to the lowest level of 115.1 days by 2024 </w:t>
      </w:r>
      <w:r w:rsidRPr="00085290">
        <w:rPr>
          <w:rFonts w:ascii="Times New Roman" w:eastAsia="Times New Roman" w:hAnsi="Times New Roman" w:cs="Times New Roman"/>
          <w:i/>
          <w:iCs/>
          <w:kern w:val="0"/>
          <w:lang w:eastAsia="zh-CN"/>
          <w14:ligatures w14:val="none"/>
        </w:rPr>
        <w:t>[Referred to Appendix 3]</w:t>
      </w:r>
      <w:r w:rsidRPr="00085290">
        <w:rPr>
          <w:rFonts w:ascii="Times New Roman" w:eastAsia="Times New Roman" w:hAnsi="Times New Roman" w:cs="Times New Roman"/>
          <w:kern w:val="0"/>
          <w:lang w:val="en-IN" w:eastAsia="zh-CN"/>
          <w14:ligatures w14:val="none"/>
        </w:rPr>
        <w:t xml:space="preserve">. The continued increase of the CCC indicates a continuing increase in the amount of cash being held in the company's operations, thereby limiting the amount of cash that can be used for other business operations, especially at a time when the company's profits are declining. The main contributor to the prolonged cash conversion cycle for General Electronics is the increasing number of days of inventory, which rose from 100.3 days in 2020 to 131.0 days in 2022 due to slow-moving goods and inefficient inventory control procedures. While the level of inventory improved from January 2023 to January 2024, it continues to be more than the level that would be considered optimal. Similarly, the number of days of receivables grew from 76.9 days in 2020 to 105.5 days in 2024, indicating that the company's customers were taking longer to pay their invoices and the company's controls over customer credit were not very effective (Chen </w:t>
      </w:r>
      <w:r w:rsidRPr="00085290">
        <w:rPr>
          <w:rFonts w:ascii="Times New Roman" w:eastAsia="Times New Roman" w:hAnsi="Times New Roman" w:cs="Times New Roman"/>
          <w:i/>
          <w:iCs/>
          <w:kern w:val="0"/>
          <w:lang w:val="en-IN" w:eastAsia="zh-CN"/>
          <w14:ligatures w14:val="none"/>
        </w:rPr>
        <w:t>et al.</w:t>
      </w:r>
      <w:r w:rsidRPr="00085290">
        <w:rPr>
          <w:rFonts w:ascii="Times New Roman" w:eastAsia="Times New Roman" w:hAnsi="Times New Roman" w:cs="Times New Roman"/>
          <w:kern w:val="0"/>
          <w:lang w:val="en-IN" w:eastAsia="zh-CN"/>
          <w14:ligatures w14:val="none"/>
        </w:rPr>
        <w:t>, 2022, p.3). </w:t>
      </w:r>
    </w:p>
    <w:p w14:paraId="0E780107"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color w:val="000000" w:themeColor="text1"/>
          <w:kern w:val="0"/>
          <w:lang w:eastAsia="zh-CN"/>
          <w14:ligatures w14:val="none"/>
        </w:rPr>
      </w:pPr>
      <w:bookmarkStart w:id="13" w:name="_Toc216373149"/>
      <w:bookmarkStart w:id="14" w:name="_Toc216379001"/>
      <w:r w:rsidRPr="2B0AED11">
        <w:rPr>
          <w:rFonts w:ascii="Times New Roman" w:eastAsia="Arial" w:hAnsi="Times New Roman" w:cs="Arial"/>
          <w:b/>
          <w:bCs/>
          <w:color w:val="000000" w:themeColor="text1"/>
          <w:kern w:val="0"/>
          <w:lang w:eastAsia="zh-CN"/>
          <w14:ligatures w14:val="none"/>
        </w:rPr>
        <w:t>2.2 Inventory Management Challenge</w:t>
      </w:r>
      <w:bookmarkEnd w:id="13"/>
      <w:bookmarkEnd w:id="14"/>
    </w:p>
    <w:p w14:paraId="2CCC354C" w14:textId="77777777" w:rsidR="00085290" w:rsidRPr="00085290" w:rsidRDefault="00085290" w:rsidP="00085290">
      <w:pPr>
        <w:spacing w:before="120" w:after="120" w:line="360" w:lineRule="auto"/>
        <w:jc w:val="both"/>
        <w:rPr>
          <w:rFonts w:ascii="Times New Roman" w:eastAsia="Times New Roman" w:hAnsi="Times New Roman" w:cs="Times New Roman"/>
          <w:kern w:val="0"/>
          <w:highlight w:val="yellow"/>
          <w:lang w:val="en-IN" w:eastAsia="zh-CN"/>
          <w14:ligatures w14:val="none"/>
        </w:rPr>
      </w:pPr>
      <w:r w:rsidRPr="00085290">
        <w:rPr>
          <w:rFonts w:ascii="Times New Roman" w:eastAsia="Times New Roman" w:hAnsi="Times New Roman" w:cs="Times New Roman"/>
          <w:kern w:val="0"/>
          <w:lang w:val="en-IN" w:eastAsia="zh-CN"/>
          <w14:ligatures w14:val="none"/>
        </w:rPr>
        <w:t>The inventory management has increasingly become an inefficient process that has led to the increasing CCC. DIO rose in the years 2020 (100.26 days) to 2022 (131.04 days), which means lower inventory. This trend indicates low demand projection, lack of product and decreased competitiveness in the market which are major concerns in the fast-moving electronics market (Immadisetty, 2025, p.78). Since DIO also slightly improved to 103.12 days in 2024, it is possible that the improvement can be done by a decreased sales and not an increased operation, which suggests that the inventory changes were done due to discounting-based or clearance-based methodology, not strategic optimisation. The reduced sales platform of the company ramifies the inventory platform of costs, further straining the margins (Alsoussi, 2025). Increased storage, obsolescence and working capital contained in unsold products have had a direct impact on liquidity. Moreover, inventories is a structural problem that needs a better approach to demand planning, product life cycle and supply-chain coordination to avoid continuous strain on the cash flows.</w:t>
      </w:r>
    </w:p>
    <w:p w14:paraId="31257097"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15" w:name="_Toc216373150"/>
      <w:bookmarkStart w:id="16" w:name="_Toc216379002"/>
      <w:r w:rsidRPr="2B0AED11">
        <w:rPr>
          <w:rFonts w:ascii="Times New Roman" w:eastAsia="Arial" w:hAnsi="Times New Roman" w:cs="Arial"/>
          <w:b/>
          <w:bCs/>
          <w:kern w:val="0"/>
          <w:lang w:eastAsia="zh-CN"/>
          <w14:ligatures w14:val="none"/>
        </w:rPr>
        <w:t>2.3 Receivables and Credit Policy Weaknesses</w:t>
      </w:r>
      <w:bookmarkEnd w:id="15"/>
      <w:bookmarkEnd w:id="16"/>
    </w:p>
    <w:p w14:paraId="045D0B61" w14:textId="77777777" w:rsidR="00085290" w:rsidRPr="00085290" w:rsidRDefault="00085290" w:rsidP="00085290">
      <w:pPr>
        <w:spacing w:before="120" w:after="120" w:line="360" w:lineRule="auto"/>
        <w:jc w:val="both"/>
        <w:rPr>
          <w:rFonts w:ascii="Times New Roman" w:eastAsia="Times New Roman" w:hAnsi="Times New Roman" w:cs="Times New Roman"/>
          <w:kern w:val="0"/>
          <w:highlight w:val="yellow"/>
          <w:lang w:val="en-IN" w:eastAsia="zh-CN"/>
          <w14:ligatures w14:val="none"/>
        </w:rPr>
      </w:pPr>
      <w:r w:rsidRPr="00085290">
        <w:rPr>
          <w:rFonts w:ascii="Times New Roman" w:eastAsia="Times New Roman" w:hAnsi="Times New Roman" w:cs="Times New Roman"/>
          <w:kern w:val="0"/>
          <w:lang w:val="en-IN" w:eastAsia="zh-CN"/>
          <w14:ligatures w14:val="none"/>
        </w:rPr>
        <w:t xml:space="preserve">Management of inventory has been unresponsive, which has added to the escalating CCC. DIO went up to 131.04 days 2022 out of 100.26 days 2020, which is a sign of slow-moving excess stock. This trend indicates poor demand projection, obsolescence or lack of competitiveness in the electronics business, and both of them represent significant issues in the dynamic electronics industry (Banasik </w:t>
      </w:r>
      <w:r w:rsidRPr="00085290">
        <w:rPr>
          <w:rFonts w:ascii="Times New Roman" w:eastAsia="Times New Roman" w:hAnsi="Times New Roman" w:cs="Times New Roman"/>
          <w:i/>
          <w:iCs/>
          <w:kern w:val="0"/>
          <w:lang w:val="en-IN" w:eastAsia="zh-CN"/>
          <w14:ligatures w14:val="none"/>
        </w:rPr>
        <w:t>et al.,</w:t>
      </w:r>
      <w:r w:rsidRPr="00085290">
        <w:rPr>
          <w:rFonts w:ascii="Times New Roman" w:eastAsia="Times New Roman" w:hAnsi="Times New Roman" w:cs="Times New Roman"/>
          <w:kern w:val="0"/>
          <w:lang w:val="en-IN" w:eastAsia="zh-CN"/>
          <w14:ligatures w14:val="none"/>
        </w:rPr>
        <w:t xml:space="preserve"> 2025, p.4). Even though DIO increased slightly to 103.12 days in 2024, the rise is not being caused by an increase in its operations but by decreased sales, suggesting inventory decreases through discounts or clearance and not strategic optimisation. The company experience of dropping sales base is further aggravated by excessive inventory covering costs, thus putting pressure on margins. Increased storage, obsolescence reserves, and working capital of unsold goods and services have had a direct impact on liquidity (Zhang </w:t>
      </w:r>
      <w:r w:rsidRPr="00085290">
        <w:rPr>
          <w:rFonts w:ascii="Times New Roman" w:eastAsia="Times New Roman" w:hAnsi="Times New Roman" w:cs="Times New Roman"/>
          <w:i/>
          <w:iCs/>
          <w:kern w:val="0"/>
          <w:lang w:val="en-IN" w:eastAsia="zh-CN"/>
          <w14:ligatures w14:val="none"/>
        </w:rPr>
        <w:t>et al.,</w:t>
      </w:r>
      <w:r w:rsidRPr="00085290">
        <w:rPr>
          <w:rFonts w:ascii="Times New Roman" w:eastAsia="Times New Roman" w:hAnsi="Times New Roman" w:cs="Times New Roman"/>
          <w:kern w:val="0"/>
          <w:lang w:val="en-IN" w:eastAsia="zh-CN"/>
          <w14:ligatures w14:val="none"/>
        </w:rPr>
        <w:t xml:space="preserve"> 2023, p.395). Generally, inventory inefficiency is a structural problem that demands better demand planning, product lifecycle management and coordination of the supply chain to avoid the continuous strain on cash flow.</w:t>
      </w:r>
    </w:p>
    <w:p w14:paraId="008A3666"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color w:val="000000" w:themeColor="text1"/>
          <w:kern w:val="0"/>
          <w:lang w:eastAsia="zh-CN"/>
          <w14:ligatures w14:val="none"/>
        </w:rPr>
      </w:pPr>
      <w:bookmarkStart w:id="17" w:name="_Toc216373151"/>
      <w:bookmarkStart w:id="18" w:name="_Toc216379003"/>
      <w:r w:rsidRPr="2B0AED11">
        <w:rPr>
          <w:rFonts w:ascii="Times New Roman" w:eastAsia="Arial" w:hAnsi="Times New Roman" w:cs="Arial"/>
          <w:b/>
          <w:bCs/>
          <w:color w:val="000000" w:themeColor="text1"/>
          <w:kern w:val="0"/>
          <w:lang w:eastAsia="zh-CN"/>
          <w14:ligatures w14:val="none"/>
        </w:rPr>
        <w:t>2.4 Payables and Supplier Management Issues</w:t>
      </w:r>
      <w:bookmarkEnd w:id="17"/>
      <w:bookmarkEnd w:id="18"/>
    </w:p>
    <w:p w14:paraId="51559655" w14:textId="77777777" w:rsidR="00085290" w:rsidRPr="00085290" w:rsidRDefault="00085290" w:rsidP="00085290">
      <w:pPr>
        <w:spacing w:before="120" w:after="120" w:line="360" w:lineRule="auto"/>
        <w:jc w:val="both"/>
        <w:rPr>
          <w:rFonts w:ascii="Times New Roman" w:eastAsia="Times New Roman" w:hAnsi="Times New Roman" w:cs="Times New Roman"/>
          <w:kern w:val="0"/>
          <w:highlight w:val="yellow"/>
          <w:lang w:val="en-IN" w:eastAsia="zh-CN"/>
          <w14:ligatures w14:val="none"/>
        </w:rPr>
      </w:pPr>
      <w:r w:rsidRPr="00085290">
        <w:rPr>
          <w:rFonts w:ascii="Times New Roman" w:eastAsia="Times New Roman" w:hAnsi="Times New Roman" w:cs="Times New Roman"/>
          <w:kern w:val="0"/>
          <w:lang w:val="en-IN" w:eastAsia="zh-CN"/>
          <w14:ligatures w14:val="none"/>
        </w:rPr>
        <w:t>Performance in the collection of accounts payables has deteriorated significantly, with a contributing impact to a long period to collect cash. Days Sales Outstanding (DSO) rose to 105.54 days (2024) compared to 76.86 days (2020) a significant reflection on decreased customer discipline in payments or slack credit conditions to drive sales when the competitiveness is increasing. These lengthy collection durations decrease predictable cash flows and force the organization to depend on external funding to remain in operation. The trend indicates improper credit risk evaluation, ineffective follow up procedures and eroded bargaining power in the market. The increased DSO is especially alarming considering the fact that sales revenue has been falling at the same time, which means that the fewer sales are becoming cash tied up. Additionally, a high level of receivables exposes bad debts particularly at economically uncertain times. To overcome this weakness, the company will need to tighten the credit policy, strengthen customer segmentation, instal automated receivables monitoring, and motivate early payments.</w:t>
      </w:r>
    </w:p>
    <w:p w14:paraId="5B752C52"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19" w:name="_Toc216373152"/>
      <w:bookmarkStart w:id="20" w:name="_Toc216379004"/>
      <w:r w:rsidRPr="2B0AED11">
        <w:rPr>
          <w:rFonts w:ascii="Times New Roman" w:eastAsia="Arial" w:hAnsi="Times New Roman" w:cs="Arial"/>
          <w:b/>
          <w:bCs/>
          <w:kern w:val="0"/>
          <w:lang w:eastAsia="zh-CN"/>
          <w14:ligatures w14:val="none"/>
        </w:rPr>
        <w:t>2.5 Short-Term vs Long-Term Financing</w:t>
      </w:r>
      <w:bookmarkEnd w:id="19"/>
      <w:bookmarkEnd w:id="20"/>
    </w:p>
    <w:p w14:paraId="39322B3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The working capital profile of General Electronics shows that the company is increasingly relying on short-term financing because of diminished cash production. The company continued to use short-term lines of credit repeatedly, reaching a high of </w:t>
      </w:r>
      <w:r w:rsidRPr="00085290">
        <w:rPr>
          <w:rFonts w:ascii="Times New Roman" w:eastAsia="Times New Roman" w:hAnsi="Times New Roman" w:cs="Times New Roman"/>
          <w:kern w:val="0"/>
          <w:lang w:eastAsia="zh-CN"/>
          <w14:ligatures w14:val="none"/>
        </w:rPr>
        <w:t>£</w:t>
      </w:r>
      <w:r w:rsidRPr="00085290">
        <w:rPr>
          <w:rFonts w:ascii="Times New Roman" w:eastAsia="Times New Roman" w:hAnsi="Times New Roman" w:cs="Times New Roman"/>
          <w:kern w:val="0"/>
          <w:lang w:val="en-IN" w:eastAsia="zh-CN"/>
          <w14:ligatures w14:val="none"/>
        </w:rPr>
        <w:t xml:space="preserve">88bn in 2022. This number dropped later, but it is a sign of ineffective credit limit control and not internal cash reinforcement. Short-term financing means the company is subject to rollover risk, interest fluctuations and tightening of the lending belt especially when the company is already struggling with the bad state of profitability and poor margins. Long-term funding has been quite steady, though the reduction in equity between </w:t>
      </w:r>
      <w:r w:rsidRPr="00085290">
        <w:rPr>
          <w:rFonts w:ascii="Times New Roman" w:eastAsia="Times New Roman" w:hAnsi="Times New Roman" w:cs="Times New Roman"/>
          <w:kern w:val="0"/>
          <w:lang w:eastAsia="zh-CN"/>
          <w14:ligatures w14:val="none"/>
        </w:rPr>
        <w:t>£</w:t>
      </w:r>
      <w:r w:rsidRPr="00085290">
        <w:rPr>
          <w:rFonts w:ascii="Times New Roman" w:eastAsia="Times New Roman" w:hAnsi="Times New Roman" w:cs="Times New Roman"/>
          <w:kern w:val="0"/>
          <w:lang w:val="en-IN" w:eastAsia="zh-CN"/>
          <w14:ligatures w14:val="none"/>
        </w:rPr>
        <w:t xml:space="preserve">313bn in 2020 and </w:t>
      </w:r>
      <w:r w:rsidRPr="00085290">
        <w:rPr>
          <w:rFonts w:ascii="Times New Roman" w:eastAsia="Times New Roman" w:hAnsi="Times New Roman" w:cs="Times New Roman"/>
          <w:kern w:val="0"/>
          <w:lang w:eastAsia="zh-CN"/>
          <w14:ligatures w14:val="none"/>
        </w:rPr>
        <w:t>£</w:t>
      </w:r>
      <w:r w:rsidRPr="00085290">
        <w:rPr>
          <w:rFonts w:ascii="Times New Roman" w:eastAsia="Times New Roman" w:hAnsi="Times New Roman" w:cs="Times New Roman"/>
          <w:kern w:val="0"/>
          <w:lang w:val="en-IN" w:eastAsia="zh-CN"/>
          <w14:ligatures w14:val="none"/>
        </w:rPr>
        <w:t>153bn in 2024 has undermined the overall capital structure of the firm and diminished its ability to take on long-term debt at favourable rates. Collateral is also limited by the shrinking asset base. Due to the long CCC and the fluctuating operating performance, the use of short-term funding is unsustainable. It is necessary that the company rebalances towards long-term capital to stabilize liquidity. Debt can be refinanced to longer-term facilities, hybrid securities can be issued or strategic equity partners can be attracted. To decrease the reliance on debts and enhance financial resilience, it is necessary to enhance internal cash flow by improving the working capital processes.</w:t>
      </w:r>
    </w:p>
    <w:p w14:paraId="54B1C11D" w14:textId="77777777" w:rsidR="00085290" w:rsidRPr="00085290" w:rsidRDefault="00085290" w:rsidP="2B0AED11">
      <w:pPr>
        <w:keepNext/>
        <w:keepLines/>
        <w:spacing w:before="400" w:after="120" w:line="360" w:lineRule="auto"/>
        <w:jc w:val="both"/>
        <w:outlineLvl w:val="0"/>
        <w:rPr>
          <w:rFonts w:ascii="Times New Roman" w:eastAsia="Arial" w:hAnsi="Times New Roman" w:cs="Arial"/>
          <w:b/>
          <w:bCs/>
          <w:kern w:val="0"/>
          <w:sz w:val="28"/>
          <w:szCs w:val="28"/>
          <w:lang w:eastAsia="zh-CN"/>
          <w14:ligatures w14:val="none"/>
        </w:rPr>
      </w:pPr>
      <w:bookmarkStart w:id="21" w:name="_Toc216373153"/>
      <w:bookmarkStart w:id="22" w:name="_Toc216379005"/>
      <w:r w:rsidRPr="2B0AED11">
        <w:rPr>
          <w:rFonts w:ascii="Times New Roman" w:eastAsia="Arial" w:hAnsi="Times New Roman" w:cs="Arial"/>
          <w:b/>
          <w:bCs/>
          <w:kern w:val="0"/>
          <w:sz w:val="28"/>
          <w:szCs w:val="28"/>
          <w:lang w:eastAsia="zh-CN"/>
          <w14:ligatures w14:val="none"/>
        </w:rPr>
        <w:t>3. Strategic Financial Restructuring Plan</w:t>
      </w:r>
      <w:bookmarkEnd w:id="21"/>
      <w:bookmarkEnd w:id="22"/>
    </w:p>
    <w:p w14:paraId="424A5C56"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23" w:name="_Toc216373154"/>
      <w:bookmarkStart w:id="24" w:name="_Toc216379006"/>
      <w:r w:rsidRPr="2B0AED11">
        <w:rPr>
          <w:rFonts w:ascii="Times New Roman" w:eastAsia="Arial" w:hAnsi="Times New Roman" w:cs="Arial"/>
          <w:b/>
          <w:bCs/>
          <w:kern w:val="0"/>
          <w:lang w:eastAsia="zh-CN"/>
          <w14:ligatures w14:val="none"/>
        </w:rPr>
        <w:t>3.1 Diagnosis of Structural Problems</w:t>
      </w:r>
      <w:bookmarkEnd w:id="23"/>
      <w:bookmarkEnd w:id="24"/>
    </w:p>
    <w:p w14:paraId="39C5312D"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General Electronics is experiencing a set of structural problems that are not limited to the fluctuating performance in the short term. The loss of competitive advantage and lack of product relevancy in electronic market are the reasons why the company has gradually lost its revenue and dropped to </w:t>
      </w:r>
      <w:r w:rsidRPr="00085290">
        <w:rPr>
          <w:rFonts w:ascii="Times New Roman" w:eastAsia="Times New Roman" w:hAnsi="Times New Roman" w:cs="Times New Roman"/>
          <w:kern w:val="0"/>
          <w:lang w:eastAsia="zh-CN"/>
          <w14:ligatures w14:val="none"/>
        </w:rPr>
        <w:t>£</w:t>
      </w:r>
      <w:r w:rsidRPr="00085290">
        <w:rPr>
          <w:rFonts w:ascii="Times New Roman" w:eastAsia="Times New Roman" w:hAnsi="Times New Roman" w:cs="Times New Roman"/>
          <w:kern w:val="0"/>
          <w:lang w:val="en-IN" w:eastAsia="zh-CN"/>
          <w14:ligatures w14:val="none"/>
        </w:rPr>
        <w:t xml:space="preserve">394.9bn in 2024, as compared to </w:t>
      </w:r>
      <w:r w:rsidRPr="00085290">
        <w:rPr>
          <w:rFonts w:ascii="Times New Roman" w:eastAsia="Times New Roman" w:hAnsi="Times New Roman" w:cs="Times New Roman"/>
          <w:kern w:val="0"/>
          <w:lang w:eastAsia="zh-CN"/>
          <w14:ligatures w14:val="none"/>
        </w:rPr>
        <w:t>£</w:t>
      </w:r>
      <w:r w:rsidRPr="00085290">
        <w:rPr>
          <w:rFonts w:ascii="Times New Roman" w:eastAsia="Times New Roman" w:hAnsi="Times New Roman" w:cs="Times New Roman"/>
          <w:kern w:val="0"/>
          <w:lang w:val="en-IN" w:eastAsia="zh-CN"/>
          <w14:ligatures w14:val="none"/>
        </w:rPr>
        <w:t xml:space="preserve">614.7bn in 2020. Structural cost inefficiencies and the failure to create value through scale or innovation is indicated by profitability erosion, as is shown by negative operating margins in 2023 and 2024. These pressures are further worsened by working capital inefficiencies. The increasing Days Sales Outstanding and long inventory holding time are the signs of poor demand forecasting, decreasing sales speed, and poor credit discipline. In the meantime, the reliance of the company on the supplier credit and short-term borrowing indicates the undermining of the internal cash generation. Reduced financial resilience is further lowered by capital structure deterioration, which is represented by a decrease in equity and increase in leverage. All these problems suggest a company that is trapped in a vicious circle where decreased competitiveness decreases profitability that decreases equity and liquidity and increases the use of debt and supplier finance. </w:t>
      </w:r>
    </w:p>
    <w:p w14:paraId="5CFC4E55"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25" w:name="_Toc216373155"/>
      <w:bookmarkStart w:id="26" w:name="_Toc216379007"/>
      <w:r w:rsidRPr="2B0AED11">
        <w:rPr>
          <w:rFonts w:ascii="Times New Roman" w:eastAsia="Arial" w:hAnsi="Times New Roman" w:cs="Arial"/>
          <w:b/>
          <w:bCs/>
          <w:kern w:val="0"/>
          <w:lang w:eastAsia="zh-CN"/>
          <w14:ligatures w14:val="none"/>
        </w:rPr>
        <w:t>3.2 Option 1: Divestiture Strategy</w:t>
      </w:r>
      <w:bookmarkEnd w:id="25"/>
      <w:bookmarkEnd w:id="26"/>
    </w:p>
    <w:p w14:paraId="5655FB8D"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Niche divestiture programme is a short-term and dramatic restructuring choice. Since General Electronics is a multinational corporation with diversified products, there is a possibility that there are some business units that are not core or performing poorly in the company which are consuming capital without sufficient returns. Selling these segments would enable the company to re-emphasize on profitable core competencies like consumer electronics, digital devices or high growth segments like smart home technologies. Divestiture would create liquidity that is important in rescuing the distressed financial position of the firm. Proceeds may be used to settle short-term debt, improve the balance sheet and finance working capital improvement. This minimizes the dependency of the firm on supplier credit and high-cost short term loans and increases long term solvency (Pearce II, 2022, p.292). The investment appraisal perspective shows that liquidating assets that do not yield is better in increasing the overall profitability of a portfolio and increasing the ratios of returns to assets. It is also able to enhance the Altman Z-score through increasing equity and decreasing liabilities. The company needs to handle the divestments however; it has to handle it tactfully to avoid sending a message of distress to the market. There has to be transparent communication, manifestation of strategic rationale and reinvestment of proceeds in high growth areas. Possible loss of revenue contribution based on divested units and breaks in integrated supply chains are some of the risks. Still, in a strategic implementation, divestiture is a plausible way of achieving short-term liquidity, strategic long-term emphasis as well as restructuring in operations.</w:t>
      </w:r>
    </w:p>
    <w:p w14:paraId="3BA046E9"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27" w:name="_Toc216373156"/>
      <w:bookmarkStart w:id="28" w:name="_Toc216379008"/>
      <w:r w:rsidRPr="2B0AED11">
        <w:rPr>
          <w:rFonts w:ascii="Times New Roman" w:eastAsia="Arial" w:hAnsi="Times New Roman" w:cs="Arial"/>
          <w:b/>
          <w:bCs/>
          <w:kern w:val="0"/>
          <w:lang w:eastAsia="zh-CN"/>
          <w14:ligatures w14:val="none"/>
        </w:rPr>
        <w:t>3.3 Option 2: Merger or Strategic Partnership</w:t>
      </w:r>
      <w:bookmarkEnd w:id="27"/>
      <w:bookmarkEnd w:id="28"/>
    </w:p>
    <w:p w14:paraId="0ECD27B2"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Another restructuring alternative would be to consider a merger/strategic alliance with a complementary player in the industry. Consolidation in a market with high turnover in technology may entail the formation of synergies that are favourable in raising competitiveness, minimising operational expenses, and increasing technological capacity. An acquisition by a company that has artificial intelligence, semiconductors, or digital ecosystem strength would revitalize the innovation flow and market position of General Electronics. On the financial front, a merger promises a firm a high opportunity to make huge cost savings (economies of scale), distribute the cost of R and D and create lean supply chains. It can also enhance power to bargain with suppliers, to assist in minimizing procurement and stabilising working capital. Moreover, mergers have the power to build on the capital structure of the firm, unite the equity base, lower leverage ratios, and improve creditworthiness, therefore, rebuilding investor confidence (Alkaraan, 2021, p.40). The existing intellectual property can be monetised via licensing agreements providing new sources of revenue. Nevertheless, mergers have some disadvantages including culture shock, integration issues, and multiple jurisdictions scrutiny. However, partnerships offer a strong path to regeneration especially at a time when General Electronics has a diminished innovation and financial limitations.</w:t>
      </w:r>
    </w:p>
    <w:p w14:paraId="6F78A357" w14:textId="77777777" w:rsidR="00085290" w:rsidRPr="00085290" w:rsidRDefault="00085290" w:rsidP="00085290">
      <w:pPr>
        <w:spacing w:after="0" w:line="276" w:lineRule="auto"/>
        <w:rPr>
          <w:rFonts w:ascii="Times New Roman" w:eastAsia="Arial" w:hAnsi="Times New Roman" w:cs="Arial"/>
          <w:b/>
          <w:bCs/>
          <w:kern w:val="0"/>
          <w:szCs w:val="32"/>
          <w:lang w:eastAsia="zh-CN"/>
          <w14:ligatures w14:val="none"/>
        </w:rPr>
      </w:pPr>
      <w:bookmarkStart w:id="29" w:name="_Toc216373157"/>
      <w:r w:rsidRPr="00085290">
        <w:rPr>
          <w:rFonts w:ascii="Times New Roman" w:eastAsia="Arial" w:hAnsi="Times New Roman" w:cs="Arial"/>
          <w:b/>
          <w:bCs/>
          <w:kern w:val="0"/>
          <w:szCs w:val="22"/>
          <w:lang w:eastAsia="zh-CN"/>
          <w14:ligatures w14:val="none"/>
        </w:rPr>
        <w:t>3.4 Option 3: Capital Injection (Equity or Hybrid Securities)</w:t>
      </w:r>
      <w:bookmarkEnd w:id="29"/>
    </w:p>
    <w:p w14:paraId="021F2BFB"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Since the company is going through a declining equity base and increasing leverage, the capital injection is bound to have substantial to regain financial health. A strategic investor would consolidate the balance sheet by raising new equity capital as a rights issue, a private placement or with the involvement of a strategic investor, which would increase equity levels and decrease the debt-to-equity ratio. Better capitalisation would result in a better position of the company to access long-term sources of finance and minimise the need to use costly short-term facilities of financing. Nonetheless, the issuance of equity can produce shareholder dilution especially when the prices of the shares are low because the company has suffered losses in the recent past (Dong, 2022, p.90). Hybrid instruments such as convertible bonds or preference shares would be used to mitigate this. Externally raised capital, especially by institutional investors or sovereign funds may also entail operational expertise and strategic supervision- useful to restructuring. The risks are that there is lack of investor confidence due to the recent financial performance, they can be downgraded by credit agencies and a negative market perception. However, without recapitalisation, the company is in a limited position to implement a turnaround strategy. </w:t>
      </w:r>
    </w:p>
    <w:p w14:paraId="00E6FAE7"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0" w:name="_Toc216373158"/>
      <w:bookmarkStart w:id="31" w:name="_Toc216379009"/>
      <w:r w:rsidRPr="2B0AED11">
        <w:rPr>
          <w:rFonts w:ascii="Times New Roman" w:eastAsia="Arial" w:hAnsi="Times New Roman" w:cs="Arial"/>
          <w:b/>
          <w:bCs/>
          <w:kern w:val="0"/>
          <w:lang w:eastAsia="zh-CN"/>
          <w14:ligatures w14:val="none"/>
        </w:rPr>
        <w:t>3.5 International Considerations</w:t>
      </w:r>
      <w:bookmarkEnd w:id="30"/>
      <w:bookmarkEnd w:id="31"/>
    </w:p>
    <w:p w14:paraId="383424AC"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When conducting business worldwide, General Electric is subjected to currency and taxation risk as well as diverse regulation issues. The reduction in recent revenues of the firm indicates the international competitor pressure might be taking market share especially in the emerging markets where the sensitivity to price is high (Kalra, 2023, p.174). The currency volatility could have negatively affected the margins considering the global integrated supply chain of the firm. Hedging strategies will be necessary in ensuring that earnings are stabilised through the application of forward contracts, as well as natural hedges. Cross-border restructuring decisions, including the divestiture or merger, should consider the foreign limitations to investment, antitrust and geopolitical risks. The supply chains must be realigned with reshoring or nearshoring alternatives to eliminate tensions and tariff risks brought about by geopolitics. It is possible to increase after-tax profitability through the international tax optimisation to take advantage of transfer pricing strategies and tax-efficient financing structure. Finally, restructuring should be also synchronised with the changes in the global market, so that the company does not lose competitive edge and fails to retain its robustness in the different geographic markets.</w:t>
      </w:r>
    </w:p>
    <w:p w14:paraId="436FA029"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2" w:name="_Toc216373159"/>
      <w:bookmarkStart w:id="33" w:name="_Toc216379010"/>
      <w:r w:rsidRPr="2B0AED11">
        <w:rPr>
          <w:rFonts w:ascii="Times New Roman" w:eastAsia="Arial" w:hAnsi="Times New Roman" w:cs="Arial"/>
          <w:b/>
          <w:bCs/>
          <w:kern w:val="0"/>
          <w:lang w:eastAsia="zh-CN"/>
          <w14:ligatures w14:val="none"/>
        </w:rPr>
        <w:t>3.6 Ethical and CSR Considerations</w:t>
      </w:r>
      <w:bookmarkEnd w:id="32"/>
      <w:bookmarkEnd w:id="33"/>
    </w:p>
    <w:p w14:paraId="2C602F25"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The process of restructuring should also include some powerful ethical and corporate societal responsibility to ensure that stakeholders have confidence. Workforce changes and divestitures must be handled openly in order to reduce societal damage (Fatima, 2023, p.107). Supplier stretching, which has become apparent during the past few years, raises ethical concerns and should be phased out in favour of equitable payment methods to aid supply chain sustainability. Strategic decisions should be informed with environmental commitments, especially during modernisation of manufacturing facilities or its new partnering. Enhancement of the quality of products, minimisation of electronic waste, and enhancement of responsible sourcing will reinforce the social licence to the operation of the firm. Moral restructuring of the brand improves brand reputation and adds value to the stakeholders in the long run.</w:t>
      </w:r>
    </w:p>
    <w:p w14:paraId="00FD67A7" w14:textId="77777777" w:rsidR="00085290" w:rsidRPr="00085290" w:rsidRDefault="00085290" w:rsidP="00085290">
      <w:pPr>
        <w:keepNext/>
        <w:keepLines/>
        <w:spacing w:before="400" w:after="120" w:line="360" w:lineRule="auto"/>
        <w:jc w:val="both"/>
        <w:outlineLvl w:val="0"/>
        <w:rPr>
          <w:rFonts w:ascii="Times New Roman" w:eastAsia="Arial" w:hAnsi="Times New Roman" w:cs="Arial"/>
          <w:kern w:val="0"/>
          <w:sz w:val="28"/>
          <w:szCs w:val="28"/>
          <w:lang w:eastAsia="zh-CN"/>
          <w14:ligatures w14:val="none"/>
        </w:rPr>
      </w:pPr>
      <w:bookmarkStart w:id="34" w:name="_Toc216379011"/>
      <w:r w:rsidRPr="2B0AED11">
        <w:rPr>
          <w:rFonts w:ascii="Times New Roman" w:eastAsia="Arial" w:hAnsi="Times New Roman" w:cs="Arial"/>
          <w:b/>
          <w:bCs/>
          <w:kern w:val="0"/>
          <w:sz w:val="28"/>
          <w:szCs w:val="28"/>
          <w:lang w:eastAsia="zh-CN"/>
          <w14:ligatures w14:val="none"/>
        </w:rPr>
        <w:t>4. Investment Appraisal and Capital Budgeting</w:t>
      </w:r>
      <w:bookmarkEnd w:id="34"/>
      <w:r w:rsidRPr="2B0AED11">
        <w:rPr>
          <w:rFonts w:ascii="Times New Roman" w:eastAsia="Arial" w:hAnsi="Times New Roman" w:cs="Arial"/>
          <w:b/>
          <w:bCs/>
          <w:kern w:val="0"/>
          <w:sz w:val="28"/>
          <w:szCs w:val="28"/>
          <w:lang w:eastAsia="zh-CN"/>
          <w14:ligatures w14:val="none"/>
        </w:rPr>
        <w:t xml:space="preserve"> </w:t>
      </w:r>
    </w:p>
    <w:p w14:paraId="147E108B"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5" w:name="_Toc216379012"/>
      <w:r w:rsidRPr="2B0AED11">
        <w:rPr>
          <w:rFonts w:ascii="Times New Roman" w:eastAsia="Arial" w:hAnsi="Times New Roman" w:cs="Arial"/>
          <w:b/>
          <w:bCs/>
          <w:kern w:val="0"/>
          <w:lang w:eastAsia="zh-CN"/>
          <w14:ligatures w14:val="none"/>
        </w:rPr>
        <w:t>4.1 Overview of Investment Decision Context</w:t>
      </w:r>
      <w:bookmarkEnd w:id="35"/>
      <w:r w:rsidRPr="2B0AED11">
        <w:rPr>
          <w:rFonts w:ascii="Times New Roman" w:eastAsia="Arial" w:hAnsi="Times New Roman" w:cs="Arial"/>
          <w:b/>
          <w:bCs/>
          <w:kern w:val="0"/>
          <w:lang w:eastAsia="zh-CN"/>
          <w14:ligatures w14:val="none"/>
        </w:rPr>
        <w:t xml:space="preserve"> </w:t>
      </w:r>
    </w:p>
    <w:p w14:paraId="434D51A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General Electronics is considering three capital projects when the company is recording low profitability, increasing leverage and liquidity strains. Although during the financial crisis, strategic investment is needed to recover competitiveness, stabilise cash flows and re-establish long-term shareholder value (Flammer and Ioannou, 2021, p.1276) </w:t>
      </w:r>
      <w:r w:rsidRPr="00085290">
        <w:rPr>
          <w:rFonts w:ascii="Times New Roman" w:eastAsia="Times New Roman" w:hAnsi="Times New Roman" w:cs="Times New Roman"/>
          <w:i/>
          <w:iCs/>
          <w:kern w:val="0"/>
          <w:lang w:eastAsia="zh-CN"/>
          <w14:ligatures w14:val="none"/>
        </w:rPr>
        <w:t>[Referred to Appendix 4]</w:t>
      </w:r>
      <w:r w:rsidRPr="00085290">
        <w:rPr>
          <w:rFonts w:ascii="Times New Roman" w:eastAsia="Times New Roman" w:hAnsi="Times New Roman" w:cs="Times New Roman"/>
          <w:kern w:val="0"/>
          <w:lang w:eastAsia="zh-CN"/>
          <w14:ligatures w14:val="none"/>
        </w:rPr>
        <w:t>. The Board has placed a tight capital rationing threshold of £60 million and the CFO must focus on financially viable projects which can deliver higher returns with manageable risk. Followed by a discount rate of 10% and optimised appraisal methods that include NPV, IRR, PI, Payback Period and ARR, it is necessary to evaluate not only quantitative aspects, but also external factors influencing their relevance with the firm’s goals. Thus, these investment decision frameworks balance value-creation and liquidity preservation, as well as organisational risk tolerance.</w:t>
      </w:r>
    </w:p>
    <w:p w14:paraId="0843537F"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6" w:name="_Toc216379013"/>
      <w:r w:rsidRPr="2B0AED11">
        <w:rPr>
          <w:rFonts w:ascii="Times New Roman" w:eastAsia="Arial" w:hAnsi="Times New Roman" w:cs="Arial"/>
          <w:b/>
          <w:bCs/>
          <w:kern w:val="0"/>
          <w:lang w:eastAsia="zh-CN"/>
          <w14:ligatures w14:val="none"/>
        </w:rPr>
        <w:t>4.2 Appraisal of Project A</w:t>
      </w:r>
      <w:bookmarkEnd w:id="36"/>
      <w:r w:rsidRPr="2B0AED11">
        <w:rPr>
          <w:rFonts w:ascii="Times New Roman" w:eastAsia="Arial" w:hAnsi="Times New Roman" w:cs="Arial"/>
          <w:b/>
          <w:bCs/>
          <w:kern w:val="0"/>
          <w:lang w:eastAsia="zh-CN"/>
          <w14:ligatures w14:val="none"/>
        </w:rPr>
        <w:t xml:space="preserve"> </w:t>
      </w:r>
    </w:p>
    <w:p w14:paraId="19E6F1C0"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Project A holds the initial capital of £40 million and has increasing cash flows in the first three years and then moderately decreasing cash flows in Years 4 and 5. The project has a positive NPV of £1.32 million, which implies that the project will generate a slightly higher cost of capital of the firm of 10% (Arjunan, 2022) </w:t>
      </w:r>
      <w:r w:rsidRPr="00085290">
        <w:rPr>
          <w:rFonts w:ascii="Times New Roman" w:eastAsia="Times New Roman" w:hAnsi="Times New Roman" w:cs="Times New Roman"/>
          <w:i/>
          <w:iCs/>
          <w:kern w:val="0"/>
          <w:lang w:eastAsia="zh-CN"/>
          <w14:ligatures w14:val="none"/>
        </w:rPr>
        <w:t>[Referred to Appendix 4]</w:t>
      </w:r>
      <w:r w:rsidRPr="00085290">
        <w:rPr>
          <w:rFonts w:ascii="Times New Roman" w:eastAsia="Times New Roman" w:hAnsi="Times New Roman" w:cs="Times New Roman"/>
          <w:kern w:val="0"/>
          <w:lang w:eastAsia="zh-CN"/>
          <w14:ligatures w14:val="none"/>
        </w:rPr>
        <w:t>. This suitability is supported by an IRR of 11% which is slightly higher than the discount rate, indicating a low value-creating opportunity. The cumulative cash flow is positive in Year 4 with creating a quicker payback period of 3.4 years, which is favourable due to liquidity pressures faced by the firm. The report of 27% ARR also implies acceptable profits in terms of accounting. In addition, the PI ratio of 1.03 is observed to link with the positive NPV and IRR, affirming that the project produces a higher return than the cost of capital (Ogunbiyi, 2023, p.3). Therefore, it can be proposed that Project A qualifies as a moderately attractive project as the predictable cash inflows, early paybacks, fulfilment of short-term liquidity requirements and financial performance measures. Moreover, Project A is a viable and relatively risk-free investment for General Electronics.</w:t>
      </w:r>
    </w:p>
    <w:p w14:paraId="4BD51895"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7" w:name="_Toc216379014"/>
      <w:r w:rsidRPr="2B0AED11">
        <w:rPr>
          <w:rFonts w:ascii="Times New Roman" w:eastAsia="Arial" w:hAnsi="Times New Roman" w:cs="Arial"/>
          <w:b/>
          <w:bCs/>
          <w:kern w:val="0"/>
          <w:lang w:eastAsia="zh-CN"/>
          <w14:ligatures w14:val="none"/>
        </w:rPr>
        <w:t>4.3 Appraisal of Project B</w:t>
      </w:r>
      <w:bookmarkEnd w:id="37"/>
      <w:r w:rsidRPr="2B0AED11">
        <w:rPr>
          <w:rFonts w:ascii="Times New Roman" w:eastAsia="Arial" w:hAnsi="Times New Roman" w:cs="Arial"/>
          <w:b/>
          <w:bCs/>
          <w:kern w:val="0"/>
          <w:lang w:eastAsia="zh-CN"/>
          <w14:ligatures w14:val="none"/>
        </w:rPr>
        <w:t xml:space="preserve"> </w:t>
      </w:r>
    </w:p>
    <w:p w14:paraId="491CF10F"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Project B involves an initial capital investment of £30 million and offers a consistent cash inflow of PS6 million in five years. Although this will provide a predictable and low-volatility cash profile, the financial outcome demonstrates that Project B does not meet the expected economic returns </w:t>
      </w:r>
      <w:r w:rsidRPr="00085290">
        <w:rPr>
          <w:rFonts w:ascii="Times New Roman" w:eastAsia="Times New Roman" w:hAnsi="Times New Roman" w:cs="Times New Roman"/>
          <w:i/>
          <w:iCs/>
          <w:kern w:val="0"/>
          <w:lang w:eastAsia="zh-CN"/>
          <w14:ligatures w14:val="none"/>
        </w:rPr>
        <w:t>[Referred to Appendix 4]</w:t>
      </w:r>
      <w:r w:rsidRPr="00085290">
        <w:rPr>
          <w:rFonts w:ascii="Times New Roman" w:eastAsia="Times New Roman" w:hAnsi="Times New Roman" w:cs="Times New Roman"/>
          <w:kern w:val="0"/>
          <w:lang w:eastAsia="zh-CN"/>
          <w14:ligatures w14:val="none"/>
        </w:rPr>
        <w:t xml:space="preserve">. The negative NPV of the project is - £7.26 million, indicating that the present value of the inflows is below the initial investment discounted at 10%. Its IRR of 0 further validates that the project does not make a significant return relative to the amount of capital it requires (Irwanto, 2021, p.4). The payback period for the project is calculated to be 5.0 years, similar to its end period, which does not provide much liquidity benefit to the company. The 20% ARR may seem rational according to the accounting perspective, but reflects towards poor cash-based indicators. The positive PI value (0.76) indicates that the project yields a value of 76p to each £1 employed in the project. Comprehensively, Project B fails to fulfil the financial performance requirements of the firm and would lower the shareholder value in the event of implementation. Therefore, it can get rejected under capital rationing purposes for underpinning value-creation alternatives. </w:t>
      </w:r>
    </w:p>
    <w:p w14:paraId="7658999F"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8" w:name="_Toc216379015"/>
      <w:r w:rsidRPr="2B0AED11">
        <w:rPr>
          <w:rFonts w:ascii="Times New Roman" w:eastAsia="Arial" w:hAnsi="Times New Roman" w:cs="Arial"/>
          <w:b/>
          <w:bCs/>
          <w:kern w:val="0"/>
          <w:lang w:eastAsia="zh-CN"/>
          <w14:ligatures w14:val="none"/>
        </w:rPr>
        <w:t>4.4 Appraisal of Project C</w:t>
      </w:r>
      <w:bookmarkEnd w:id="38"/>
      <w:r w:rsidRPr="2B0AED11">
        <w:rPr>
          <w:rFonts w:ascii="Times New Roman" w:eastAsia="Arial" w:hAnsi="Times New Roman" w:cs="Arial"/>
          <w:b/>
          <w:bCs/>
          <w:kern w:val="0"/>
          <w:lang w:eastAsia="zh-CN"/>
          <w14:ligatures w14:val="none"/>
        </w:rPr>
        <w:t xml:space="preserve"> </w:t>
      </w:r>
    </w:p>
    <w:p w14:paraId="400A6C69"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capital investment needed in project C is the largest at £50 million, yet it estimates the highest cash-flow patterns among the other options </w:t>
      </w:r>
      <w:r w:rsidRPr="00085290">
        <w:rPr>
          <w:rFonts w:ascii="Times New Roman" w:eastAsia="Times New Roman" w:hAnsi="Times New Roman" w:cs="Times New Roman"/>
          <w:i/>
          <w:iCs/>
          <w:kern w:val="0"/>
          <w:lang w:eastAsia="zh-CN"/>
          <w14:ligatures w14:val="none"/>
        </w:rPr>
        <w:t>[Referred to Appendix 4]</w:t>
      </w:r>
      <w:r w:rsidRPr="00085290">
        <w:rPr>
          <w:rFonts w:ascii="Times New Roman" w:eastAsia="Times New Roman" w:hAnsi="Times New Roman" w:cs="Times New Roman"/>
          <w:kern w:val="0"/>
          <w:lang w:eastAsia="zh-CN"/>
          <w14:ligatures w14:val="none"/>
        </w:rPr>
        <w:t xml:space="preserve">. The growth in cash inflows is significant, relative to £5 million in Year 1 compared to £25 million in Year 4, with the cumulative figures amounting to £60 million and £75 million respectively in Years 4 and 5. This strong performance leads to a positive NPV of £4.23 million, which shows that the project can add value after exceeding the 10% cost of capital. The IRR of 13% is the largest, representing high internal profitability. The 3.6-year payback period is also favourable with the high investment project, which helps in liquidity recovery. Project C has great accounting profitability with a 30% ARR. The attractive nature of the project is further supported by a positive PI value (1.08) that shows that the project will generate £1.08 of value for every invested £1. Though the cash-flow profile has moderate volatility, the financial performance of the project is comparatively viable, making it attractive for long-term value creation (Sinaga </w:t>
      </w:r>
      <w:r w:rsidRPr="00085290">
        <w:rPr>
          <w:rFonts w:ascii="Times New Roman" w:eastAsia="Times New Roman" w:hAnsi="Times New Roman" w:cs="Times New Roman"/>
          <w:i/>
          <w:iCs/>
          <w:kern w:val="0"/>
          <w:lang w:eastAsia="zh-CN"/>
          <w14:ligatures w14:val="none"/>
        </w:rPr>
        <w:t xml:space="preserve">et al. </w:t>
      </w:r>
      <w:r w:rsidRPr="00085290">
        <w:rPr>
          <w:rFonts w:ascii="Times New Roman" w:eastAsia="Times New Roman" w:hAnsi="Times New Roman" w:cs="Times New Roman"/>
          <w:kern w:val="0"/>
          <w:lang w:eastAsia="zh-CN"/>
          <w14:ligatures w14:val="none"/>
        </w:rPr>
        <w:t>2023, p.1080). Moreover, Project C is a very competitive strategic investment under capital constraints.</w:t>
      </w:r>
    </w:p>
    <w:p w14:paraId="6AEDD787"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39" w:name="_Toc216379016"/>
      <w:r w:rsidRPr="2B0AED11">
        <w:rPr>
          <w:rFonts w:ascii="Times New Roman" w:eastAsia="Arial" w:hAnsi="Times New Roman" w:cs="Arial"/>
          <w:b/>
          <w:bCs/>
          <w:kern w:val="0"/>
          <w:lang w:eastAsia="zh-CN"/>
          <w14:ligatures w14:val="none"/>
        </w:rPr>
        <w:t>4.5 Comparative Analysis of Investment Results</w:t>
      </w:r>
      <w:bookmarkEnd w:id="39"/>
      <w:r w:rsidRPr="2B0AED11">
        <w:rPr>
          <w:rFonts w:ascii="Times New Roman" w:eastAsia="Arial" w:hAnsi="Times New Roman" w:cs="Arial"/>
          <w:b/>
          <w:bCs/>
          <w:kern w:val="0"/>
          <w:lang w:eastAsia="zh-CN"/>
          <w14:ligatures w14:val="none"/>
        </w:rPr>
        <w:t xml:space="preserve"> </w:t>
      </w:r>
    </w:p>
    <w:p w14:paraId="417238A6"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The results of the appraisal demonstrate distinct differences present towards value creation and strategic suitability in the three projects </w:t>
      </w:r>
      <w:r w:rsidRPr="00085290">
        <w:rPr>
          <w:rFonts w:ascii="Times New Roman" w:eastAsia="Times New Roman" w:hAnsi="Times New Roman" w:cs="Times New Roman"/>
          <w:i/>
          <w:iCs/>
          <w:kern w:val="0"/>
          <w:lang w:eastAsia="zh-CN"/>
          <w14:ligatures w14:val="none"/>
        </w:rPr>
        <w:t>[Referred to Appendix 4]</w:t>
      </w:r>
      <w:r w:rsidRPr="00085290">
        <w:rPr>
          <w:rFonts w:ascii="Times New Roman" w:eastAsia="Times New Roman" w:hAnsi="Times New Roman" w:cs="Times New Roman"/>
          <w:kern w:val="0"/>
          <w:lang w:eastAsia="zh-CN"/>
          <w14:ligatures w14:val="none"/>
        </w:rPr>
        <w:t>. Project B has the worst performance with negative NPV, very low IRR, and PI of below 1.0, indicating damage to shareholders' value despite being predictable cash flows. On the other hand, Project A is a moderately viable project with a positive NPV (£1.32 million), a moderate IRR less than the discount rate, and a favourable payback period, which affirms its low-risk option and necessary liquidity recovery. Comparatively, Project C is better than both options, providing the best NPV (£4.23 million), the best IRR (13%), the best ARR, and the best PI (1.08). However, its limitation includes volatile cash flows, but returns justify the risks. Moreover, Project C would yield the best returns in the long term, whereas Project A has stable and moderate returns. Project B can be eliminated due to poor financial returns and limited strategic value.</w:t>
      </w:r>
    </w:p>
    <w:p w14:paraId="55F413A4"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40" w:name="_Toc216379017"/>
      <w:r w:rsidRPr="2B0AED11">
        <w:rPr>
          <w:rFonts w:ascii="Times New Roman" w:eastAsia="Arial" w:hAnsi="Times New Roman" w:cs="Arial"/>
          <w:b/>
          <w:bCs/>
          <w:kern w:val="0"/>
          <w:lang w:eastAsia="zh-CN"/>
          <w14:ligatures w14:val="none"/>
        </w:rPr>
        <w:t>4.6 Final Investment Recommendation Under £60m Constraint</w:t>
      </w:r>
      <w:bookmarkEnd w:id="40"/>
      <w:r w:rsidRPr="2B0AED11">
        <w:rPr>
          <w:rFonts w:ascii="Times New Roman" w:eastAsia="Arial" w:hAnsi="Times New Roman" w:cs="Arial"/>
          <w:b/>
          <w:bCs/>
          <w:kern w:val="0"/>
          <w:lang w:eastAsia="zh-CN"/>
          <w14:ligatures w14:val="none"/>
        </w:rPr>
        <w:t xml:space="preserve"> </w:t>
      </w:r>
    </w:p>
    <w:p w14:paraId="0FA26488"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As the firm has a strict capital rationing limit of £60 million, the purpose is to select the combination of projects that will create the maximum value to promote the liquidity recovery and long-term strategic renewal. Based on financial ratings, Project C is the most value-adding project. Having an NPV of £4.23 million, the IRR of 13%, PI of 1.08, this project is superior compared to other two options. The project is also suitable for the target turnaround strategy, where competitiveness and long-term growth prospects are considered. When £10 million is left after choosing project C, the firm will not be able to pursue project A (£40 million) or project B (£ 30 million). Therefore, Project C falls within the £60 million limit. In this regard, any effort to merge Project C with a different project would surpass the capital at hand. In this situation, if the Board intend to diversify two projects, Project A (£40 million) and Project B (£30 million) will also exceed £60 million. However, Projects A and B would yield a lower total NPV compared to Project C. Therefore, it is recommended that Golden Electronics should invest in Project C as it will generate the highest returns, meet long-term viability and link with strategic goals, which will be essential for collecting higher profitability and better market competitiveness. </w:t>
      </w:r>
      <w:r w:rsidRPr="00085290">
        <w:rPr>
          <w:rFonts w:ascii="Times New Roman" w:eastAsia="Arial" w:hAnsi="Times New Roman" w:cs="Arial"/>
          <w:kern w:val="0"/>
          <w:szCs w:val="22"/>
          <w:lang w:eastAsia="zh-CN"/>
          <w14:ligatures w14:val="none"/>
        </w:rPr>
        <w:br w:type="page"/>
      </w:r>
    </w:p>
    <w:p w14:paraId="63F762BC" w14:textId="77777777" w:rsidR="00085290" w:rsidRPr="00085290" w:rsidRDefault="00085290" w:rsidP="2B0AED11">
      <w:pPr>
        <w:keepNext/>
        <w:keepLines/>
        <w:spacing w:before="400" w:after="120" w:line="360" w:lineRule="auto"/>
        <w:jc w:val="both"/>
        <w:outlineLvl w:val="0"/>
        <w:rPr>
          <w:rFonts w:ascii="Times New Roman" w:eastAsia="Arial" w:hAnsi="Times New Roman" w:cs="Arial"/>
          <w:b/>
          <w:bCs/>
          <w:kern w:val="0"/>
          <w:sz w:val="28"/>
          <w:szCs w:val="28"/>
          <w:lang w:eastAsia="zh-CN"/>
          <w14:ligatures w14:val="none"/>
        </w:rPr>
      </w:pPr>
      <w:bookmarkStart w:id="41" w:name="_Toc216379018"/>
      <w:r w:rsidRPr="2B0AED11">
        <w:rPr>
          <w:rFonts w:ascii="Times New Roman" w:eastAsia="Arial" w:hAnsi="Times New Roman" w:cs="Arial"/>
          <w:b/>
          <w:bCs/>
          <w:kern w:val="0"/>
          <w:sz w:val="28"/>
          <w:szCs w:val="28"/>
          <w:lang w:eastAsia="zh-CN"/>
          <w14:ligatures w14:val="none"/>
        </w:rPr>
        <w:t>Reference List</w:t>
      </w:r>
      <w:bookmarkEnd w:id="41"/>
      <w:r w:rsidRPr="2B0AED11">
        <w:rPr>
          <w:rFonts w:ascii="Times New Roman" w:eastAsia="Arial" w:hAnsi="Times New Roman" w:cs="Arial"/>
          <w:b/>
          <w:bCs/>
          <w:kern w:val="0"/>
          <w:sz w:val="28"/>
          <w:szCs w:val="28"/>
          <w:lang w:eastAsia="zh-CN"/>
          <w14:ligatures w14:val="none"/>
        </w:rPr>
        <w:t xml:space="preserve"> </w:t>
      </w:r>
    </w:p>
    <w:p w14:paraId="2493C261"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Aljaaidi, K. and Bagais, O.A., 2020. Days inventory outstanding and firm performance: Empirical investigation from manufacturers. Accounting, [online] pp.1111–1116. </w:t>
      </w:r>
      <w:hyperlink r:id="rId8" w:history="1">
        <w:r w:rsidRPr="00085290">
          <w:rPr>
            <w:rFonts w:ascii="Times New Roman" w:eastAsia="Times New Roman" w:hAnsi="Times New Roman" w:cs="Times New Roman"/>
            <w:color w:val="1155CC"/>
            <w:kern w:val="0"/>
            <w:u w:val="single"/>
            <w:lang w:eastAsia="zh-CN"/>
            <w14:ligatures w14:val="none"/>
          </w:rPr>
          <w:t>https://doi.org/10.5267/j.ac.2020.7.007</w:t>
        </w:r>
      </w:hyperlink>
      <w:r w:rsidRPr="00085290">
        <w:rPr>
          <w:rFonts w:ascii="Times New Roman" w:eastAsia="Times New Roman" w:hAnsi="Times New Roman" w:cs="Times New Roman"/>
          <w:kern w:val="0"/>
          <w:lang w:eastAsia="zh-CN"/>
          <w14:ligatures w14:val="none"/>
        </w:rPr>
        <w:t xml:space="preserve">. </w:t>
      </w:r>
    </w:p>
    <w:p w14:paraId="5394D549"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Alkaraan, F., 2021. Strategic investment decision-making: mergers and acquisitions toward industry 4.0. In </w:t>
      </w:r>
      <w:r w:rsidRPr="00085290">
        <w:rPr>
          <w:rFonts w:ascii="Times New Roman" w:eastAsia="Times New Roman" w:hAnsi="Times New Roman" w:cs="Times New Roman"/>
          <w:i/>
          <w:iCs/>
          <w:kern w:val="0"/>
          <w:lang w:val="en-IN" w:eastAsia="zh-CN"/>
          <w14:ligatures w14:val="none"/>
        </w:rPr>
        <w:t>Advances in mergers and acquisitions</w:t>
      </w:r>
      <w:r w:rsidRPr="00085290">
        <w:rPr>
          <w:rFonts w:ascii="Times New Roman" w:eastAsia="Times New Roman" w:hAnsi="Times New Roman" w:cs="Times New Roman"/>
          <w:kern w:val="0"/>
          <w:lang w:val="en-IN" w:eastAsia="zh-CN"/>
          <w14:ligatures w14:val="none"/>
        </w:rPr>
        <w:t xml:space="preserve"> (pp. 39-52). Emerald Publishing Limited. </w:t>
      </w:r>
      <w:hyperlink r:id="rId9" w:history="1">
        <w:r w:rsidRPr="00085290">
          <w:rPr>
            <w:rFonts w:ascii="Times New Roman" w:eastAsia="Times New Roman" w:hAnsi="Times New Roman" w:cs="Times New Roman"/>
            <w:color w:val="467886" w:themeColor="hyperlink"/>
            <w:kern w:val="0"/>
            <w:u w:val="single"/>
            <w:lang w:val="en-IN" w:eastAsia="zh-CN"/>
            <w14:ligatures w14:val="none"/>
          </w:rPr>
          <w:t>http://doi.org/10.1108/S1479-361X20210000020004</w:t>
        </w:r>
      </w:hyperlink>
    </w:p>
    <w:p w14:paraId="0FC72764"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Alsoussi, A. and Tahboub, K., 2025. Inventory management practices and challenges: An exploratory study. </w:t>
      </w:r>
      <w:r w:rsidRPr="00085290">
        <w:rPr>
          <w:rFonts w:ascii="Times New Roman" w:eastAsia="Times New Roman" w:hAnsi="Times New Roman" w:cs="Times New Roman"/>
          <w:i/>
          <w:iCs/>
          <w:kern w:val="0"/>
          <w:lang w:val="en-IN" w:eastAsia="zh-CN"/>
          <w14:ligatures w14:val="none"/>
        </w:rPr>
        <w:t>An-Najah University Journal for Research-A (Natural Sciences)</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9999</w:t>
      </w:r>
      <w:r w:rsidRPr="00085290">
        <w:rPr>
          <w:rFonts w:ascii="Times New Roman" w:eastAsia="Times New Roman" w:hAnsi="Times New Roman" w:cs="Times New Roman"/>
          <w:kern w:val="0"/>
          <w:lang w:val="en-IN" w:eastAsia="zh-CN"/>
          <w14:ligatures w14:val="none"/>
        </w:rPr>
        <w:t xml:space="preserve">(9999), pp.None-None. </w:t>
      </w:r>
      <w:hyperlink r:id="rId10" w:history="1">
        <w:r w:rsidRPr="00085290">
          <w:rPr>
            <w:rFonts w:ascii="Times New Roman" w:eastAsia="Arial" w:hAnsi="Times New Roman" w:cs="Arial"/>
            <w:color w:val="467886" w:themeColor="hyperlink"/>
            <w:kern w:val="0"/>
            <w:szCs w:val="22"/>
            <w:u w:val="single"/>
            <w:lang w:eastAsia="zh-CN"/>
            <w14:ligatures w14:val="none"/>
          </w:rPr>
          <w:t>https://doi.org/10.35552/anujr.a.40.1.2381</w:t>
        </w:r>
      </w:hyperlink>
      <w:r w:rsidRPr="00085290">
        <w:rPr>
          <w:rFonts w:ascii="Times New Roman" w:eastAsia="Arial" w:hAnsi="Times New Roman" w:cs="Arial"/>
          <w:kern w:val="0"/>
          <w:szCs w:val="22"/>
          <w:lang w:eastAsia="zh-CN"/>
          <w14:ligatures w14:val="none"/>
        </w:rPr>
        <w:t xml:space="preserve"> </w:t>
      </w:r>
    </w:p>
    <w:p w14:paraId="663EE0F2"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Andrianto, A. and Amin, A., 2023. The Effect of Gross Profit Margin, Intellectual Capital, Investment Opportunity Set on Firm Value with Earnings Management as an Intervening Variable. Journal of Social Research, [online] 2(10), pp.3428–3450. </w:t>
      </w:r>
      <w:hyperlink r:id="rId11" w:history="1">
        <w:r w:rsidRPr="00085290">
          <w:rPr>
            <w:rFonts w:ascii="Times New Roman" w:eastAsia="Times New Roman" w:hAnsi="Times New Roman" w:cs="Times New Roman"/>
            <w:color w:val="1155CC"/>
            <w:kern w:val="0"/>
            <w:u w:val="single"/>
            <w:lang w:eastAsia="zh-CN"/>
            <w14:ligatures w14:val="none"/>
          </w:rPr>
          <w:t>https://doi.org/10.55324/josr.v2i10.1392</w:t>
        </w:r>
      </w:hyperlink>
      <w:r w:rsidRPr="00085290">
        <w:rPr>
          <w:rFonts w:ascii="Times New Roman" w:eastAsia="Times New Roman" w:hAnsi="Times New Roman" w:cs="Times New Roman"/>
          <w:kern w:val="0"/>
          <w:lang w:eastAsia="zh-CN"/>
          <w14:ligatures w14:val="none"/>
        </w:rPr>
        <w:t xml:space="preserve">. </w:t>
      </w:r>
    </w:p>
    <w:p w14:paraId="154897E8"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Arjunan, K., 2022. A new method to estimate NPV and IRR from the capital amortization schedule and the advantages of the new method. Australasian Accounting, Business and Finance Journal, 16(6). </w:t>
      </w:r>
      <w:hyperlink r:id="rId12" w:history="1">
        <w:r w:rsidRPr="00085290">
          <w:rPr>
            <w:rFonts w:ascii="Times New Roman" w:eastAsia="Times New Roman" w:hAnsi="Times New Roman" w:cs="Times New Roman"/>
            <w:color w:val="1155CC"/>
            <w:kern w:val="0"/>
            <w:u w:val="single"/>
            <w:lang w:eastAsia="zh-CN"/>
            <w14:ligatures w14:val="none"/>
          </w:rPr>
          <w:t>https://doi.org/10.14453/aabfj.v16i6.03</w:t>
        </w:r>
      </w:hyperlink>
      <w:r w:rsidRPr="00085290">
        <w:rPr>
          <w:rFonts w:ascii="Times New Roman" w:eastAsia="Times New Roman" w:hAnsi="Times New Roman" w:cs="Times New Roman"/>
          <w:kern w:val="0"/>
          <w:lang w:eastAsia="zh-CN"/>
          <w14:ligatures w14:val="none"/>
        </w:rPr>
        <w:t xml:space="preserve"> </w:t>
      </w:r>
    </w:p>
    <w:p w14:paraId="1CF859A7"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Banasik, P., Morawska, S., Wędzki, D., Prusak, B. and Łukowski, M., 2025. How do businesses manage their overdue accounts receivable? Evidence from Poland. </w:t>
      </w:r>
      <w:r w:rsidRPr="00085290">
        <w:rPr>
          <w:rFonts w:ascii="Times New Roman" w:eastAsia="Times New Roman" w:hAnsi="Times New Roman" w:cs="Times New Roman"/>
          <w:i/>
          <w:iCs/>
          <w:kern w:val="0"/>
          <w:lang w:val="en-IN" w:eastAsia="zh-CN"/>
          <w14:ligatures w14:val="none"/>
        </w:rPr>
        <w:t>Central European Management Journal</w:t>
      </w:r>
      <w:r w:rsidRPr="00085290">
        <w:rPr>
          <w:rFonts w:ascii="Times New Roman" w:eastAsia="Times New Roman" w:hAnsi="Times New Roman" w:cs="Times New Roman"/>
          <w:kern w:val="0"/>
          <w:lang w:val="en-IN" w:eastAsia="zh-CN"/>
          <w14:ligatures w14:val="none"/>
        </w:rPr>
        <w:t xml:space="preserve">, pp.1-21. </w:t>
      </w:r>
      <w:hyperlink r:id="rId13" w:history="1">
        <w:r w:rsidRPr="00085290">
          <w:rPr>
            <w:rFonts w:ascii="Times New Roman" w:eastAsia="Times New Roman" w:hAnsi="Times New Roman" w:cs="Times New Roman"/>
            <w:color w:val="467886" w:themeColor="hyperlink"/>
            <w:kern w:val="0"/>
            <w:u w:val="single"/>
            <w:lang w:val="en-IN" w:eastAsia="zh-CN"/>
            <w14:ligatures w14:val="none"/>
          </w:rPr>
          <w:t>https://doi.org/10.1108/CEMJ-01-2024-0010</w:t>
        </w:r>
      </w:hyperlink>
    </w:p>
    <w:p w14:paraId="7E94223F"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Chen, C.H., Choy, S.K. and Tan, Y., 2022. The cash conversion cycle spread: International evidence. </w:t>
      </w:r>
      <w:r w:rsidRPr="00085290">
        <w:rPr>
          <w:rFonts w:ascii="Times New Roman" w:eastAsia="Times New Roman" w:hAnsi="Times New Roman" w:cs="Times New Roman"/>
          <w:i/>
          <w:iCs/>
          <w:kern w:val="0"/>
          <w:lang w:val="en-IN" w:eastAsia="zh-CN"/>
          <w14:ligatures w14:val="none"/>
        </w:rPr>
        <w:t>Journal of Banking &amp; Finance</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140</w:t>
      </w:r>
      <w:r w:rsidRPr="00085290">
        <w:rPr>
          <w:rFonts w:ascii="Times New Roman" w:eastAsia="Times New Roman" w:hAnsi="Times New Roman" w:cs="Times New Roman"/>
          <w:kern w:val="0"/>
          <w:lang w:val="en-IN" w:eastAsia="zh-CN"/>
          <w14:ligatures w14:val="none"/>
        </w:rPr>
        <w:t xml:space="preserve">, p.106517. </w:t>
      </w:r>
      <w:hyperlink r:id="rId14" w:history="1">
        <w:r w:rsidRPr="00085290">
          <w:rPr>
            <w:rFonts w:ascii="Times New Roman" w:eastAsia="Times New Roman" w:hAnsi="Times New Roman" w:cs="Times New Roman"/>
            <w:color w:val="467886" w:themeColor="hyperlink"/>
            <w:kern w:val="0"/>
            <w:u w:val="single"/>
            <w:lang w:val="en-IN" w:eastAsia="zh-CN"/>
            <w14:ligatures w14:val="none"/>
          </w:rPr>
          <w:t>https://doi.org/10.1016/j.jbankfin.2022.106517</w:t>
        </w:r>
      </w:hyperlink>
    </w:p>
    <w:p w14:paraId="13F2CF23"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Das, S., 2019. Cash flow ratios and financial performance: A comparative study. Accounting, [online] pp.1–20. </w:t>
      </w:r>
      <w:hyperlink r:id="rId15" w:history="1">
        <w:r w:rsidRPr="00085290">
          <w:rPr>
            <w:rFonts w:ascii="Times New Roman" w:eastAsia="Times New Roman" w:hAnsi="Times New Roman" w:cs="Times New Roman"/>
            <w:color w:val="1155CC"/>
            <w:kern w:val="0"/>
            <w:u w:val="single"/>
            <w:lang w:eastAsia="zh-CN"/>
            <w14:ligatures w14:val="none"/>
          </w:rPr>
          <w:t>https://doi.org/10.5267/j.ac.2018.6.004</w:t>
        </w:r>
      </w:hyperlink>
      <w:r w:rsidRPr="00085290">
        <w:rPr>
          <w:rFonts w:ascii="Times New Roman" w:eastAsia="Times New Roman" w:hAnsi="Times New Roman" w:cs="Times New Roman"/>
          <w:kern w:val="0"/>
          <w:lang w:eastAsia="zh-CN"/>
          <w14:ligatures w14:val="none"/>
        </w:rPr>
        <w:t>.</w:t>
      </w:r>
    </w:p>
    <w:p w14:paraId="65013C1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Dong, Y. and Liu, P., 2022. The effect of state capital injection on private firms’ performance: Evidence from Chinese industrial firms. </w:t>
      </w:r>
      <w:r w:rsidRPr="00085290">
        <w:rPr>
          <w:rFonts w:ascii="Times New Roman" w:eastAsia="Times New Roman" w:hAnsi="Times New Roman" w:cs="Times New Roman"/>
          <w:i/>
          <w:iCs/>
          <w:kern w:val="0"/>
          <w:lang w:val="en-IN" w:eastAsia="zh-CN"/>
          <w14:ligatures w14:val="none"/>
        </w:rPr>
        <w:t>China Economic Quarterly International</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2</w:t>
      </w:r>
      <w:r w:rsidRPr="00085290">
        <w:rPr>
          <w:rFonts w:ascii="Times New Roman" w:eastAsia="Times New Roman" w:hAnsi="Times New Roman" w:cs="Times New Roman"/>
          <w:kern w:val="0"/>
          <w:lang w:val="en-IN" w:eastAsia="zh-CN"/>
          <w14:ligatures w14:val="none"/>
        </w:rPr>
        <w:t xml:space="preserve">(2), pp.85-97. </w:t>
      </w:r>
      <w:hyperlink r:id="rId16" w:history="1">
        <w:r w:rsidRPr="00085290">
          <w:rPr>
            <w:rFonts w:ascii="Times New Roman" w:eastAsia="Times New Roman" w:hAnsi="Times New Roman" w:cs="Times New Roman"/>
            <w:color w:val="467886" w:themeColor="hyperlink"/>
            <w:kern w:val="0"/>
            <w:u w:val="single"/>
            <w:lang w:val="en-IN" w:eastAsia="zh-CN"/>
            <w14:ligatures w14:val="none"/>
          </w:rPr>
          <w:t>https://doi.org/10.1016/j.ceqi.2022.05.001</w:t>
        </w:r>
      </w:hyperlink>
    </w:p>
    <w:p w14:paraId="7B6C32E5"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Fatima, T. and Elbanna, S., 2023. Corporate social responsibility (CSR) implementation: A review and a research agenda towards an integrative framework. </w:t>
      </w:r>
      <w:r w:rsidRPr="00085290">
        <w:rPr>
          <w:rFonts w:ascii="Times New Roman" w:eastAsia="Times New Roman" w:hAnsi="Times New Roman" w:cs="Times New Roman"/>
          <w:i/>
          <w:iCs/>
          <w:kern w:val="0"/>
          <w:lang w:val="en-IN" w:eastAsia="zh-CN"/>
          <w14:ligatures w14:val="none"/>
        </w:rPr>
        <w:t>Journal of business ethics</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183</w:t>
      </w:r>
      <w:r w:rsidRPr="00085290">
        <w:rPr>
          <w:rFonts w:ascii="Times New Roman" w:eastAsia="Times New Roman" w:hAnsi="Times New Roman" w:cs="Times New Roman"/>
          <w:kern w:val="0"/>
          <w:lang w:val="en-IN" w:eastAsia="zh-CN"/>
          <w14:ligatures w14:val="none"/>
        </w:rPr>
        <w:t xml:space="preserve">(1), pp.105-121. </w:t>
      </w:r>
      <w:hyperlink r:id="rId17" w:history="1">
        <w:r w:rsidRPr="00085290">
          <w:rPr>
            <w:rFonts w:ascii="Times New Roman" w:eastAsia="Times New Roman" w:hAnsi="Times New Roman" w:cs="Times New Roman"/>
            <w:color w:val="467886" w:themeColor="hyperlink"/>
            <w:kern w:val="0"/>
            <w:u w:val="single"/>
            <w:lang w:val="en-IN" w:eastAsia="zh-CN"/>
            <w14:ligatures w14:val="none"/>
          </w:rPr>
          <w:t>https://doi.org/10.1007/s10551-022-05047-8</w:t>
        </w:r>
      </w:hyperlink>
    </w:p>
    <w:p w14:paraId="00E97FE5"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Flammer, C. and Ioannou, I., 2021. Strategic management during the financial crisis: How firms adjust their strategic investments in response to credit market disruptions. Strategic Management Journal, 42(7), pp.1275-1298. </w:t>
      </w:r>
      <w:hyperlink r:id="rId18" w:history="1">
        <w:r w:rsidRPr="00085290">
          <w:rPr>
            <w:rFonts w:ascii="Times New Roman" w:eastAsia="Times New Roman" w:hAnsi="Times New Roman" w:cs="Times New Roman"/>
            <w:color w:val="1155CC"/>
            <w:kern w:val="0"/>
            <w:u w:val="single"/>
            <w:lang w:eastAsia="zh-CN"/>
            <w14:ligatures w14:val="none"/>
          </w:rPr>
          <w:t>https://doi.org/10.1002/smj.3265</w:t>
        </w:r>
      </w:hyperlink>
      <w:r w:rsidRPr="00085290">
        <w:rPr>
          <w:rFonts w:ascii="Times New Roman" w:eastAsia="Times New Roman" w:hAnsi="Times New Roman" w:cs="Times New Roman"/>
          <w:kern w:val="0"/>
          <w:lang w:eastAsia="zh-CN"/>
          <w14:ligatures w14:val="none"/>
        </w:rPr>
        <w:t xml:space="preserve"> </w:t>
      </w:r>
    </w:p>
    <w:p w14:paraId="18DC1BA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Handayani, S., Suhardjanto, D., Muhtar, E. and Honggowati, S., 2023. Analysis of Current Ratio, Debt Ratio, Net Profit Margin, and Total Asset Turnover Change in Income (Study of Multinational Companies Listed on the IDX for the 2020-2022 Period). Ilomata International Journal of Tax and Accounting, [online] 4(4), pp.863–877. </w:t>
      </w:r>
      <w:hyperlink r:id="rId19" w:history="1">
        <w:r w:rsidRPr="00085290">
          <w:rPr>
            <w:rFonts w:ascii="Times New Roman" w:eastAsia="Times New Roman" w:hAnsi="Times New Roman" w:cs="Times New Roman"/>
            <w:color w:val="1155CC"/>
            <w:kern w:val="0"/>
            <w:u w:val="single"/>
            <w:lang w:eastAsia="zh-CN"/>
            <w14:ligatures w14:val="none"/>
          </w:rPr>
          <w:t>https://doi.org/10.52728/ijtc.v4i4.900</w:t>
        </w:r>
      </w:hyperlink>
      <w:r w:rsidRPr="00085290">
        <w:rPr>
          <w:rFonts w:ascii="Times New Roman" w:eastAsia="Times New Roman" w:hAnsi="Times New Roman" w:cs="Times New Roman"/>
          <w:kern w:val="0"/>
          <w:lang w:eastAsia="zh-CN"/>
          <w14:ligatures w14:val="none"/>
        </w:rPr>
        <w:t>.</w:t>
      </w:r>
    </w:p>
    <w:p w14:paraId="4F1EB17C"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Immadisetty, A., 2025. Real-Time Inventory Management: Reducing Stockouts and Overstocks in Retail. </w:t>
      </w:r>
      <w:r w:rsidRPr="00085290">
        <w:rPr>
          <w:rFonts w:ascii="Times New Roman" w:eastAsia="Times New Roman" w:hAnsi="Times New Roman" w:cs="Times New Roman"/>
          <w:i/>
          <w:iCs/>
          <w:kern w:val="0"/>
          <w:lang w:val="en-IN" w:eastAsia="zh-CN"/>
          <w14:ligatures w14:val="none"/>
        </w:rPr>
        <w:t>Journal of Recent Trends in Computer Science and Engineering (JRTCSE)</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13</w:t>
      </w:r>
      <w:r w:rsidRPr="00085290">
        <w:rPr>
          <w:rFonts w:ascii="Times New Roman" w:eastAsia="Times New Roman" w:hAnsi="Times New Roman" w:cs="Times New Roman"/>
          <w:kern w:val="0"/>
          <w:lang w:val="en-IN" w:eastAsia="zh-CN"/>
          <w14:ligatures w14:val="none"/>
        </w:rPr>
        <w:t xml:space="preserve">(1), pp.77-88. </w:t>
      </w:r>
      <w:hyperlink r:id="rId20" w:history="1">
        <w:r w:rsidRPr="00085290">
          <w:rPr>
            <w:rFonts w:ascii="Times New Roman" w:eastAsia="Times New Roman" w:hAnsi="Times New Roman" w:cs="Times New Roman"/>
            <w:color w:val="467886" w:themeColor="hyperlink"/>
            <w:kern w:val="0"/>
            <w:u w:val="single"/>
            <w:lang w:val="en-IN" w:eastAsia="zh-CN"/>
            <w14:ligatures w14:val="none"/>
          </w:rPr>
          <w:t>https://doi.org/10.70589/JRTCSE.2025.13.1.10</w:t>
        </w:r>
      </w:hyperlink>
    </w:p>
    <w:p w14:paraId="678BCE21"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Irwanto, R., 2021. Why IRR is not the right measure for return analysis and What’s then?. In International Conference on Engineering, Construction, Renewable Energy, and Advanced Materials. </w:t>
      </w:r>
      <w:hyperlink r:id="rId21" w:history="1">
        <w:r w:rsidRPr="00085290">
          <w:rPr>
            <w:rFonts w:ascii="Times New Roman" w:eastAsia="Times New Roman" w:hAnsi="Times New Roman" w:cs="Times New Roman"/>
            <w:color w:val="1155CC"/>
            <w:kern w:val="0"/>
            <w:u w:val="single"/>
            <w:lang w:eastAsia="zh-CN"/>
            <w14:ligatures w14:val="none"/>
          </w:rPr>
          <w:t>https://jurnal.umj.ac.id/index.php/icecream/article/view/11579</w:t>
        </w:r>
      </w:hyperlink>
      <w:r w:rsidRPr="00085290">
        <w:rPr>
          <w:rFonts w:ascii="Times New Roman" w:eastAsia="Times New Roman" w:hAnsi="Times New Roman" w:cs="Times New Roman"/>
          <w:kern w:val="0"/>
          <w:lang w:eastAsia="zh-CN"/>
          <w14:ligatures w14:val="none"/>
        </w:rPr>
        <w:t xml:space="preserve"> </w:t>
      </w:r>
    </w:p>
    <w:p w14:paraId="796FB5A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Kalra, A. and Afzal, M.N.I., 2023. Transfer pricing practices in multinational corporations and their effects on developing countries' tax revenue: a systematic literature review. </w:t>
      </w:r>
      <w:r w:rsidRPr="00085290">
        <w:rPr>
          <w:rFonts w:ascii="Times New Roman" w:eastAsia="Times New Roman" w:hAnsi="Times New Roman" w:cs="Times New Roman"/>
          <w:i/>
          <w:iCs/>
          <w:kern w:val="0"/>
          <w:lang w:val="en-IN" w:eastAsia="zh-CN"/>
          <w14:ligatures w14:val="none"/>
        </w:rPr>
        <w:t>International Trade, Politics and Development</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7</w:t>
      </w:r>
      <w:r w:rsidRPr="00085290">
        <w:rPr>
          <w:rFonts w:ascii="Times New Roman" w:eastAsia="Times New Roman" w:hAnsi="Times New Roman" w:cs="Times New Roman"/>
          <w:kern w:val="0"/>
          <w:lang w:val="en-IN" w:eastAsia="zh-CN"/>
          <w14:ligatures w14:val="none"/>
        </w:rPr>
        <w:t xml:space="preserve">(3), pp.172-190. </w:t>
      </w:r>
      <w:hyperlink r:id="rId22" w:history="1">
        <w:r w:rsidRPr="00085290">
          <w:rPr>
            <w:rFonts w:ascii="Times New Roman" w:eastAsia="Times New Roman" w:hAnsi="Times New Roman" w:cs="Times New Roman"/>
            <w:color w:val="467886" w:themeColor="hyperlink"/>
            <w:kern w:val="0"/>
            <w:u w:val="single"/>
            <w:lang w:val="en-IN" w:eastAsia="zh-CN"/>
            <w14:ligatures w14:val="none"/>
          </w:rPr>
          <w:t>https://doi.org/10.1108/ITPD-04-2023-0011</w:t>
        </w:r>
      </w:hyperlink>
    </w:p>
    <w:p w14:paraId="4D99D16A"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bookmarkStart w:id="42" w:name="_Hlk216374708"/>
      <w:r w:rsidRPr="00085290">
        <w:rPr>
          <w:rFonts w:ascii="Times New Roman" w:eastAsia="Times New Roman" w:hAnsi="Times New Roman" w:cs="Times New Roman"/>
          <w:kern w:val="0"/>
          <w:lang w:eastAsia="zh-CN"/>
          <w14:ligatures w14:val="none"/>
        </w:rPr>
        <w:t xml:space="preserve">Ogunbiyi, J.O., 2023. Practical Demonstrations of the Use of Select Property Investment Viability Appraisal Models: Net Present Value, Profitability Index and Net Terminal Value. Urban Economics &amp; Regional Studies eJournal, 16(82). </w:t>
      </w:r>
      <w:hyperlink r:id="rId23" w:history="1">
        <w:r w:rsidRPr="00085290">
          <w:rPr>
            <w:rFonts w:ascii="Times New Roman" w:eastAsia="Times New Roman" w:hAnsi="Times New Roman" w:cs="Times New Roman"/>
            <w:color w:val="1155CC"/>
            <w:kern w:val="0"/>
            <w:u w:val="single"/>
            <w:lang w:eastAsia="zh-CN"/>
            <w14:ligatures w14:val="none"/>
          </w:rPr>
          <w:t>https://dx.doi.org/10.2139/ssrn.4459379</w:t>
        </w:r>
      </w:hyperlink>
      <w:r w:rsidRPr="00085290">
        <w:rPr>
          <w:rFonts w:ascii="Times New Roman" w:eastAsia="Times New Roman" w:hAnsi="Times New Roman" w:cs="Times New Roman"/>
          <w:kern w:val="0"/>
          <w:lang w:eastAsia="zh-CN"/>
          <w14:ligatures w14:val="none"/>
        </w:rPr>
        <w:t xml:space="preserve"> </w:t>
      </w:r>
    </w:p>
    <w:p w14:paraId="2103BD6E"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Pandeirot, L.B., Sumanti, E.R. and Aseng, A.C., 2022. An Empirical Study of Quick Ratio and Profitability on Manufacturing Firms in Indonesia. Society, [online] 10(2), pp.525–533. </w:t>
      </w:r>
      <w:hyperlink r:id="rId24" w:history="1">
        <w:r w:rsidRPr="00085290">
          <w:rPr>
            <w:rFonts w:ascii="Times New Roman" w:eastAsia="Times New Roman" w:hAnsi="Times New Roman" w:cs="Times New Roman"/>
            <w:color w:val="1155CC"/>
            <w:kern w:val="0"/>
            <w:u w:val="single"/>
            <w:lang w:eastAsia="zh-CN"/>
            <w14:ligatures w14:val="none"/>
          </w:rPr>
          <w:t>https://doi.org/10.33019/society.v10i2.470</w:t>
        </w:r>
      </w:hyperlink>
      <w:r w:rsidRPr="00085290">
        <w:rPr>
          <w:rFonts w:ascii="Times New Roman" w:eastAsia="Times New Roman" w:hAnsi="Times New Roman" w:cs="Times New Roman"/>
          <w:kern w:val="0"/>
          <w:lang w:eastAsia="zh-CN"/>
          <w14:ligatures w14:val="none"/>
        </w:rPr>
        <w:t>.</w:t>
      </w:r>
    </w:p>
    <w:p w14:paraId="2786EA59" w14:textId="77777777" w:rsidR="00085290" w:rsidRPr="00085290" w:rsidRDefault="00085290" w:rsidP="00085290">
      <w:pPr>
        <w:spacing w:before="120" w:after="120" w:line="360" w:lineRule="auto"/>
        <w:jc w:val="both"/>
        <w:rPr>
          <w:rFonts w:ascii="Times New Roman" w:eastAsia="Times New Roman" w:hAnsi="Times New Roman" w:cs="Times New Roman"/>
          <w:kern w:val="0"/>
          <w:lang w:val="en-IN" w:eastAsia="zh-CN"/>
          <w14:ligatures w14:val="none"/>
        </w:rPr>
      </w:pPr>
      <w:r w:rsidRPr="00085290">
        <w:rPr>
          <w:rFonts w:ascii="Times New Roman" w:eastAsia="Times New Roman" w:hAnsi="Times New Roman" w:cs="Times New Roman"/>
          <w:kern w:val="0"/>
          <w:lang w:val="en-IN" w:eastAsia="zh-CN"/>
          <w14:ligatures w14:val="none"/>
        </w:rPr>
        <w:t xml:space="preserve">Pearce II, J.A. and Patel, P.C., 2022. Reaping the financial and strategic benefits of a divestiture by spin-off. </w:t>
      </w:r>
      <w:r w:rsidRPr="00085290">
        <w:rPr>
          <w:rFonts w:ascii="Times New Roman" w:eastAsia="Times New Roman" w:hAnsi="Times New Roman" w:cs="Times New Roman"/>
          <w:i/>
          <w:iCs/>
          <w:kern w:val="0"/>
          <w:lang w:val="en-IN" w:eastAsia="zh-CN"/>
          <w14:ligatures w14:val="none"/>
        </w:rPr>
        <w:t>Business horizons</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65</w:t>
      </w:r>
      <w:r w:rsidRPr="00085290">
        <w:rPr>
          <w:rFonts w:ascii="Times New Roman" w:eastAsia="Times New Roman" w:hAnsi="Times New Roman" w:cs="Times New Roman"/>
          <w:kern w:val="0"/>
          <w:lang w:val="en-IN" w:eastAsia="zh-CN"/>
          <w14:ligatures w14:val="none"/>
        </w:rPr>
        <w:t xml:space="preserve">(3), pp.291-301. </w:t>
      </w:r>
      <w:hyperlink r:id="rId25" w:history="1">
        <w:r w:rsidRPr="00085290">
          <w:rPr>
            <w:rFonts w:ascii="Times New Roman" w:eastAsia="Times New Roman" w:hAnsi="Times New Roman" w:cs="Times New Roman"/>
            <w:color w:val="467886" w:themeColor="hyperlink"/>
            <w:kern w:val="0"/>
            <w:u w:val="single"/>
            <w:lang w:val="en-IN" w:eastAsia="zh-CN"/>
            <w14:ligatures w14:val="none"/>
          </w:rPr>
          <w:t>https://doi.org/10.1016/j.bushor.2021.03.001</w:t>
        </w:r>
      </w:hyperlink>
    </w:p>
    <w:p w14:paraId="7DD91372"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Rijata, W., Maria Lusiana Yulianti, Komar Priatna, D., and Roswinna, W., 2022. The Effect of Return on Assets, Return on Equity, and Debt to Equity Ratio on Stock Returns in Clothing and Luxury Goods Sub-Sector Companies Listed on the Indonesia Stock Exchange. Journal of Accounting and Finance Management, [online] 3(4), pp.166–175. </w:t>
      </w:r>
      <w:hyperlink r:id="rId26" w:history="1">
        <w:r w:rsidRPr="00085290">
          <w:rPr>
            <w:rFonts w:ascii="Times New Roman" w:eastAsia="Times New Roman" w:hAnsi="Times New Roman" w:cs="Times New Roman"/>
            <w:color w:val="1155CC"/>
            <w:kern w:val="0"/>
            <w:u w:val="single"/>
            <w:lang w:eastAsia="zh-CN"/>
            <w14:ligatures w14:val="none"/>
          </w:rPr>
          <w:t>https://doi.org/10.38035/jafm.v3i5.123</w:t>
        </w:r>
      </w:hyperlink>
      <w:r w:rsidRPr="00085290">
        <w:rPr>
          <w:rFonts w:ascii="Times New Roman" w:eastAsia="Times New Roman" w:hAnsi="Times New Roman" w:cs="Times New Roman"/>
          <w:kern w:val="0"/>
          <w:lang w:eastAsia="zh-CN"/>
          <w14:ligatures w14:val="none"/>
        </w:rPr>
        <w:t xml:space="preserve">. </w:t>
      </w:r>
    </w:p>
    <w:p w14:paraId="0BCC08AF"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Sinaga, A.S., Sari, M.M., Hutasuhut, A.A., Zahara, S.T., Amanda, A., Fitri, A. and Caesario, M.A., 2023. Comparison of capital budgeting methods: NPV, IRR, PAYBACK period. World Journal of Advanced Research and Reviews, 19(2), pp.1078-1081. </w:t>
      </w:r>
      <w:hyperlink r:id="rId27" w:history="1">
        <w:r w:rsidRPr="00085290">
          <w:rPr>
            <w:rFonts w:ascii="Times New Roman" w:eastAsia="Times New Roman" w:hAnsi="Times New Roman" w:cs="Times New Roman"/>
            <w:color w:val="1155CC"/>
            <w:kern w:val="0"/>
            <w:u w:val="single"/>
            <w:lang w:eastAsia="zh-CN"/>
            <w14:ligatures w14:val="none"/>
          </w:rPr>
          <w:t>https://doi.org/10.30574/wjarr.2023.19.2.1483</w:t>
        </w:r>
      </w:hyperlink>
      <w:r w:rsidRPr="00085290">
        <w:rPr>
          <w:rFonts w:ascii="Times New Roman" w:eastAsia="Times New Roman" w:hAnsi="Times New Roman" w:cs="Times New Roman"/>
          <w:kern w:val="0"/>
          <w:lang w:eastAsia="zh-CN"/>
          <w14:ligatures w14:val="none"/>
        </w:rPr>
        <w:t xml:space="preserve"> </w:t>
      </w:r>
    </w:p>
    <w:p w14:paraId="2D75D640"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Times New Roman" w:hAnsi="Times New Roman" w:cs="Times New Roman"/>
          <w:kern w:val="0"/>
          <w:lang w:eastAsia="zh-CN"/>
          <w14:ligatures w14:val="none"/>
        </w:rPr>
        <w:t xml:space="preserve">Vásquez Villanueva, C.A., Terry Ponte, O.F., Huaman Tito, M.J. and Cerna Carrazco, C.S., 2021. Liquidity and accounts receivable ratios : comparative analysis of companies in the dairy sector trading in the bolsa de valores de Lima. Visión de Futuro, [online] (25, No 2 (Julio-Dic)), pp.215–228. </w:t>
      </w:r>
      <w:hyperlink r:id="rId28" w:history="1">
        <w:r w:rsidRPr="00085290">
          <w:rPr>
            <w:rFonts w:ascii="Times New Roman" w:eastAsia="Times New Roman" w:hAnsi="Times New Roman" w:cs="Times New Roman"/>
            <w:color w:val="1155CC"/>
            <w:kern w:val="0"/>
            <w:u w:val="single"/>
            <w:lang w:eastAsia="zh-CN"/>
            <w14:ligatures w14:val="none"/>
          </w:rPr>
          <w:t>https://doi.org/10.36995/j.visiondefuturo.2021.25.02r.006.en</w:t>
        </w:r>
      </w:hyperlink>
      <w:r w:rsidRPr="00085290">
        <w:rPr>
          <w:rFonts w:ascii="Times New Roman" w:eastAsia="Times New Roman" w:hAnsi="Times New Roman" w:cs="Times New Roman"/>
          <w:kern w:val="0"/>
          <w:lang w:eastAsia="zh-CN"/>
          <w14:ligatures w14:val="none"/>
        </w:rPr>
        <w:t>.</w:t>
      </w:r>
    </w:p>
    <w:bookmarkEnd w:id="42"/>
    <w:p w14:paraId="1CA92354" w14:textId="77777777" w:rsidR="00085290" w:rsidRPr="00085290" w:rsidRDefault="00085290" w:rsidP="00085290">
      <w:pPr>
        <w:spacing w:before="120" w:after="120" w:line="360" w:lineRule="auto"/>
        <w:jc w:val="both"/>
        <w:rPr>
          <w:rFonts w:ascii="Times New Roman" w:eastAsia="Arial" w:hAnsi="Times New Roman" w:cs="Arial"/>
          <w:kern w:val="0"/>
          <w:szCs w:val="22"/>
          <w:lang w:eastAsia="zh-CN"/>
          <w14:ligatures w14:val="none"/>
        </w:rPr>
      </w:pPr>
      <w:r w:rsidRPr="00085290">
        <w:rPr>
          <w:rFonts w:ascii="Times New Roman" w:eastAsia="Times New Roman" w:hAnsi="Times New Roman" w:cs="Times New Roman"/>
          <w:kern w:val="0"/>
          <w:lang w:val="en-IN" w:eastAsia="zh-CN"/>
          <w14:ligatures w14:val="none"/>
        </w:rPr>
        <w:t xml:space="preserve">Zhang, Q., Yang, D. and Qin, J., 2023. Multi-party evolutionary game analysis of accounts receivable financing under the application of central bank digital currency. </w:t>
      </w:r>
      <w:r w:rsidRPr="00085290">
        <w:rPr>
          <w:rFonts w:ascii="Times New Roman" w:eastAsia="Times New Roman" w:hAnsi="Times New Roman" w:cs="Times New Roman"/>
          <w:i/>
          <w:iCs/>
          <w:kern w:val="0"/>
          <w:lang w:val="en-IN" w:eastAsia="zh-CN"/>
          <w14:ligatures w14:val="none"/>
        </w:rPr>
        <w:t>Journal of Theoretical and Applied Electronic Commerce Research</w:t>
      </w:r>
      <w:r w:rsidRPr="00085290">
        <w:rPr>
          <w:rFonts w:ascii="Times New Roman" w:eastAsia="Times New Roman" w:hAnsi="Times New Roman" w:cs="Times New Roman"/>
          <w:kern w:val="0"/>
          <w:lang w:val="en-IN" w:eastAsia="zh-CN"/>
          <w14:ligatures w14:val="none"/>
        </w:rPr>
        <w:t xml:space="preserve">, </w:t>
      </w:r>
      <w:r w:rsidRPr="00085290">
        <w:rPr>
          <w:rFonts w:ascii="Times New Roman" w:eastAsia="Times New Roman" w:hAnsi="Times New Roman" w:cs="Times New Roman"/>
          <w:i/>
          <w:iCs/>
          <w:kern w:val="0"/>
          <w:lang w:val="en-IN" w:eastAsia="zh-CN"/>
          <w14:ligatures w14:val="none"/>
        </w:rPr>
        <w:t>18</w:t>
      </w:r>
      <w:r w:rsidRPr="00085290">
        <w:rPr>
          <w:rFonts w:ascii="Times New Roman" w:eastAsia="Times New Roman" w:hAnsi="Times New Roman" w:cs="Times New Roman"/>
          <w:kern w:val="0"/>
          <w:lang w:val="en-IN" w:eastAsia="zh-CN"/>
          <w14:ligatures w14:val="none"/>
        </w:rPr>
        <w:t xml:space="preserve">(1), pp.394-415. </w:t>
      </w:r>
      <w:hyperlink r:id="rId29" w:history="1">
        <w:r w:rsidRPr="00085290">
          <w:rPr>
            <w:rFonts w:ascii="Times New Roman" w:eastAsia="Times New Roman" w:hAnsi="Times New Roman" w:cs="Times New Roman"/>
            <w:color w:val="467886" w:themeColor="hyperlink"/>
            <w:kern w:val="0"/>
            <w:u w:val="single"/>
            <w:lang w:val="en-IN" w:eastAsia="zh-CN"/>
            <w14:ligatures w14:val="none"/>
          </w:rPr>
          <w:t>https://doi.org/10.3390/jtaer18010021</w:t>
        </w:r>
      </w:hyperlink>
    </w:p>
    <w:p w14:paraId="1FBD0B55" w14:textId="77777777" w:rsidR="00085290" w:rsidRPr="00085290" w:rsidRDefault="00085290" w:rsidP="00085290">
      <w:pPr>
        <w:spacing w:after="0" w:line="276" w:lineRule="auto"/>
        <w:rPr>
          <w:rFonts w:ascii="Times New Roman" w:eastAsia="Arial" w:hAnsi="Times New Roman" w:cs="Arial"/>
          <w:kern w:val="0"/>
          <w:szCs w:val="22"/>
          <w:lang w:eastAsia="zh-CN"/>
          <w14:ligatures w14:val="none"/>
        </w:rPr>
      </w:pPr>
      <w:r w:rsidRPr="00085290">
        <w:rPr>
          <w:rFonts w:ascii="Times New Roman" w:eastAsia="Arial" w:hAnsi="Times New Roman" w:cs="Times New Roman"/>
          <w:kern w:val="0"/>
          <w14:ligatures w14:val="none"/>
        </w:rPr>
        <w:br w:type="page"/>
      </w:r>
    </w:p>
    <w:p w14:paraId="32689019" w14:textId="77777777" w:rsidR="00085290" w:rsidRPr="00085290" w:rsidRDefault="00085290" w:rsidP="2B0AED11">
      <w:pPr>
        <w:keepNext/>
        <w:keepLines/>
        <w:spacing w:before="400" w:after="120" w:line="360" w:lineRule="auto"/>
        <w:jc w:val="both"/>
        <w:outlineLvl w:val="0"/>
        <w:rPr>
          <w:rFonts w:ascii="Times New Roman" w:eastAsia="Arial" w:hAnsi="Times New Roman" w:cs="Arial"/>
          <w:b/>
          <w:bCs/>
          <w:kern w:val="0"/>
          <w:sz w:val="28"/>
          <w:szCs w:val="28"/>
          <w:lang w:val="en-IN" w:eastAsia="zh-CN"/>
          <w14:ligatures w14:val="none"/>
        </w:rPr>
      </w:pPr>
      <w:bookmarkStart w:id="43" w:name="_Toc216375489"/>
      <w:bookmarkStart w:id="44" w:name="_Toc216379019"/>
      <w:r w:rsidRPr="2B0AED11">
        <w:rPr>
          <w:rFonts w:ascii="Times New Roman" w:eastAsia="Arial" w:hAnsi="Times New Roman" w:cs="Arial"/>
          <w:b/>
          <w:bCs/>
          <w:kern w:val="0"/>
          <w:sz w:val="28"/>
          <w:szCs w:val="28"/>
          <w:lang w:val="en-IN" w:eastAsia="zh-CN"/>
          <w14:ligatures w14:val="none"/>
        </w:rPr>
        <w:t>Appendices</w:t>
      </w:r>
      <w:bookmarkEnd w:id="43"/>
      <w:bookmarkEnd w:id="44"/>
      <w:r w:rsidRPr="2B0AED11">
        <w:rPr>
          <w:rFonts w:ascii="Times New Roman" w:eastAsia="Arial" w:hAnsi="Times New Roman" w:cs="Arial"/>
          <w:b/>
          <w:bCs/>
          <w:kern w:val="0"/>
          <w:sz w:val="28"/>
          <w:szCs w:val="28"/>
          <w:lang w:val="en-IN" w:eastAsia="zh-CN"/>
          <w14:ligatures w14:val="none"/>
        </w:rPr>
        <w:t xml:space="preserve"> </w:t>
      </w:r>
    </w:p>
    <w:p w14:paraId="706CEF36"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val="en-IN" w:eastAsia="zh-CN"/>
          <w14:ligatures w14:val="none"/>
        </w:rPr>
      </w:pPr>
      <w:bookmarkStart w:id="45" w:name="_Toc216375490"/>
      <w:bookmarkStart w:id="46" w:name="_Toc216379020"/>
      <w:r w:rsidRPr="2B0AED11">
        <w:rPr>
          <w:rFonts w:ascii="Times New Roman" w:eastAsia="Arial" w:hAnsi="Times New Roman" w:cs="Arial"/>
          <w:b/>
          <w:bCs/>
          <w:kern w:val="0"/>
          <w:lang w:val="en-IN" w:eastAsia="zh-CN"/>
          <w14:ligatures w14:val="none"/>
        </w:rPr>
        <w:t>Appendix 1: Ratio Analysis</w:t>
      </w:r>
      <w:bookmarkEnd w:id="45"/>
      <w:bookmarkEnd w:id="46"/>
      <w:r w:rsidRPr="2B0AED11">
        <w:rPr>
          <w:rFonts w:ascii="Times New Roman" w:eastAsia="Arial" w:hAnsi="Times New Roman" w:cs="Arial"/>
          <w:b/>
          <w:bCs/>
          <w:kern w:val="0"/>
          <w:lang w:val="en-IN" w:eastAsia="zh-CN"/>
          <w14:ligatures w14:val="none"/>
        </w:rPr>
        <w:t xml:space="preserve"> </w:t>
      </w:r>
    </w:p>
    <w:p w14:paraId="1E21EC8C" w14:textId="77777777" w:rsidR="00085290" w:rsidRPr="00085290" w:rsidRDefault="00085290" w:rsidP="00085290">
      <w:pPr>
        <w:spacing w:before="120" w:after="120" w:line="360" w:lineRule="auto"/>
        <w:jc w:val="both"/>
        <w:rPr>
          <w:rFonts w:ascii="Times New Roman" w:eastAsia="Times New Roman" w:hAnsi="Times New Roman" w:cs="Times New Roman"/>
          <w:kern w:val="0"/>
          <w:lang w:eastAsia="zh-CN"/>
          <w14:ligatures w14:val="none"/>
        </w:rPr>
      </w:pPr>
      <w:r w:rsidRPr="00085290">
        <w:rPr>
          <w:rFonts w:ascii="Times New Roman" w:eastAsia="Arial" w:hAnsi="Times New Roman" w:cs="Arial"/>
          <w:noProof/>
          <w:kern w:val="0"/>
          <w:szCs w:val="22"/>
          <w:lang w:eastAsia="zh-CN"/>
          <w14:ligatures w14:val="none"/>
        </w:rPr>
        <w:drawing>
          <wp:inline distT="0" distB="0" distL="0" distR="0" wp14:anchorId="3AAC5C5A" wp14:editId="015FC77C">
            <wp:extent cx="5727700" cy="3556000"/>
            <wp:effectExtent l="0" t="0" r="0" b="0"/>
            <wp:docPr id="20818217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7700" cy="3556000"/>
                    </a:xfrm>
                    <a:prstGeom prst="rect">
                      <a:avLst/>
                    </a:prstGeom>
                    <a:noFill/>
                    <a:ln>
                      <a:noFill/>
                    </a:ln>
                  </pic:spPr>
                </pic:pic>
              </a:graphicData>
            </a:graphic>
          </wp:inline>
        </w:drawing>
      </w:r>
    </w:p>
    <w:p w14:paraId="167C68FD"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47" w:name="_Toc216375491"/>
      <w:bookmarkStart w:id="48" w:name="_Toc216379021"/>
      <w:r w:rsidRPr="2B0AED11">
        <w:rPr>
          <w:rFonts w:ascii="Times New Roman" w:eastAsia="Arial" w:hAnsi="Times New Roman" w:cs="Arial"/>
          <w:b/>
          <w:bCs/>
          <w:kern w:val="0"/>
          <w:lang w:eastAsia="zh-CN"/>
          <w14:ligatures w14:val="none"/>
        </w:rPr>
        <w:t>Appendix 2: Altman Z</w:t>
      </w:r>
      <w:bookmarkEnd w:id="47"/>
      <w:bookmarkEnd w:id="48"/>
    </w:p>
    <w:p w14:paraId="3DD4793E" w14:textId="77777777" w:rsidR="00085290" w:rsidRPr="00085290" w:rsidRDefault="00085290" w:rsidP="00085290">
      <w:pPr>
        <w:spacing w:before="120" w:after="120" w:line="360" w:lineRule="auto"/>
        <w:jc w:val="both"/>
        <w:rPr>
          <w:rFonts w:ascii="Times New Roman" w:eastAsia="Times New Roman" w:hAnsi="Times New Roman" w:cs="Times New Roman"/>
          <w:b/>
          <w:bCs/>
          <w:kern w:val="0"/>
          <w:lang w:eastAsia="zh-CN"/>
          <w14:ligatures w14:val="none"/>
        </w:rPr>
      </w:pPr>
      <w:r w:rsidRPr="00085290">
        <w:rPr>
          <w:rFonts w:ascii="Times New Roman" w:eastAsia="Arial" w:hAnsi="Times New Roman" w:cs="Arial"/>
          <w:noProof/>
          <w:kern w:val="0"/>
          <w:szCs w:val="22"/>
          <w:lang w:eastAsia="zh-CN"/>
          <w14:ligatures w14:val="none"/>
        </w:rPr>
        <w:drawing>
          <wp:inline distT="0" distB="0" distL="0" distR="0" wp14:anchorId="52748AE8" wp14:editId="5C01BC39">
            <wp:extent cx="2171700" cy="1206500"/>
            <wp:effectExtent l="0" t="0" r="0" b="0"/>
            <wp:docPr id="16184763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71700" cy="1206500"/>
                    </a:xfrm>
                    <a:prstGeom prst="rect">
                      <a:avLst/>
                    </a:prstGeom>
                    <a:noFill/>
                    <a:ln>
                      <a:noFill/>
                    </a:ln>
                  </pic:spPr>
                </pic:pic>
              </a:graphicData>
            </a:graphic>
          </wp:inline>
        </w:drawing>
      </w:r>
    </w:p>
    <w:p w14:paraId="1B3C165E"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49" w:name="_Toc216375492"/>
      <w:bookmarkStart w:id="50" w:name="_Toc216379022"/>
      <w:r w:rsidRPr="2B0AED11">
        <w:rPr>
          <w:rFonts w:ascii="Times New Roman" w:eastAsia="Arial" w:hAnsi="Times New Roman" w:cs="Arial"/>
          <w:b/>
          <w:bCs/>
          <w:kern w:val="0"/>
          <w:lang w:eastAsia="zh-CN"/>
          <w14:ligatures w14:val="none"/>
        </w:rPr>
        <w:t>Appendix 3: Cash Conversion Cycle (CCC)</w:t>
      </w:r>
      <w:bookmarkEnd w:id="49"/>
      <w:bookmarkEnd w:id="50"/>
    </w:p>
    <w:p w14:paraId="6B32DBA1" w14:textId="77777777" w:rsidR="00085290" w:rsidRPr="00085290" w:rsidRDefault="00085290" w:rsidP="00085290">
      <w:pPr>
        <w:spacing w:after="0" w:line="276" w:lineRule="auto"/>
        <w:rPr>
          <w:rFonts w:ascii="Times New Roman" w:eastAsia="Times New Roman" w:hAnsi="Times New Roman" w:cs="Times New Roman"/>
          <w:b/>
          <w:bCs/>
          <w:kern w:val="0"/>
          <w:lang w:eastAsia="zh-CN"/>
          <w14:ligatures w14:val="none"/>
        </w:rPr>
      </w:pPr>
      <w:r w:rsidRPr="00085290">
        <w:rPr>
          <w:rFonts w:ascii="Times New Roman" w:eastAsia="Arial" w:hAnsi="Times New Roman" w:cs="Arial"/>
          <w:noProof/>
          <w:kern w:val="0"/>
          <w:szCs w:val="22"/>
          <w:lang w:eastAsia="zh-CN"/>
          <w14:ligatures w14:val="none"/>
        </w:rPr>
        <w:drawing>
          <wp:inline distT="0" distB="0" distL="0" distR="0" wp14:anchorId="499EC91F" wp14:editId="6B96921C">
            <wp:extent cx="5727700" cy="774700"/>
            <wp:effectExtent l="0" t="0" r="0" b="0"/>
            <wp:docPr id="172199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774700"/>
                    </a:xfrm>
                    <a:prstGeom prst="rect">
                      <a:avLst/>
                    </a:prstGeom>
                    <a:noFill/>
                    <a:ln>
                      <a:noFill/>
                    </a:ln>
                  </pic:spPr>
                </pic:pic>
              </a:graphicData>
            </a:graphic>
          </wp:inline>
        </w:drawing>
      </w:r>
    </w:p>
    <w:p w14:paraId="19209445" w14:textId="77777777" w:rsidR="00085290" w:rsidRPr="00085290" w:rsidRDefault="00085290" w:rsidP="00085290">
      <w:pPr>
        <w:spacing w:after="0" w:line="276" w:lineRule="auto"/>
        <w:rPr>
          <w:rFonts w:ascii="Times New Roman" w:eastAsia="Times New Roman" w:hAnsi="Times New Roman" w:cs="Times New Roman"/>
          <w:b/>
          <w:bCs/>
          <w:kern w:val="0"/>
          <w:lang w:eastAsia="zh-CN"/>
          <w14:ligatures w14:val="none"/>
        </w:rPr>
      </w:pPr>
      <w:r w:rsidRPr="00085290">
        <w:rPr>
          <w:rFonts w:ascii="Times New Roman" w:eastAsia="Times New Roman" w:hAnsi="Times New Roman" w:cs="Times New Roman"/>
          <w:b/>
          <w:bCs/>
          <w:kern w:val="0"/>
          <w:lang w:eastAsia="zh-CN"/>
          <w14:ligatures w14:val="none"/>
        </w:rPr>
        <w:br w:type="page"/>
      </w:r>
    </w:p>
    <w:p w14:paraId="11E4DA62" w14:textId="77777777" w:rsidR="00085290" w:rsidRPr="00085290" w:rsidRDefault="00085290" w:rsidP="2B0AED11">
      <w:pPr>
        <w:keepNext/>
        <w:keepLines/>
        <w:spacing w:before="480" w:after="240" w:line="360" w:lineRule="auto"/>
        <w:jc w:val="both"/>
        <w:outlineLvl w:val="1"/>
        <w:rPr>
          <w:rFonts w:ascii="Times New Roman" w:eastAsia="Arial" w:hAnsi="Times New Roman" w:cs="Arial"/>
          <w:b/>
          <w:bCs/>
          <w:kern w:val="0"/>
          <w:lang w:eastAsia="zh-CN"/>
          <w14:ligatures w14:val="none"/>
        </w:rPr>
      </w:pPr>
      <w:bookmarkStart w:id="51" w:name="_Toc216375493"/>
      <w:bookmarkStart w:id="52" w:name="_Toc216379023"/>
      <w:r w:rsidRPr="2B0AED11">
        <w:rPr>
          <w:rFonts w:ascii="Times New Roman" w:eastAsia="Arial" w:hAnsi="Times New Roman" w:cs="Arial"/>
          <w:b/>
          <w:bCs/>
          <w:kern w:val="0"/>
          <w:lang w:eastAsia="zh-CN"/>
          <w14:ligatures w14:val="none"/>
        </w:rPr>
        <w:t>Appendix 4: Computation of Investment Appraisal Techniques (values in (£m)</w:t>
      </w:r>
      <w:bookmarkEnd w:id="51"/>
      <w:bookmarkEnd w:id="52"/>
    </w:p>
    <w:p w14:paraId="139AA7BD" w14:textId="77777777" w:rsidR="00085290" w:rsidRPr="00085290" w:rsidRDefault="00085290" w:rsidP="00085290">
      <w:pPr>
        <w:spacing w:after="0" w:line="276" w:lineRule="auto"/>
        <w:rPr>
          <w:rFonts w:ascii="Times New Roman" w:eastAsia="Times New Roman" w:hAnsi="Times New Roman" w:cs="Times New Roman"/>
          <w:b/>
          <w:bCs/>
          <w:kern w:val="0"/>
          <w:lang w:eastAsia="zh-CN"/>
          <w14:ligatures w14:val="none"/>
        </w:rPr>
      </w:pPr>
      <w:r w:rsidRPr="00085290">
        <w:rPr>
          <w:rFonts w:ascii="Times New Roman" w:eastAsia="Arial" w:hAnsi="Times New Roman" w:cs="Arial"/>
          <w:noProof/>
          <w:kern w:val="0"/>
          <w:szCs w:val="22"/>
          <w:lang w:eastAsia="zh-CN"/>
          <w14:ligatures w14:val="none"/>
        </w:rPr>
        <w:drawing>
          <wp:inline distT="0" distB="0" distL="0" distR="0" wp14:anchorId="0A7032F0" wp14:editId="0D5ED0EC">
            <wp:extent cx="5740400" cy="4000500"/>
            <wp:effectExtent l="0" t="0" r="0" b="0"/>
            <wp:docPr id="739606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40400" cy="4000500"/>
                    </a:xfrm>
                    <a:prstGeom prst="rect">
                      <a:avLst/>
                    </a:prstGeom>
                    <a:noFill/>
                    <a:ln>
                      <a:noFill/>
                    </a:ln>
                  </pic:spPr>
                </pic:pic>
              </a:graphicData>
            </a:graphic>
          </wp:inline>
        </w:drawing>
      </w:r>
    </w:p>
    <w:p w14:paraId="2F21B1BD" w14:textId="77777777" w:rsidR="00085290" w:rsidRPr="00085290" w:rsidRDefault="00085290" w:rsidP="00085290">
      <w:pPr>
        <w:spacing w:before="120" w:after="120" w:line="360" w:lineRule="auto"/>
        <w:jc w:val="both"/>
        <w:rPr>
          <w:rFonts w:ascii="Times New Roman" w:eastAsia="Arial" w:hAnsi="Times New Roman" w:cs="Arial"/>
          <w:kern w:val="0"/>
          <w:szCs w:val="22"/>
          <w:lang w:eastAsia="zh-CN"/>
          <w14:ligatures w14:val="none"/>
        </w:rPr>
      </w:pPr>
    </w:p>
    <w:p w14:paraId="4EAF1D75" w14:textId="77777777" w:rsidR="004670D4" w:rsidRPr="00085290" w:rsidRDefault="004670D4" w:rsidP="00085290"/>
    <w:sectPr w:rsidR="004670D4" w:rsidRPr="00085290">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16B00" w14:textId="77777777" w:rsidR="0090077D" w:rsidRDefault="0090077D">
      <w:pPr>
        <w:spacing w:after="0" w:line="240" w:lineRule="auto"/>
      </w:pPr>
      <w:r>
        <w:separator/>
      </w:r>
    </w:p>
  </w:endnote>
  <w:endnote w:type="continuationSeparator" w:id="0">
    <w:p w14:paraId="391C8111" w14:textId="77777777" w:rsidR="0090077D" w:rsidRDefault="00900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B0AED11" w14:paraId="187D52FD" w14:textId="77777777" w:rsidTr="2B0AED11">
      <w:trPr>
        <w:trHeight w:val="300"/>
      </w:trPr>
      <w:tc>
        <w:tcPr>
          <w:tcW w:w="3005" w:type="dxa"/>
        </w:tcPr>
        <w:p w14:paraId="1320AC9D" w14:textId="14B5F340" w:rsidR="2B0AED11" w:rsidRDefault="2B0AED11" w:rsidP="2B0AED11">
          <w:pPr>
            <w:pStyle w:val="Header"/>
            <w:ind w:left="-115"/>
          </w:pPr>
        </w:p>
      </w:tc>
      <w:tc>
        <w:tcPr>
          <w:tcW w:w="3005" w:type="dxa"/>
        </w:tcPr>
        <w:p w14:paraId="125673B6" w14:textId="289C8ACD" w:rsidR="2B0AED11" w:rsidRDefault="2B0AED11" w:rsidP="2B0AED11">
          <w:pPr>
            <w:pStyle w:val="Header"/>
            <w:jc w:val="center"/>
          </w:pPr>
        </w:p>
      </w:tc>
      <w:tc>
        <w:tcPr>
          <w:tcW w:w="3005" w:type="dxa"/>
        </w:tcPr>
        <w:p w14:paraId="7B8FCB0E" w14:textId="5BC64908" w:rsidR="2B0AED11" w:rsidRDefault="2B0AED11" w:rsidP="2B0AED11">
          <w:pPr>
            <w:pStyle w:val="Header"/>
            <w:ind w:right="-115"/>
            <w:jc w:val="right"/>
          </w:pPr>
        </w:p>
      </w:tc>
    </w:tr>
  </w:tbl>
  <w:p w14:paraId="6A69B248" w14:textId="09A7C8E4" w:rsidR="2B0AED11" w:rsidRDefault="2B0AED11" w:rsidP="2B0AE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97297" w14:textId="77777777" w:rsidR="0090077D" w:rsidRDefault="0090077D">
      <w:pPr>
        <w:spacing w:after="0" w:line="240" w:lineRule="auto"/>
      </w:pPr>
      <w:r>
        <w:separator/>
      </w:r>
    </w:p>
  </w:footnote>
  <w:footnote w:type="continuationSeparator" w:id="0">
    <w:p w14:paraId="4C6DC265" w14:textId="77777777" w:rsidR="0090077D" w:rsidRDefault="009007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477B37"/>
    <w:multiLevelType w:val="hybridMultilevel"/>
    <w:tmpl w:val="67D85554"/>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num w:numId="1" w16cid:durableId="2016758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0D4"/>
    <w:rsid w:val="0003637E"/>
    <w:rsid w:val="00085290"/>
    <w:rsid w:val="00145634"/>
    <w:rsid w:val="0029513D"/>
    <w:rsid w:val="003F5404"/>
    <w:rsid w:val="004670D4"/>
    <w:rsid w:val="0065298C"/>
    <w:rsid w:val="0065490C"/>
    <w:rsid w:val="006C0545"/>
    <w:rsid w:val="00897B2E"/>
    <w:rsid w:val="008D7897"/>
    <w:rsid w:val="0090077D"/>
    <w:rsid w:val="009B6A77"/>
    <w:rsid w:val="009E4950"/>
    <w:rsid w:val="009E5827"/>
    <w:rsid w:val="009F4F69"/>
    <w:rsid w:val="00A31015"/>
    <w:rsid w:val="00A41732"/>
    <w:rsid w:val="00AD0107"/>
    <w:rsid w:val="00B07B43"/>
    <w:rsid w:val="00F1388F"/>
    <w:rsid w:val="00F96EAE"/>
    <w:rsid w:val="245CEABB"/>
    <w:rsid w:val="2B0AED11"/>
    <w:rsid w:val="352230B0"/>
    <w:rsid w:val="48B1D194"/>
    <w:rsid w:val="4F0CDCFB"/>
    <w:rsid w:val="55576090"/>
    <w:rsid w:val="5F3AD7B5"/>
    <w:rsid w:val="72BC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E6D04D"/>
  <w15:chartTrackingRefBased/>
  <w15:docId w15:val="{0425BF33-688E-844B-95CB-871D6D459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0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70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0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0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0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0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0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0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0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0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70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0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0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0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0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0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0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0D4"/>
    <w:rPr>
      <w:rFonts w:eastAsiaTheme="majorEastAsia" w:cstheme="majorBidi"/>
      <w:color w:val="272727" w:themeColor="text1" w:themeTint="D8"/>
    </w:rPr>
  </w:style>
  <w:style w:type="paragraph" w:styleId="Title">
    <w:name w:val="Title"/>
    <w:basedOn w:val="Normal"/>
    <w:next w:val="Normal"/>
    <w:link w:val="TitleChar"/>
    <w:uiPriority w:val="10"/>
    <w:qFormat/>
    <w:rsid w:val="004670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0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0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0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0D4"/>
    <w:pPr>
      <w:spacing w:before="160"/>
      <w:jc w:val="center"/>
    </w:pPr>
    <w:rPr>
      <w:i/>
      <w:iCs/>
      <w:color w:val="404040" w:themeColor="text1" w:themeTint="BF"/>
    </w:rPr>
  </w:style>
  <w:style w:type="character" w:customStyle="1" w:styleId="QuoteChar">
    <w:name w:val="Quote Char"/>
    <w:basedOn w:val="DefaultParagraphFont"/>
    <w:link w:val="Quote"/>
    <w:uiPriority w:val="29"/>
    <w:rsid w:val="004670D4"/>
    <w:rPr>
      <w:i/>
      <w:iCs/>
      <w:color w:val="404040" w:themeColor="text1" w:themeTint="BF"/>
    </w:rPr>
  </w:style>
  <w:style w:type="paragraph" w:styleId="ListParagraph">
    <w:name w:val="List Paragraph"/>
    <w:basedOn w:val="Normal"/>
    <w:uiPriority w:val="34"/>
    <w:qFormat/>
    <w:rsid w:val="004670D4"/>
    <w:pPr>
      <w:ind w:left="720"/>
      <w:contextualSpacing/>
    </w:pPr>
  </w:style>
  <w:style w:type="character" w:styleId="IntenseEmphasis">
    <w:name w:val="Intense Emphasis"/>
    <w:basedOn w:val="DefaultParagraphFont"/>
    <w:uiPriority w:val="21"/>
    <w:qFormat/>
    <w:rsid w:val="004670D4"/>
    <w:rPr>
      <w:i/>
      <w:iCs/>
      <w:color w:val="0F4761" w:themeColor="accent1" w:themeShade="BF"/>
    </w:rPr>
  </w:style>
  <w:style w:type="paragraph" w:styleId="IntenseQuote">
    <w:name w:val="Intense Quote"/>
    <w:basedOn w:val="Normal"/>
    <w:next w:val="Normal"/>
    <w:link w:val="IntenseQuoteChar"/>
    <w:uiPriority w:val="30"/>
    <w:qFormat/>
    <w:rsid w:val="004670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0D4"/>
    <w:rPr>
      <w:i/>
      <w:iCs/>
      <w:color w:val="0F4761" w:themeColor="accent1" w:themeShade="BF"/>
    </w:rPr>
  </w:style>
  <w:style w:type="character" w:styleId="IntenseReference">
    <w:name w:val="Intense Reference"/>
    <w:basedOn w:val="DefaultParagraphFont"/>
    <w:uiPriority w:val="32"/>
    <w:qFormat/>
    <w:rsid w:val="004670D4"/>
    <w:rPr>
      <w:b/>
      <w:bCs/>
      <w:smallCaps/>
      <w:color w:val="0F4761" w:themeColor="accent1" w:themeShade="BF"/>
      <w:spacing w:val="5"/>
    </w:rPr>
  </w:style>
  <w:style w:type="paragraph" w:customStyle="1" w:styleId="s19">
    <w:name w:val="s19"/>
    <w:basedOn w:val="Normal"/>
    <w:rsid w:val="004670D4"/>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4670D4"/>
  </w:style>
  <w:style w:type="paragraph" w:customStyle="1" w:styleId="s21">
    <w:name w:val="s21"/>
    <w:basedOn w:val="Normal"/>
    <w:rsid w:val="004670D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4670D4"/>
  </w:style>
  <w:style w:type="paragraph" w:customStyle="1" w:styleId="s24">
    <w:name w:val="s24"/>
    <w:basedOn w:val="Normal"/>
    <w:rsid w:val="004670D4"/>
    <w:pPr>
      <w:spacing w:before="100" w:beforeAutospacing="1" w:after="100" w:afterAutospacing="1" w:line="240" w:lineRule="auto"/>
    </w:pPr>
    <w:rPr>
      <w:rFonts w:ascii="Times New Roman" w:hAnsi="Times New Roman" w:cs="Times New Roman"/>
      <w:kern w:val="0"/>
      <w14:ligatures w14:val="none"/>
    </w:rPr>
  </w:style>
  <w:style w:type="paragraph" w:customStyle="1" w:styleId="s8">
    <w:name w:val="s8"/>
    <w:basedOn w:val="Normal"/>
    <w:rsid w:val="00897B2E"/>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897B2E"/>
  </w:style>
  <w:style w:type="character" w:customStyle="1" w:styleId="s7">
    <w:name w:val="s7"/>
    <w:basedOn w:val="DefaultParagraphFont"/>
    <w:rsid w:val="00897B2E"/>
  </w:style>
  <w:style w:type="character" w:styleId="Hyperlink">
    <w:name w:val="Hyperlink"/>
    <w:basedOn w:val="DefaultParagraphFont"/>
    <w:uiPriority w:val="99"/>
    <w:semiHidden/>
    <w:unhideWhenUsed/>
    <w:rsid w:val="00085290"/>
    <w:rPr>
      <w:color w:val="467886" w:themeColor="hyperlink"/>
      <w:u w:val="single"/>
    </w:rPr>
  </w:style>
  <w:style w:type="paragraph" w:styleId="TOC1">
    <w:name w:val="toc 1"/>
    <w:basedOn w:val="Normal"/>
    <w:next w:val="Normal"/>
    <w:autoRedefine/>
    <w:uiPriority w:val="39"/>
    <w:semiHidden/>
    <w:unhideWhenUsed/>
    <w:rsid w:val="00085290"/>
    <w:pPr>
      <w:spacing w:before="120" w:after="100" w:line="360" w:lineRule="auto"/>
      <w:jc w:val="both"/>
    </w:pPr>
    <w:rPr>
      <w:rFonts w:ascii="Times New Roman" w:eastAsia="Arial" w:hAnsi="Times New Roman" w:cs="Arial"/>
      <w:kern w:val="0"/>
      <w:szCs w:val="22"/>
      <w:lang w:eastAsia="zh-CN"/>
      <w14:ligatures w14:val="none"/>
    </w:rPr>
  </w:style>
  <w:style w:type="paragraph" w:styleId="TOC2">
    <w:name w:val="toc 2"/>
    <w:basedOn w:val="Normal"/>
    <w:next w:val="Normal"/>
    <w:autoRedefine/>
    <w:uiPriority w:val="39"/>
    <w:semiHidden/>
    <w:unhideWhenUsed/>
    <w:rsid w:val="00085290"/>
    <w:pPr>
      <w:spacing w:before="120" w:after="100" w:line="360" w:lineRule="auto"/>
      <w:ind w:left="240"/>
      <w:jc w:val="both"/>
    </w:pPr>
    <w:rPr>
      <w:rFonts w:ascii="Times New Roman" w:eastAsia="Arial" w:hAnsi="Times New Roman" w:cs="Arial"/>
      <w:kern w:val="0"/>
      <w:szCs w:val="22"/>
      <w:lang w:eastAsia="zh-CN"/>
      <w14:ligatures w14:val="none"/>
    </w:rPr>
  </w:style>
  <w:style w:type="paragraph" w:styleId="TOCHeading">
    <w:name w:val="TOC Heading"/>
    <w:basedOn w:val="Heading1"/>
    <w:next w:val="Normal"/>
    <w:uiPriority w:val="39"/>
    <w:semiHidden/>
    <w:unhideWhenUsed/>
    <w:qFormat/>
    <w:rsid w:val="00085290"/>
    <w:pPr>
      <w:spacing w:before="240" w:after="0" w:line="256" w:lineRule="auto"/>
      <w:outlineLvl w:val="9"/>
    </w:pPr>
    <w:rPr>
      <w:kern w:val="0"/>
      <w:sz w:val="32"/>
      <w:szCs w:val="32"/>
      <w:lang w:val="en-US" w:eastAsia="en-US"/>
      <w14:ligatures w14:val="none"/>
    </w:rPr>
  </w:style>
  <w:style w:type="paragraph" w:styleId="Header">
    <w:name w:val="header"/>
    <w:basedOn w:val="Normal"/>
    <w:uiPriority w:val="99"/>
    <w:unhideWhenUsed/>
    <w:rsid w:val="2B0AED11"/>
    <w:pPr>
      <w:tabs>
        <w:tab w:val="center" w:pos="4680"/>
        <w:tab w:val="right" w:pos="9360"/>
      </w:tabs>
      <w:spacing w:after="0" w:line="240" w:lineRule="auto"/>
    </w:pPr>
  </w:style>
  <w:style w:type="paragraph" w:styleId="Footer">
    <w:name w:val="footer"/>
    <w:basedOn w:val="Normal"/>
    <w:uiPriority w:val="99"/>
    <w:unhideWhenUsed/>
    <w:rsid w:val="2B0AED1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CEMJ-01-2024-0010" TargetMode="External"/><Relationship Id="rId18" Type="http://schemas.openxmlformats.org/officeDocument/2006/relationships/hyperlink" Target="https://doi.org/10.1002/smj.3265" TargetMode="External"/><Relationship Id="rId26" Type="http://schemas.openxmlformats.org/officeDocument/2006/relationships/hyperlink" Target="https://doi.org/10.38035/jafm.v3i5.123" TargetMode="External"/><Relationship Id="rId3" Type="http://schemas.openxmlformats.org/officeDocument/2006/relationships/settings" Target="settings.xml"/><Relationship Id="rId21" Type="http://schemas.openxmlformats.org/officeDocument/2006/relationships/hyperlink" Target="https://jurnal.umj.ac.id/index.php/icecream/article/view/11579"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oi.org/10.14453/aabfj.v16i6.03" TargetMode="External"/><Relationship Id="rId17" Type="http://schemas.openxmlformats.org/officeDocument/2006/relationships/hyperlink" Target="https://doi.org/10.1007/s10551-022-05047-8" TargetMode="External"/><Relationship Id="rId25" Type="http://schemas.openxmlformats.org/officeDocument/2006/relationships/hyperlink" Target="https://doi.org/10.1016/j.bushor.2021.03.001" TargetMode="External"/><Relationship Id="rId33" Type="http://schemas.openxmlformats.org/officeDocument/2006/relationships/image" Target="media/image5.emf"/><Relationship Id="rId2" Type="http://schemas.openxmlformats.org/officeDocument/2006/relationships/styles" Target="styles.xml"/><Relationship Id="rId16" Type="http://schemas.openxmlformats.org/officeDocument/2006/relationships/hyperlink" Target="https://doi.org/10.1016/j.ceqi.2022.05.001" TargetMode="External"/><Relationship Id="rId20" Type="http://schemas.openxmlformats.org/officeDocument/2006/relationships/hyperlink" Target="https://doi.org/10.70589/JRTCSE.2025.13.1.10" TargetMode="External"/><Relationship Id="rId29" Type="http://schemas.openxmlformats.org/officeDocument/2006/relationships/hyperlink" Target="https://doi.org/10.3390/jtaer1801002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55324/josr.v2i10.1392" TargetMode="External"/><Relationship Id="rId24" Type="http://schemas.openxmlformats.org/officeDocument/2006/relationships/hyperlink" Target="https://doi.org/10.33019/society.v10i2.470" TargetMode="External"/><Relationship Id="rId32"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hyperlink" Target="https://doi.org/10.5267/j.ac.2018.6.004" TargetMode="External"/><Relationship Id="rId23" Type="http://schemas.openxmlformats.org/officeDocument/2006/relationships/hyperlink" Target="https://dx.doi.org/10.2139/ssrn.4459379" TargetMode="External"/><Relationship Id="rId28" Type="http://schemas.openxmlformats.org/officeDocument/2006/relationships/hyperlink" Target="https://doi.org/10.36995/j.visiondefuturo.2021.25.02r.006.en" TargetMode="External"/><Relationship Id="rId36" Type="http://schemas.openxmlformats.org/officeDocument/2006/relationships/theme" Target="theme/theme1.xml"/><Relationship Id="rId10" Type="http://schemas.openxmlformats.org/officeDocument/2006/relationships/hyperlink" Target="https://doi.org/10.35552/anujr.a.40.1.2381" TargetMode="External"/><Relationship Id="rId19" Type="http://schemas.openxmlformats.org/officeDocument/2006/relationships/hyperlink" Target="https://doi.org/10.52728/ijtc.v4i4.900" TargetMode="External"/><Relationship Id="rId31"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doi.org/10.1108/S1479-361X20210000020004" TargetMode="External"/><Relationship Id="rId14" Type="http://schemas.openxmlformats.org/officeDocument/2006/relationships/hyperlink" Target="https://doi.org/10.1016/j.jbankfin.2022.106517" TargetMode="External"/><Relationship Id="rId22" Type="http://schemas.openxmlformats.org/officeDocument/2006/relationships/hyperlink" Target="https://doi.org/10.1108/ITPD-04-2023-0011" TargetMode="External"/><Relationship Id="rId27" Type="http://schemas.openxmlformats.org/officeDocument/2006/relationships/hyperlink" Target="https://doi.org/10.30574/wjarr.2023.19.2.1483" TargetMode="External"/><Relationship Id="rId30" Type="http://schemas.openxmlformats.org/officeDocument/2006/relationships/image" Target="media/image2.emf"/><Relationship Id="rId35" Type="http://schemas.openxmlformats.org/officeDocument/2006/relationships/fontTable" Target="fontTable.xml"/><Relationship Id="rId8" Type="http://schemas.openxmlformats.org/officeDocument/2006/relationships/hyperlink" Target="https://doi.org/10.5267/j.ac.2020.7.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6499</Words>
  <Characters>37049</Characters>
  <Application>Microsoft Office Word</Application>
  <DocSecurity>0</DocSecurity>
  <Lines>308</Lines>
  <Paragraphs>86</Paragraphs>
  <ScaleCrop>false</ScaleCrop>
  <Company/>
  <LinksUpToDate>false</LinksUpToDate>
  <CharactersWithSpaces>43462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2</cp:revision>
  <dcterms:created xsi:type="dcterms:W3CDTF">2025-12-16T23:35:00Z</dcterms:created>
  <dcterms:modified xsi:type="dcterms:W3CDTF">2025-12-16T23:35:00Z</dcterms:modified>
</cp:coreProperties>
</file>