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 xml:space="preserve"> </w:t>
      </w:r>
    </w:p>
    <w:p>
      <w:pPr>
        <w:pStyle w:val="Body"/>
        <w:spacing w:line="480" w:lineRule="auto"/>
      </w:pPr>
      <w:r>
        <w:rPr>
          <w:rtl w:val="0"/>
          <w:lang w:val="en-US"/>
        </w:rPr>
        <w:t xml:space="preserve">Elyse Hopkins </w:t>
      </w:r>
    </w:p>
    <w:p>
      <w:pPr>
        <w:pStyle w:val="Body"/>
        <w:spacing w:line="480" w:lineRule="auto"/>
      </w:pPr>
      <w:r>
        <w:rPr>
          <w:rtl w:val="0"/>
          <w:lang w:val="en-US"/>
        </w:rPr>
        <w:t xml:space="preserve">1550604 </w:t>
      </w:r>
    </w:p>
    <w:p>
      <w:pPr>
        <w:pStyle w:val="Body"/>
        <w:spacing w:line="480" w:lineRule="auto"/>
      </w:pPr>
      <w:r>
        <w:rPr>
          <w:rtl w:val="0"/>
          <w:lang w:val="en-US"/>
        </w:rPr>
        <w:t>ECPT5002 &amp; ECPT6004</w:t>
      </w:r>
    </w:p>
    <w:p>
      <w:pPr>
        <w:pStyle w:val="Body"/>
        <w:spacing w:line="480" w:lineRule="auto"/>
        <w:jc w:val="center"/>
        <w:rPr>
          <w:b w:val="1"/>
          <w:bCs w:val="1"/>
          <w:u w:val="single"/>
        </w:rPr>
      </w:pPr>
      <w:r>
        <w:rPr>
          <w:b w:val="1"/>
          <w:bCs w:val="1"/>
          <w:u w:val="single"/>
          <w:rtl w:val="0"/>
          <w:lang w:val="en-US"/>
        </w:rPr>
        <w:t>Additional Learning Needs and Inclusive Practice</w:t>
      </w:r>
    </w:p>
    <w:p>
      <w:pPr>
        <w:pStyle w:val="Body"/>
        <w:spacing w:line="480" w:lineRule="auto"/>
      </w:pPr>
    </w:p>
    <w:p>
      <w:pPr>
        <w:pStyle w:val="Body"/>
        <w:spacing w:line="480" w:lineRule="auto"/>
        <w:rPr>
          <w:b w:val="1"/>
          <w:bCs w:val="1"/>
        </w:rPr>
      </w:pPr>
      <w:r>
        <w:rPr>
          <w:b w:val="1"/>
          <w:bCs w:val="1"/>
          <w:rtl w:val="0"/>
          <w:lang w:val="en-US"/>
        </w:rPr>
        <w:t>Acknowledgements</w:t>
      </w:r>
    </w:p>
    <w:p>
      <w:pPr>
        <w:pStyle w:val="Body"/>
        <w:spacing w:line="480" w:lineRule="auto"/>
      </w:pPr>
      <w:r>
        <w:rPr>
          <w:rtl w:val="0"/>
          <w:lang w:val="en-US"/>
        </w:rPr>
        <w:t xml:space="preserve">I can confirm that I have not used any AI tools in the research and creation of this assignment. I can confirm that I have not presented any AI generated materials as my own work. I can confirm I have copies of my drafts, notes, and other resources I used, which I may be asked to provide in evidence. </w:t>
      </w:r>
    </w:p>
    <w:p>
      <w:pPr>
        <w:pStyle w:val="Body"/>
        <w:spacing w:line="480" w:lineRule="auto"/>
      </w:pPr>
    </w:p>
    <w:p>
      <w:pPr>
        <w:pStyle w:val="Body"/>
        <w:spacing w:line="480" w:lineRule="auto"/>
        <w:rPr>
          <w:b w:val="1"/>
          <w:bCs w:val="1"/>
          <w:u w:val="single"/>
        </w:rPr>
      </w:pPr>
      <w:r>
        <w:rPr>
          <w:b w:val="1"/>
          <w:bCs w:val="1"/>
          <w:u w:val="single"/>
          <w:rtl w:val="0"/>
          <w:lang w:val="en-US"/>
        </w:rPr>
        <w:t>Part 1</w:t>
      </w:r>
    </w:p>
    <w:p>
      <w:pPr>
        <w:pStyle w:val="Body"/>
        <w:spacing w:line="480" w:lineRule="auto"/>
      </w:pPr>
      <w:r>
        <w:rPr>
          <w:rtl w:val="0"/>
          <w:lang w:val="en-US"/>
        </w:rPr>
        <w:t xml:space="preserve"> This essay will explore the present legislation and policies that supports additional learning needs (ALN) within post-16 education and promoting inclusivity in institutional practice. Although within each higher education sector specifically in Wales, all adhere to the Strategic Equality Plan 2024-2028 set out by Welsh government (Welsh Government, 2023), I have specifically referred to the University of Wales Trinity Saint David</w:t>
      </w:r>
      <w:r>
        <w:rPr>
          <w:rtl w:val="0"/>
          <w:lang w:val="en-US"/>
        </w:rPr>
        <w:t>’</w:t>
      </w:r>
      <w:r>
        <w:rPr>
          <w:rtl w:val="0"/>
          <w:lang w:val="en-US"/>
        </w:rPr>
        <w:t xml:space="preserve">s (UWTSD) policies which aligns with the Equality Act 2010 (Legislation </w:t>
      </w:r>
      <w:r>
        <w:rPr>
          <w:rStyle w:val="Hyperlink.0"/>
        </w:rPr>
        <w:fldChar w:fldCharType="begin" w:fldLock="0"/>
      </w:r>
      <w:r>
        <w:rPr>
          <w:rStyle w:val="Hyperlink.0"/>
        </w:rPr>
        <w:instrText xml:space="preserve"> HYPERLINK "http://gov.uk"</w:instrText>
      </w:r>
      <w:r>
        <w:rPr>
          <w:rStyle w:val="Hyperlink.0"/>
        </w:rPr>
        <w:fldChar w:fldCharType="separate" w:fldLock="0"/>
      </w:r>
      <w:r>
        <w:rPr>
          <w:rStyle w:val="Hyperlink.0"/>
          <w:rtl w:val="0"/>
          <w:lang w:val="en-US"/>
        </w:rPr>
        <w:t>gov.uk</w:t>
      </w:r>
      <w:r>
        <w:rPr/>
        <w:fldChar w:fldCharType="end" w:fldLock="0"/>
      </w:r>
      <w:r>
        <w:rPr>
          <w:rtl w:val="0"/>
          <w:lang w:val="en-US"/>
        </w:rPr>
        <w:t>, 2025) most notably, students from varied needs and backgrounds will need to feel accepted as individuals enabling them to effectively learn from a compassionate, respectful and inclusive environment. The Equality and Human Rights Commission (EHRC) states that all higher education sectors with England, Wales, Scotland and Ireland are under obligation to carry provisions aligned with the Equality Act (2010) to maintain responsibilities which are then carried out effectively within institutions (2014, p.6). I will also draw upon UWTSD</w:t>
      </w:r>
      <w:r>
        <w:rPr>
          <w:rtl w:val="0"/>
          <w:lang w:val="en-US"/>
        </w:rPr>
        <w:t>’</w:t>
      </w:r>
      <w:r>
        <w:rPr>
          <w:rtl w:val="0"/>
          <w:lang w:val="en-US"/>
        </w:rPr>
        <w:t xml:space="preserve">s strategic plans and policies along with professional standards that will be noted in both sections of this essay. </w:t>
      </w:r>
    </w:p>
    <w:p>
      <w:pPr>
        <w:pStyle w:val="Body"/>
        <w:spacing w:line="480" w:lineRule="auto"/>
      </w:pPr>
    </w:p>
    <w:p>
      <w:pPr>
        <w:pStyle w:val="Body"/>
        <w:spacing w:line="480" w:lineRule="auto"/>
      </w:pPr>
      <w:r>
        <w:rPr>
          <w:rtl w:val="0"/>
          <w:lang w:val="en-US"/>
        </w:rPr>
        <w:t xml:space="preserve"> In order to understand why there is a need to have strategy plans surrounding inclusion and diversity in the first place, there must be an awareness of oppression; oppression within society remains relevant, awareness and action on discrimination in order to foster a safer environment for all. Oppression, defined as unfair and prevention of opportunities which can correlate into societal and institutional domains where it is present at varied levels. According to Thompson (2021) oppression could have been be built from previous patterns and policies not just from a personal perspective of individuals (Thompson, 2021, p.40). Thompson</w:t>
      </w:r>
      <w:r>
        <w:rPr>
          <w:rtl w:val="0"/>
          <w:lang w:val="en-US"/>
        </w:rPr>
        <w:t>’</w:t>
      </w:r>
      <w:r>
        <w:rPr>
          <w:rtl w:val="0"/>
          <w:lang w:val="en-US"/>
        </w:rPr>
        <w:t xml:space="preserve">s model argues that the levels of oppression can stem from personal /psychological, cultural and structural level which are linked into one another (Thompson, 2021, p.35), once the personal thought or experience embeds into a cultural and social context, it influences at a greater structural level. </w:t>
      </w:r>
    </w:p>
    <w:p>
      <w:pPr>
        <w:pStyle w:val="Body"/>
        <w:spacing w:line="480" w:lineRule="auto"/>
      </w:pPr>
    </w:p>
    <w:p>
      <w:pPr>
        <w:pStyle w:val="Body"/>
        <w:spacing w:line="480" w:lineRule="auto"/>
      </w:pPr>
      <w:r>
        <w:rPr>
          <w:rtl w:val="0"/>
          <w:lang w:val="en-US"/>
        </w:rPr>
        <w:t xml:space="preserve"> When discrimination and oppression is present, it can cause a negative impact for the individual</w:t>
      </w:r>
      <w:r>
        <w:rPr>
          <w:rtl w:val="0"/>
          <w:lang w:val="en-US"/>
        </w:rPr>
        <w:t>’</w:t>
      </w:r>
      <w:r>
        <w:rPr>
          <w:rtl w:val="0"/>
          <w:lang w:val="en-US"/>
        </w:rPr>
        <w:t>s safety and identity, which could cause a domino effect impacting the student</w:t>
      </w:r>
      <w:r>
        <w:rPr>
          <w:rtl w:val="0"/>
          <w:lang w:val="en-US"/>
        </w:rPr>
        <w:t>’</w:t>
      </w:r>
      <w:r>
        <w:rPr>
          <w:rtl w:val="0"/>
          <w:lang w:val="en-US"/>
        </w:rPr>
        <w:t xml:space="preserve">s education. The Equality Act (2010) legislation is a means to protect from discrimination for groups with personal characteristics under the act including race, disability, age, sexual orientation, sex, gender reassignment, pregnancy and maternity, marriage and civil partnership and religion or belief (Gov.uk, 2025). Within the post compulsory education sector, although the act will protect the learners with these characteristics, most specifically to ALN, according to the Additional Learning Needs and Education Tribunal Act Wales (2018) it supports learners between the ages of 0-25. However, it appears that it excludes learners who are over the age of 25 which can have a negative impact factor on their learning and overall experience at further education. To refer back to Thompson (2021) notes unintentional discrimination with the protected characteristic of age comes into question, the specific group would feel to be at a disadvantage and may not feel encouraged to pursue education (2021, p.41). To compare with the UWTSD Strategic Equality Plan 2024-2028, the purpose of the strategy is to line up with the institutional plans, well-being and fee access priorities. This is to support and promote equality and diversity within the university by removing barriers and valuing difference in a learning and working environment (UWTSD, 2024, p.3). </w:t>
      </w:r>
    </w:p>
    <w:p>
      <w:pPr>
        <w:pStyle w:val="Body"/>
        <w:spacing w:line="480" w:lineRule="auto"/>
      </w:pPr>
    </w:p>
    <w:p>
      <w:pPr>
        <w:pStyle w:val="Body"/>
        <w:spacing w:line="480" w:lineRule="auto"/>
      </w:pPr>
      <w:r>
        <w:rPr>
          <w:rtl w:val="0"/>
          <w:lang w:val="en-US"/>
        </w:rPr>
        <w:t>The plan highlights the following domains; understanding; belonging and outcomes relating to reflection, safety and equal opportunities. Within each domain follows objectives, specifically to note within equal opportunities ensuring equity and equality is at the forefront in support of the student</w:t>
      </w:r>
      <w:r>
        <w:rPr>
          <w:rtl w:val="0"/>
          <w:lang w:val="en-US"/>
        </w:rPr>
        <w:t>’</w:t>
      </w:r>
      <w:r>
        <w:rPr>
          <w:rtl w:val="0"/>
          <w:lang w:val="en-US"/>
        </w:rPr>
        <w:t>s abilities and interest to progress into higher education safely, with feeling heard by the university of their experiences and are valued. The need for safety is shown on the Maslow</w:t>
      </w:r>
      <w:r>
        <w:rPr>
          <w:rtl w:val="0"/>
          <w:lang w:val="en-US"/>
        </w:rPr>
        <w:t>’</w:t>
      </w:r>
      <w:r>
        <w:rPr>
          <w:rtl w:val="0"/>
          <w:lang w:val="en-US"/>
        </w:rPr>
        <w:t xml:space="preserve">s hierarchy of needs; in order for the learner to thrive in their learning the basic needs of food, water, warmth and rest, the security and safety of the individual must be met at the bottom of the pyramid chart before progressing upwards to self actualisation (Reece and Walker, 2007, p.77). </w:t>
      </w:r>
    </w:p>
    <w:p>
      <w:pPr>
        <w:pStyle w:val="Body"/>
        <w:spacing w:line="480" w:lineRule="auto"/>
      </w:pPr>
    </w:p>
    <w:p>
      <w:pPr>
        <w:pStyle w:val="Body"/>
        <w:spacing w:line="480" w:lineRule="auto"/>
      </w:pPr>
      <w:r>
        <w:rPr>
          <w:rtl w:val="0"/>
          <w:lang w:val="en-US"/>
        </w:rPr>
        <w:t xml:space="preserve"> Following from this, the steps in order to meet these proposals set in the plan from reflecting upon previous years and the data to produce an update and better plan for the benefit for all who attend (UWTSD, 2024). By having these proposals, it enhances the student and staff experience. By collecting the data, the institution would be able to narrowly focus onto specific areas that may have not been met by targets. UWTSD has stated that the way in which they will collect information through creating equality objectives are published, which are then collected through engagement activities such as meetings and surveys reviewing external sources. This links with professional standards set by the Welsh Government under the key principle of taking ownership of collaborating with agencies and stakeholders (Educators Wales, 2023). As a practitioner, this would show a positive impact to understand and advance areas that may require improvement; if additional learning requirements aren</w:t>
      </w:r>
      <w:r>
        <w:rPr>
          <w:rtl w:val="0"/>
          <w:lang w:val="en-US"/>
        </w:rPr>
        <w:t>’</w:t>
      </w:r>
      <w:r>
        <w:rPr>
          <w:rtl w:val="0"/>
          <w:lang w:val="en-US"/>
        </w:rPr>
        <w:t>t met in objectives to introduce training on ALN and inclusivity, there would be a need to recognise additional support that can be available to their learners. The Hazelkorn review acknowledges improvements that could be made; compared on an international scale of other provisions in further education, Wales will need to improve on delivery and widen access and participation, noting groups classed under the protected characteristics including post 25 (Welsh Government, 2016, p.55). This implies a positive step of recognising gaps within current provisions within further education which will provide a more inclusive environment for learners. The education domain is moving with current times, it is therefore a requirement for institutions to update and maintain relevant policies for the learners to be supported through appropriate measures.</w:t>
      </w:r>
    </w:p>
    <w:p>
      <w:pPr>
        <w:pStyle w:val="Body"/>
        <w:spacing w:line="480" w:lineRule="auto"/>
      </w:pPr>
    </w:p>
    <w:p>
      <w:pPr>
        <w:pStyle w:val="Body"/>
        <w:spacing w:line="480" w:lineRule="auto"/>
      </w:pPr>
    </w:p>
    <w:p>
      <w:pPr>
        <w:pStyle w:val="Body"/>
        <w:spacing w:line="480" w:lineRule="auto"/>
        <w:rPr>
          <w:b w:val="1"/>
          <w:bCs w:val="1"/>
          <w:u w:val="single"/>
        </w:rPr>
      </w:pPr>
      <w:r>
        <w:rPr>
          <w:b w:val="1"/>
          <w:bCs w:val="1"/>
          <w:u w:val="single"/>
          <w:rtl w:val="0"/>
          <w:lang w:val="en-US"/>
        </w:rPr>
        <w:t xml:space="preserve">Part 2 </w:t>
      </w:r>
    </w:p>
    <w:p>
      <w:pPr>
        <w:pStyle w:val="Body"/>
        <w:spacing w:line="480" w:lineRule="auto"/>
      </w:pPr>
      <w:r>
        <w:rPr>
          <w:rtl w:val="0"/>
          <w:lang w:val="en-US"/>
        </w:rPr>
        <w:t xml:space="preserve">The second part of this assignment illustrates the following scenarios as though they were in UWTSD studying a Foundation Art and Design diploma, I have introduced each scenario with a brief summary of the circumstance followed with what steps I would take in relation to policy and regulations of the institution to support the individual learner. </w:t>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rPr>
          <w:b w:val="1"/>
          <w:bCs w:val="1"/>
        </w:rPr>
      </w:pPr>
      <w:r>
        <w:rPr>
          <w:b w:val="1"/>
          <w:bCs w:val="1"/>
          <w:rtl w:val="0"/>
          <w:lang w:val="en-US"/>
        </w:rPr>
        <w:t xml:space="preserve">Scenario 1 Iwan </w:t>
      </w:r>
    </w:p>
    <w:p>
      <w:pPr>
        <w:pStyle w:val="Body"/>
        <w:spacing w:line="480" w:lineRule="auto"/>
      </w:pPr>
      <w:r>
        <w:rPr>
          <w:rtl w:val="0"/>
          <w:lang w:val="en-US"/>
        </w:rPr>
        <w:t xml:space="preserve"> Iwan is a student studying at the Foundation Art and Design course at UWTSD Swansea since the beginning of term, he has raised financial worries with his outgoings and working a part time job alongside his studies. He is worried that this could impact his education as he is falling behind with coursework. According to Moore </w:t>
      </w:r>
      <w:r>
        <w:rPr>
          <w:i w:val="1"/>
          <w:iCs w:val="1"/>
          <w:rtl w:val="0"/>
          <w:lang w:val="en-US"/>
        </w:rPr>
        <w:t>et al</w:t>
      </w:r>
      <w:r>
        <w:rPr>
          <w:rtl w:val="0"/>
          <w:lang w:val="en-US"/>
        </w:rPr>
        <w:t xml:space="preserve"> (2021) students in higher education can become stressed due to the financial cost during and post graduation with student loans, therefore as a practitioner I would need to consider that, given the financial circumstances, there may be well-being concerns that need to be addressed. </w:t>
      </w:r>
    </w:p>
    <w:p>
      <w:pPr>
        <w:pStyle w:val="Body"/>
        <w:spacing w:line="480" w:lineRule="auto"/>
      </w:pPr>
    </w:p>
    <w:p>
      <w:pPr>
        <w:pStyle w:val="Body"/>
        <w:spacing w:line="480" w:lineRule="auto"/>
      </w:pPr>
      <w:r>
        <w:rPr>
          <w:rtl w:val="0"/>
          <w:lang w:val="en-US"/>
        </w:rPr>
        <w:t xml:space="preserve"> I would firstly arrange a meeting with Iwan on a one to one basis to discuss the circumstance in greater depth, ascertain any underlying issues that may have resulted in the situation such as mental health and well-being, I would then sign post to student services that would be able to provide support with bursaries, cost of living support and budgeting (UWTSD, 2025). In addition to this, the student services offer a financial support fund where he can apply and be assessed. If it is found that Iwan also requires well-being support, Student services would be able to provide independent services within the online links and a contact directory to student assistance programme which can provide support for financial matters and debt. A support request form would need to be completed by Iwan should he wish to seek specialist support for financial matters, which would also be available to him where it can be more suitable to speak to a professional member of the team. If he is uncertain about further assistance he may need the service gives clearer guidance by speaking with a team member. I would also signpost him to access data changes and forms on myTSD for </w:t>
      </w:r>
      <w:r>
        <w:rPr>
          <w:rtl w:val="0"/>
          <w:lang w:val="en-US"/>
        </w:rPr>
        <w:t xml:space="preserve">extenuating circumstances which would be accessible through the myTSD links that provide forms if he feels he would be unable to make deadlines. </w:t>
      </w:r>
      <w:r>
        <w:rPr>
          <w:rtl w:val="0"/>
          <w:lang w:val="en-US"/>
        </w:rPr>
        <w:t xml:space="preserve">By signposting, Iwan would be able to access the suitable services to relieve financial or wellbeing issues. I would then conduct follow up meetings to monitor on how he is and ascertain if there is any further issues have been raised and allow him to be aware of me providing further support. He would then be signposted for him to seek further advice and  services such as counselling. </w:t>
      </w:r>
    </w:p>
    <w:p>
      <w:pPr>
        <w:pStyle w:val="Body"/>
        <w:spacing w:line="480" w:lineRule="auto"/>
      </w:pPr>
    </w:p>
    <w:p>
      <w:pPr>
        <w:pStyle w:val="Body"/>
        <w:spacing w:line="480" w:lineRule="auto"/>
      </w:pPr>
      <w:r>
        <w:rPr>
          <w:rtl w:val="0"/>
          <w:lang w:val="en-US"/>
        </w:rPr>
        <w:t xml:space="preserve"> These actions are in line with the professional standards of promoting engagement in learning and equity of opportunity for all to reach their potential, approaches to learning and support learning through signposting and follow up meetings with the individual (Advance HE, 2023, p.5).</w:t>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rPr>
          <w:b w:val="1"/>
          <w:bCs w:val="1"/>
        </w:rPr>
      </w:pPr>
      <w:r>
        <w:rPr>
          <w:b w:val="1"/>
          <w:bCs w:val="1"/>
          <w:rtl w:val="0"/>
          <w:lang w:val="en-US"/>
        </w:rPr>
        <w:t xml:space="preserve">Scenario 2 Megan </w:t>
      </w:r>
    </w:p>
    <w:p>
      <w:pPr>
        <w:pStyle w:val="Body"/>
        <w:spacing w:line="480" w:lineRule="auto"/>
      </w:pPr>
      <w:r>
        <w:rPr>
          <w:rtl w:val="0"/>
          <w:lang w:val="en-US"/>
        </w:rPr>
        <w:t xml:space="preserve"> Megan has applied for the Foundation Art and Design course at UWTSD Swansea for the following academic year and has voiced that she requires mental health support needs, however she does not have an official diagnosis. She has attended an interview and has raised difficulty in socialising with new people and has feelings of anxiety. She has also mentioned that she experienced difficulty with concentrating and attention at school and worries that this may affect her studying at the course. Lastly, she suspects she may have dyslexia. </w:t>
      </w:r>
    </w:p>
    <w:p>
      <w:pPr>
        <w:pStyle w:val="Body"/>
        <w:spacing w:line="480" w:lineRule="auto"/>
      </w:pPr>
    </w:p>
    <w:p>
      <w:pPr>
        <w:pStyle w:val="Body"/>
        <w:spacing w:line="480" w:lineRule="auto"/>
      </w:pPr>
    </w:p>
    <w:p>
      <w:pPr>
        <w:pStyle w:val="Body"/>
        <w:spacing w:line="480" w:lineRule="auto"/>
      </w:pPr>
      <w:r>
        <w:rPr>
          <w:rtl w:val="0"/>
          <w:lang w:val="en-US"/>
        </w:rPr>
        <w:t xml:space="preserve"> My first step would be to advise Megan to make an appointment with a general practitioner to rule out an official diagnosis, by seeing a professional health practitioner they would be able to provide assistance to mental and well-being concerns in the first instance. As Barden and Caleb (2019) state that many universities will work with the NHS internally and externally with signposting to provide the right professional care for students, but as Alys at this time not a student she would have to seek out these services. I would inform Megan that as a student she would have access to student support services for mental health and well-being, where she would be able to have access to study support and be screened for dyslexia. In addition to this, through the well-being directory she could have one to one support with her studies. </w:t>
      </w:r>
    </w:p>
    <w:p>
      <w:pPr>
        <w:pStyle w:val="Body"/>
        <w:spacing w:line="480" w:lineRule="auto"/>
      </w:pPr>
    </w:p>
    <w:p>
      <w:pPr>
        <w:pStyle w:val="Body"/>
        <w:spacing w:line="480" w:lineRule="auto"/>
      </w:pPr>
      <w:r>
        <w:rPr>
          <w:rtl w:val="0"/>
          <w:lang w:val="en-US"/>
        </w:rPr>
        <w:t xml:space="preserve"> I would inform Megan of how the classroom dynamics would be set out for the students of discussing artwork amongst staff and peer group, who are encouraged to communicate to develop ideas for the projects and modules. I would make reasonable adjustments such as more frequent breaks during lessons to refresh concentration and reducing the number of group sizes to prevent Megan to feel overwhelmed. Other adjustments would be altering lesson delivery such as providing handouts and ensuring the presentation on PowerPoint is legible and not text heavy. I would also reassure her that I will arrange follow ups ensuring that she is comfortable and to ascertain if there is any further adjustments needed to support her. I would lastly reassure her that if she is feeling anxious to share and discuss projects to the group, to offer the option to discuss one on one in private with staff as this could help relieve her anxiety. Lastly, to do frequent review/ follow ups that if she is confident to slowly introduce more group work. These actions are in relation to the professional standards by respecting individual and diverse group of learners, responding to how the institution operates and informing Megan of adjustments that can be made, to lastly supporting her learning through different approaches and environments (Advance HE, 2023, p.5). </w:t>
      </w:r>
    </w:p>
    <w:p>
      <w:pPr>
        <w:pStyle w:val="Body"/>
        <w:spacing w:line="480" w:lineRule="auto"/>
      </w:pPr>
    </w:p>
    <w:p>
      <w:pPr>
        <w:pStyle w:val="Body"/>
        <w:spacing w:line="480" w:lineRule="auto"/>
        <w:rPr>
          <w:b w:val="1"/>
          <w:bCs w:val="1"/>
        </w:rPr>
      </w:pPr>
      <w:r>
        <w:rPr>
          <w:b w:val="1"/>
          <w:bCs w:val="1"/>
          <w:rtl w:val="0"/>
          <w:lang w:val="en-US"/>
        </w:rPr>
        <w:t xml:space="preserve">Scenario 3 Alys </w:t>
      </w:r>
    </w:p>
    <w:p>
      <w:pPr>
        <w:pStyle w:val="Body"/>
        <w:spacing w:line="480" w:lineRule="auto"/>
      </w:pPr>
      <w:r>
        <w:rPr>
          <w:rtl w:val="0"/>
          <w:lang w:val="en-US"/>
        </w:rPr>
        <w:t xml:space="preserve">Alys is a second year students studying Foundation Art and Design course at UWTSD Swansea. She has recently found out she is pregnant but has indicated she would still like to continue her diploma, Alys has asked about her options in support through the pregnancy and after birth. </w:t>
      </w:r>
    </w:p>
    <w:p>
      <w:pPr>
        <w:pStyle w:val="Body"/>
        <w:spacing w:line="480" w:lineRule="auto"/>
      </w:pPr>
    </w:p>
    <w:p>
      <w:pPr>
        <w:pStyle w:val="Body"/>
        <w:spacing w:line="480" w:lineRule="auto"/>
      </w:pPr>
      <w:r>
        <w:rPr>
          <w:rtl w:val="0"/>
          <w:lang w:val="en-US"/>
        </w:rPr>
        <w:t>UWTSD</w:t>
      </w:r>
      <w:r>
        <w:rPr>
          <w:rtl w:val="0"/>
          <w:lang w:val="en-US"/>
        </w:rPr>
        <w:t>’</w:t>
      </w:r>
      <w:r>
        <w:rPr>
          <w:rtl w:val="0"/>
          <w:lang w:val="en-US"/>
        </w:rPr>
        <w:t>s policy surrounding pregnancy, maternity, paternity and adoption leave states that a meeting would need to be arranged with Alys to discuss how her studies may be affected by the pregnancy; this could be interruption of study to attend health appointments and Alys, together with the academic staff such as programme manager would need to decide at which point interruption would be required, scheduling of dates such as appointments and due date may coincide with assessment deadlines.  Further to this, Alys may seek further support from appendix SC17 form that with Alys</w:t>
      </w:r>
      <w:r>
        <w:rPr>
          <w:rtl w:val="0"/>
          <w:lang w:val="en-US"/>
        </w:rPr>
        <w:t xml:space="preserve">’ </w:t>
      </w:r>
      <w:r>
        <w:rPr>
          <w:rtl w:val="0"/>
          <w:lang w:val="en-US"/>
        </w:rPr>
        <w:t xml:space="preserve">agreement with the programme manager who could assist in completing can offer further support (UWTSD, 2025). The form gives guidance and reviews at key stages of her pregnancy to plan the following steps to ensure Alys will get the appropriate support and any alternative arrangements to be made. I would also inform Alys that the policy highlights pregnancy, being a protected characteristic, should not be a disadvantage for the individual or prevent her from continuing her studies and that the university is flexible to accommodate and adjust to her needs with her well-being and health at the forefront (UWTSD, 2024, p.5). By doing this, I am showing professional standards of supporting and guidance to Alys by informing her of rights as a student  (Advance HE, 2023, p.5). </w:t>
      </w:r>
    </w:p>
    <w:p>
      <w:pPr>
        <w:pStyle w:val="Body"/>
        <w:spacing w:line="480" w:lineRule="auto"/>
      </w:pPr>
    </w:p>
    <w:p>
      <w:pPr>
        <w:pStyle w:val="Body"/>
        <w:spacing w:line="480" w:lineRule="auto"/>
      </w:pPr>
      <w:r>
        <w:rPr>
          <w:rtl w:val="0"/>
          <w:lang w:val="en-US"/>
        </w:rPr>
        <w:t xml:space="preserve">I would also consider risk assessments for Alys within workshop areas, when handling equipment and being in contact with potentially hazardous chemicals within the studios. Easy access to the university facilities of getting into the building and classes with lifts and nearby restrooms. As per the policy, Alys would not be able to attend university until two weeks after the baby is born for health and safety (UWTSD, 2024, p.5), therefore any learning material will be made available online to mitigate any stresses on accessing information for her studies. Lastly, I would email the policy to Alys where it is available for her whenever she wishes to read further, maintain contact that has been mutually agreed upon and conducting reviews. If any issues arise regarding mental well-being or funding, I would also inform her of student support as a means of signposting for any further professional advice she wishes to explore. These actions align with professional standards by providing quality assurance and enhancement for Alys by monitoring progress and identify any further implications (Advance HE, 2023, p.5). </w:t>
      </w:r>
    </w:p>
    <w:p>
      <w:pPr>
        <w:pStyle w:val="Body"/>
        <w:spacing w:line="480" w:lineRule="auto"/>
      </w:pPr>
    </w:p>
    <w:p>
      <w:pPr>
        <w:pStyle w:val="Body"/>
        <w:spacing w:line="480" w:lineRule="auto"/>
      </w:pPr>
      <w:r>
        <w:rPr>
          <w:rtl w:val="0"/>
          <w:lang w:val="en-US"/>
        </w:rPr>
        <w:t>WC: 2,356</w:t>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rPr>
          <w:b w:val="1"/>
          <w:bCs w:val="1"/>
          <w:u w:val="single"/>
        </w:rPr>
      </w:pPr>
      <w:r>
        <w:rPr>
          <w:b w:val="1"/>
          <w:bCs w:val="1"/>
          <w:u w:val="single"/>
          <w:rtl w:val="0"/>
          <w:lang w:val="en-US"/>
        </w:rPr>
        <w:t>References</w:t>
      </w:r>
    </w:p>
    <w:p>
      <w:pPr>
        <w:pStyle w:val="Default"/>
        <w:bidi w:val="0"/>
        <w:spacing w:before="100" w:after="100" w:line="240" w:lineRule="auto"/>
        <w:ind w:left="720" w:right="0" w:hanging="720"/>
        <w:jc w:val="left"/>
        <w:rPr>
          <w:rFonts w:ascii="Arial" w:cs="Arial" w:hAnsi="Arial" w:eastAsia="Arial"/>
          <w:outline w:val="0"/>
          <w:color w:val="000000"/>
          <w:u w:color="000000"/>
          <w:rtl w:val="0"/>
          <w:lang w:val="en-US"/>
          <w14:textFill>
            <w14:solidFill>
              <w14:srgbClr w14:val="000000"/>
            </w14:solidFill>
          </w14:textFill>
        </w:rPr>
      </w:pPr>
      <w:r>
        <w:rPr>
          <w:rFonts w:ascii="Arial" w:hAnsi="Arial"/>
          <w:u w:color="000000"/>
          <w:rtl w:val="0"/>
          <w:lang w:val="en-US"/>
        </w:rPr>
        <w:t xml:space="preserve">Advance HE (2023) </w:t>
      </w:r>
      <w:r>
        <w:rPr>
          <w:rFonts w:ascii="Arial" w:hAnsi="Arial"/>
          <w:i w:val="1"/>
          <w:iCs w:val="1"/>
          <w:outline w:val="0"/>
          <w:color w:val="000000"/>
          <w:u w:color="000000"/>
          <w:rtl w:val="0"/>
          <w:lang w:val="en-US"/>
          <w14:textFill>
            <w14:solidFill>
              <w14:srgbClr w14:val="000000"/>
            </w14:solidFill>
          </w14:textFill>
        </w:rPr>
        <w:t>UK Professional Standards Framework Advance HE (20</w:t>
      </w:r>
      <w:r>
        <w:rPr>
          <w:rFonts w:ascii="Arial" w:hAnsi="Arial"/>
          <w:i w:val="1"/>
          <w:iCs w:val="1"/>
          <w:outline w:val="0"/>
          <w:color w:val="000000"/>
          <w:u w:color="000000"/>
          <w:rtl w:val="0"/>
          <w:lang w:val="en-US"/>
          <w14:textFill>
            <w14:solidFill>
              <w14:srgbClr w14:val="000000"/>
            </w14:solidFill>
          </w14:textFill>
        </w:rPr>
        <w:t>23</w:t>
      </w:r>
      <w:r>
        <w:rPr>
          <w:rFonts w:ascii="Arial" w:hAnsi="Arial"/>
          <w:i w:val="1"/>
          <w:iCs w:val="1"/>
          <w:outline w:val="0"/>
          <w:color w:val="000000"/>
          <w:u w:color="000000"/>
          <w:rtl w:val="0"/>
          <w:lang w:val="en-US"/>
          <w14:textFill>
            <w14:solidFill>
              <w14:srgbClr w14:val="000000"/>
            </w14:solidFill>
          </w14:textFill>
        </w:rPr>
        <w:t xml:space="preserve">). </w:t>
      </w:r>
      <w:r>
        <w:rPr>
          <w:rFonts w:ascii="Arial" w:hAnsi="Arial"/>
          <w:outline w:val="0"/>
          <w:color w:val="000000"/>
          <w:u w:color="000000"/>
          <w:rtl w:val="0"/>
          <w:lang w:val="en-US"/>
          <w14:textFill>
            <w14:solidFill>
              <w14:srgbClr w14:val="000000"/>
            </w14:solidFill>
          </w14:textFill>
        </w:rPr>
        <w:t>Available a</w:t>
      </w:r>
      <w:r>
        <w:rPr>
          <w:rFonts w:ascii="Arial" w:hAnsi="Arial"/>
          <w:outline w:val="0"/>
          <w:color w:val="000000"/>
          <w:u w:color="000000"/>
          <w:rtl w:val="0"/>
          <w:lang w:val="en-US"/>
          <w14:textFill>
            <w14:solidFill>
              <w14:srgbClr w14:val="000000"/>
            </w14:solidFill>
          </w14:textFill>
        </w:rPr>
        <w:t xml:space="preserve">t: </w:t>
      </w:r>
      <w:r>
        <w:rPr>
          <w:rFonts w:ascii="Arial" w:hAnsi="Arial"/>
          <w:outline w:val="0"/>
          <w:color w:val="000000"/>
          <w:u w:color="000000"/>
          <w:rtl w:val="0"/>
          <w:lang w:val="en-US"/>
          <w14:textFill>
            <w14:solidFill>
              <w14:srgbClr w14:val="000000"/>
            </w14:solidFill>
          </w14:textFill>
        </w:rPr>
        <w:t xml:space="preserve"> </w:t>
      </w:r>
      <w:r>
        <w:rPr>
          <w:rStyle w:val="Hyperlink.1"/>
          <w:rFonts w:ascii="Times New Roman" w:cs="Times New Roman" w:hAnsi="Times New Roman" w:eastAsia="Times New Roman"/>
          <w:outline w:val="0"/>
          <w:color w:val="0563c1"/>
          <w:u w:color="0563c1"/>
          <w:rtl w:val="0"/>
          <w:lang w:val="en-US"/>
          <w14:textFill>
            <w14:solidFill>
              <w14:srgbClr w14:val="0563C1"/>
            </w14:solidFill>
          </w14:textFill>
        </w:rPr>
        <w:fldChar w:fldCharType="begin" w:fldLock="0"/>
      </w:r>
      <w:r>
        <w:rPr>
          <w:rStyle w:val="Hyperlink.1"/>
          <w:rFonts w:ascii="Times New Roman" w:cs="Times New Roman" w:hAnsi="Times New Roman" w:eastAsia="Times New Roman"/>
          <w:outline w:val="0"/>
          <w:color w:val="0563c1"/>
          <w:u w:color="0563c1"/>
          <w:rtl w:val="0"/>
          <w:lang w:val="en-US"/>
          <w14:textFill>
            <w14:solidFill>
              <w14:srgbClr w14:val="0563C1"/>
            </w14:solidFill>
          </w14:textFill>
        </w:rPr>
        <w:instrText xml:space="preserve"> HYPERLINK "https://advance-he.ac.uk/knowledge-hub/professional-standards-framework-teaching-and-supporting-learning-higher-education-0"</w:instrText>
      </w:r>
      <w:r>
        <w:rPr>
          <w:rStyle w:val="Hyperlink.1"/>
          <w:rFonts w:ascii="Times New Roman" w:cs="Times New Roman" w:hAnsi="Times New Roman" w:eastAsia="Times New Roman"/>
          <w:outline w:val="0"/>
          <w:color w:val="0563c1"/>
          <w:u w:color="0563c1"/>
          <w:rtl w:val="0"/>
          <w:lang w:val="en-US"/>
          <w14:textFill>
            <w14:solidFill>
              <w14:srgbClr w14:val="0563C1"/>
            </w14:solidFill>
          </w14:textFill>
        </w:rPr>
        <w:fldChar w:fldCharType="separate" w:fldLock="0"/>
      </w:r>
      <w:r>
        <w:rPr>
          <w:rStyle w:val="Hyperlink.1"/>
          <w:rFonts w:ascii="Times New Roman" w:hAnsi="Times New Roman"/>
          <w:outline w:val="0"/>
          <w:color w:val="0563c1"/>
          <w:u w:color="0563c1"/>
          <w:rtl w:val="0"/>
          <w:lang w:val="en-US"/>
          <w14:textFill>
            <w14:solidFill>
              <w14:srgbClr w14:val="0563C1"/>
            </w14:solidFill>
          </w14:textFill>
        </w:rPr>
        <w:t>https://advance-he.ac.uk/knowledge-hub/professional-standards-framework-teaching-and-supporting-learning-higher-education-0</w:t>
      </w:r>
      <w:r>
        <w:rPr>
          <w:rFonts w:ascii="Times New Roman" w:cs="Times New Roman" w:hAnsi="Times New Roman" w:eastAsia="Times New Roman"/>
          <w:u w:color="000000"/>
          <w:rtl w:val="0"/>
          <w:lang w:val="en-US"/>
        </w:rPr>
        <w:fldChar w:fldCharType="end" w:fldLock="0"/>
      </w:r>
      <w:r>
        <w:rPr>
          <w:rFonts w:ascii="Arial" w:hAnsi="Arial"/>
          <w:outline w:val="0"/>
          <w:color w:val="000000"/>
          <w:u w:color="000000"/>
          <w:rtl w:val="0"/>
          <w:lang w:val="en-US"/>
          <w14:textFill>
            <w14:solidFill>
              <w14:srgbClr w14:val="000000"/>
            </w14:solidFill>
          </w14:textFill>
        </w:rPr>
        <w:t xml:space="preserve"> </w:t>
      </w:r>
      <w:r>
        <w:rPr>
          <w:rFonts w:ascii="Arial" w:hAnsi="Arial"/>
          <w:outline w:val="0"/>
          <w:color w:val="000000"/>
          <w:u w:color="000000"/>
          <w:rtl w:val="0"/>
          <w:lang w:val="en-US"/>
          <w14:textFill>
            <w14:solidFill>
              <w14:srgbClr w14:val="000000"/>
            </w14:solidFill>
          </w14:textFill>
        </w:rPr>
        <w:t xml:space="preserve">(Accessed: </w:t>
      </w:r>
      <w:r>
        <w:rPr>
          <w:rFonts w:ascii="Arial" w:hAnsi="Arial"/>
          <w:outline w:val="0"/>
          <w:color w:val="000000"/>
          <w:u w:color="000000"/>
          <w:rtl w:val="0"/>
          <w:lang w:val="en-US"/>
          <w14:textFill>
            <w14:solidFill>
              <w14:srgbClr w14:val="000000"/>
            </w14:solidFill>
          </w14:textFill>
        </w:rPr>
        <w:t>January 30 2025</w:t>
      </w:r>
      <w:r>
        <w:rPr>
          <w:rFonts w:ascii="Arial" w:hAnsi="Arial"/>
          <w:outline w:val="0"/>
          <w:color w:val="000000"/>
          <w:u w:color="000000"/>
          <w:rtl w:val="0"/>
          <w:lang w:val="en-US"/>
          <w14:textFill>
            <w14:solidFill>
              <w14:srgbClr w14:val="000000"/>
            </w14:solidFill>
          </w14:textFill>
        </w:rPr>
        <w:t>).</w:t>
      </w:r>
    </w:p>
    <w:p>
      <w:pPr>
        <w:pStyle w:val="Default"/>
        <w:bidi w:val="0"/>
        <w:spacing w:before="100" w:after="100" w:line="240" w:lineRule="auto"/>
        <w:ind w:left="567" w:right="0" w:hanging="567"/>
        <w:jc w:val="left"/>
        <w:rPr>
          <w:rFonts w:ascii="Helvetica" w:cs="Helvetica" w:hAnsi="Helvetica" w:eastAsia="Helvetica"/>
          <w:u w:val="single" w:color="000000"/>
          <w:rtl w:val="0"/>
          <w:lang w:val="en-US"/>
        </w:rPr>
      </w:pPr>
    </w:p>
    <w:p>
      <w:pPr>
        <w:pStyle w:val="Body"/>
        <w:bidi w:val="0"/>
        <w:ind w:left="720" w:right="0" w:hanging="720"/>
        <w:jc w:val="left"/>
        <w:rPr>
          <w:rFonts w:ascii="Helvetica" w:cs="Helvetica" w:hAnsi="Helvetica" w:eastAsia="Helvetica"/>
          <w:sz w:val="24"/>
          <w:szCs w:val="24"/>
          <w:u w:color="000000"/>
          <w:rtl w:val="0"/>
          <w:lang w:val="en-US"/>
        </w:rPr>
      </w:pPr>
    </w:p>
    <w:p>
      <w:pPr>
        <w:pStyle w:val="Body"/>
        <w:shd w:val="clear" w:color="auto" w:fill="fefffe"/>
        <w:bidi w:val="0"/>
        <w:ind w:left="720" w:right="0" w:hanging="720"/>
        <w:jc w:val="left"/>
        <w:rPr>
          <w:rFonts w:ascii="Helvetica" w:cs="Helvetica" w:hAnsi="Helvetica" w:eastAsia="Helvetica"/>
          <w:sz w:val="24"/>
          <w:szCs w:val="24"/>
          <w:u w:color="000000"/>
          <w:shd w:val="clear" w:color="auto" w:fill="f5f5f5"/>
          <w:rtl w:val="0"/>
        </w:rPr>
      </w:pPr>
      <w:r>
        <w:rPr>
          <w:rFonts w:ascii="Helvetica" w:hAnsi="Helvetica"/>
          <w:sz w:val="24"/>
          <w:szCs w:val="24"/>
          <w:u w:color="000000"/>
          <w:shd w:val="clear" w:color="auto" w:fill="f5f5f5"/>
          <w:rtl w:val="0"/>
          <w:lang w:val="de-DE"/>
        </w:rPr>
        <w:t>Barden</w:t>
      </w:r>
      <w:r>
        <w:rPr>
          <w:rFonts w:ascii="Helvetica" w:hAnsi="Helvetica"/>
          <w:sz w:val="24"/>
          <w:szCs w:val="24"/>
          <w:u w:color="000000"/>
          <w:shd w:val="clear" w:color="auto" w:fill="f5f5f5"/>
          <w:rtl w:val="0"/>
          <w:lang w:val="en-US"/>
        </w:rPr>
        <w:t xml:space="preserve">, N. </w:t>
      </w:r>
      <w:r>
        <w:rPr>
          <w:rFonts w:ascii="Helvetica" w:hAnsi="Helvetica"/>
          <w:sz w:val="24"/>
          <w:szCs w:val="24"/>
          <w:u w:color="000000"/>
          <w:shd w:val="clear" w:color="auto" w:fill="f5f5f5"/>
          <w:rtl w:val="0"/>
        </w:rPr>
        <w:t>Caleb</w:t>
      </w:r>
      <w:r>
        <w:rPr>
          <w:rFonts w:ascii="Helvetica" w:hAnsi="Helvetica"/>
          <w:sz w:val="24"/>
          <w:szCs w:val="24"/>
          <w:u w:color="000000"/>
          <w:shd w:val="clear" w:color="auto" w:fill="f5f5f5"/>
          <w:rtl w:val="0"/>
          <w:lang w:val="en-US"/>
        </w:rPr>
        <w:t>, R.</w:t>
      </w:r>
      <w:r>
        <w:rPr>
          <w:rFonts w:ascii="Helvetica" w:hAnsi="Helvetica"/>
          <w:sz w:val="24"/>
          <w:szCs w:val="24"/>
          <w:u w:color="000000"/>
          <w:shd w:val="clear" w:color="auto" w:fill="f5f5f5"/>
          <w:rtl w:val="0"/>
        </w:rPr>
        <w:t xml:space="preserve"> (2019)</w:t>
      </w:r>
      <w:r>
        <w:rPr>
          <w:rFonts w:ascii="Helvetica" w:hAnsi="Helvetica" w:hint="default"/>
          <w:sz w:val="24"/>
          <w:szCs w:val="24"/>
          <w:u w:color="000000"/>
          <w:shd w:val="clear" w:color="auto" w:fill="f5f5f5"/>
          <w:rtl w:val="0"/>
          <w:lang w:val="en-US"/>
        </w:rPr>
        <w:t> </w:t>
      </w:r>
      <w:r>
        <w:rPr>
          <w:rFonts w:ascii="Helvetica" w:hAnsi="Helvetica"/>
          <w:i w:val="1"/>
          <w:iCs w:val="1"/>
          <w:sz w:val="24"/>
          <w:szCs w:val="24"/>
          <w:u w:color="000000"/>
          <w:shd w:val="clear" w:color="auto" w:fill="f5f5f5"/>
          <w:rtl w:val="0"/>
          <w:lang w:val="en-US"/>
        </w:rPr>
        <w:t>Student Mental Health and Wellbeing in Higher Education</w:t>
      </w:r>
      <w:r>
        <w:rPr>
          <w:rFonts w:ascii="Helvetica" w:hAnsi="Helvetica" w:hint="default"/>
          <w:i w:val="1"/>
          <w:iCs w:val="1"/>
          <w:sz w:val="24"/>
          <w:szCs w:val="24"/>
          <w:u w:color="000000"/>
          <w:shd w:val="clear" w:color="auto" w:fill="f5f5f5"/>
          <w:rtl w:val="0"/>
          <w:lang w:val="en-US"/>
        </w:rPr>
        <w:t> </w:t>
      </w:r>
      <w:r>
        <w:rPr>
          <w:rFonts w:ascii="Helvetica" w:hAnsi="Helvetica"/>
          <w:i w:val="1"/>
          <w:iCs w:val="1"/>
          <w:sz w:val="24"/>
          <w:szCs w:val="24"/>
          <w:u w:color="000000"/>
          <w:shd w:val="clear" w:color="auto" w:fill="f5f5f5"/>
          <w:rtl w:val="0"/>
          <w:lang w:val="en-US"/>
        </w:rPr>
        <w:t>: A Practical Guide</w:t>
      </w:r>
      <w:r>
        <w:rPr>
          <w:rFonts w:ascii="Helvetica" w:hAnsi="Helvetica"/>
          <w:sz w:val="24"/>
          <w:szCs w:val="24"/>
          <w:u w:color="000000"/>
          <w:shd w:val="clear" w:color="auto" w:fill="f5f5f5"/>
          <w:rtl w:val="0"/>
          <w:lang w:val="en-US"/>
        </w:rPr>
        <w:t xml:space="preserve">. Los Angeles: SAGE Publications Ltd. </w:t>
      </w:r>
    </w:p>
    <w:p>
      <w:pPr>
        <w:pStyle w:val="Body"/>
        <w:shd w:val="clear" w:color="auto" w:fill="fefffe"/>
        <w:bidi w:val="0"/>
        <w:ind w:left="720" w:right="0" w:hanging="720"/>
        <w:jc w:val="left"/>
        <w:rPr>
          <w:rFonts w:ascii="Helvetica" w:cs="Helvetica" w:hAnsi="Helvetica" w:eastAsia="Helvetica"/>
          <w:sz w:val="24"/>
          <w:szCs w:val="24"/>
          <w:u w:color="000000"/>
          <w:shd w:val="clear" w:color="auto" w:fill="f5f5f5"/>
          <w:rtl w:val="0"/>
        </w:rPr>
      </w:pPr>
    </w:p>
    <w:p>
      <w:pPr>
        <w:pStyle w:val="Body"/>
        <w:shd w:val="clear" w:color="auto" w:fill="fefffe"/>
        <w:bidi w:val="0"/>
        <w:ind w:left="720" w:right="0" w:hanging="720"/>
        <w:jc w:val="left"/>
        <w:rPr>
          <w:rFonts w:ascii="Helvetica" w:cs="Helvetica" w:hAnsi="Helvetica" w:eastAsia="Helvetica"/>
          <w:sz w:val="24"/>
          <w:szCs w:val="24"/>
          <w:u w:color="000000"/>
          <w:shd w:val="clear" w:color="auto" w:fill="f5f5f5"/>
          <w:rtl w:val="0"/>
        </w:rPr>
      </w:pPr>
      <w:r>
        <w:rPr>
          <w:rFonts w:ascii="Helvetica" w:hAnsi="Helvetica"/>
          <w:sz w:val="24"/>
          <w:szCs w:val="24"/>
          <w:u w:color="000000"/>
          <w:shd w:val="clear" w:color="auto" w:fill="f5f5f5"/>
          <w:rtl w:val="0"/>
          <w:lang w:val="en-US"/>
        </w:rPr>
        <w:t xml:space="preserve">Cambridge Dictionary (2025) </w:t>
      </w:r>
      <w:r>
        <w:rPr>
          <w:rFonts w:ascii="Helvetica" w:hAnsi="Helvetica"/>
          <w:i w:val="1"/>
          <w:iCs w:val="1"/>
          <w:sz w:val="24"/>
          <w:szCs w:val="24"/>
          <w:u w:color="000000"/>
          <w:shd w:val="clear" w:color="auto" w:fill="f5f5f5"/>
          <w:rtl w:val="0"/>
          <w:lang w:val="en-US"/>
        </w:rPr>
        <w:t>Oppression</w:t>
      </w:r>
      <w:r>
        <w:rPr>
          <w:rFonts w:ascii="Helvetica" w:hAnsi="Helvetica"/>
          <w:sz w:val="24"/>
          <w:szCs w:val="24"/>
          <w:u w:color="000000"/>
          <w:shd w:val="clear" w:color="auto" w:fill="f5f5f5"/>
          <w:rtl w:val="0"/>
          <w:lang w:val="en-US"/>
        </w:rPr>
        <w:t xml:space="preserve">. Available at: </w:t>
      </w:r>
      <w:r>
        <w:rPr>
          <w:rFonts w:ascii="Helvetica" w:hAnsi="Helvetica"/>
          <w:sz w:val="24"/>
          <w:szCs w:val="24"/>
          <w:u w:color="000000"/>
          <w:shd w:val="clear" w:color="auto" w:fill="f5f5f5"/>
          <w:rtl w:val="0"/>
          <w:lang w:val="en-US"/>
        </w:rPr>
        <w:t>https://dictionary.cambridge.org/dictionary/english/oppression</w:t>
      </w:r>
      <w:r>
        <w:rPr>
          <w:rFonts w:ascii="Helvetica" w:hAnsi="Helvetica"/>
          <w:sz w:val="24"/>
          <w:szCs w:val="24"/>
          <w:u w:color="000000"/>
          <w:shd w:val="clear" w:color="auto" w:fill="f5f5f5"/>
          <w:rtl w:val="0"/>
          <w:lang w:val="en-US"/>
        </w:rPr>
        <w:t>. (Accessed: January 30 2025).</w:t>
      </w:r>
    </w:p>
    <w:p>
      <w:pPr>
        <w:pStyle w:val="Body"/>
        <w:shd w:val="clear" w:color="auto" w:fill="fefffe"/>
        <w:bidi w:val="0"/>
        <w:ind w:left="720" w:right="0" w:hanging="720"/>
        <w:jc w:val="left"/>
        <w:rPr>
          <w:rFonts w:ascii="Helvetica" w:cs="Helvetica" w:hAnsi="Helvetica" w:eastAsia="Helvetica"/>
          <w:sz w:val="24"/>
          <w:szCs w:val="24"/>
          <w:u w:color="000000"/>
          <w:shd w:val="clear" w:color="auto" w:fill="f5f5f5"/>
          <w:rtl w:val="0"/>
        </w:rPr>
      </w:pPr>
    </w:p>
    <w:p>
      <w:pPr>
        <w:pStyle w:val="Default"/>
        <w:shd w:val="clear" w:color="auto" w:fill="fefffe"/>
        <w:bidi w:val="0"/>
        <w:spacing w:before="100" w:after="100" w:line="240" w:lineRule="auto"/>
        <w:ind w:left="567" w:right="0" w:hanging="567"/>
        <w:jc w:val="left"/>
        <w:rPr>
          <w:rFonts w:ascii="Helvetica" w:cs="Helvetica" w:hAnsi="Helvetica" w:eastAsia="Helvetica"/>
          <w:u w:color="000000"/>
          <w:shd w:val="clear" w:color="auto" w:fill="f5f5f5"/>
          <w:rtl w:val="0"/>
          <w:lang w:val="en-US"/>
        </w:rPr>
      </w:pPr>
      <w:r>
        <w:rPr>
          <w:rFonts w:ascii="Helvetica" w:hAnsi="Helvetica"/>
          <w:u w:color="000000"/>
          <w:shd w:val="clear" w:color="auto" w:fill="f5f5f5"/>
          <w:rtl w:val="0"/>
          <w:lang w:val="en-US"/>
        </w:rPr>
        <w:t xml:space="preserve">Educators Wales (2023) </w:t>
      </w:r>
      <w:r>
        <w:rPr>
          <w:rFonts w:ascii="Helvetica" w:hAnsi="Helvetica"/>
          <w:i w:val="1"/>
          <w:iCs w:val="1"/>
          <w:u w:color="000000"/>
          <w:shd w:val="clear" w:color="auto" w:fill="f5f5f5"/>
          <w:rtl w:val="0"/>
          <w:lang w:val="en-US"/>
        </w:rPr>
        <w:t>CPD</w:t>
      </w:r>
      <w:r>
        <w:rPr>
          <w:rFonts w:ascii="Helvetica" w:hAnsi="Helvetica"/>
          <w:u w:color="000000"/>
          <w:shd w:val="clear" w:color="auto" w:fill="f5f5f5"/>
          <w:rtl w:val="0"/>
          <w:lang w:val="en-US"/>
        </w:rPr>
        <w:t xml:space="preserve"> </w:t>
      </w:r>
      <w:r>
        <w:rPr>
          <w:rFonts w:ascii="Helvetica" w:hAnsi="Helvetica"/>
          <w:i w:val="1"/>
          <w:iCs w:val="1"/>
          <w:u w:color="000000"/>
          <w:shd w:val="clear" w:color="auto" w:fill="f5f5f5"/>
          <w:rtl w:val="0"/>
          <w:lang w:val="en-US"/>
        </w:rPr>
        <w:t>Professional standards</w:t>
      </w:r>
      <w:r>
        <w:rPr>
          <w:rFonts w:ascii="Helvetica" w:hAnsi="Helvetica"/>
          <w:u w:color="000000"/>
          <w:shd w:val="clear" w:color="auto" w:fill="f5f5f5"/>
          <w:rtl w:val="0"/>
          <w:lang w:val="en-US"/>
        </w:rPr>
        <w:t xml:space="preserve">. Available at: </w:t>
      </w:r>
      <w:r>
        <w:rPr>
          <w:rFonts w:ascii="Helvetica" w:hAnsi="Helvetica"/>
          <w:u w:color="000000"/>
          <w:shd w:val="clear" w:color="auto" w:fill="f5f5f5"/>
          <w:rtl w:val="0"/>
          <w:lang w:val="en-US"/>
        </w:rPr>
        <w:t>https://educators.wales/cpd</w:t>
      </w:r>
      <w:r>
        <w:rPr>
          <w:rFonts w:ascii="Helvetica" w:hAnsi="Helvetica"/>
          <w:u w:color="000000"/>
          <w:shd w:val="clear" w:color="auto" w:fill="f5f5f5"/>
          <w:rtl w:val="0"/>
          <w:lang w:val="en-US"/>
        </w:rPr>
        <w:t xml:space="preserve">. (Accessed: January 30 2025). </w:t>
      </w:r>
    </w:p>
    <w:p>
      <w:pPr>
        <w:pStyle w:val="Default"/>
        <w:shd w:val="clear" w:color="auto" w:fill="fefffe"/>
        <w:bidi w:val="0"/>
        <w:spacing w:before="100" w:after="100" w:line="240" w:lineRule="auto"/>
        <w:ind w:left="567" w:right="0" w:hanging="567"/>
        <w:jc w:val="left"/>
        <w:rPr>
          <w:rFonts w:ascii="Helvetica" w:cs="Helvetica" w:hAnsi="Helvetica" w:eastAsia="Helvetica"/>
          <w:u w:color="000000"/>
          <w:shd w:val="clear" w:color="auto" w:fill="f5f5f5"/>
          <w:rtl w:val="0"/>
          <w:lang w:val="en-US"/>
        </w:rPr>
      </w:pPr>
    </w:p>
    <w:p>
      <w:pPr>
        <w:pStyle w:val="Default"/>
        <w:shd w:val="clear" w:color="auto" w:fill="fefffe"/>
        <w:bidi w:val="0"/>
        <w:spacing w:before="100" w:after="100" w:line="240" w:lineRule="auto"/>
        <w:ind w:left="567" w:right="0" w:hanging="567"/>
        <w:jc w:val="left"/>
        <w:rPr>
          <w:rFonts w:ascii="Helvetica" w:cs="Helvetica" w:hAnsi="Helvetica" w:eastAsia="Helvetica"/>
          <w:u w:color="000000"/>
          <w:shd w:val="clear" w:color="auto" w:fill="f5f5f5"/>
          <w:rtl w:val="0"/>
          <w:lang w:val="en-US"/>
        </w:rPr>
      </w:pPr>
      <w:r>
        <w:rPr>
          <w:rFonts w:ascii="Helvetica" w:hAnsi="Helvetica"/>
          <w:u w:color="000000"/>
          <w:shd w:val="clear" w:color="auto" w:fill="f5f5f5"/>
          <w:rtl w:val="0"/>
          <w:lang w:val="en-US"/>
        </w:rPr>
        <w:t xml:space="preserve">Educators Wales (2023) </w:t>
      </w:r>
      <w:r>
        <w:rPr>
          <w:rFonts w:ascii="Helvetica" w:hAnsi="Helvetica"/>
          <w:i w:val="1"/>
          <w:iCs w:val="1"/>
          <w:u w:color="000000"/>
          <w:shd w:val="clear" w:color="auto" w:fill="f5f5f5"/>
          <w:rtl w:val="0"/>
          <w:lang w:val="en-US"/>
        </w:rPr>
        <w:t>Professional standards for further education teachers, work- based learning practitioners and adult learning practitioners Wales</w:t>
      </w:r>
      <w:r>
        <w:rPr>
          <w:rFonts w:ascii="Helvetica" w:hAnsi="Helvetica"/>
          <w:u w:color="000000"/>
          <w:shd w:val="clear" w:color="auto" w:fill="f5f5f5"/>
          <w:rtl w:val="0"/>
          <w:lang w:val="en-US"/>
        </w:rPr>
        <w:t xml:space="preserve">. Available at: </w:t>
      </w:r>
      <w:r>
        <w:rPr>
          <w:rFonts w:ascii="Helvetica" w:hAnsi="Helvetica"/>
          <w:u w:color="000000"/>
          <w:shd w:val="clear" w:color="auto" w:fill="f5f5f5"/>
          <w:rtl w:val="0"/>
          <w:lang w:val="en-US"/>
        </w:rPr>
        <w:t>https://educators.wales/sites/default/files/2023-07/Professional standards for FE  WBL and ACL Practitioners - June 2023.pdf</w:t>
      </w:r>
      <w:r>
        <w:rPr>
          <w:rFonts w:ascii="Helvetica" w:hAnsi="Helvetica"/>
          <w:u w:color="000000"/>
          <w:shd w:val="clear" w:color="auto" w:fill="f5f5f5"/>
          <w:rtl w:val="0"/>
          <w:lang w:val="en-US"/>
        </w:rPr>
        <w:t xml:space="preserve"> (Accessed: January 30 2025).</w:t>
      </w:r>
    </w:p>
    <w:p>
      <w:pPr>
        <w:pStyle w:val="Default"/>
        <w:bidi w:val="0"/>
        <w:spacing w:before="100" w:after="100" w:line="240" w:lineRule="auto"/>
        <w:ind w:left="567" w:right="0" w:hanging="567"/>
        <w:jc w:val="left"/>
        <w:rPr>
          <w:rFonts w:ascii="Arial" w:cs="Arial" w:hAnsi="Arial" w:eastAsia="Arial"/>
          <w:outline w:val="0"/>
          <w:color w:val="000000"/>
          <w:u w:color="000000"/>
          <w:rtl w:val="0"/>
          <w:lang w:val="en-US"/>
          <w14:textFill>
            <w14:solidFill>
              <w14:srgbClr w14:val="000000"/>
            </w14:solidFill>
          </w14:textFill>
        </w:rPr>
      </w:pPr>
    </w:p>
    <w:p>
      <w:pPr>
        <w:pStyle w:val="Default"/>
        <w:bidi w:val="0"/>
        <w:spacing w:before="100" w:after="100" w:line="240" w:lineRule="auto"/>
        <w:ind w:left="567" w:right="0" w:hanging="567"/>
        <w:jc w:val="left"/>
        <w:rPr>
          <w:rFonts w:ascii="Arial" w:cs="Arial" w:hAnsi="Arial" w:eastAsia="Arial"/>
          <w:outline w:val="0"/>
          <w:color w:val="000000"/>
          <w:u w:color="000000"/>
          <w:rtl w:val="0"/>
          <w:lang w:val="en-US"/>
          <w14:textFill>
            <w14:solidFill>
              <w14:srgbClr w14:val="000000"/>
            </w14:solidFill>
          </w14:textFill>
        </w:rPr>
      </w:pPr>
      <w:r>
        <w:rPr>
          <w:rFonts w:ascii="Arial" w:hAnsi="Arial"/>
          <w:u w:color="000000"/>
          <w:rtl w:val="0"/>
          <w:lang w:val="en-US"/>
        </w:rPr>
        <w:t>Equality and Human Rights Commission</w:t>
      </w:r>
      <w:r>
        <w:rPr>
          <w:rFonts w:ascii="Arial" w:hAnsi="Arial"/>
          <w:u w:color="000000"/>
          <w:rtl w:val="0"/>
          <w:lang w:val="en-US"/>
        </w:rPr>
        <w:t xml:space="preserve"> (2018)</w:t>
      </w:r>
      <w:r>
        <w:rPr>
          <w:rFonts w:ascii="Arial" w:hAnsi="Arial"/>
          <w:u w:color="000000"/>
          <w:rtl w:val="0"/>
          <w:lang w:val="en-US"/>
        </w:rPr>
        <w:t xml:space="preserve"> </w:t>
      </w:r>
      <w:r>
        <w:rPr>
          <w:rFonts w:ascii="Arial" w:hAnsi="Arial"/>
          <w:i w:val="1"/>
          <w:iCs w:val="1"/>
          <w:u w:color="000000"/>
          <w:rtl w:val="0"/>
          <w:lang w:val="en-US"/>
        </w:rPr>
        <w:t>What equality law means for you as an education provider - further and higher education</w:t>
      </w:r>
      <w:r>
        <w:rPr>
          <w:rFonts w:ascii="Arial" w:hAnsi="Arial"/>
          <w:u w:color="000000"/>
          <w:rtl w:val="0"/>
          <w:lang w:val="en-US"/>
        </w:rPr>
        <w:t xml:space="preserve">. </w:t>
      </w:r>
      <w:r>
        <w:rPr>
          <w:rFonts w:ascii="Arial" w:hAnsi="Arial"/>
          <w:outline w:val="0"/>
          <w:color w:val="000000"/>
          <w:u w:color="000000"/>
          <w:rtl w:val="0"/>
          <w:lang w:val="en-US"/>
          <w14:textFill>
            <w14:solidFill>
              <w14:srgbClr w14:val="000000"/>
            </w14:solidFill>
          </w14:textFill>
        </w:rPr>
        <w:t xml:space="preserve">Available at:  </w:t>
      </w:r>
      <w:r>
        <w:rPr>
          <w:rStyle w:val="Hyperlink.1"/>
          <w:rFonts w:ascii="Times New Roman" w:cs="Times New Roman" w:hAnsi="Times New Roman" w:eastAsia="Times New Roman"/>
          <w:outline w:val="0"/>
          <w:color w:val="0563c1"/>
          <w:u w:color="0563c1"/>
          <w:rtl w:val="0"/>
          <w:lang w:val="en-US"/>
          <w14:textFill>
            <w14:solidFill>
              <w14:srgbClr w14:val="0563C1"/>
            </w14:solidFill>
          </w14:textFill>
        </w:rPr>
        <w:fldChar w:fldCharType="begin" w:fldLock="0"/>
      </w:r>
      <w:r>
        <w:rPr>
          <w:rStyle w:val="Hyperlink.1"/>
          <w:rFonts w:ascii="Times New Roman" w:cs="Times New Roman" w:hAnsi="Times New Roman" w:eastAsia="Times New Roman"/>
          <w:outline w:val="0"/>
          <w:color w:val="0563c1"/>
          <w:u w:color="0563c1"/>
          <w:rtl w:val="0"/>
          <w:lang w:val="en-US"/>
          <w14:textFill>
            <w14:solidFill>
              <w14:srgbClr w14:val="0563C1"/>
            </w14:solidFill>
          </w14:textFill>
        </w:rPr>
        <w:instrText xml:space="preserve"> HYPERLINK "https://www.equalityhumanrights.com/sites/default/files/what_equality_law_means_for_you_as_an_education_provide_further_and_higher_education.pdf"</w:instrText>
      </w:r>
      <w:r>
        <w:rPr>
          <w:rStyle w:val="Hyperlink.1"/>
          <w:rFonts w:ascii="Times New Roman" w:cs="Times New Roman" w:hAnsi="Times New Roman" w:eastAsia="Times New Roman"/>
          <w:outline w:val="0"/>
          <w:color w:val="0563c1"/>
          <w:u w:color="0563c1"/>
          <w:rtl w:val="0"/>
          <w:lang w:val="en-US"/>
          <w14:textFill>
            <w14:solidFill>
              <w14:srgbClr w14:val="0563C1"/>
            </w14:solidFill>
          </w14:textFill>
        </w:rPr>
        <w:fldChar w:fldCharType="separate" w:fldLock="0"/>
      </w:r>
      <w:r>
        <w:rPr>
          <w:rStyle w:val="Hyperlink.1"/>
          <w:rFonts w:ascii="Times New Roman" w:hAnsi="Times New Roman"/>
          <w:outline w:val="0"/>
          <w:color w:val="0563c1"/>
          <w:u w:color="0563c1"/>
          <w:rtl w:val="0"/>
          <w:lang w:val="en-US"/>
          <w14:textFill>
            <w14:solidFill>
              <w14:srgbClr w14:val="0563C1"/>
            </w14:solidFill>
          </w14:textFill>
        </w:rPr>
        <w:t>https://www.equalityhumanrights.com/sites/default/files/what_equality_law_means_for_you_as_an_education_provide_further_and_higher_education.pdf</w:t>
      </w:r>
      <w:r>
        <w:rPr>
          <w:rFonts w:ascii="Times New Roman" w:cs="Times New Roman" w:hAnsi="Times New Roman" w:eastAsia="Times New Roman"/>
          <w:u w:color="000000"/>
          <w:rtl w:val="0"/>
          <w:lang w:val="en-US"/>
        </w:rPr>
        <w:fldChar w:fldCharType="end" w:fldLock="0"/>
      </w:r>
      <w:r>
        <w:rPr>
          <w:rFonts w:ascii="Arial" w:hAnsi="Arial"/>
          <w:outline w:val="0"/>
          <w:color w:val="000000"/>
          <w:u w:color="000000"/>
          <w:rtl w:val="0"/>
          <w:lang w:val="en-US"/>
          <w14:textFill>
            <w14:solidFill>
              <w14:srgbClr w14:val="000000"/>
            </w14:solidFill>
          </w14:textFill>
        </w:rPr>
        <w:t xml:space="preserve"> </w:t>
      </w:r>
      <w:r>
        <w:rPr>
          <w:rFonts w:ascii="Arial" w:hAnsi="Arial"/>
          <w:outline w:val="0"/>
          <w:color w:val="000000"/>
          <w:u w:color="000000"/>
          <w:rtl w:val="0"/>
          <w:lang w:val="en-US"/>
          <w14:textFill>
            <w14:solidFill>
              <w14:srgbClr w14:val="000000"/>
            </w14:solidFill>
          </w14:textFill>
        </w:rPr>
        <w:t xml:space="preserve">(Accessed: </w:t>
      </w:r>
      <w:r>
        <w:rPr>
          <w:rFonts w:ascii="Arial" w:hAnsi="Arial"/>
          <w:outline w:val="0"/>
          <w:color w:val="000000"/>
          <w:u w:color="000000"/>
          <w:rtl w:val="0"/>
          <w:lang w:val="en-US"/>
          <w14:textFill>
            <w14:solidFill>
              <w14:srgbClr w14:val="000000"/>
            </w14:solidFill>
          </w14:textFill>
        </w:rPr>
        <w:t>January 30 2025</w:t>
      </w:r>
      <w:r>
        <w:rPr>
          <w:rFonts w:ascii="Arial" w:hAnsi="Arial"/>
          <w:outline w:val="0"/>
          <w:color w:val="000000"/>
          <w:u w:color="000000"/>
          <w:rtl w:val="0"/>
          <w:lang w:val="en-US"/>
          <w14:textFill>
            <w14:solidFill>
              <w14:srgbClr w14:val="000000"/>
            </w14:solidFill>
          </w14:textFill>
        </w:rPr>
        <w:t>).</w:t>
      </w:r>
      <w:r>
        <w:rPr>
          <w:rFonts w:ascii="Arial" w:hAnsi="Arial" w:hint="default"/>
          <w:outline w:val="0"/>
          <w:color w:val="000000"/>
          <w:u w:color="000000"/>
          <w:rtl w:val="0"/>
          <w:lang w:val="en-US"/>
          <w14:textFill>
            <w14:solidFill>
              <w14:srgbClr w14:val="000000"/>
            </w14:solidFill>
          </w14:textFill>
        </w:rPr>
        <w:t> </w:t>
      </w:r>
    </w:p>
    <w:p>
      <w:pPr>
        <w:pStyle w:val="Default"/>
        <w:bidi w:val="0"/>
        <w:spacing w:before="100" w:after="100" w:line="240" w:lineRule="auto"/>
        <w:ind w:left="567" w:right="0" w:hanging="567"/>
        <w:jc w:val="left"/>
        <w:rPr>
          <w:rFonts w:ascii="Arial" w:cs="Arial" w:hAnsi="Arial" w:eastAsia="Arial"/>
          <w:outline w:val="0"/>
          <w:color w:val="000000"/>
          <w:u w:color="000000"/>
          <w:rtl w:val="0"/>
          <w:lang w:val="en-US"/>
          <w14:textFill>
            <w14:solidFill>
              <w14:srgbClr w14:val="000000"/>
            </w14:solidFill>
          </w14:textFill>
        </w:rPr>
      </w:pPr>
    </w:p>
    <w:p>
      <w:pPr>
        <w:pStyle w:val="Body"/>
        <w:bidi w:val="0"/>
        <w:ind w:left="720" w:right="0" w:hanging="720"/>
        <w:jc w:val="left"/>
        <w:rPr>
          <w:rFonts w:ascii="Arial" w:cs="Arial" w:hAnsi="Arial" w:eastAsia="Arial"/>
          <w:sz w:val="24"/>
          <w:szCs w:val="24"/>
          <w:u w:color="000000"/>
          <w:rtl w:val="0"/>
        </w:rPr>
      </w:pPr>
      <w:r>
        <w:rPr>
          <w:rFonts w:ascii="Arial" w:hAnsi="Arial"/>
          <w:sz w:val="24"/>
          <w:szCs w:val="24"/>
          <w:u w:color="000000"/>
          <w:rtl w:val="0"/>
          <w:lang w:val="en-US"/>
        </w:rPr>
        <w:t xml:space="preserve">Gov.uk (2025). </w:t>
      </w:r>
      <w:r>
        <w:rPr>
          <w:rFonts w:ascii="Arial" w:hAnsi="Arial"/>
          <w:i w:val="1"/>
          <w:iCs w:val="1"/>
          <w:sz w:val="24"/>
          <w:szCs w:val="24"/>
          <w:u w:color="000000"/>
          <w:rtl w:val="0"/>
          <w:lang w:val="en-US"/>
        </w:rPr>
        <w:t>Discrimination: your rights</w:t>
      </w:r>
      <w:r>
        <w:rPr>
          <w:rFonts w:ascii="Arial" w:hAnsi="Arial"/>
          <w:sz w:val="24"/>
          <w:szCs w:val="24"/>
          <w:u w:color="000000"/>
          <w:rtl w:val="0"/>
          <w:lang w:val="en-US"/>
        </w:rPr>
        <w:t xml:space="preserve">. Available at: </w:t>
      </w:r>
      <w:r>
        <w:rPr>
          <w:rFonts w:ascii="Arial" w:hAnsi="Arial"/>
          <w:sz w:val="24"/>
          <w:szCs w:val="24"/>
          <w:u w:color="000000"/>
          <w:rtl w:val="0"/>
          <w:lang w:val="en-US"/>
        </w:rPr>
        <w:t>https://www.gov.uk/discrimination-your-rights#:~:text=you can do-,Types of discrimination ('protected characteristics'),sexual orientation</w:t>
      </w:r>
      <w:r>
        <w:rPr>
          <w:rFonts w:ascii="Arial" w:hAnsi="Arial"/>
          <w:sz w:val="24"/>
          <w:szCs w:val="24"/>
          <w:u w:color="000000"/>
          <w:rtl w:val="0"/>
          <w:lang w:val="en-US"/>
        </w:rPr>
        <w:t xml:space="preserve"> (Accessed January 30 2025). </w:t>
      </w:r>
    </w:p>
    <w:p>
      <w:pPr>
        <w:pStyle w:val="Body"/>
        <w:bidi w:val="0"/>
        <w:ind w:left="720" w:right="0" w:hanging="720"/>
        <w:jc w:val="left"/>
        <w:rPr>
          <w:rFonts w:ascii="Arial" w:cs="Arial" w:hAnsi="Arial" w:eastAsia="Arial"/>
          <w:outline w:val="0"/>
          <w:color w:val="000000"/>
          <w:sz w:val="24"/>
          <w:szCs w:val="24"/>
          <w:u w:color="000000"/>
          <w:rtl w:val="0"/>
          <w14:textFill>
            <w14:solidFill>
              <w14:srgbClr w14:val="000000"/>
            </w14:solidFill>
          </w14:textFill>
        </w:rPr>
      </w:pPr>
    </w:p>
    <w:p>
      <w:pPr>
        <w:pStyle w:val="Default"/>
        <w:bidi w:val="0"/>
        <w:spacing w:before="100" w:after="100" w:line="240" w:lineRule="auto"/>
        <w:ind w:left="567" w:right="0" w:hanging="567"/>
        <w:jc w:val="left"/>
        <w:rPr>
          <w:rFonts w:ascii="Arial" w:cs="Arial" w:hAnsi="Arial" w:eastAsia="Arial"/>
          <w:outline w:val="0"/>
          <w:color w:val="000000"/>
          <w:u w:color="000000"/>
          <w:rtl w:val="0"/>
          <w:lang w:val="en-US"/>
          <w14:textFill>
            <w14:solidFill>
              <w14:srgbClr w14:val="000000"/>
            </w14:solidFill>
          </w14:textFill>
        </w:rPr>
      </w:pPr>
      <w:r>
        <w:rPr>
          <w:rFonts w:ascii="Arial" w:hAnsi="Arial"/>
          <w:outline w:val="0"/>
          <w:color w:val="000000"/>
          <w:u w:color="000000"/>
          <w:rtl w:val="0"/>
          <w:lang w:val="en-US"/>
          <w14:textFill>
            <w14:solidFill>
              <w14:srgbClr w14:val="000000"/>
            </w14:solidFill>
          </w14:textFill>
        </w:rPr>
        <w:t xml:space="preserve">Moore, A., Nguyen, A., Rivas, S., Bany-Mohammed, A., Majeika, J. and Martinez, L. (2021) </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A qualitative examination of the impacts of financial stress on college students</w:t>
      </w:r>
      <w:r>
        <w:rPr>
          <w:rFonts w:ascii="Arial" w:hAnsi="Arial" w:hint="default"/>
          <w:outline w:val="0"/>
          <w:color w:val="000000"/>
          <w:u w:color="000000"/>
          <w:rtl w:val="0"/>
          <w:lang w:val="en-US"/>
          <w14:textFill>
            <w14:solidFill>
              <w14:srgbClr w14:val="000000"/>
            </w14:solidFill>
          </w14:textFill>
        </w:rPr>
        <w:t xml:space="preserve">’ </w:t>
      </w:r>
      <w:r>
        <w:rPr>
          <w:rFonts w:ascii="Arial" w:hAnsi="Arial"/>
          <w:outline w:val="0"/>
          <w:color w:val="000000"/>
          <w:u w:color="000000"/>
          <w:rtl w:val="0"/>
          <w:lang w:val="en-US"/>
          <w14:textFill>
            <w14:solidFill>
              <w14:srgbClr w14:val="000000"/>
            </w14:solidFill>
          </w14:textFill>
        </w:rPr>
        <w:t>well-being: Insights from a large, private institution</w:t>
      </w:r>
      <w:r>
        <w:rPr>
          <w:rFonts w:ascii="Arial" w:hAnsi="Arial" w:hint="default"/>
          <w:outline w:val="0"/>
          <w:color w:val="000000"/>
          <w:u w:color="000000"/>
          <w:rtl w:val="0"/>
          <w:lang w:val="en-US"/>
          <w14:textFill>
            <w14:solidFill>
              <w14:srgbClr w14:val="000000"/>
            </w14:solidFill>
          </w14:textFill>
        </w:rPr>
        <w:t>’</w:t>
      </w:r>
      <w:r>
        <w:rPr>
          <w:rFonts w:ascii="Arial" w:hAnsi="Arial"/>
          <w:outline w:val="0"/>
          <w:color w:val="000000"/>
          <w:u w:color="000000"/>
          <w:rtl w:val="0"/>
          <w:lang w:val="en-US"/>
          <w14:textFill>
            <w14:solidFill>
              <w14:srgbClr w14:val="000000"/>
            </w14:solidFill>
          </w14:textFill>
        </w:rPr>
        <w:t xml:space="preserve">, </w:t>
      </w:r>
      <w:r>
        <w:rPr>
          <w:rFonts w:ascii="Arial" w:hAnsi="Arial"/>
          <w:i w:val="1"/>
          <w:iCs w:val="1"/>
          <w:u w:color="000000"/>
          <w:rtl w:val="0"/>
          <w:lang w:val="en-US"/>
        </w:rPr>
        <w:t>SAGE Open Medicine</w:t>
      </w:r>
      <w:r>
        <w:rPr>
          <w:rFonts w:ascii="Arial" w:hAnsi="Arial"/>
          <w:outline w:val="0"/>
          <w:color w:val="000000"/>
          <w:u w:color="000000"/>
          <w:rtl w:val="0"/>
          <w:lang w:val="en-US"/>
          <w14:textFill>
            <w14:solidFill>
              <w14:srgbClr w14:val="000000"/>
            </w14:solidFill>
          </w14:textFill>
        </w:rPr>
        <w:t xml:space="preserve">, 9(1-8). Available at: </w:t>
      </w:r>
      <w:r>
        <w:rPr>
          <w:rFonts w:ascii="Arial" w:hAnsi="Arial"/>
          <w:outline w:val="0"/>
          <w:color w:val="000000"/>
          <w:u w:color="000000"/>
          <w:rtl w:val="0"/>
          <w:lang w:val="en-US"/>
          <w14:textFill>
            <w14:solidFill>
              <w14:srgbClr w14:val="000000"/>
            </w14:solidFill>
          </w14:textFill>
        </w:rPr>
        <w:t>https://journals.sagepub.com/doi/pdf/10.1177/20503121211018122</w:t>
      </w:r>
      <w:r>
        <w:rPr>
          <w:rFonts w:ascii="Arial" w:hAnsi="Arial"/>
          <w:outline w:val="0"/>
          <w:color w:val="000000"/>
          <w:u w:color="000000"/>
          <w:rtl w:val="0"/>
          <w:lang w:val="en-US"/>
          <w14:textFill>
            <w14:solidFill>
              <w14:srgbClr w14:val="000000"/>
            </w14:solidFill>
          </w14:textFill>
        </w:rPr>
        <w:t xml:space="preserve">. (Accessed: January 30 2025). </w:t>
      </w:r>
    </w:p>
    <w:p>
      <w:pPr>
        <w:pStyle w:val="Default"/>
        <w:bidi w:val="0"/>
        <w:spacing w:before="100" w:after="100" w:line="240" w:lineRule="auto"/>
        <w:ind w:left="567" w:right="0" w:hanging="567"/>
        <w:jc w:val="left"/>
        <w:rPr>
          <w:rFonts w:ascii="Arial" w:cs="Arial" w:hAnsi="Arial" w:eastAsia="Arial"/>
          <w:outline w:val="0"/>
          <w:color w:val="000000"/>
          <w:u w:color="000000"/>
          <w:rtl w:val="0"/>
          <w:lang w:val="en-US"/>
          <w14:textFill>
            <w14:solidFill>
              <w14:srgbClr w14:val="000000"/>
            </w14:solidFill>
          </w14:textFill>
        </w:rPr>
      </w:pPr>
    </w:p>
    <w:p>
      <w:pPr>
        <w:pStyle w:val="Default"/>
        <w:suppressAutoHyphens w:val="1"/>
        <w:bidi w:val="0"/>
        <w:spacing w:before="0" w:after="284" w:line="240" w:lineRule="auto"/>
        <w:ind w:left="0" w:right="0" w:firstLine="0"/>
        <w:jc w:val="left"/>
        <w:rPr>
          <w:rFonts w:ascii="Helvetica Neue" w:cs="Helvetica Neue" w:hAnsi="Helvetica Neue" w:eastAsia="Helvetica Neue"/>
          <w:u w:color="000000"/>
          <w:rtl w:val="0"/>
          <w:lang w:val="en-US"/>
        </w:rPr>
      </w:pPr>
      <w:r>
        <w:rPr>
          <w:rFonts w:ascii="Helvetica" w:hAnsi="Helvetica"/>
          <w:u w:color="000000"/>
          <w:rtl w:val="0"/>
          <w:lang w:val="en-US"/>
        </w:rPr>
        <w:t xml:space="preserve">Reece, I. </w:t>
      </w:r>
      <w:r>
        <w:rPr>
          <w:rFonts w:ascii="Helvetica" w:hAnsi="Helvetica"/>
          <w:u w:color="000000"/>
          <w:rtl w:val="0"/>
          <w:lang w:val="en-US"/>
        </w:rPr>
        <w:t xml:space="preserve">and </w:t>
      </w:r>
      <w:r>
        <w:rPr>
          <w:rFonts w:ascii="Helvetica" w:hAnsi="Helvetica"/>
          <w:u w:color="000000"/>
          <w:rtl w:val="0"/>
          <w:lang w:val="en-US"/>
        </w:rPr>
        <w:t xml:space="preserve">Walker, S. (2007) </w:t>
      </w:r>
      <w:r>
        <w:rPr>
          <w:rFonts w:ascii="Helvetica" w:hAnsi="Helvetica"/>
          <w:i w:val="1"/>
          <w:iCs w:val="1"/>
          <w:u w:color="000000"/>
          <w:rtl w:val="0"/>
          <w:lang w:val="en-US"/>
        </w:rPr>
        <w:t>Teaching, Training &amp; Learning</w:t>
      </w:r>
      <w:r>
        <w:rPr>
          <w:rFonts w:ascii="Helvetica" w:hAnsi="Helvetica"/>
          <w:u w:color="000000"/>
          <w:rtl w:val="0"/>
          <w:lang w:val="en-US"/>
        </w:rPr>
        <w:t>. 6th ed. Tyne and Wear: Business Education Publishers Limited. pp</w:t>
      </w:r>
      <w:r>
        <w:rPr>
          <w:rFonts w:ascii="Helvetica" w:hAnsi="Helvetica"/>
          <w:u w:color="000000"/>
          <w:rtl w:val="0"/>
          <w:lang w:val="en-US"/>
        </w:rPr>
        <w:t>.</w:t>
      </w:r>
      <w:r>
        <w:rPr>
          <w:rFonts w:ascii="Helvetica" w:hAnsi="Helvetica"/>
          <w:u w:color="000000"/>
          <w:rtl w:val="0"/>
          <w:lang w:val="en-US"/>
        </w:rPr>
        <w:t xml:space="preserve"> 77</w:t>
      </w:r>
    </w:p>
    <w:p>
      <w:pPr>
        <w:pStyle w:val="Default"/>
        <w:suppressAutoHyphens w:val="1"/>
        <w:bidi w:val="0"/>
        <w:spacing w:before="0" w:line="240" w:lineRule="auto"/>
        <w:ind w:left="0" w:right="0" w:firstLine="0"/>
        <w:jc w:val="left"/>
        <w:rPr>
          <w:rFonts w:ascii="Helvetica" w:cs="Helvetica" w:hAnsi="Helvetica" w:eastAsia="Helvetica"/>
          <w:outline w:val="0"/>
          <w:color w:val="393939"/>
          <w:u w:color="000000"/>
          <w:shd w:val="clear" w:color="auto" w:fill="ffffff"/>
          <w:rtl w:val="0"/>
          <w:lang w:val="en-US"/>
          <w14:textFill>
            <w14:solidFill>
              <w14:srgbClr w14:val="3A3A3A"/>
            </w14:solidFill>
          </w14:textFill>
        </w:rPr>
      </w:pPr>
      <w:r>
        <w:rPr>
          <w:rFonts w:ascii="Helvetica" w:hAnsi="Helvetica"/>
          <w:outline w:val="0"/>
          <w:color w:val="393939"/>
          <w:u w:color="000000"/>
          <w:shd w:val="clear" w:color="auto" w:fill="ffffff"/>
          <w:rtl w:val="0"/>
          <w:lang w:val="en-US"/>
          <w14:textFill>
            <w14:solidFill>
              <w14:srgbClr w14:val="3A3A3A"/>
            </w14:solidFill>
          </w14:textFill>
        </w:rPr>
        <w:t>Thompson, N.</w:t>
      </w:r>
      <w:r>
        <w:rPr>
          <w:rFonts w:ascii="Helvetica" w:hAnsi="Helvetica"/>
          <w:outline w:val="0"/>
          <w:color w:val="393939"/>
          <w:u w:color="000000"/>
          <w:shd w:val="clear" w:color="auto" w:fill="ffffff"/>
          <w:rtl w:val="0"/>
          <w:lang w:val="en-US"/>
          <w14:textFill>
            <w14:solidFill>
              <w14:srgbClr w14:val="3A3A3A"/>
            </w14:solidFill>
          </w14:textFill>
        </w:rPr>
        <w:t xml:space="preserve">, </w:t>
      </w:r>
      <w:r>
        <w:rPr>
          <w:rFonts w:ascii="Helvetica" w:hAnsi="Helvetica"/>
          <w:outline w:val="0"/>
          <w:color w:val="393939"/>
          <w:u w:color="000000"/>
          <w:shd w:val="clear" w:color="auto" w:fill="ffffff"/>
          <w:rtl w:val="0"/>
          <w:lang w:val="en-US"/>
          <w14:textFill>
            <w14:solidFill>
              <w14:srgbClr w14:val="3A3A3A"/>
            </w14:solidFill>
          </w14:textFill>
        </w:rPr>
        <w:t xml:space="preserve">British Association of Social Workers, issuing body. (2021). </w:t>
      </w:r>
      <w:r>
        <w:rPr>
          <w:rFonts w:ascii="Helvetica" w:hAnsi="Helvetica"/>
          <w:i w:val="1"/>
          <w:iCs w:val="1"/>
          <w:outline w:val="0"/>
          <w:color w:val="393939"/>
          <w:u w:color="000000"/>
          <w:shd w:val="clear" w:color="auto" w:fill="ffffff"/>
          <w:rtl w:val="0"/>
          <w:lang w:val="en-US"/>
          <w14:textFill>
            <w14:solidFill>
              <w14:srgbClr w14:val="3A3A3A"/>
            </w14:solidFill>
          </w14:textFill>
        </w:rPr>
        <w:t>Anti-discriminatory practice</w:t>
      </w:r>
      <w:r>
        <w:rPr>
          <w:rFonts w:ascii="Helvetica" w:hAnsi="Helvetica" w:hint="default"/>
          <w:i w:val="1"/>
          <w:iCs w:val="1"/>
          <w:outline w:val="0"/>
          <w:color w:val="393939"/>
          <w:u w:color="000000"/>
          <w:shd w:val="clear" w:color="auto" w:fill="ffffff"/>
          <w:rtl w:val="0"/>
          <w:lang w:val="en-US"/>
          <w14:textFill>
            <w14:solidFill>
              <w14:srgbClr w14:val="3A3A3A"/>
            </w14:solidFill>
          </w14:textFill>
        </w:rPr>
        <w:t> </w:t>
      </w:r>
      <w:r>
        <w:rPr>
          <w:rFonts w:ascii="Helvetica" w:hAnsi="Helvetica"/>
          <w:i w:val="1"/>
          <w:iCs w:val="1"/>
          <w:outline w:val="0"/>
          <w:color w:val="393939"/>
          <w:u w:color="000000"/>
          <w:shd w:val="clear" w:color="auto" w:fill="ffffff"/>
          <w:rtl w:val="0"/>
          <w:lang w:val="en-US"/>
          <w14:textFill>
            <w14:solidFill>
              <w14:srgbClr w14:val="3A3A3A"/>
            </w14:solidFill>
          </w14:textFill>
        </w:rPr>
        <w:t>: equality, diversity and social justice</w:t>
      </w:r>
      <w:r>
        <w:rPr>
          <w:rFonts w:ascii="Helvetica" w:hAnsi="Helvetica"/>
          <w:outline w:val="0"/>
          <w:color w:val="393939"/>
          <w:u w:color="000000"/>
          <w:shd w:val="clear" w:color="auto" w:fill="ffffff"/>
          <w:rtl w:val="0"/>
          <w:lang w:val="en-US"/>
          <w14:textFill>
            <w14:solidFill>
              <w14:srgbClr w14:val="3A3A3A"/>
            </w14:solidFill>
          </w14:textFill>
        </w:rPr>
        <w:t xml:space="preserve"> (Seventh edition.). Red Globe Press.</w:t>
      </w:r>
    </w:p>
    <w:p>
      <w:pPr>
        <w:pStyle w:val="Default"/>
        <w:suppressAutoHyphens w:val="1"/>
        <w:bidi w:val="0"/>
        <w:spacing w:before="0" w:line="240" w:lineRule="auto"/>
        <w:ind w:left="0" w:right="0" w:firstLine="0"/>
        <w:jc w:val="left"/>
        <w:rPr>
          <w:rFonts w:ascii="Helvetica" w:cs="Helvetica" w:hAnsi="Helvetica" w:eastAsia="Helvetica"/>
          <w:outline w:val="0"/>
          <w:color w:val="393939"/>
          <w:u w:color="000000"/>
          <w:shd w:val="clear" w:color="auto" w:fill="ffffff"/>
          <w:rtl w:val="0"/>
          <w:lang w:val="en-US"/>
          <w14:textFill>
            <w14:solidFill>
              <w14:srgbClr w14:val="3A3A3A"/>
            </w14:solidFill>
          </w14:textFill>
        </w:rPr>
      </w:pPr>
    </w:p>
    <w:p>
      <w:pPr>
        <w:pStyle w:val="Default"/>
        <w:suppressAutoHyphens w:val="1"/>
        <w:bidi w:val="0"/>
        <w:spacing w:before="0" w:line="240" w:lineRule="auto"/>
        <w:ind w:left="0" w:right="0" w:firstLine="0"/>
        <w:jc w:val="left"/>
        <w:rPr>
          <w:rFonts w:ascii="Helvetica" w:cs="Helvetica" w:hAnsi="Helvetica" w:eastAsia="Helvetica"/>
          <w:outline w:val="0"/>
          <w:color w:val="393939"/>
          <w:u w:color="000000"/>
          <w:shd w:val="clear" w:color="auto" w:fill="ffffff"/>
          <w:rtl w:val="0"/>
          <w:lang w:val="en-US"/>
          <w14:textFill>
            <w14:solidFill>
              <w14:srgbClr w14:val="3A3A3A"/>
            </w14:solidFill>
          </w14:textFill>
        </w:rPr>
      </w:pPr>
    </w:p>
    <w:p>
      <w:pPr>
        <w:pStyle w:val="Default"/>
        <w:suppressAutoHyphens w:val="1"/>
        <w:bidi w:val="0"/>
        <w:spacing w:before="0" w:line="240" w:lineRule="auto"/>
        <w:ind w:left="0" w:right="0" w:firstLine="0"/>
        <w:jc w:val="left"/>
        <w:rPr>
          <w:rFonts w:ascii="Helvetica" w:cs="Helvetica" w:hAnsi="Helvetica" w:eastAsia="Helvetica"/>
          <w:outline w:val="0"/>
          <w:color w:val="393939"/>
          <w:u w:color="000000"/>
          <w:shd w:val="clear" w:color="auto" w:fill="ffffff"/>
          <w:rtl w:val="0"/>
          <w:lang w:val="en-US"/>
          <w14:textFill>
            <w14:solidFill>
              <w14:srgbClr w14:val="3A3A3A"/>
            </w14:solidFill>
          </w14:textFill>
        </w:rPr>
      </w:pPr>
      <w:r>
        <w:rPr>
          <w:rFonts w:ascii="Helvetica" w:hAnsi="Helvetica"/>
          <w:outline w:val="0"/>
          <w:color w:val="393939"/>
          <w:u w:color="000000"/>
          <w:shd w:val="clear" w:color="auto" w:fill="ffffff"/>
          <w:rtl w:val="0"/>
          <w:lang w:val="en-US"/>
          <w14:textFill>
            <w14:solidFill>
              <w14:srgbClr w14:val="3A3A3A"/>
            </w14:solidFill>
          </w14:textFill>
        </w:rPr>
        <w:t xml:space="preserve">University of Wales Trinity Saint David (2025) </w:t>
      </w:r>
      <w:r>
        <w:rPr>
          <w:rFonts w:ascii="Helvetica" w:hAnsi="Helvetica"/>
          <w:i w:val="1"/>
          <w:iCs w:val="1"/>
          <w:outline w:val="0"/>
          <w:color w:val="393939"/>
          <w:u w:color="000000"/>
          <w:shd w:val="clear" w:color="auto" w:fill="ffffff"/>
          <w:rtl w:val="0"/>
          <w:lang w:val="en-US"/>
          <w14:textFill>
            <w14:solidFill>
              <w14:srgbClr w14:val="3A3A3A"/>
            </w14:solidFill>
          </w14:textFill>
        </w:rPr>
        <w:t>Money support</w:t>
      </w:r>
      <w:r>
        <w:rPr>
          <w:rFonts w:ascii="Helvetica" w:hAnsi="Helvetica"/>
          <w:outline w:val="0"/>
          <w:color w:val="393939"/>
          <w:u w:color="000000"/>
          <w:shd w:val="clear" w:color="auto" w:fill="ffffff"/>
          <w:rtl w:val="0"/>
          <w:lang w:val="en-US"/>
          <w14:textFill>
            <w14:solidFill>
              <w14:srgbClr w14:val="3A3A3A"/>
            </w14:solidFill>
          </w14:textFill>
        </w:rPr>
        <w:t xml:space="preserve">. Available at: </w:t>
      </w:r>
      <w:r>
        <w:rPr>
          <w:rStyle w:val="Hyperlink.1"/>
          <w:rFonts w:ascii="Helvetica" w:cs="Helvetica" w:hAnsi="Helvetica" w:eastAsia="Helvetica"/>
          <w:outline w:val="0"/>
          <w:color w:val="0563c1"/>
          <w:u w:color="0563c1"/>
          <w:shd w:val="clear" w:color="auto" w:fill="ffffff"/>
          <w:rtl w:val="0"/>
          <w:lang w:val="en-US"/>
          <w14:textFill>
            <w14:solidFill>
              <w14:srgbClr w14:val="0563C1"/>
            </w14:solidFill>
          </w14:textFill>
        </w:rPr>
        <w:fldChar w:fldCharType="begin" w:fldLock="0"/>
      </w:r>
      <w:r>
        <w:rPr>
          <w:rStyle w:val="Hyperlink.1"/>
          <w:rFonts w:ascii="Helvetica" w:cs="Helvetica" w:hAnsi="Helvetica" w:eastAsia="Helvetica"/>
          <w:outline w:val="0"/>
          <w:color w:val="0563c1"/>
          <w:u w:color="0563c1"/>
          <w:shd w:val="clear" w:color="auto" w:fill="ffffff"/>
          <w:rtl w:val="0"/>
          <w:lang w:val="en-US"/>
          <w14:textFill>
            <w14:solidFill>
              <w14:srgbClr w14:val="0563C1"/>
            </w14:solidFill>
          </w14:textFill>
        </w:rPr>
        <w:instrText xml:space="preserve"> HYPERLINK "https://www.uwtsd.ac.uk/experience-facilities/student-support-wellbeing/money-support"</w:instrText>
      </w:r>
      <w:r>
        <w:rPr>
          <w:rStyle w:val="Hyperlink.1"/>
          <w:rFonts w:ascii="Helvetica" w:cs="Helvetica" w:hAnsi="Helvetica" w:eastAsia="Helvetica"/>
          <w:outline w:val="0"/>
          <w:color w:val="0563c1"/>
          <w:u w:color="0563c1"/>
          <w:shd w:val="clear" w:color="auto" w:fill="ffffff"/>
          <w:rtl w:val="0"/>
          <w:lang w:val="en-US"/>
          <w14:textFill>
            <w14:solidFill>
              <w14:srgbClr w14:val="0563C1"/>
            </w14:solidFill>
          </w14:textFill>
        </w:rPr>
        <w:fldChar w:fldCharType="separate" w:fldLock="0"/>
      </w:r>
      <w:r>
        <w:rPr>
          <w:rStyle w:val="Hyperlink.1"/>
          <w:rFonts w:ascii="Helvetica" w:hAnsi="Helvetica"/>
          <w:outline w:val="0"/>
          <w:color w:val="0563c1"/>
          <w:u w:color="0563c1"/>
          <w:shd w:val="clear" w:color="auto" w:fill="ffffff"/>
          <w:rtl w:val="0"/>
          <w:lang w:val="en-US"/>
          <w14:textFill>
            <w14:solidFill>
              <w14:srgbClr w14:val="0563C1"/>
            </w14:solidFill>
          </w14:textFill>
        </w:rPr>
        <w:t>https://www.uwtsd.ac.uk/experience-facilities/student-support-wellbeing/money-support</w:t>
      </w:r>
      <w:r>
        <w:rPr>
          <w:rFonts w:ascii="Helvetica" w:cs="Helvetica" w:hAnsi="Helvetica" w:eastAsia="Helvetica"/>
          <w:outline w:val="0"/>
          <w:color w:val="393939"/>
          <w:u w:color="000000"/>
          <w:shd w:val="clear" w:color="auto" w:fill="ffffff"/>
          <w:rtl w:val="0"/>
          <w:lang w:val="en-US"/>
          <w14:textFill>
            <w14:solidFill>
              <w14:srgbClr w14:val="3A3A3A"/>
            </w14:solidFill>
          </w14:textFill>
        </w:rPr>
        <w:fldChar w:fldCharType="end" w:fldLock="0"/>
      </w:r>
      <w:r>
        <w:rPr>
          <w:rFonts w:ascii="Helvetica" w:hAnsi="Helvetica"/>
          <w:outline w:val="0"/>
          <w:color w:val="393939"/>
          <w:u w:color="000000"/>
          <w:shd w:val="clear" w:color="auto" w:fill="ffffff"/>
          <w:rtl w:val="0"/>
          <w:lang w:val="en-US"/>
          <w14:textFill>
            <w14:solidFill>
              <w14:srgbClr w14:val="3A3A3A"/>
            </w14:solidFill>
          </w14:textFill>
        </w:rPr>
        <w:t xml:space="preserve"> (Accessed: January 30 2025). </w:t>
      </w:r>
    </w:p>
    <w:p>
      <w:pPr>
        <w:pStyle w:val="Default"/>
        <w:suppressAutoHyphens w:val="1"/>
        <w:bidi w:val="0"/>
        <w:spacing w:before="0" w:line="240" w:lineRule="auto"/>
        <w:ind w:left="0" w:right="0" w:firstLine="0"/>
        <w:jc w:val="left"/>
        <w:rPr>
          <w:rFonts w:ascii="Arial" w:cs="Arial" w:hAnsi="Arial" w:eastAsia="Arial"/>
          <w:outline w:val="0"/>
          <w:color w:val="393939"/>
          <w:sz w:val="30"/>
          <w:szCs w:val="30"/>
          <w:u w:color="000000"/>
          <w:shd w:val="clear" w:color="auto" w:fill="ffffff"/>
          <w:rtl w:val="0"/>
          <w:lang w:val="en-US"/>
          <w14:textFill>
            <w14:solidFill>
              <w14:srgbClr w14:val="3A3A3A"/>
            </w14:solidFill>
          </w14:textFill>
        </w:rPr>
      </w:pPr>
    </w:p>
    <w:p>
      <w:pPr>
        <w:pStyle w:val="Body"/>
        <w:bidi w:val="0"/>
        <w:ind w:left="720" w:right="0" w:hanging="720"/>
        <w:jc w:val="left"/>
        <w:rPr>
          <w:rFonts w:ascii="Arial" w:cs="Arial" w:hAnsi="Arial" w:eastAsia="Arial"/>
          <w:outline w:val="0"/>
          <w:color w:val="000000"/>
          <w:sz w:val="24"/>
          <w:szCs w:val="24"/>
          <w:u w:color="000000"/>
          <w:rtl w:val="0"/>
          <w14:textFill>
            <w14:solidFill>
              <w14:srgbClr w14:val="000000"/>
            </w14:solidFill>
          </w14:textFill>
        </w:rPr>
      </w:pPr>
      <w:r>
        <w:rPr>
          <w:rFonts w:ascii="Arial" w:hAnsi="Arial"/>
          <w:sz w:val="24"/>
          <w:szCs w:val="24"/>
          <w:u w:color="000000"/>
          <w:rtl w:val="0"/>
          <w:lang w:val="en-US"/>
        </w:rPr>
        <w:t>University of Wales Trinity Saint David</w:t>
      </w:r>
      <w:r>
        <w:rPr>
          <w:rFonts w:ascii="Arial" w:hAnsi="Arial"/>
          <w:sz w:val="24"/>
          <w:szCs w:val="24"/>
          <w:u w:color="000000"/>
          <w:rtl w:val="0"/>
          <w:lang w:val="en-US"/>
        </w:rPr>
        <w:t xml:space="preserve"> (2024)</w:t>
      </w:r>
      <w:r>
        <w:rPr>
          <w:rFonts w:ascii="Arial" w:hAnsi="Arial"/>
          <w:i w:val="1"/>
          <w:iCs w:val="1"/>
          <w:sz w:val="24"/>
          <w:szCs w:val="24"/>
          <w:u w:color="000000"/>
          <w:rtl w:val="0"/>
          <w:lang w:val="en-US"/>
        </w:rPr>
        <w:t xml:space="preserve"> </w:t>
      </w:r>
      <w:r>
        <w:rPr>
          <w:rFonts w:ascii="Arial" w:hAnsi="Arial"/>
          <w:i w:val="1"/>
          <w:iCs w:val="1"/>
          <w:outline w:val="0"/>
          <w:color w:val="000000"/>
          <w:sz w:val="24"/>
          <w:szCs w:val="24"/>
          <w:u w:color="000000"/>
          <w:rtl w:val="0"/>
          <w:lang w:val="en-US"/>
          <w14:textFill>
            <w14:solidFill>
              <w14:srgbClr w14:val="000000"/>
            </w14:solidFill>
          </w14:textFill>
        </w:rPr>
        <w:t>Strategic Equality Plan 2</w:t>
      </w:r>
      <w:r>
        <w:rPr>
          <w:rFonts w:ascii="Arial" w:hAnsi="Arial"/>
          <w:i w:val="1"/>
          <w:iCs w:val="1"/>
          <w:outline w:val="0"/>
          <w:color w:val="000000"/>
          <w:sz w:val="24"/>
          <w:szCs w:val="24"/>
          <w:u w:color="000000"/>
          <w:rtl w:val="0"/>
          <w:lang w:val="en-US"/>
          <w14:textFill>
            <w14:solidFill>
              <w14:srgbClr w14:val="000000"/>
            </w14:solidFill>
          </w14:textFill>
        </w:rPr>
        <w:t>024-2028.</w:t>
      </w:r>
      <w:r>
        <w:rPr>
          <w:rFonts w:ascii="Arial" w:hAnsi="Arial"/>
          <w:outline w:val="0"/>
          <w:color w:val="000000"/>
          <w:sz w:val="24"/>
          <w:szCs w:val="24"/>
          <w:u w:color="000000"/>
          <w:rtl w:val="0"/>
          <w:lang w:val="en-US"/>
          <w14:textFill>
            <w14:solidFill>
              <w14:srgbClr w14:val="000000"/>
            </w14:solidFill>
          </w14:textFill>
        </w:rPr>
        <w:t xml:space="preserve"> Available a</w:t>
      </w:r>
      <w:r>
        <w:rPr>
          <w:rFonts w:ascii="Arial" w:hAnsi="Arial"/>
          <w:outline w:val="0"/>
          <w:color w:val="000000"/>
          <w:sz w:val="24"/>
          <w:szCs w:val="24"/>
          <w:u w:color="000000"/>
          <w:rtl w:val="0"/>
          <w:lang w:val="en-US"/>
          <w14:textFill>
            <w14:solidFill>
              <w14:srgbClr w14:val="000000"/>
            </w14:solidFill>
          </w14:textFill>
        </w:rPr>
        <w:t xml:space="preserve">t: </w:t>
      </w:r>
      <w:r>
        <w:rPr>
          <w:rFonts w:ascii="Arial" w:hAnsi="Arial"/>
          <w:outline w:val="0"/>
          <w:color w:val="000000"/>
          <w:sz w:val="24"/>
          <w:szCs w:val="24"/>
          <w:u w:color="000000"/>
          <w:rtl w:val="0"/>
          <w14:textFill>
            <w14:solidFill>
              <w14:srgbClr w14:val="000000"/>
            </w14:solidFill>
          </w14:textFill>
        </w:rPr>
        <w:t xml:space="preserve"> </w:t>
      </w:r>
      <w:r>
        <w:rPr>
          <w:rStyle w:val="Hyperlink.1"/>
          <w:rFonts w:ascii="Calibri" w:cs="Calibri" w:hAnsi="Calibri" w:eastAsia="Calibri"/>
          <w:outline w:val="0"/>
          <w:color w:val="0563c1"/>
          <w:sz w:val="24"/>
          <w:szCs w:val="24"/>
          <w:u w:color="0563c1"/>
          <w:rtl w:val="0"/>
          <w14:textFill>
            <w14:solidFill>
              <w14:srgbClr w14:val="0563C1"/>
            </w14:solidFill>
          </w14:textFill>
        </w:rPr>
        <w:fldChar w:fldCharType="begin" w:fldLock="0"/>
      </w:r>
      <w:r>
        <w:rPr>
          <w:rStyle w:val="Hyperlink.1"/>
          <w:rFonts w:ascii="Calibri" w:cs="Calibri" w:hAnsi="Calibri" w:eastAsia="Calibri"/>
          <w:outline w:val="0"/>
          <w:color w:val="0563c1"/>
          <w:sz w:val="24"/>
          <w:szCs w:val="24"/>
          <w:u w:color="0563c1"/>
          <w:rtl w:val="0"/>
          <w14:textFill>
            <w14:solidFill>
              <w14:srgbClr w14:val="0563C1"/>
            </w14:solidFill>
          </w14:textFill>
        </w:rPr>
        <w:instrText xml:space="preserve"> HYPERLINK "https://www.uwtsd.ac.uk/media/2555/download?attachment"</w:instrText>
      </w:r>
      <w:r>
        <w:rPr>
          <w:rStyle w:val="Hyperlink.1"/>
          <w:rFonts w:ascii="Calibri" w:cs="Calibri" w:hAnsi="Calibri" w:eastAsia="Calibri"/>
          <w:outline w:val="0"/>
          <w:color w:val="0563c1"/>
          <w:sz w:val="24"/>
          <w:szCs w:val="24"/>
          <w:u w:color="0563c1"/>
          <w:rtl w:val="0"/>
          <w14:textFill>
            <w14:solidFill>
              <w14:srgbClr w14:val="0563C1"/>
            </w14:solidFill>
          </w14:textFill>
        </w:rPr>
        <w:fldChar w:fldCharType="separate" w:fldLock="0"/>
      </w:r>
      <w:r>
        <w:rPr>
          <w:rStyle w:val="Hyperlink.1"/>
          <w:rFonts w:ascii="Calibri" w:hAnsi="Calibri"/>
          <w:outline w:val="0"/>
          <w:color w:val="0563c1"/>
          <w:sz w:val="24"/>
          <w:szCs w:val="24"/>
          <w:u w:color="0563c1"/>
          <w:rtl w:val="0"/>
          <w:lang w:val="en-US"/>
          <w14:textFill>
            <w14:solidFill>
              <w14:srgbClr w14:val="0563C1"/>
            </w14:solidFill>
          </w14:textFill>
        </w:rPr>
        <w:t>https://www.uwtsd.ac.uk/media/2555/download?attachment</w:t>
      </w:r>
      <w:r>
        <w:rPr>
          <w:rFonts w:ascii="Calibri" w:cs="Calibri" w:hAnsi="Calibri" w:eastAsia="Calibri"/>
          <w:sz w:val="24"/>
          <w:szCs w:val="24"/>
          <w:u w:color="000000"/>
          <w:rtl w:val="0"/>
        </w:rPr>
        <w:fldChar w:fldCharType="end" w:fldLock="0"/>
      </w:r>
      <w:r>
        <w:rPr>
          <w:rFonts w:ascii="Arial" w:hAnsi="Arial"/>
          <w:outline w:val="0"/>
          <w:color w:val="000000"/>
          <w:sz w:val="24"/>
          <w:szCs w:val="24"/>
          <w:u w:color="000000"/>
          <w:rtl w:val="0"/>
          <w:lang w:val="en-US"/>
          <w14:textFill>
            <w14:solidFill>
              <w14:srgbClr w14:val="000000"/>
            </w14:solidFill>
          </w14:textFill>
        </w:rPr>
        <w:t xml:space="preserve"> </w:t>
      </w:r>
      <w:r>
        <w:rPr>
          <w:rFonts w:ascii="Arial" w:hAnsi="Arial"/>
          <w:outline w:val="0"/>
          <w:color w:val="000000"/>
          <w:sz w:val="24"/>
          <w:szCs w:val="24"/>
          <w:u w:color="000000"/>
          <w:rtl w:val="0"/>
          <w:lang w:val="en-US"/>
          <w14:textFill>
            <w14:solidFill>
              <w14:srgbClr w14:val="000000"/>
            </w14:solidFill>
          </w14:textFill>
        </w:rPr>
        <w:t>(Accessed: J</w:t>
      </w:r>
      <w:r>
        <w:rPr>
          <w:rFonts w:ascii="Arial" w:hAnsi="Arial"/>
          <w:outline w:val="0"/>
          <w:color w:val="000000"/>
          <w:sz w:val="24"/>
          <w:szCs w:val="24"/>
          <w:u w:color="000000"/>
          <w:rtl w:val="0"/>
          <w:lang w:val="en-US"/>
          <w14:textFill>
            <w14:solidFill>
              <w14:srgbClr w14:val="000000"/>
            </w14:solidFill>
          </w14:textFill>
        </w:rPr>
        <w:t>anuary 30 2025</w:t>
      </w:r>
      <w:r>
        <w:rPr>
          <w:rFonts w:ascii="Arial" w:hAnsi="Arial"/>
          <w:outline w:val="0"/>
          <w:color w:val="000000"/>
          <w:sz w:val="24"/>
          <w:szCs w:val="24"/>
          <w:u w:color="000000"/>
          <w:rtl w:val="0"/>
          <w14:textFill>
            <w14:solidFill>
              <w14:srgbClr w14:val="000000"/>
            </w14:solidFill>
          </w14:textFill>
        </w:rPr>
        <w:t>).</w:t>
      </w:r>
      <w:r>
        <w:rPr>
          <w:rFonts w:ascii="Arial" w:hAnsi="Arial" w:hint="default"/>
          <w:outline w:val="0"/>
          <w:color w:val="000000"/>
          <w:sz w:val="24"/>
          <w:szCs w:val="24"/>
          <w:u w:color="000000"/>
          <w:rtl w:val="0"/>
          <w:lang w:val="en-US"/>
          <w14:textFill>
            <w14:solidFill>
              <w14:srgbClr w14:val="000000"/>
            </w14:solidFill>
          </w14:textFill>
        </w:rPr>
        <w:t> </w:t>
      </w:r>
    </w:p>
    <w:p>
      <w:pPr>
        <w:pStyle w:val="Body"/>
        <w:bidi w:val="0"/>
        <w:ind w:left="0" w:right="0" w:firstLine="0"/>
        <w:jc w:val="left"/>
        <w:rPr>
          <w:rFonts w:ascii="Arial" w:cs="Arial" w:hAnsi="Arial" w:eastAsia="Arial"/>
          <w:b w:val="1"/>
          <w:bCs w:val="1"/>
          <w:outline w:val="0"/>
          <w:color w:val="000000"/>
          <w:sz w:val="24"/>
          <w:szCs w:val="24"/>
          <w:u w:color="000000"/>
          <w:rtl w:val="0"/>
          <w14:textFill>
            <w14:solidFill>
              <w14:srgbClr w14:val="000000"/>
            </w14:solidFill>
          </w14:textFill>
        </w:rPr>
      </w:pPr>
    </w:p>
    <w:p>
      <w:pPr>
        <w:pStyle w:val="Body"/>
        <w:bidi w:val="0"/>
        <w:ind w:left="720" w:right="0" w:hanging="720"/>
        <w:jc w:val="left"/>
        <w:rPr>
          <w:rFonts w:ascii="Arial" w:cs="Arial" w:hAnsi="Arial" w:eastAsia="Arial"/>
          <w:outline w:val="0"/>
          <w:color w:val="000000"/>
          <w:sz w:val="24"/>
          <w:szCs w:val="24"/>
          <w:u w:color="000000"/>
          <w:rtl w:val="0"/>
          <w14:textFill>
            <w14:solidFill>
              <w14:srgbClr w14:val="000000"/>
            </w14:solidFill>
          </w14:textFill>
        </w:rPr>
      </w:pPr>
    </w:p>
    <w:p>
      <w:pPr>
        <w:pStyle w:val="Body"/>
        <w:bidi w:val="0"/>
        <w:ind w:left="720" w:right="0" w:hanging="720"/>
        <w:jc w:val="left"/>
        <w:rPr>
          <w:rFonts w:ascii="Arial" w:cs="Arial" w:hAnsi="Arial" w:eastAsia="Arial"/>
          <w:outline w:val="0"/>
          <w:color w:val="000000"/>
          <w:sz w:val="24"/>
          <w:szCs w:val="24"/>
          <w:u w:color="000000"/>
          <w:rtl w:val="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University of Wales Trinity Saint David (Date unknown) </w:t>
      </w:r>
      <w:r>
        <w:rPr>
          <w:rFonts w:ascii="Arial" w:hAnsi="Arial"/>
          <w:i w:val="1"/>
          <w:iCs w:val="1"/>
          <w:sz w:val="24"/>
          <w:szCs w:val="24"/>
          <w:u w:color="000000"/>
          <w:rtl w:val="0"/>
          <w:lang w:val="en-US"/>
        </w:rPr>
        <w:t xml:space="preserve">Student Pregnancy, Maternity, Paternity and Adoption Leave Policy. </w:t>
      </w:r>
      <w:r>
        <w:rPr>
          <w:rFonts w:ascii="Arial" w:hAnsi="Arial"/>
          <w:outline w:val="0"/>
          <w:color w:val="000000"/>
          <w:sz w:val="24"/>
          <w:szCs w:val="24"/>
          <w:u w:color="000000"/>
          <w:rtl w:val="0"/>
          <w:lang w:val="en-US"/>
          <w14:textFill>
            <w14:solidFill>
              <w14:srgbClr w14:val="000000"/>
            </w14:solidFill>
          </w14:textFill>
        </w:rPr>
        <w:t>Available at:</w:t>
      </w:r>
      <w:r>
        <w:rPr>
          <w:rFonts w:ascii="Arial" w:hAnsi="Arial"/>
          <w:sz w:val="24"/>
          <w:szCs w:val="24"/>
          <w:u w:color="000000"/>
          <w:rtl w:val="0"/>
        </w:rPr>
        <w:t xml:space="preserve"> </w:t>
      </w:r>
      <w:r>
        <w:rPr>
          <w:rStyle w:val="Hyperlink.2"/>
          <w:rFonts w:ascii="Arial" w:cs="Arial" w:hAnsi="Arial" w:eastAsia="Arial"/>
          <w:outline w:val="0"/>
          <w:color w:val="000000"/>
          <w:sz w:val="24"/>
          <w:szCs w:val="24"/>
          <w:u w:color="000000"/>
          <w:rtl w:val="0"/>
          <w14:textFill>
            <w14:solidFill>
              <w14:srgbClr w14:val="000000"/>
            </w14:solidFill>
          </w14:textFill>
        </w:rPr>
        <w:fldChar w:fldCharType="begin" w:fldLock="0"/>
      </w:r>
      <w:r>
        <w:rPr>
          <w:rStyle w:val="Hyperlink.2"/>
          <w:rFonts w:ascii="Arial" w:cs="Arial" w:hAnsi="Arial" w:eastAsia="Arial"/>
          <w:outline w:val="0"/>
          <w:color w:val="000000"/>
          <w:sz w:val="24"/>
          <w:szCs w:val="24"/>
          <w:u w:color="000000"/>
          <w:rtl w:val="0"/>
          <w14:textFill>
            <w14:solidFill>
              <w14:srgbClr w14:val="000000"/>
            </w14:solidFill>
          </w14:textFill>
        </w:rPr>
        <w:instrText xml:space="preserve"> HYPERLINK "https://www.uwtsd.ac.uk/media/uwtsd-website/content-assets/documents/academic-office/misc-forms/Student_Pregnancy_Maternity_Paternity_and_Adoption_Leave_Policy.pdf"</w:instrText>
      </w:r>
      <w:r>
        <w:rPr>
          <w:rStyle w:val="Hyperlink.2"/>
          <w:rFonts w:ascii="Arial" w:cs="Arial" w:hAnsi="Arial" w:eastAsia="Arial"/>
          <w:outline w:val="0"/>
          <w:color w:val="000000"/>
          <w:sz w:val="24"/>
          <w:szCs w:val="24"/>
          <w:u w:color="000000"/>
          <w:rtl w:val="0"/>
          <w14:textFill>
            <w14:solidFill>
              <w14:srgbClr w14:val="000000"/>
            </w14:solidFill>
          </w14:textFill>
        </w:rPr>
        <w:fldChar w:fldCharType="separate" w:fldLock="0"/>
      </w:r>
      <w:r>
        <w:rPr>
          <w:rStyle w:val="Hyperlink.2"/>
          <w:rFonts w:ascii="Arial" w:hAnsi="Arial"/>
          <w:outline w:val="0"/>
          <w:color w:val="000000"/>
          <w:sz w:val="24"/>
          <w:szCs w:val="24"/>
          <w:u w:color="000000"/>
          <w:rtl w:val="0"/>
          <w:lang w:val="en-US"/>
          <w14:textFill>
            <w14:solidFill>
              <w14:srgbClr w14:val="000000"/>
            </w14:solidFill>
          </w14:textFill>
        </w:rPr>
        <w:t>https://www.uwtsd.ac.uk/media/uwtsd-website/content-assets/documents/academic-office/misc-forms/Student_Pregnancy_Maternity_Paternity_and_Adoption_Leave_Policy.pdf</w:t>
      </w:r>
      <w:r>
        <w:rPr>
          <w:rFonts w:ascii="Calibri" w:cs="Calibri" w:hAnsi="Calibri" w:eastAsia="Calibri"/>
          <w:sz w:val="24"/>
          <w:szCs w:val="24"/>
          <w:u w:color="000000"/>
          <w:rtl w:val="0"/>
        </w:rPr>
        <w:fldChar w:fldCharType="end" w:fldLock="0"/>
      </w:r>
      <w:r>
        <w:rPr>
          <w:rFonts w:ascii="Arial" w:hAnsi="Arial"/>
          <w:outline w:val="0"/>
          <w:color w:val="000000"/>
          <w:sz w:val="24"/>
          <w:szCs w:val="24"/>
          <w:u w:color="000000"/>
          <w:rtl w:val="0"/>
          <w14:textFill>
            <w14:solidFill>
              <w14:srgbClr w14:val="000000"/>
            </w14:solidFill>
          </w14:textFill>
        </w:rPr>
        <w:t xml:space="preserve"> </w:t>
      </w:r>
    </w:p>
    <w:p>
      <w:pPr>
        <w:pStyle w:val="Body"/>
        <w:bidi w:val="0"/>
        <w:ind w:left="720" w:right="0" w:hanging="720"/>
        <w:jc w:val="left"/>
        <w:rPr>
          <w:rFonts w:ascii="Arial" w:cs="Arial" w:hAnsi="Arial" w:eastAsia="Arial"/>
          <w:outline w:val="0"/>
          <w:color w:val="000000"/>
          <w:sz w:val="24"/>
          <w:szCs w:val="24"/>
          <w:u w:color="000000"/>
          <w:rtl w:val="0"/>
          <w14:textFill>
            <w14:solidFill>
              <w14:srgbClr w14:val="000000"/>
            </w14:solidFill>
          </w14:textFill>
        </w:rPr>
      </w:pPr>
      <w:r>
        <w:rPr>
          <w:rFonts w:ascii="Arial" w:hAnsi="Arial"/>
          <w:i w:val="1"/>
          <w:iCs w:val="1"/>
          <w:outline w:val="0"/>
          <w:color w:val="000000"/>
          <w:sz w:val="24"/>
          <w:szCs w:val="24"/>
          <w:u w:color="000000"/>
          <w:rtl w:val="0"/>
          <w14:textFill>
            <w14:solidFill>
              <w14:srgbClr w14:val="000000"/>
            </w14:solidFill>
          </w14:textFill>
        </w:rPr>
        <w:t xml:space="preserve"> </w:t>
      </w:r>
      <w:r>
        <w:rPr>
          <w:rFonts w:ascii="Arial" w:hAnsi="Arial"/>
          <w:outline w:val="0"/>
          <w:color w:val="000000"/>
          <w:sz w:val="24"/>
          <w:szCs w:val="24"/>
          <w:u w:color="000000"/>
          <w:rtl w:val="0"/>
          <w14:textFill>
            <w14:solidFill>
              <w14:srgbClr w14:val="000000"/>
            </w14:solidFill>
          </w14:textFill>
        </w:rPr>
        <w:t xml:space="preserve">          (Accessed: </w:t>
      </w:r>
      <w:r>
        <w:rPr>
          <w:rFonts w:ascii="Arial" w:hAnsi="Arial"/>
          <w:outline w:val="0"/>
          <w:color w:val="000000"/>
          <w:sz w:val="24"/>
          <w:szCs w:val="24"/>
          <w:u w:color="000000"/>
          <w:rtl w:val="0"/>
          <w:lang w:val="en-US"/>
          <w14:textFill>
            <w14:solidFill>
              <w14:srgbClr w14:val="000000"/>
            </w14:solidFill>
          </w14:textFill>
        </w:rPr>
        <w:t>January 30th 2025</w:t>
      </w:r>
      <w:r>
        <w:rPr>
          <w:rFonts w:ascii="Arial" w:hAnsi="Arial"/>
          <w:outline w:val="0"/>
          <w:color w:val="000000"/>
          <w:sz w:val="24"/>
          <w:szCs w:val="24"/>
          <w:u w:color="000000"/>
          <w:rtl w:val="0"/>
          <w14:textFill>
            <w14:solidFill>
              <w14:srgbClr w14:val="000000"/>
            </w14:solidFill>
          </w14:textFill>
        </w:rPr>
        <w:t>)</w:t>
      </w:r>
      <w:r>
        <w:rPr>
          <w:rFonts w:ascii="Arial" w:hAnsi="Arial"/>
          <w:outline w:val="0"/>
          <w:color w:val="000000"/>
          <w:sz w:val="24"/>
          <w:szCs w:val="24"/>
          <w:u w:color="000000"/>
          <w:rtl w:val="0"/>
          <w:lang w:val="en-US"/>
          <w14:textFill>
            <w14:solidFill>
              <w14:srgbClr w14:val="000000"/>
            </w14:solidFill>
          </w14:textFill>
        </w:rPr>
        <w:t>.</w:t>
      </w:r>
    </w:p>
    <w:p>
      <w:pPr>
        <w:pStyle w:val="Body"/>
        <w:bidi w:val="0"/>
        <w:ind w:left="720" w:right="0" w:hanging="720"/>
        <w:jc w:val="left"/>
        <w:rPr>
          <w:rFonts w:ascii="Arial" w:cs="Arial" w:hAnsi="Arial" w:eastAsia="Arial"/>
          <w:outline w:val="0"/>
          <w:color w:val="000000"/>
          <w:sz w:val="24"/>
          <w:szCs w:val="24"/>
          <w:u w:color="000000"/>
          <w:rtl w:val="0"/>
          <w14:textFill>
            <w14:solidFill>
              <w14:srgbClr w14:val="000000"/>
            </w14:solidFill>
          </w14:textFill>
        </w:rPr>
      </w:pPr>
    </w:p>
    <w:p>
      <w:pPr>
        <w:pStyle w:val="Body"/>
        <w:bidi w:val="0"/>
        <w:ind w:left="720" w:right="0" w:hanging="720"/>
        <w:jc w:val="left"/>
        <w:rPr>
          <w:rFonts w:ascii="Arial" w:cs="Arial" w:hAnsi="Arial" w:eastAsia="Arial"/>
          <w:outline w:val="0"/>
          <w:color w:val="000000"/>
          <w:sz w:val="24"/>
          <w:szCs w:val="24"/>
          <w:u w:color="000000"/>
          <w:rtl w:val="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University of Wales Trinity Saint David (2025) Well-being support. Available at: </w:t>
      </w:r>
      <w:r>
        <w:rPr>
          <w:rStyle w:val="Hyperlink.1"/>
          <w:rFonts w:ascii="Calibri" w:cs="Calibri" w:hAnsi="Calibri" w:eastAsia="Calibri"/>
          <w:outline w:val="0"/>
          <w:color w:val="0563c1"/>
          <w:sz w:val="24"/>
          <w:szCs w:val="24"/>
          <w:u w:color="0563c1"/>
          <w:rtl w:val="0"/>
          <w14:textFill>
            <w14:solidFill>
              <w14:srgbClr w14:val="0563C1"/>
            </w14:solidFill>
          </w14:textFill>
        </w:rPr>
        <w:fldChar w:fldCharType="begin" w:fldLock="0"/>
      </w:r>
      <w:r>
        <w:rPr>
          <w:rStyle w:val="Hyperlink.1"/>
          <w:rFonts w:ascii="Calibri" w:cs="Calibri" w:hAnsi="Calibri" w:eastAsia="Calibri"/>
          <w:outline w:val="0"/>
          <w:color w:val="0563c1"/>
          <w:sz w:val="24"/>
          <w:szCs w:val="24"/>
          <w:u w:color="0563c1"/>
          <w:rtl w:val="0"/>
          <w14:textFill>
            <w14:solidFill>
              <w14:srgbClr w14:val="0563C1"/>
            </w14:solidFill>
          </w14:textFill>
        </w:rPr>
        <w:instrText xml:space="preserve"> HYPERLINK "https://www.uwtsd.ac.uk/study/experience-facilities/student-support-wellbeing/wellbeing-support"</w:instrText>
      </w:r>
      <w:r>
        <w:rPr>
          <w:rStyle w:val="Hyperlink.1"/>
          <w:rFonts w:ascii="Calibri" w:cs="Calibri" w:hAnsi="Calibri" w:eastAsia="Calibri"/>
          <w:outline w:val="0"/>
          <w:color w:val="0563c1"/>
          <w:sz w:val="24"/>
          <w:szCs w:val="24"/>
          <w:u w:color="0563c1"/>
          <w:rtl w:val="0"/>
          <w14:textFill>
            <w14:solidFill>
              <w14:srgbClr w14:val="0563C1"/>
            </w14:solidFill>
          </w14:textFill>
        </w:rPr>
        <w:fldChar w:fldCharType="separate" w:fldLock="0"/>
      </w:r>
      <w:r>
        <w:rPr>
          <w:rStyle w:val="Hyperlink.1"/>
          <w:rFonts w:ascii="Calibri" w:hAnsi="Calibri"/>
          <w:outline w:val="0"/>
          <w:color w:val="0563c1"/>
          <w:sz w:val="24"/>
          <w:szCs w:val="24"/>
          <w:u w:color="0563c1"/>
          <w:rtl w:val="0"/>
          <w:lang w:val="en-US"/>
          <w14:textFill>
            <w14:solidFill>
              <w14:srgbClr w14:val="0563C1"/>
            </w14:solidFill>
          </w14:textFill>
        </w:rPr>
        <w:t>https://www.uwtsd.ac.uk/study/experience-facilities/student-support-wellbeing/wellbeing-support</w:t>
      </w:r>
      <w:r>
        <w:rPr>
          <w:rFonts w:ascii="Calibri" w:cs="Calibri" w:hAnsi="Calibri" w:eastAsia="Calibri"/>
          <w:sz w:val="24"/>
          <w:szCs w:val="24"/>
          <w:u w:color="000000"/>
          <w:rtl w:val="0"/>
        </w:rPr>
        <w:fldChar w:fldCharType="end" w:fldLock="0"/>
      </w:r>
      <w:r>
        <w:rPr>
          <w:rFonts w:ascii="Arial" w:hAnsi="Arial"/>
          <w:outline w:val="0"/>
          <w:color w:val="000000"/>
          <w:sz w:val="24"/>
          <w:szCs w:val="24"/>
          <w:u w:color="000000"/>
          <w:rtl w:val="0"/>
          <w:lang w:val="en-US"/>
          <w14:textFill>
            <w14:solidFill>
              <w14:srgbClr w14:val="000000"/>
            </w14:solidFill>
          </w14:textFill>
        </w:rPr>
        <w:t xml:space="preserve"> (Accessed: January 30 2025). </w:t>
      </w:r>
    </w:p>
    <w:p>
      <w:pPr>
        <w:pStyle w:val="Body"/>
        <w:bidi w:val="0"/>
        <w:ind w:left="720" w:right="0" w:hanging="720"/>
        <w:jc w:val="left"/>
        <w:rPr>
          <w:rFonts w:ascii="Arial" w:cs="Arial" w:hAnsi="Arial" w:eastAsia="Arial"/>
          <w:outline w:val="0"/>
          <w:color w:val="000000"/>
          <w:sz w:val="24"/>
          <w:szCs w:val="24"/>
          <w:u w:color="000000"/>
          <w:rtl w:val="0"/>
          <w14:textFill>
            <w14:solidFill>
              <w14:srgbClr w14:val="000000"/>
            </w14:solidFill>
          </w14:textFill>
        </w:rPr>
      </w:pPr>
    </w:p>
    <w:p>
      <w:pPr>
        <w:pStyle w:val="Body"/>
        <w:bidi w:val="0"/>
        <w:ind w:left="720" w:right="0" w:hanging="720"/>
        <w:jc w:val="left"/>
        <w:rPr>
          <w:rFonts w:ascii="Arial" w:cs="Arial" w:hAnsi="Arial" w:eastAsia="Arial"/>
          <w:outline w:val="0"/>
          <w:color w:val="000000"/>
          <w:sz w:val="24"/>
          <w:szCs w:val="24"/>
          <w:u w:val="single" w:color="000000"/>
          <w:rtl w:val="0"/>
          <w14:textFill>
            <w14:solidFill>
              <w14:srgbClr w14:val="000000"/>
            </w14:solidFill>
          </w14:textFill>
        </w:rPr>
      </w:pPr>
    </w:p>
    <w:p>
      <w:pPr>
        <w:pStyle w:val="Body"/>
        <w:bidi w:val="0"/>
        <w:ind w:left="720" w:right="0" w:hanging="720"/>
        <w:jc w:val="left"/>
        <w:rPr>
          <w:rStyle w:val="Hyperlink.2"/>
          <w:rFonts w:ascii="Arial" w:cs="Arial" w:hAnsi="Arial" w:eastAsia="Arial"/>
          <w:outline w:val="0"/>
          <w:color w:val="000000"/>
          <w:sz w:val="24"/>
          <w:szCs w:val="24"/>
          <w:u w:color="000000"/>
          <w:rtl w:val="0"/>
          <w14:textFill>
            <w14:solidFill>
              <w14:srgbClr w14:val="000000"/>
            </w14:solidFill>
          </w14:textFill>
        </w:rPr>
      </w:pPr>
      <w:r>
        <w:rPr>
          <w:rFonts w:ascii="Arial" w:hAnsi="Arial"/>
          <w:sz w:val="24"/>
          <w:szCs w:val="24"/>
          <w:u w:color="000000"/>
          <w:rtl w:val="0"/>
          <w:lang w:val="en-US"/>
        </w:rPr>
        <w:t>Welsh Government</w:t>
      </w:r>
      <w:r>
        <w:rPr>
          <w:rFonts w:ascii="Arial" w:hAnsi="Arial"/>
          <w:sz w:val="24"/>
          <w:szCs w:val="24"/>
          <w:u w:color="000000"/>
          <w:rtl w:val="0"/>
          <w:lang w:val="en-US"/>
        </w:rPr>
        <w:t xml:space="preserve"> (2018). </w:t>
      </w:r>
      <w:r>
        <w:rPr>
          <w:rFonts w:ascii="Arial" w:hAnsi="Arial"/>
          <w:i w:val="1"/>
          <w:iCs w:val="1"/>
          <w:outline w:val="0"/>
          <w:color w:val="000000"/>
          <w:sz w:val="24"/>
          <w:szCs w:val="24"/>
          <w:u w:color="000000"/>
          <w:rtl w:val="0"/>
          <w:lang w:val="en-US"/>
          <w14:textFill>
            <w14:solidFill>
              <w14:srgbClr w14:val="000000"/>
            </w14:solidFill>
          </w14:textFill>
        </w:rPr>
        <w:t>Additional Learning Needs and Tribunal (Wales) Act</w:t>
      </w:r>
      <w:r>
        <w:rPr>
          <w:rFonts w:ascii="Arial" w:hAnsi="Arial"/>
          <w:outline w:val="0"/>
          <w:color w:val="000000"/>
          <w:sz w:val="24"/>
          <w:szCs w:val="24"/>
          <w:u w:color="000000"/>
          <w:rtl w:val="0"/>
          <w:lang w:val="en-US"/>
          <w14:textFill>
            <w14:solidFill>
              <w14:srgbClr w14:val="000000"/>
            </w14:solidFill>
          </w14:textFill>
        </w:rPr>
        <w:t xml:space="preserve">. Available </w:t>
      </w:r>
      <w:r>
        <w:rPr>
          <w:rFonts w:ascii="Arial" w:hAnsi="Arial"/>
          <w:outline w:val="0"/>
          <w:color w:val="000000"/>
          <w:sz w:val="24"/>
          <w:szCs w:val="24"/>
          <w:u w:color="000000"/>
          <w:rtl w:val="0"/>
          <w:lang w:val="en-US"/>
          <w14:textFill>
            <w14:solidFill>
              <w14:srgbClr w14:val="000000"/>
            </w14:solidFill>
          </w14:textFill>
        </w:rPr>
        <w:t xml:space="preserve">at: </w:t>
      </w:r>
      <w:r>
        <w:rPr>
          <w:rFonts w:ascii="Arial" w:hAnsi="Arial"/>
          <w:outline w:val="0"/>
          <w:color w:val="000000"/>
          <w:sz w:val="24"/>
          <w:szCs w:val="24"/>
          <w:u w:color="000000"/>
          <w:rtl w:val="0"/>
          <w:lang w:val="en-US"/>
          <w14:textFill>
            <w14:solidFill>
              <w14:srgbClr w14:val="000000"/>
            </w14:solidFill>
          </w14:textFill>
        </w:rPr>
        <w:t>https://www.gov.wales/sites/default/files/publications/2018-04/additional-learning-needs-and-education-tribunal-wales-act-2018-explanatory-memorandum.pdf</w:t>
      </w:r>
    </w:p>
    <w:p>
      <w:pPr>
        <w:pStyle w:val="Body"/>
        <w:bidi w:val="0"/>
        <w:ind w:left="720" w:right="0" w:hanging="720"/>
        <w:jc w:val="left"/>
        <w:rPr>
          <w:rFonts w:ascii="Arial" w:cs="Arial" w:hAnsi="Arial" w:eastAsia="Arial"/>
          <w:outline w:val="0"/>
          <w:color w:val="000000"/>
          <w:sz w:val="24"/>
          <w:szCs w:val="24"/>
          <w:u w:color="000000"/>
          <w:rtl w:val="0"/>
          <w:lang w:val="en-US"/>
          <w14:textFill>
            <w14:solidFill>
              <w14:srgbClr w14:val="000000"/>
            </w14:solidFill>
          </w14:textFill>
        </w:rPr>
      </w:pPr>
      <w:r>
        <w:rPr>
          <w:rFonts w:ascii="Arial" w:hAnsi="Arial"/>
          <w:i w:val="1"/>
          <w:iCs w:val="1"/>
          <w:outline w:val="0"/>
          <w:color w:val="000000"/>
          <w:sz w:val="24"/>
          <w:szCs w:val="24"/>
          <w:u w:color="000000"/>
          <w:rtl w:val="0"/>
          <w14:textFill>
            <w14:solidFill>
              <w14:srgbClr w14:val="000000"/>
            </w14:solidFill>
          </w14:textFill>
        </w:rPr>
        <w:t xml:space="preserve">           </w:t>
      </w:r>
      <w:r>
        <w:rPr>
          <w:rFonts w:ascii="Arial" w:hAnsi="Arial"/>
          <w:outline w:val="0"/>
          <w:color w:val="000000"/>
          <w:sz w:val="24"/>
          <w:szCs w:val="24"/>
          <w:u w:color="000000"/>
          <w:rtl w:val="0"/>
          <w:lang w:val="it-IT"/>
          <w14:textFill>
            <w14:solidFill>
              <w14:srgbClr w14:val="000000"/>
            </w14:solidFill>
          </w14:textFill>
        </w:rPr>
        <w:t xml:space="preserve">(Accessed: </w:t>
      </w:r>
      <w:r>
        <w:rPr>
          <w:rFonts w:ascii="Arial" w:hAnsi="Arial"/>
          <w:outline w:val="0"/>
          <w:color w:val="000000"/>
          <w:sz w:val="24"/>
          <w:szCs w:val="24"/>
          <w:u w:color="000000"/>
          <w:rtl w:val="0"/>
          <w:lang w:val="en-US"/>
          <w14:textFill>
            <w14:solidFill>
              <w14:srgbClr w14:val="000000"/>
            </w14:solidFill>
          </w14:textFill>
        </w:rPr>
        <w:t>January 30 2025</w:t>
      </w:r>
      <w:r>
        <w:rPr>
          <w:rFonts w:ascii="Arial" w:hAnsi="Arial"/>
          <w:outline w:val="0"/>
          <w:color w:val="000000"/>
          <w:sz w:val="24"/>
          <w:szCs w:val="24"/>
          <w:u w:color="000000"/>
          <w:rtl w:val="0"/>
          <w14:textFill>
            <w14:solidFill>
              <w14:srgbClr w14:val="000000"/>
            </w14:solidFill>
          </w14:textFill>
        </w:rPr>
        <w:t>).</w:t>
      </w:r>
      <w:r>
        <w:rPr>
          <w:rFonts w:ascii="Arial" w:hAnsi="Arial" w:hint="default"/>
          <w:outline w:val="0"/>
          <w:color w:val="000000"/>
          <w:sz w:val="24"/>
          <w:szCs w:val="24"/>
          <w:u w:color="000000"/>
          <w:rtl w:val="0"/>
          <w:lang w:val="en-US"/>
          <w14:textFill>
            <w14:solidFill>
              <w14:srgbClr w14:val="000000"/>
            </w14:solidFill>
          </w14:textFill>
        </w:rPr>
        <w:t> </w:t>
      </w:r>
    </w:p>
    <w:p>
      <w:pPr>
        <w:pStyle w:val="Body"/>
        <w:bidi w:val="0"/>
        <w:ind w:left="720" w:right="0" w:hanging="720"/>
        <w:jc w:val="left"/>
        <w:rPr>
          <w:rFonts w:ascii="Arial" w:cs="Arial" w:hAnsi="Arial" w:eastAsia="Arial"/>
          <w:outline w:val="0"/>
          <w:color w:val="000000"/>
          <w:sz w:val="24"/>
          <w:szCs w:val="24"/>
          <w:u w:color="000000"/>
          <w:rtl w:val="0"/>
          <w:lang w:val="en-US"/>
          <w14:textFill>
            <w14:solidFill>
              <w14:srgbClr w14:val="000000"/>
            </w14:solidFill>
          </w14:textFill>
        </w:rPr>
      </w:pPr>
    </w:p>
    <w:p>
      <w:pPr>
        <w:pStyle w:val="Body"/>
        <w:bidi w:val="0"/>
        <w:ind w:left="720" w:right="0" w:hanging="720"/>
        <w:jc w:val="left"/>
        <w:rPr>
          <w:rFonts w:ascii="Arial" w:cs="Arial" w:hAnsi="Arial" w:eastAsia="Arial"/>
          <w:outline w:val="0"/>
          <w:color w:val="000000"/>
          <w:sz w:val="24"/>
          <w:szCs w:val="24"/>
          <w:u w:color="000000"/>
          <w:rtl w:val="0"/>
          <w:lang w:val="en-US"/>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 xml:space="preserve">Welsh Government (2023). </w:t>
      </w:r>
      <w:r>
        <w:rPr>
          <w:rFonts w:ascii="Arial" w:hAnsi="Arial"/>
          <w:i w:val="1"/>
          <w:iCs w:val="1"/>
          <w:sz w:val="24"/>
          <w:szCs w:val="24"/>
          <w:u w:color="000000"/>
          <w:rtl w:val="0"/>
          <w:lang w:val="en-US"/>
        </w:rPr>
        <w:t>Consultation on the strategic Equality Plan 2024-2028: proposed principles of approach and objectives</w:t>
      </w:r>
      <w:r>
        <w:rPr>
          <w:rFonts w:ascii="Arial" w:hAnsi="Arial"/>
          <w:outline w:val="0"/>
          <w:color w:val="000000"/>
          <w:sz w:val="24"/>
          <w:szCs w:val="24"/>
          <w:u w:color="000000"/>
          <w:rtl w:val="0"/>
          <w:lang w:val="en-US"/>
          <w14:textFill>
            <w14:solidFill>
              <w14:srgbClr w14:val="000000"/>
            </w14:solidFill>
          </w14:textFill>
        </w:rPr>
        <w:t xml:space="preserve">. Available at: </w:t>
      </w:r>
      <w:r>
        <w:rPr>
          <w:rStyle w:val="Hyperlink.1"/>
          <w:rFonts w:ascii="Calibri" w:cs="Calibri" w:hAnsi="Calibri" w:eastAsia="Calibri"/>
          <w:outline w:val="0"/>
          <w:color w:val="0563c1"/>
          <w:sz w:val="24"/>
          <w:szCs w:val="24"/>
          <w:u w:color="0563c1"/>
          <w:rtl w:val="0"/>
          <w14:textFill>
            <w14:solidFill>
              <w14:srgbClr w14:val="0563C1"/>
            </w14:solidFill>
          </w14:textFill>
        </w:rPr>
        <w:fldChar w:fldCharType="begin" w:fldLock="0"/>
      </w:r>
      <w:r>
        <w:rPr>
          <w:rStyle w:val="Hyperlink.1"/>
          <w:rFonts w:ascii="Calibri" w:cs="Calibri" w:hAnsi="Calibri" w:eastAsia="Calibri"/>
          <w:outline w:val="0"/>
          <w:color w:val="0563c1"/>
          <w:sz w:val="24"/>
          <w:szCs w:val="24"/>
          <w:u w:color="0563c1"/>
          <w:rtl w:val="0"/>
          <w14:textFill>
            <w14:solidFill>
              <w14:srgbClr w14:val="0563C1"/>
            </w14:solidFill>
          </w14:textFill>
        </w:rPr>
        <w:instrText xml:space="preserve"> HYPERLINK "https://www.gov.wales/consultation-strategic-equality-plan-2024-2028-proposed-principles-approach-and-objectives-html"</w:instrText>
      </w:r>
      <w:r>
        <w:rPr>
          <w:rStyle w:val="Hyperlink.1"/>
          <w:rFonts w:ascii="Calibri" w:cs="Calibri" w:hAnsi="Calibri" w:eastAsia="Calibri"/>
          <w:outline w:val="0"/>
          <w:color w:val="0563c1"/>
          <w:sz w:val="24"/>
          <w:szCs w:val="24"/>
          <w:u w:color="0563c1"/>
          <w:rtl w:val="0"/>
          <w14:textFill>
            <w14:solidFill>
              <w14:srgbClr w14:val="0563C1"/>
            </w14:solidFill>
          </w14:textFill>
        </w:rPr>
        <w:fldChar w:fldCharType="separate" w:fldLock="0"/>
      </w:r>
      <w:r>
        <w:rPr>
          <w:rStyle w:val="Hyperlink.1"/>
          <w:rFonts w:ascii="Calibri" w:hAnsi="Calibri"/>
          <w:outline w:val="0"/>
          <w:color w:val="0563c1"/>
          <w:sz w:val="24"/>
          <w:szCs w:val="24"/>
          <w:u w:color="0563c1"/>
          <w:rtl w:val="0"/>
          <w:lang w:val="en-US"/>
          <w14:textFill>
            <w14:solidFill>
              <w14:srgbClr w14:val="0563C1"/>
            </w14:solidFill>
          </w14:textFill>
        </w:rPr>
        <w:t>https://www.gov.wales/consultation-strategic-equality-plan-2024-2028-proposed-principles-approach-and-objectives-html</w:t>
      </w:r>
      <w:r>
        <w:rPr>
          <w:rFonts w:ascii="Calibri" w:cs="Calibri" w:hAnsi="Calibri" w:eastAsia="Calibri"/>
          <w:sz w:val="24"/>
          <w:szCs w:val="24"/>
          <w:u w:color="000000"/>
          <w:rtl w:val="0"/>
        </w:rPr>
        <w:fldChar w:fldCharType="end" w:fldLock="0"/>
      </w:r>
      <w:r>
        <w:rPr>
          <w:rFonts w:ascii="Arial" w:hAnsi="Arial"/>
          <w:outline w:val="0"/>
          <w:color w:val="000000"/>
          <w:sz w:val="24"/>
          <w:szCs w:val="24"/>
          <w:u w:color="000000"/>
          <w:rtl w:val="0"/>
          <w:lang w:val="en-US"/>
          <w14:textFill>
            <w14:solidFill>
              <w14:srgbClr w14:val="000000"/>
            </w14:solidFill>
          </w14:textFill>
        </w:rPr>
        <w:t xml:space="preserve"> (Accessed: January 30 2025). </w:t>
      </w:r>
    </w:p>
    <w:p>
      <w:pPr>
        <w:pStyle w:val="Body"/>
        <w:bidi w:val="0"/>
        <w:ind w:left="720" w:right="0" w:hanging="720"/>
        <w:jc w:val="left"/>
        <w:rPr>
          <w:rFonts w:ascii="Arial" w:cs="Arial" w:hAnsi="Arial" w:eastAsia="Arial"/>
          <w:outline w:val="0"/>
          <w:color w:val="000000"/>
          <w:sz w:val="24"/>
          <w:szCs w:val="24"/>
          <w:u w:color="000000"/>
          <w:rtl w:val="0"/>
          <w:lang w:val="en-US"/>
          <w14:textFill>
            <w14:solidFill>
              <w14:srgbClr w14:val="000000"/>
            </w14:solidFill>
          </w14:textFill>
        </w:rPr>
      </w:pPr>
    </w:p>
    <w:p>
      <w:pPr>
        <w:pStyle w:val="Body"/>
        <w:bidi w:val="0"/>
        <w:ind w:left="720" w:right="0" w:hanging="720"/>
        <w:jc w:val="left"/>
        <w:rPr>
          <w:rFonts w:ascii="Calibri" w:cs="Calibri" w:hAnsi="Calibri" w:eastAsia="Calibri"/>
          <w:sz w:val="24"/>
          <w:szCs w:val="24"/>
          <w:u w:color="000000"/>
          <w:rtl w:val="0"/>
        </w:rPr>
      </w:pPr>
      <w:r>
        <w:rPr>
          <w:rFonts w:ascii="Arial" w:hAnsi="Arial"/>
          <w:outline w:val="0"/>
          <w:color w:val="000000"/>
          <w:sz w:val="24"/>
          <w:szCs w:val="24"/>
          <w:u w:color="000000"/>
          <w:rtl w:val="0"/>
          <w:lang w:val="en-US"/>
          <w14:textFill>
            <w14:solidFill>
              <w14:srgbClr w14:val="000000"/>
            </w14:solidFill>
          </w14:textFill>
        </w:rPr>
        <w:t xml:space="preserve">Welsh Government (2016). </w:t>
      </w:r>
      <w:r>
        <w:rPr>
          <w:rFonts w:ascii="Arial" w:hAnsi="Arial"/>
          <w:i w:val="1"/>
          <w:iCs w:val="1"/>
          <w:sz w:val="24"/>
          <w:szCs w:val="24"/>
          <w:u w:color="000000"/>
          <w:rtl w:val="0"/>
          <w:lang w:val="en-US"/>
        </w:rPr>
        <w:t>Oversight of post-compulsory education and the HEFCW (Hazelkorn review)</w:t>
      </w:r>
      <w:r>
        <w:rPr>
          <w:rFonts w:ascii="Arial" w:hAnsi="Arial"/>
          <w:outline w:val="0"/>
          <w:color w:val="000000"/>
          <w:sz w:val="24"/>
          <w:szCs w:val="24"/>
          <w:u w:color="000000"/>
          <w:rtl w:val="0"/>
          <w:lang w:val="en-US"/>
          <w14:textFill>
            <w14:solidFill>
              <w14:srgbClr w14:val="000000"/>
            </w14:solidFill>
          </w14:textFill>
        </w:rPr>
        <w:t xml:space="preserve">. Available at: </w:t>
      </w:r>
      <w:r>
        <w:rPr>
          <w:rStyle w:val="Hyperlink.1"/>
          <w:rFonts w:ascii="Calibri" w:cs="Calibri" w:hAnsi="Calibri" w:eastAsia="Calibri"/>
          <w:outline w:val="0"/>
          <w:color w:val="0563c1"/>
          <w:sz w:val="24"/>
          <w:szCs w:val="24"/>
          <w:u w:color="0563c1"/>
          <w:rtl w:val="0"/>
          <w14:textFill>
            <w14:solidFill>
              <w14:srgbClr w14:val="0563C1"/>
            </w14:solidFill>
          </w14:textFill>
        </w:rPr>
        <w:fldChar w:fldCharType="begin" w:fldLock="0"/>
      </w:r>
      <w:r>
        <w:rPr>
          <w:rStyle w:val="Hyperlink.1"/>
          <w:rFonts w:ascii="Calibri" w:cs="Calibri" w:hAnsi="Calibri" w:eastAsia="Calibri"/>
          <w:outline w:val="0"/>
          <w:color w:val="0563c1"/>
          <w:sz w:val="24"/>
          <w:szCs w:val="24"/>
          <w:u w:color="0563c1"/>
          <w:rtl w:val="0"/>
          <w14:textFill>
            <w14:solidFill>
              <w14:srgbClr w14:val="0563C1"/>
            </w14:solidFill>
          </w14:textFill>
        </w:rPr>
        <w:instrText xml:space="preserve"> HYPERLINK "https://www.gov.wales/oversight-post-compulsory-education-and-hefcw-hazelkorn-review"</w:instrText>
      </w:r>
      <w:r>
        <w:rPr>
          <w:rStyle w:val="Hyperlink.1"/>
          <w:rFonts w:ascii="Calibri" w:cs="Calibri" w:hAnsi="Calibri" w:eastAsia="Calibri"/>
          <w:outline w:val="0"/>
          <w:color w:val="0563c1"/>
          <w:sz w:val="24"/>
          <w:szCs w:val="24"/>
          <w:u w:color="0563c1"/>
          <w:rtl w:val="0"/>
          <w14:textFill>
            <w14:solidFill>
              <w14:srgbClr w14:val="0563C1"/>
            </w14:solidFill>
          </w14:textFill>
        </w:rPr>
        <w:fldChar w:fldCharType="separate" w:fldLock="0"/>
      </w:r>
      <w:r>
        <w:rPr>
          <w:rStyle w:val="Hyperlink.1"/>
          <w:rFonts w:ascii="Calibri" w:hAnsi="Calibri"/>
          <w:outline w:val="0"/>
          <w:color w:val="0563c1"/>
          <w:sz w:val="24"/>
          <w:szCs w:val="24"/>
          <w:u w:color="0563c1"/>
          <w:rtl w:val="0"/>
          <w:lang w:val="en-US"/>
          <w14:textFill>
            <w14:solidFill>
              <w14:srgbClr w14:val="0563C1"/>
            </w14:solidFill>
          </w14:textFill>
        </w:rPr>
        <w:t>https://www.gov.wales/oversight-post-compulsory-education-and-hefcw-hazelkorn-review</w:t>
      </w:r>
      <w:r>
        <w:rPr>
          <w:rFonts w:ascii="Calibri" w:cs="Calibri" w:hAnsi="Calibri" w:eastAsia="Calibri"/>
          <w:sz w:val="24"/>
          <w:szCs w:val="24"/>
          <w:u w:color="000000"/>
          <w:rtl w:val="0"/>
        </w:rPr>
        <w:fldChar w:fldCharType="end" w:fldLock="0"/>
      </w:r>
      <w:r>
        <w:rPr>
          <w:rFonts w:ascii="Arial" w:hAnsi="Arial"/>
          <w:outline w:val="0"/>
          <w:color w:val="000000"/>
          <w:sz w:val="24"/>
          <w:szCs w:val="24"/>
          <w:u w:color="000000"/>
          <w:rtl w:val="0"/>
          <w:lang w:val="en-US"/>
          <w14:textFill>
            <w14:solidFill>
              <w14:srgbClr w14:val="000000"/>
            </w14:solidFill>
          </w14:textFill>
        </w:rPr>
        <w:t xml:space="preserve"> (Accessed: January 30 2025).</w:t>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1">
    <w:name w:val="Hyperlink.1"/>
    <w:basedOn w:val="Hyperlink.0"/>
    <w:next w:val="Hyperlink.1"/>
    <w:rPr>
      <w:outline w:val="0"/>
      <w:color w:val="0563c1"/>
      <w:u w:color="0563c1"/>
      <w14:textFill>
        <w14:solidFill>
          <w14:srgbClr w14:val="0563C1"/>
        </w14:solidFill>
      </w14:textFill>
    </w:rPr>
  </w:style>
  <w:style w:type="character" w:styleId="Hyperlink.2">
    <w:name w:val="Hyperlink.2"/>
    <w:basedOn w:val="Hyperlink.0"/>
    <w:next w:val="Hyperlink.2"/>
    <w:rPr>
      <w:rFonts w:ascii="Arial" w:cs="Arial" w:hAnsi="Arial" w:eastAsia="Arial"/>
      <w:outline w:val="0"/>
      <w:color w:val="000000"/>
      <w:u w:color="000000"/>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