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0E83" w:rsidRDefault="00920E83" w:rsidP="005149DF">
      <w:pPr>
        <w:autoSpaceDE w:val="0"/>
        <w:autoSpaceDN w:val="0"/>
        <w:adjustRightInd w:val="0"/>
        <w:jc w:val="both"/>
        <w:rPr>
          <w:rFonts w:ascii="Arial" w:hAnsi="Arial" w:cs="Arial"/>
          <w:b/>
          <w:color w:val="000000" w:themeColor="text1"/>
          <w:sz w:val="24"/>
          <w:szCs w:val="24"/>
        </w:rPr>
      </w:pPr>
      <w:bookmarkStart w:id="0" w:name="_GoBack"/>
      <w:bookmarkEnd w:id="0"/>
    </w:p>
    <w:p w:rsidR="00920E83" w:rsidRPr="008310A0" w:rsidRDefault="00920E83" w:rsidP="00920E83">
      <w:pPr>
        <w:autoSpaceDE w:val="0"/>
        <w:autoSpaceDN w:val="0"/>
        <w:adjustRightInd w:val="0"/>
        <w:jc w:val="both"/>
        <w:rPr>
          <w:rFonts w:ascii="Arial" w:hAnsi="Arial" w:cs="Arial"/>
          <w:b/>
          <w:color w:val="000000" w:themeColor="text1"/>
          <w:sz w:val="24"/>
          <w:szCs w:val="24"/>
          <w:u w:val="single"/>
        </w:rPr>
      </w:pPr>
      <w:r w:rsidRPr="008310A0">
        <w:rPr>
          <w:rFonts w:ascii="Arial" w:hAnsi="Arial" w:cs="Arial"/>
          <w:b/>
          <w:color w:val="000000" w:themeColor="text1"/>
          <w:sz w:val="24"/>
          <w:szCs w:val="24"/>
          <w:u w:val="single"/>
        </w:rPr>
        <w:t>Through the consideration of case law, evaluate the extent to which the courts are prepared to impose a duty of care in relation to emergency services.</w:t>
      </w:r>
    </w:p>
    <w:p w:rsidR="00920E83" w:rsidRPr="00920E83" w:rsidRDefault="00920E83" w:rsidP="00920E83">
      <w:pPr>
        <w:autoSpaceDE w:val="0"/>
        <w:autoSpaceDN w:val="0"/>
        <w:adjustRightInd w:val="0"/>
        <w:jc w:val="both"/>
        <w:rPr>
          <w:rFonts w:ascii="Arial" w:hAnsi="Arial" w:cs="Arial"/>
          <w:b/>
          <w:color w:val="000000" w:themeColor="text1"/>
          <w:sz w:val="24"/>
          <w:szCs w:val="24"/>
        </w:rPr>
      </w:pPr>
    </w:p>
    <w:p w:rsidR="00920E83" w:rsidRDefault="00920E83" w:rsidP="00920E83">
      <w:pPr>
        <w:autoSpaceDE w:val="0"/>
        <w:autoSpaceDN w:val="0"/>
        <w:adjustRightInd w:val="0"/>
        <w:jc w:val="both"/>
        <w:rPr>
          <w:rFonts w:ascii="Arial" w:hAnsi="Arial" w:cs="Arial"/>
          <w:b/>
          <w:color w:val="000000" w:themeColor="text1"/>
          <w:sz w:val="24"/>
          <w:szCs w:val="24"/>
        </w:rPr>
      </w:pPr>
      <w:r w:rsidRPr="00920E83">
        <w:rPr>
          <w:rFonts w:ascii="Arial" w:hAnsi="Arial" w:cs="Arial"/>
          <w:b/>
          <w:color w:val="000000" w:themeColor="text1"/>
          <w:sz w:val="24"/>
          <w:szCs w:val="24"/>
        </w:rPr>
        <w:t>Tort Law</w:t>
      </w:r>
    </w:p>
    <w:p w:rsidR="00920E83" w:rsidRPr="00920E83" w:rsidRDefault="008310A0" w:rsidP="00920E83">
      <w:pPr>
        <w:autoSpaceDE w:val="0"/>
        <w:autoSpaceDN w:val="0"/>
        <w:adjustRightInd w:val="0"/>
        <w:jc w:val="both"/>
        <w:rPr>
          <w:rFonts w:ascii="Arial" w:hAnsi="Arial" w:cs="Arial"/>
          <w:b/>
          <w:color w:val="000000" w:themeColor="text1"/>
          <w:sz w:val="24"/>
          <w:szCs w:val="24"/>
        </w:rPr>
      </w:pPr>
      <w:r>
        <w:rPr>
          <w:rFonts w:ascii="Arial" w:hAnsi="Arial" w:cs="Arial"/>
          <w:b/>
          <w:color w:val="000000" w:themeColor="text1"/>
          <w:sz w:val="24"/>
          <w:szCs w:val="24"/>
        </w:rPr>
        <w:t>A</w:t>
      </w:r>
      <w:r w:rsidR="00920E83">
        <w:rPr>
          <w:rFonts w:ascii="Arial" w:hAnsi="Arial" w:cs="Arial"/>
          <w:b/>
          <w:color w:val="000000" w:themeColor="text1"/>
          <w:sz w:val="24"/>
          <w:szCs w:val="24"/>
        </w:rPr>
        <w:t>ss</w:t>
      </w:r>
      <w:r>
        <w:rPr>
          <w:rFonts w:ascii="Arial" w:hAnsi="Arial" w:cs="Arial"/>
          <w:b/>
          <w:color w:val="000000" w:themeColor="text1"/>
          <w:sz w:val="24"/>
          <w:szCs w:val="24"/>
        </w:rPr>
        <w:t xml:space="preserve">ignment (1) </w:t>
      </w:r>
    </w:p>
    <w:p w:rsidR="00920E83" w:rsidRPr="00920E83" w:rsidRDefault="00920E83" w:rsidP="00920E83">
      <w:pPr>
        <w:autoSpaceDE w:val="0"/>
        <w:autoSpaceDN w:val="0"/>
        <w:adjustRightInd w:val="0"/>
        <w:jc w:val="both"/>
        <w:rPr>
          <w:rFonts w:ascii="Arial" w:hAnsi="Arial" w:cs="Arial"/>
          <w:b/>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Harpwood (2017) argues that outlining an all-encompassing definition of ‘tort law’ has been met by academics with particular difficulties given that the law of tort ‘covers a wide range of situations’ (Elliott and Quinn, 2019: 2). Harlow (2005) affirms this notion by stating: ‘the word ‘tort’ … is...a puzzle ... In </w:t>
      </w:r>
      <w:r w:rsidR="0071268C" w:rsidRPr="008310A0">
        <w:rPr>
          <w:rFonts w:ascii="Arial" w:hAnsi="Arial" w:cs="Arial"/>
          <w:color w:val="000000" w:themeColor="text1"/>
          <w:sz w:val="24"/>
          <w:szCs w:val="24"/>
        </w:rPr>
        <w:t>fact,</w:t>
      </w:r>
      <w:r w:rsidRPr="008310A0">
        <w:rPr>
          <w:rFonts w:ascii="Arial" w:hAnsi="Arial" w:cs="Arial"/>
          <w:color w:val="000000" w:themeColor="text1"/>
          <w:sz w:val="24"/>
          <w:szCs w:val="24"/>
        </w:rPr>
        <w:t xml:space="preserve"> it is the French word for ‘wrong’ and its use points us back through the centuries to the Norman French language, which was once the working language of the ‘King’s Courts.’ A tort is simply a ‘wrong’ and tort law is the law of ‘wrongdoing’ or perhaps of ‘wrongs.’’ Simply put, a 'tort' arises when an </w:t>
      </w:r>
      <w:r w:rsidR="0071268C" w:rsidRPr="008310A0">
        <w:rPr>
          <w:rFonts w:ascii="Arial" w:hAnsi="Arial" w:cs="Arial"/>
          <w:color w:val="000000" w:themeColor="text1"/>
          <w:sz w:val="24"/>
          <w:szCs w:val="24"/>
        </w:rPr>
        <w:t>individual breach</w:t>
      </w:r>
      <w:r w:rsidRPr="008310A0">
        <w:rPr>
          <w:rFonts w:ascii="Arial" w:hAnsi="Arial" w:cs="Arial"/>
          <w:color w:val="000000" w:themeColor="text1"/>
          <w:sz w:val="24"/>
          <w:szCs w:val="24"/>
        </w:rPr>
        <w:t xml:space="preserve"> a general duty which </w:t>
      </w:r>
      <w:r w:rsidR="0071268C" w:rsidRPr="008310A0">
        <w:rPr>
          <w:rFonts w:ascii="Arial" w:hAnsi="Arial" w:cs="Arial"/>
          <w:color w:val="000000" w:themeColor="text1"/>
          <w:sz w:val="24"/>
          <w:szCs w:val="24"/>
        </w:rPr>
        <w:t>is imposed</w:t>
      </w:r>
      <w:r w:rsidRPr="008310A0">
        <w:rPr>
          <w:rFonts w:ascii="Arial" w:hAnsi="Arial" w:cs="Arial"/>
          <w:color w:val="000000" w:themeColor="text1"/>
          <w:sz w:val="24"/>
          <w:szCs w:val="24"/>
        </w:rPr>
        <w:t xml:space="preserve"> on them by civil law. Tort law can be differentiated from the law of contract in that the latter concerns voluntary obligations created by the parties themselves, whereas the former concerns State imposed obligations upon a party. Differentiating between the criminal law and tort law is somewhat easier than the aforementioned in that the criminal law exists to punish an offender for committing a crime against an individual victim (which is prosecuted on behalf of the State), whereas tort law looks to compensate a claimant on the balance of probabilities. Interestingly, Weir (2006) states that ‘there is no general principle in English law to tell us when conduct is tortious …and when it is not.’</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Building upon this notion, an obligation imposed by the state upon an individual depends on the existence, or lack of, a duty of care. This is defined as a duty whereby one party owes another to take proper care of one another. Blyth v Birmingham Waterworks Company (1856) places a ‘reasonable man’ at the centre of negligence. The most prevalent tort in contemporary society is negligence. Negligence establishes a responsibility not to breach a duty of care. In order for a claimant to establish a successful cause of action in the tort of negligence, they must prove three </w:t>
      </w:r>
      <w:r w:rsidR="0071268C" w:rsidRPr="008310A0">
        <w:rPr>
          <w:rFonts w:ascii="Arial" w:hAnsi="Arial" w:cs="Arial"/>
          <w:color w:val="000000" w:themeColor="text1"/>
          <w:sz w:val="24"/>
          <w:szCs w:val="24"/>
        </w:rPr>
        <w:t>factors on</w:t>
      </w:r>
      <w:r w:rsidRPr="008310A0">
        <w:rPr>
          <w:rFonts w:ascii="Arial" w:hAnsi="Arial" w:cs="Arial"/>
          <w:color w:val="000000" w:themeColor="text1"/>
          <w:sz w:val="24"/>
          <w:szCs w:val="24"/>
        </w:rPr>
        <w:t xml:space="preserve"> the balance of probabilities: firstly, that the defendant owed them a duty to implement reasonable </w:t>
      </w:r>
      <w:r w:rsidR="0071268C" w:rsidRPr="008310A0">
        <w:rPr>
          <w:rFonts w:ascii="Arial" w:hAnsi="Arial" w:cs="Arial"/>
          <w:color w:val="000000" w:themeColor="text1"/>
          <w:sz w:val="24"/>
          <w:szCs w:val="24"/>
        </w:rPr>
        <w:t>care, the</w:t>
      </w:r>
      <w:r w:rsidRPr="008310A0">
        <w:rPr>
          <w:rFonts w:ascii="Arial" w:hAnsi="Arial" w:cs="Arial"/>
          <w:color w:val="000000" w:themeColor="text1"/>
          <w:sz w:val="24"/>
          <w:szCs w:val="24"/>
        </w:rPr>
        <w:t xml:space="preserve"> defendant then breached that duty and finally, the breach caused the individual to suffer a damage which is not classed as too remote. If all three factors are proved, and the defendant lacks the defence of consent, contributory negligence and/or illegality, only then the claimant will be entitled to a remedy. Lord Atkin in Donoghue v Stevenson (1932) (whereby the House of Lords found that manufacturers owe consumers a duty of care) stated that ‘one must take reasonable care to avoid acts or omissions which you can reasonably foresee would be likely to injure your neighbour.’</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lastRenderedPageBreak/>
        <w:t>A duty of care may already exist if it falls within an established category, for example, a doctor (including junior doctors) owe a duty of care to their patients to exercise reasonable care and skill (Wilsher v Essex AHA (1987)). The Court in FB v Rana (2017) stated that ‘a hospital doctor should be judged by the standard of skill and care appropriate to the post which he or she was fulfilling … leaving out of account the particular experience of the doctor or their length of service.’ Additionally, an ‘experienced’ driver who has passed their practical driving test and a ‘learner’ driver who has not yet passed, both owe a duty of care other road users to not cause injury (Nettleship v Weston (1971)). However, should a Claimant be unable to show that their case of negligence falls within an existing category, then they must establish a duty of care through the existence of a special relationship based on the assumption of responsibility (Hedley Byrne v Heller (1963)) or through the traditional Caparo v Dickman (1990) three stage test (with consideration of what is known as Lord Bridge’s ‘incremental test,’ whereby the Court asks whether establishing a duty of care in the case at hand would represent an 'incremental' development in contrast to prior and existing case law and categories).</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Applying the Caparo three stage test in order, the first objective test is one of foreseeability and asks ‘would a reasonable man in D’s position have foreseen the risk of damage or harm?’ The second element necessitates that there must be a proximity between both parties via space, time or relationship. And finally, the third test asks whether it is ‘fair, just and reasonable’ to impose a duty upon the defendant as a matter of public policy.  If a duty of care is then established, it must be proved that the defendant has fallen below the standard of a reasonable man performing the same task, there has been a breach (Blyth v Birmingham Waterworks (1856)). Here, special rules may apply to certain categories of individuals, such as experts and children. Risk factors would also be considered at this stage such as the likelihood of harm occurring (Haley v LEC (1965)), the seriousness of the harm which occurred (Paris v Stepney Borough Council (1951)), whether the defendant could have easily avoided the risk (Bolton v Stone (1951)) and whether there was any public benefit in the harm which occurred (Watt v Hertfordshire County Council (1954)). The final element in establishing liability is damage, which includes factual (Barnett v Kensington and Chelsea Hospital (1968)) and legal causation (The Wagonmound (1961)) with a lack of an intervening act that would break the chain of causation- i.e. ‘but for the defendant’s actions, would the claimant have suffered any harm?’ and was the type of harm that was caused, foreseeable (not too remote)? It is only after the claimant establishes a duty of care, which was then breached by the defendant and caused damage- then a claimant may have a successful cause of action.</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Having outlined the relevant law at hand, this should be applied in relation to the English emergency services and how often Courts are willing to implement a duty of care upon such services. Harper Collins (2022) defines emergency services are ‘public organizations whose job is to take quick action to deal with emergencies when they occur.’ The English emergency services are largely comprised of the police, </w:t>
      </w:r>
      <w:r w:rsidRPr="008310A0">
        <w:rPr>
          <w:rFonts w:ascii="Arial" w:hAnsi="Arial" w:cs="Arial"/>
          <w:color w:val="000000" w:themeColor="text1"/>
          <w:sz w:val="24"/>
          <w:szCs w:val="24"/>
        </w:rPr>
        <w:lastRenderedPageBreak/>
        <w:t xml:space="preserve">ambulance and fire services. It is argued that the emergency service public bodies are treated differently by the Courts from other individual defendants. </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Hill v Chief Constable of West Yorkshire (1989) forms the fundamental basis of the Court’s position concerning police liability—the House of Lords determined that no duty of care existed from the police. Here, the mother of one of the ‘Yorkshire Ripper’s’ victims sued the West Yorkshire Police for not preventing her daughter’s murder. The House of Lords stated that there existed sound policy considerations for failing to impose a duty of care on the police, i.e. the risk of being sued might induce the police to work in a detrimental and distracting manner. This has been confirmed in subsequent case law such as Alexandrou v Oxford (1993) and Brooks v Commissioner of Police for the Metropolis (2005). In the latter case, the Courts did however state that instances may exist where the police have a duty to protect a specific individual with whom they have no special relationship (though, this was not the case here). Still, the notion of blanket immunity of the police has been questioned before the European Court of Human Rights. </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In </w:t>
      </w:r>
      <w:r w:rsidR="0071268C" w:rsidRPr="008310A0">
        <w:rPr>
          <w:rFonts w:ascii="Arial" w:hAnsi="Arial" w:cs="Arial"/>
          <w:color w:val="000000" w:themeColor="text1"/>
          <w:sz w:val="24"/>
          <w:szCs w:val="24"/>
        </w:rPr>
        <w:t>an</w:t>
      </w:r>
      <w:r w:rsidRPr="008310A0">
        <w:rPr>
          <w:rFonts w:ascii="Arial" w:hAnsi="Arial" w:cs="Arial"/>
          <w:color w:val="000000" w:themeColor="text1"/>
          <w:sz w:val="24"/>
          <w:szCs w:val="24"/>
        </w:rPr>
        <w:t xml:space="preserve"> Informer v A Chief Constable (2012), this position was further reaffirmed whereby the Court ruled that there had indeed been police failings, such failings were not proportionate to a breach of police duty. However, English Courts in Swinney and Another v Chief Constable of Northumbria (1996), did go onto state that only in certain cases, police officers may be held accountable for negligence in criminal investigations, caveated with the fact that the police </w:t>
      </w:r>
      <w:r w:rsidR="0071268C" w:rsidRPr="008310A0">
        <w:rPr>
          <w:rFonts w:ascii="Arial" w:hAnsi="Arial" w:cs="Arial"/>
          <w:color w:val="000000" w:themeColor="text1"/>
          <w:sz w:val="24"/>
          <w:szCs w:val="24"/>
        </w:rPr>
        <w:t>have</w:t>
      </w:r>
      <w:r w:rsidRPr="008310A0">
        <w:rPr>
          <w:rFonts w:ascii="Arial" w:hAnsi="Arial" w:cs="Arial"/>
          <w:color w:val="000000" w:themeColor="text1"/>
          <w:sz w:val="24"/>
          <w:szCs w:val="24"/>
        </w:rPr>
        <w:t xml:space="preserve"> assumed responsibility, amounting to sufficient proximity, though, Peter Gibson LJ stated: ‘the Court must evaluate all the public policy considerations that may apply.’ Furthermore, in Rigby v CC Northamptonshire (1985), the police were indeed found liable for negligence despite the defence of necessity potentially existing because there has been a real risk of a fire starting after firing a cannister into the Claimant’s property. More recently in 2018, the Courts in Robinson, the police were found liable for negligence after injuring an elderly lady whilst chasing a potential suspect. The Courts ruled that the police had no special immunity and in applying the Caparo three stage test, in running in public, the risk of injuring a public member was indeed foreseeable and there was in turn a breach not to cause the public harm. Following the Human Rights Act, the cases of Osman v UK (1998) pays particular importance in questioning public body blanket immunity and subsequent policy reasoning. Here, the ECHR stated that police blanket immunity—as the Hill position suggests-- would constitute a violation of Article 6 of the ECHR, but in the present case, there would be no violation of Articles 2 (right to life) or 8 (right to privacy).</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In Capital and Counties Plc v Hampshire CC [1997], the Courts considered the scope of fire brigade liability. The aforementioned concerned three conjoined cases where all claimants suffered substantial fire damage to their homes because of alleged fire </w:t>
      </w:r>
      <w:r w:rsidRPr="008310A0">
        <w:rPr>
          <w:rFonts w:ascii="Arial" w:hAnsi="Arial" w:cs="Arial"/>
          <w:color w:val="000000" w:themeColor="text1"/>
          <w:sz w:val="24"/>
          <w:szCs w:val="24"/>
        </w:rPr>
        <w:lastRenderedPageBreak/>
        <w:t>fighter negligence. Here, the Court held that firefighters do not owe a duty of care to take reasonable care to arrive at an individual’s home on fire after being called by them – i.e. even if the fire fighters did not turn up, they did not possess that initial duty of care to the victims of the fire itself—similar to that of the court’s position with the police. But, assuming that the fire fighters did arrive and try to stop the fire—did the fire brigade then have a duty of care by assuming responsibility? The Claimants argued that an assumption of responsibility would exist because the claimants will always rely on such an assumption and this would in turn create valid proximity between the two parties. However, the Courts disagreed because the fire fighters do not owe an individual duty, but rather a duty to the general public. However, if the fire fighters caused or worsened the Claimant’s injury by their own negligence, this would not result in immunity. Furthermore, the public policy argument the Courts provided was one of insurance and compensation. The judges contended that most of the general public have their homes insured and would therefore be compensated for any damage through this easier route, rather than targeting the fire brigade via the judicial system.</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57790C"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Kent v Griffiths (2000) concerned ambulance services. Here, the Claimant needed an ambulance because she had a serious asthma attack, the ambulance came 38 minutes late. There was no good reason for the ambulance not arriving sooner. Lord Woolf stated that the ambulance service had assumed individual responsibility by accepting the call, if they had not accepted the call, no duty of care would have existed.  The ambulance service argued advocated in favour of the Capital Counties argument, but this was rebuffed by the Court of Appeal due to the nature of the ambulance service not being directly analogous to fire services or police, but rather the NHS, which is acknowledged to have a duty to individuals rather than the general public.</w:t>
      </w:r>
    </w:p>
    <w:p w:rsidR="00920E83" w:rsidRPr="008310A0" w:rsidRDefault="00920E83" w:rsidP="00920E83">
      <w:pPr>
        <w:autoSpaceDE w:val="0"/>
        <w:autoSpaceDN w:val="0"/>
        <w:adjustRightInd w:val="0"/>
        <w:jc w:val="both"/>
        <w:rPr>
          <w:rFonts w:ascii="Arial" w:hAnsi="Arial" w:cs="Arial"/>
          <w:color w:val="000000" w:themeColor="text1"/>
          <w:sz w:val="24"/>
          <w:szCs w:val="24"/>
        </w:rPr>
      </w:pPr>
    </w:p>
    <w:p w:rsidR="00920E83" w:rsidRPr="008310A0" w:rsidRDefault="00920E83" w:rsidP="00920E83">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 xml:space="preserve">It is argued that public institutions use tax payer money instead of their own, and if a claimant questions why a service was not supplied by them, the answer may necessitate balancing the political and not legal question of considering the claimants' need for that service against other demands on the public body's costs (Elliott and Quinn, 2019). The second issue which may influence </w:t>
      </w:r>
      <w:r w:rsidR="007656CD">
        <w:rPr>
          <w:rFonts w:ascii="Arial" w:hAnsi="Arial" w:cs="Arial"/>
          <w:color w:val="000000" w:themeColor="text1"/>
          <w:sz w:val="24"/>
          <w:szCs w:val="24"/>
        </w:rPr>
        <w:t>c</w:t>
      </w:r>
      <w:r w:rsidRPr="008310A0">
        <w:rPr>
          <w:rFonts w:ascii="Arial" w:hAnsi="Arial" w:cs="Arial"/>
          <w:color w:val="000000" w:themeColor="text1"/>
          <w:sz w:val="24"/>
          <w:szCs w:val="24"/>
        </w:rPr>
        <w:t>ourts in imposing a duty of care less frequently on public bodies is the floodgates argument of ‘too many potential claimants,’ (Cooke, 2019). Court is expensive, and the more claims against public bodies that are permitted by the courts, the more money that is diverted from financing the activities of the public bodies. If public entities are fearful of being sued by the very public they are meant to protect, they may modify their working habits in harmful ways; consequently, courts have determined the existence of compelling policy reasons why a duty of care and even immunity in particular cases should not be placed on public bodies. The European Court of Human Rights has examined such immunity as a potential violation of Article 6 of the European Convention on Human Rights, the right to a fair trial and have suggested that Courts should indeed restrict how they approach public bodies (Elliott and Quinn, 2019), therefore, it has been argued that the Courts are prepared to impose liability on emergency services at least to some extent.</w:t>
      </w:r>
    </w:p>
    <w:p w:rsidR="00920E83" w:rsidRPr="008310A0" w:rsidRDefault="00920E83" w:rsidP="005149DF">
      <w:pPr>
        <w:autoSpaceDE w:val="0"/>
        <w:autoSpaceDN w:val="0"/>
        <w:adjustRightInd w:val="0"/>
        <w:jc w:val="both"/>
        <w:rPr>
          <w:rFonts w:ascii="Arial" w:hAnsi="Arial" w:cs="Arial"/>
          <w:color w:val="000000" w:themeColor="text1"/>
          <w:sz w:val="24"/>
          <w:szCs w:val="24"/>
        </w:rPr>
      </w:pPr>
    </w:p>
    <w:p w:rsidR="00920E83" w:rsidRPr="008310A0" w:rsidRDefault="00920E83" w:rsidP="005149DF">
      <w:pPr>
        <w:autoSpaceDE w:val="0"/>
        <w:autoSpaceDN w:val="0"/>
        <w:adjustRightInd w:val="0"/>
        <w:jc w:val="both"/>
        <w:rPr>
          <w:rFonts w:ascii="Arial" w:hAnsi="Arial" w:cs="Arial"/>
          <w:color w:val="000000" w:themeColor="text1"/>
          <w:sz w:val="24"/>
          <w:szCs w:val="24"/>
        </w:rPr>
      </w:pPr>
    </w:p>
    <w:p w:rsidR="00D14951" w:rsidRDefault="00317FA5" w:rsidP="005149DF">
      <w:pPr>
        <w:autoSpaceDE w:val="0"/>
        <w:autoSpaceDN w:val="0"/>
        <w:adjustRightInd w:val="0"/>
        <w:jc w:val="both"/>
        <w:rPr>
          <w:rFonts w:ascii="Arial" w:hAnsi="Arial" w:cs="Arial"/>
          <w:b/>
          <w:color w:val="000000" w:themeColor="text1"/>
          <w:sz w:val="24"/>
          <w:szCs w:val="24"/>
        </w:rPr>
      </w:pPr>
      <w:r>
        <w:rPr>
          <w:rFonts w:ascii="Arial" w:hAnsi="Arial" w:cs="Arial"/>
          <w:b/>
          <w:color w:val="000000" w:themeColor="text1"/>
          <w:sz w:val="24"/>
          <w:szCs w:val="24"/>
        </w:rPr>
        <w:t>References list</w:t>
      </w:r>
    </w:p>
    <w:p w:rsidR="00317FA5" w:rsidRPr="008310A0" w:rsidRDefault="00317FA5" w:rsidP="00317FA5">
      <w:pPr>
        <w:autoSpaceDE w:val="0"/>
        <w:autoSpaceDN w:val="0"/>
        <w:adjustRightInd w:val="0"/>
        <w:jc w:val="both"/>
        <w:rPr>
          <w:rFonts w:ascii="Arial" w:hAnsi="Arial" w:cs="Arial"/>
          <w:sz w:val="24"/>
          <w:szCs w:val="24"/>
        </w:rPr>
      </w:pPr>
      <w:r w:rsidRPr="008310A0">
        <w:rPr>
          <w:rFonts w:ascii="Arial" w:hAnsi="Arial" w:cs="Arial"/>
          <w:sz w:val="24"/>
          <w:szCs w:val="24"/>
        </w:rPr>
        <w:t xml:space="preserve">Cooke, J. (2019) </w:t>
      </w:r>
      <w:r w:rsidRPr="008310A0">
        <w:rPr>
          <w:rFonts w:ascii="Arial" w:hAnsi="Arial" w:cs="Arial"/>
          <w:i/>
          <w:iCs/>
          <w:sz w:val="24"/>
          <w:szCs w:val="24"/>
        </w:rPr>
        <w:t>Law of tort</w:t>
      </w:r>
      <w:r w:rsidRPr="008310A0">
        <w:rPr>
          <w:rFonts w:ascii="Arial" w:hAnsi="Arial" w:cs="Arial"/>
          <w:sz w:val="24"/>
          <w:szCs w:val="24"/>
        </w:rPr>
        <w:t>. Harlow, England: Pearson Education Ltd.</w:t>
      </w:r>
    </w:p>
    <w:p w:rsidR="00317FA5" w:rsidRPr="008310A0" w:rsidRDefault="00317FA5" w:rsidP="00317FA5">
      <w:pPr>
        <w:autoSpaceDE w:val="0"/>
        <w:autoSpaceDN w:val="0"/>
        <w:adjustRightInd w:val="0"/>
        <w:jc w:val="both"/>
        <w:rPr>
          <w:rFonts w:ascii="Arial" w:hAnsi="Arial" w:cs="Arial"/>
          <w:sz w:val="24"/>
          <w:szCs w:val="24"/>
        </w:rPr>
      </w:pPr>
      <w:r w:rsidRPr="008310A0">
        <w:rPr>
          <w:rFonts w:ascii="Arial" w:hAnsi="Arial" w:cs="Arial"/>
          <w:sz w:val="24"/>
          <w:szCs w:val="24"/>
        </w:rPr>
        <w:t xml:space="preserve">Harpwood, V.H. (2017) </w:t>
      </w:r>
      <w:r w:rsidRPr="008310A0">
        <w:rPr>
          <w:rFonts w:ascii="Arial" w:hAnsi="Arial" w:cs="Arial"/>
          <w:i/>
          <w:iCs/>
          <w:sz w:val="24"/>
          <w:szCs w:val="24"/>
        </w:rPr>
        <w:t>Modern Tort Law</w:t>
      </w:r>
      <w:r w:rsidRPr="008310A0">
        <w:rPr>
          <w:rFonts w:ascii="Arial" w:hAnsi="Arial" w:cs="Arial"/>
          <w:sz w:val="24"/>
          <w:szCs w:val="24"/>
        </w:rPr>
        <w:t xml:space="preserve">. London: Taylor &amp; Francis Ltd. </w:t>
      </w:r>
    </w:p>
    <w:p w:rsidR="00317FA5" w:rsidRPr="008310A0" w:rsidRDefault="00317FA5" w:rsidP="00317FA5">
      <w:pPr>
        <w:autoSpaceDE w:val="0"/>
        <w:autoSpaceDN w:val="0"/>
        <w:adjustRightInd w:val="0"/>
        <w:jc w:val="both"/>
        <w:rPr>
          <w:rFonts w:ascii="Arial" w:hAnsi="Arial" w:cs="Arial"/>
          <w:sz w:val="24"/>
          <w:szCs w:val="24"/>
        </w:rPr>
      </w:pPr>
      <w:r w:rsidRPr="008310A0">
        <w:rPr>
          <w:rFonts w:ascii="Arial" w:hAnsi="Arial" w:cs="Arial"/>
          <w:sz w:val="24"/>
          <w:szCs w:val="24"/>
        </w:rPr>
        <w:t xml:space="preserve">Quinn, F. and Elliott, C. (2019) </w:t>
      </w:r>
      <w:r w:rsidRPr="008310A0">
        <w:rPr>
          <w:rFonts w:ascii="Arial" w:hAnsi="Arial" w:cs="Arial"/>
          <w:i/>
          <w:iCs/>
          <w:sz w:val="24"/>
          <w:szCs w:val="24"/>
        </w:rPr>
        <w:t>Elliott &amp; Quinn's Tort Law</w:t>
      </w:r>
      <w:r w:rsidRPr="008310A0">
        <w:rPr>
          <w:rFonts w:ascii="Arial" w:hAnsi="Arial" w:cs="Arial"/>
          <w:sz w:val="24"/>
          <w:szCs w:val="24"/>
        </w:rPr>
        <w:t xml:space="preserve">. Harlow, England: Pearson. </w:t>
      </w:r>
    </w:p>
    <w:p w:rsidR="00317FA5" w:rsidRPr="00317FA5" w:rsidRDefault="00317FA5" w:rsidP="00317FA5">
      <w:pPr>
        <w:autoSpaceDE w:val="0"/>
        <w:autoSpaceDN w:val="0"/>
        <w:adjustRightInd w:val="0"/>
        <w:jc w:val="both"/>
        <w:rPr>
          <w:rFonts w:ascii="Arial" w:hAnsi="Arial" w:cs="Arial"/>
        </w:rPr>
      </w:pPr>
      <w:r w:rsidRPr="008310A0">
        <w:rPr>
          <w:rFonts w:ascii="Arial" w:hAnsi="Arial" w:cs="Arial"/>
          <w:sz w:val="24"/>
          <w:szCs w:val="24"/>
        </w:rPr>
        <w:t xml:space="preserve">Weir, T. (2006) </w:t>
      </w:r>
      <w:r w:rsidRPr="008310A0">
        <w:rPr>
          <w:rFonts w:ascii="Arial" w:hAnsi="Arial" w:cs="Arial"/>
          <w:i/>
          <w:iCs/>
          <w:sz w:val="24"/>
          <w:szCs w:val="24"/>
        </w:rPr>
        <w:t xml:space="preserve">An Introduction </w:t>
      </w:r>
      <w:proofErr w:type="gramStart"/>
      <w:r w:rsidRPr="008310A0">
        <w:rPr>
          <w:rFonts w:ascii="Arial" w:hAnsi="Arial" w:cs="Arial"/>
          <w:i/>
          <w:iCs/>
          <w:sz w:val="24"/>
          <w:szCs w:val="24"/>
        </w:rPr>
        <w:t>To</w:t>
      </w:r>
      <w:proofErr w:type="gramEnd"/>
      <w:r w:rsidRPr="008310A0">
        <w:rPr>
          <w:rFonts w:ascii="Arial" w:hAnsi="Arial" w:cs="Arial"/>
          <w:i/>
          <w:iCs/>
          <w:sz w:val="24"/>
          <w:szCs w:val="24"/>
        </w:rPr>
        <w:t xml:space="preserve"> Tort Law</w:t>
      </w:r>
      <w:r w:rsidRPr="008310A0">
        <w:rPr>
          <w:rFonts w:ascii="Arial" w:hAnsi="Arial" w:cs="Arial"/>
          <w:sz w:val="24"/>
          <w:szCs w:val="24"/>
        </w:rPr>
        <w:t>. 2nd edn. Oxford: Oxford University Press</w:t>
      </w:r>
      <w:r w:rsidRPr="00317FA5">
        <w:rPr>
          <w:rFonts w:ascii="Arial" w:hAnsi="Arial" w:cs="Arial"/>
        </w:rPr>
        <w:t xml:space="preserve">. </w:t>
      </w:r>
    </w:p>
    <w:p w:rsidR="00D14951" w:rsidRPr="00317FA5" w:rsidRDefault="00D14951" w:rsidP="005149DF">
      <w:pPr>
        <w:autoSpaceDE w:val="0"/>
        <w:autoSpaceDN w:val="0"/>
        <w:adjustRightInd w:val="0"/>
        <w:jc w:val="both"/>
        <w:rPr>
          <w:rFonts w:ascii="Arial" w:hAnsi="Arial" w:cs="Arial"/>
          <w:color w:val="000000" w:themeColor="text1"/>
        </w:rPr>
      </w:pPr>
    </w:p>
    <w:p w:rsidR="0080447D" w:rsidRPr="00D14951" w:rsidRDefault="00D14951" w:rsidP="005149DF">
      <w:pPr>
        <w:autoSpaceDE w:val="0"/>
        <w:autoSpaceDN w:val="0"/>
        <w:adjustRightInd w:val="0"/>
        <w:jc w:val="both"/>
        <w:rPr>
          <w:rFonts w:ascii="Arial" w:hAnsi="Arial" w:cs="Arial"/>
          <w:b/>
          <w:color w:val="000000" w:themeColor="text1"/>
          <w:sz w:val="24"/>
          <w:szCs w:val="24"/>
        </w:rPr>
      </w:pPr>
      <w:r w:rsidRPr="00D14951">
        <w:rPr>
          <w:rFonts w:ascii="Arial" w:hAnsi="Arial" w:cs="Arial"/>
          <w:b/>
          <w:color w:val="000000" w:themeColor="text1"/>
          <w:sz w:val="24"/>
          <w:szCs w:val="24"/>
        </w:rPr>
        <w:t>Case law</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Alexandrou v Oxford (1993)</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An Informer v Chief Constable [2012] EWCA Civ 197</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Barnett v Chelsea &amp; Kensington Hospital Management Committee [1968] 2 WLR 422</w:t>
      </w:r>
    </w:p>
    <w:p w:rsidR="00D14951" w:rsidRPr="008310A0" w:rsidRDefault="00D14951" w:rsidP="005149DF">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Blyth v Birmingham Waterworks Company (1856) </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Bolton v. Stone </w:t>
      </w:r>
      <w:hyperlink r:id="rId6" w:history="1">
        <w:r w:rsidRPr="008310A0">
          <w:rPr>
            <w:rStyle w:val="Hyperlink"/>
            <w:rFonts w:ascii="Arial" w:hAnsi="Arial" w:cs="Arial"/>
            <w:color w:val="000000" w:themeColor="text1"/>
            <w:sz w:val="24"/>
            <w:szCs w:val="24"/>
          </w:rPr>
          <w:t>[1951] AC 850</w:t>
        </w:r>
      </w:hyperlink>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Brooks v Commissioner of Police for the Metropolis (2005)</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Caparo Industries PLC v Dickman </w:t>
      </w:r>
      <w:hyperlink r:id="rId7" w:history="1">
        <w:r w:rsidRPr="008310A0">
          <w:rPr>
            <w:rStyle w:val="Hyperlink"/>
            <w:rFonts w:ascii="Arial" w:hAnsi="Arial" w:cs="Arial"/>
            <w:color w:val="000000" w:themeColor="text1"/>
            <w:sz w:val="24"/>
            <w:szCs w:val="24"/>
          </w:rPr>
          <w:t>[1990] </w:t>
        </w:r>
      </w:hyperlink>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Capital and Counties Plc v Hampshire CC [1997] QB 1004</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Clifford v Charles H Challen and Son Ltd: CA 1951</w:t>
      </w:r>
    </w:p>
    <w:p w:rsidR="00D14951" w:rsidRPr="008310A0" w:rsidRDefault="00D14951" w:rsidP="005149DF">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Donoghue v Stevenson [1932] UKHL 100</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FB v Rana [2017] EWCA Civ 334</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Haley v London Electricity Board [1965] AC 778</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Hedley Byrne v Heller (1963)</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Hill v Chief Constable of West Yorkshire (1989)</w:t>
      </w:r>
    </w:p>
    <w:p w:rsidR="00CF7189" w:rsidRDefault="00487D63" w:rsidP="005149DF">
      <w:p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Kent v Griffiths </w:t>
      </w:r>
      <w:r w:rsidR="00104B7B">
        <w:rPr>
          <w:rFonts w:ascii="Arial" w:hAnsi="Arial" w:cs="Arial"/>
          <w:color w:val="000000" w:themeColor="text1"/>
          <w:sz w:val="24"/>
          <w:szCs w:val="24"/>
        </w:rPr>
        <w:t>[</w:t>
      </w:r>
      <w:r>
        <w:rPr>
          <w:rFonts w:ascii="Arial" w:hAnsi="Arial" w:cs="Arial"/>
          <w:color w:val="000000" w:themeColor="text1"/>
          <w:sz w:val="24"/>
          <w:szCs w:val="24"/>
        </w:rPr>
        <w:t>2000</w:t>
      </w:r>
      <w:r w:rsidR="00104B7B">
        <w:rPr>
          <w:rFonts w:ascii="Arial" w:hAnsi="Arial" w:cs="Arial"/>
          <w:color w:val="000000" w:themeColor="text1"/>
          <w:sz w:val="24"/>
          <w:szCs w:val="24"/>
        </w:rPr>
        <w:t xml:space="preserve">] 2 WLR 1158 </w:t>
      </w:r>
    </w:p>
    <w:p w:rsidR="00D14951" w:rsidRPr="008310A0" w:rsidRDefault="00D14951" w:rsidP="005149DF">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Nettleship v Weston [1971] 2 QB 691 CA</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Pape v. Cumbria CC, [1992] I.C.R. 132</w:t>
      </w:r>
    </w:p>
    <w:p w:rsidR="00D14951" w:rsidRPr="008310A0" w:rsidRDefault="00D14951" w:rsidP="0080447D">
      <w:pPr>
        <w:autoSpaceDE w:val="0"/>
        <w:autoSpaceDN w:val="0"/>
        <w:adjustRightInd w:val="0"/>
        <w:spacing w:after="40"/>
        <w:jc w:val="both"/>
        <w:rPr>
          <w:rFonts w:ascii="Arial" w:hAnsi="Arial" w:cs="Arial"/>
          <w:color w:val="000000" w:themeColor="text1"/>
          <w:sz w:val="24"/>
          <w:szCs w:val="24"/>
        </w:rPr>
      </w:pPr>
      <w:r w:rsidRPr="008310A0">
        <w:rPr>
          <w:rFonts w:ascii="Arial" w:hAnsi="Arial" w:cs="Arial"/>
          <w:color w:val="000000" w:themeColor="text1"/>
          <w:sz w:val="24"/>
          <w:szCs w:val="24"/>
        </w:rPr>
        <w:t>Paris v Stepney [1951] AC 367 House of Lords</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Rigby and another v Chief Constable of Northamptonshire: 1985</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Robinson v Chief Constable of West Yorkshire Police [2018] UKSC</w:t>
      </w:r>
    </w:p>
    <w:p w:rsidR="00D14951" w:rsidRPr="008310A0" w:rsidRDefault="00D14951" w:rsidP="0080447D">
      <w:pPr>
        <w:autoSpaceDE w:val="0"/>
        <w:autoSpaceDN w:val="0"/>
        <w:adjustRightInd w:val="0"/>
        <w:jc w:val="both"/>
        <w:rPr>
          <w:rFonts w:ascii="Arial" w:hAnsi="Arial" w:cs="Arial"/>
          <w:color w:val="000000" w:themeColor="text1"/>
          <w:sz w:val="24"/>
          <w:szCs w:val="24"/>
        </w:rPr>
      </w:pPr>
      <w:r w:rsidRPr="008310A0">
        <w:rPr>
          <w:rFonts w:ascii="Arial" w:hAnsi="Arial" w:cs="Arial"/>
          <w:color w:val="000000" w:themeColor="text1"/>
          <w:sz w:val="24"/>
          <w:szCs w:val="24"/>
        </w:rPr>
        <w:t>Swinney and Another v Chief Constable of Northumbria: CA 22 Mar 1996</w:t>
      </w:r>
    </w:p>
    <w:p w:rsidR="00D14951" w:rsidRPr="008310A0" w:rsidRDefault="00D14951" w:rsidP="0080447D">
      <w:pPr>
        <w:autoSpaceDE w:val="0"/>
        <w:autoSpaceDN w:val="0"/>
        <w:adjustRightInd w:val="0"/>
        <w:spacing w:after="40"/>
        <w:jc w:val="both"/>
        <w:rPr>
          <w:rFonts w:ascii="Arial" w:hAnsi="Arial" w:cs="Arial"/>
          <w:color w:val="000000" w:themeColor="text1"/>
          <w:sz w:val="24"/>
          <w:szCs w:val="24"/>
        </w:rPr>
      </w:pPr>
      <w:r w:rsidRPr="008310A0">
        <w:rPr>
          <w:rFonts w:ascii="Arial" w:hAnsi="Arial" w:cs="Arial"/>
          <w:color w:val="000000" w:themeColor="text1"/>
          <w:sz w:val="24"/>
          <w:szCs w:val="24"/>
        </w:rPr>
        <w:t>Watt v Hertfordshire [1954] 1 WLR 835</w:t>
      </w:r>
    </w:p>
    <w:p w:rsidR="00A92E2F" w:rsidRDefault="00D14951" w:rsidP="00B62689">
      <w:pPr>
        <w:autoSpaceDE w:val="0"/>
        <w:autoSpaceDN w:val="0"/>
        <w:adjustRightInd w:val="0"/>
        <w:jc w:val="both"/>
      </w:pPr>
      <w:r w:rsidRPr="008310A0">
        <w:rPr>
          <w:rFonts w:ascii="Arial" w:hAnsi="Arial" w:cs="Arial"/>
          <w:color w:val="000000" w:themeColor="text1"/>
          <w:sz w:val="24"/>
          <w:szCs w:val="24"/>
        </w:rPr>
        <w:t>Wilsher v Essex AHA [1987] QB 730 CA</w:t>
      </w:r>
    </w:p>
    <w:sectPr w:rsidR="00A92E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B49EB"/>
    <w:multiLevelType w:val="hybridMultilevel"/>
    <w:tmpl w:val="25AC8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C3337F3"/>
    <w:multiLevelType w:val="hybridMultilevel"/>
    <w:tmpl w:val="3B00E5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9DF"/>
    <w:rsid w:val="00104B7B"/>
    <w:rsid w:val="00137EFC"/>
    <w:rsid w:val="00317FA5"/>
    <w:rsid w:val="00487D63"/>
    <w:rsid w:val="005149DF"/>
    <w:rsid w:val="0057790C"/>
    <w:rsid w:val="0071268C"/>
    <w:rsid w:val="007656CD"/>
    <w:rsid w:val="0080447D"/>
    <w:rsid w:val="008310A0"/>
    <w:rsid w:val="00920E83"/>
    <w:rsid w:val="00A92E2F"/>
    <w:rsid w:val="00B62689"/>
    <w:rsid w:val="00CF7189"/>
    <w:rsid w:val="00D14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B24199-587C-4B78-AC44-01162930C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47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49D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149DF"/>
    <w:rPr>
      <w:color w:val="0000FF"/>
      <w:u w:val="single"/>
    </w:rPr>
  </w:style>
  <w:style w:type="character" w:customStyle="1" w:styleId="Heading1Char">
    <w:name w:val="Heading 1 Char"/>
    <w:basedOn w:val="DefaultParagraphFont"/>
    <w:link w:val="Heading1"/>
    <w:uiPriority w:val="9"/>
    <w:rsid w:val="0080447D"/>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115246">
      <w:bodyDiv w:val="1"/>
      <w:marLeft w:val="0"/>
      <w:marRight w:val="0"/>
      <w:marTop w:val="0"/>
      <w:marBottom w:val="0"/>
      <w:divBdr>
        <w:top w:val="none" w:sz="0" w:space="0" w:color="auto"/>
        <w:left w:val="none" w:sz="0" w:space="0" w:color="auto"/>
        <w:bottom w:val="none" w:sz="0" w:space="0" w:color="auto"/>
        <w:right w:val="none" w:sz="0" w:space="0" w:color="auto"/>
      </w:divBdr>
    </w:div>
    <w:div w:id="141670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ailii.org/uk/cases/UKHL/1990/2.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ailii.org/cgi-bin/format.cgi?doc=/uk/cases/UKHL/1951/2.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91BACE-DD6B-49A3-9AAC-D492D9B88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5</Pages>
  <Words>2165</Words>
  <Characters>12341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4</cp:revision>
  <dcterms:created xsi:type="dcterms:W3CDTF">2022-11-08T22:46:00Z</dcterms:created>
  <dcterms:modified xsi:type="dcterms:W3CDTF">2022-11-11T22:03:00Z</dcterms:modified>
</cp:coreProperties>
</file>