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3EB28" w14:textId="6055EB6A" w:rsidR="00A74025" w:rsidRPr="00C97BEC" w:rsidRDefault="00A74025" w:rsidP="00D11673">
      <w:pPr>
        <w:pStyle w:val="Heading3"/>
        <w:spacing w:line="240" w:lineRule="auto"/>
        <w:rPr>
          <w:rFonts w:ascii="Calibri" w:hAnsi="Calibri" w:cs="Calibri"/>
          <w:i/>
          <w:iCs/>
          <w:color w:val="000000" w:themeColor="text1"/>
          <w:sz w:val="24"/>
          <w:szCs w:val="24"/>
        </w:rPr>
      </w:pPr>
      <w:r w:rsidRPr="00C97BEC">
        <w:rPr>
          <w:rFonts w:ascii="Calibri" w:hAnsi="Calibri" w:cs="Calibri"/>
          <w:color w:val="000000" w:themeColor="text1"/>
          <w:sz w:val="24"/>
          <w:szCs w:val="24"/>
        </w:rPr>
        <w:t>Primary source analysis:</w:t>
      </w:r>
      <w:r w:rsidRPr="00C97BEC">
        <w:rPr>
          <w:rFonts w:ascii="Calibri" w:hAnsi="Calibri" w:cs="Calibri"/>
          <w:i/>
          <w:iCs/>
          <w:color w:val="000000" w:themeColor="text1"/>
          <w:sz w:val="24"/>
          <w:szCs w:val="24"/>
        </w:rPr>
        <w:t xml:space="preserve">  Crown versus Grogan, Bowker, Gray, </w:t>
      </w:r>
      <w:proofErr w:type="spellStart"/>
      <w:r w:rsidRPr="00C97BEC">
        <w:rPr>
          <w:rFonts w:ascii="Calibri" w:hAnsi="Calibri" w:cs="Calibri"/>
          <w:i/>
          <w:iCs/>
          <w:color w:val="000000" w:themeColor="text1"/>
          <w:sz w:val="24"/>
          <w:szCs w:val="24"/>
        </w:rPr>
        <w:t>Fichat</w:t>
      </w:r>
      <w:proofErr w:type="spellEnd"/>
      <w:r w:rsidRPr="00C97BEC">
        <w:rPr>
          <w:rFonts w:ascii="Calibri" w:hAnsi="Calibri" w:cs="Calibri"/>
          <w:i/>
          <w:iCs/>
          <w:color w:val="000000" w:themeColor="text1"/>
          <w:sz w:val="24"/>
          <w:szCs w:val="24"/>
        </w:rPr>
        <w:t xml:space="preserve"> and Low, Judgment, 2 April 1907, reprinted in East Africa Protectorate, Correspondence relating to the flogging of Natives by Certain Europeans at Nairobi [Cd. 3562] (London: Printed for His Majesty’s Stationery Office, Darling &amp; Son, Ltd, 1907).</w:t>
      </w:r>
    </w:p>
    <w:p w14:paraId="106A429B" w14:textId="77777777" w:rsidR="00A74025" w:rsidRPr="00C97BEC" w:rsidRDefault="00A74025" w:rsidP="00CB4C1D">
      <w:pPr>
        <w:spacing w:after="0" w:line="240" w:lineRule="auto"/>
        <w:rPr>
          <w:rFonts w:ascii="Calibri" w:hAnsi="Calibri" w:cs="Calibri"/>
          <w:b/>
          <w:bCs/>
          <w:color w:val="000000" w:themeColor="text1"/>
        </w:rPr>
      </w:pPr>
    </w:p>
    <w:p w14:paraId="0B36CBD3" w14:textId="7E083DD7" w:rsidR="00F11E16" w:rsidRPr="00C97BEC" w:rsidRDefault="009808EF" w:rsidP="001727FA">
      <w:pPr>
        <w:spacing w:line="360" w:lineRule="auto"/>
        <w:rPr>
          <w:rFonts w:ascii="Calibri" w:hAnsi="Calibri" w:cs="Calibri"/>
          <w:color w:val="000000" w:themeColor="text1"/>
        </w:rPr>
      </w:pPr>
      <w:r w:rsidRPr="00C97BEC">
        <w:rPr>
          <w:rFonts w:ascii="Calibri" w:hAnsi="Calibri" w:cs="Calibri"/>
          <w:color w:val="000000" w:themeColor="text1"/>
        </w:rPr>
        <w:t>Kenya, known as the East Africa Protectorate until 1920, came under direct British control in 1895 after a brief period under the Imperial British East Africa Company. Nairobi became the administration</w:t>
      </w:r>
      <w:r w:rsidR="003818EA">
        <w:rPr>
          <w:rFonts w:ascii="Calibri" w:hAnsi="Calibri" w:cs="Calibri"/>
          <w:color w:val="000000" w:themeColor="text1"/>
        </w:rPr>
        <w:t xml:space="preserve"> centre</w:t>
      </w:r>
      <w:r w:rsidRPr="00C97BEC">
        <w:rPr>
          <w:rFonts w:ascii="Calibri" w:hAnsi="Calibri" w:cs="Calibri"/>
          <w:color w:val="000000" w:themeColor="text1"/>
        </w:rPr>
        <w:t xml:space="preserve"> in 1905, housing the Governor, who reported to the Colonial Secretary in London (Greenwood and Topiwala, 2020). </w:t>
      </w:r>
      <w:r w:rsidR="003818EA" w:rsidRPr="003818EA">
        <w:rPr>
          <w:rFonts w:ascii="Calibri" w:hAnsi="Calibri" w:cs="Calibri"/>
        </w:rPr>
        <w:t>This formative phase of colonial rule saw the rapid growth of a European settler community that exercised significant autonomy within a racial order that placed Africans in structurally subordinate positions</w:t>
      </w:r>
      <w:r w:rsidRPr="003818EA">
        <w:rPr>
          <w:rFonts w:ascii="Calibri" w:hAnsi="Calibri" w:cs="Calibri"/>
        </w:rPr>
        <w:t>.</w:t>
      </w:r>
      <w:r w:rsidRPr="00C97BEC">
        <w:rPr>
          <w:rFonts w:ascii="Calibri" w:hAnsi="Calibri" w:cs="Calibri"/>
          <w:color w:val="000000" w:themeColor="text1"/>
        </w:rPr>
        <w:t xml:space="preserve"> The primary source examined here is the judgment in </w:t>
      </w:r>
      <w:r w:rsidRPr="00C97BEC">
        <w:rPr>
          <w:rStyle w:val="Emphasis"/>
          <w:rFonts w:ascii="Calibri" w:hAnsi="Calibri" w:cs="Calibri"/>
          <w:color w:val="000000" w:themeColor="text1"/>
        </w:rPr>
        <w:t xml:space="preserve">Crown v. Grogan, Bowker, Gray, </w:t>
      </w:r>
      <w:proofErr w:type="spellStart"/>
      <w:r w:rsidRPr="00C97BEC">
        <w:rPr>
          <w:rStyle w:val="Emphasis"/>
          <w:rFonts w:ascii="Calibri" w:hAnsi="Calibri" w:cs="Calibri"/>
          <w:color w:val="000000" w:themeColor="text1"/>
        </w:rPr>
        <w:t>Fichat</w:t>
      </w:r>
      <w:proofErr w:type="spellEnd"/>
      <w:r w:rsidRPr="00C97BEC">
        <w:rPr>
          <w:rStyle w:val="Emphasis"/>
          <w:rFonts w:ascii="Calibri" w:hAnsi="Calibri" w:cs="Calibri"/>
          <w:color w:val="000000" w:themeColor="text1"/>
        </w:rPr>
        <w:t xml:space="preserve"> and Low</w:t>
      </w:r>
      <w:r w:rsidRPr="00C97BEC">
        <w:rPr>
          <w:rFonts w:ascii="Calibri" w:hAnsi="Calibri" w:cs="Calibri"/>
          <w:color w:val="000000" w:themeColor="text1"/>
        </w:rPr>
        <w:t xml:space="preserve"> (1907), delivered by Magistrate H. O. </w:t>
      </w:r>
      <w:proofErr w:type="spellStart"/>
      <w:r w:rsidRPr="00C97BEC">
        <w:rPr>
          <w:rFonts w:ascii="Calibri" w:hAnsi="Calibri" w:cs="Calibri"/>
          <w:color w:val="000000" w:themeColor="text1"/>
        </w:rPr>
        <w:t>Dolbey</w:t>
      </w:r>
      <w:proofErr w:type="spellEnd"/>
      <w:r w:rsidRPr="00C97BEC">
        <w:rPr>
          <w:rFonts w:ascii="Calibri" w:hAnsi="Calibri" w:cs="Calibri"/>
          <w:color w:val="000000" w:themeColor="text1"/>
        </w:rPr>
        <w:t xml:space="preserve">, </w:t>
      </w:r>
      <w:r w:rsidR="001727FA" w:rsidRPr="00C97BEC">
        <w:rPr>
          <w:rFonts w:ascii="Calibri" w:hAnsi="Calibri" w:cs="Calibri"/>
          <w:color w:val="000000" w:themeColor="text1"/>
        </w:rPr>
        <w:t>documenting the prosecution of five European settlers for unlawful assembly and assault following the public flogging of three African men in Nairobi</w:t>
      </w:r>
      <w:r w:rsidR="00D11673" w:rsidRPr="00C97BEC">
        <w:rPr>
          <w:rFonts w:ascii="Calibri" w:hAnsi="Calibri" w:cs="Calibri"/>
          <w:color w:val="000000" w:themeColor="text1"/>
        </w:rPr>
        <w:t xml:space="preserve"> (See Appendix 1)</w:t>
      </w:r>
      <w:r w:rsidRPr="00C97BEC">
        <w:rPr>
          <w:rFonts w:ascii="Calibri" w:hAnsi="Calibri" w:cs="Calibri"/>
          <w:color w:val="000000" w:themeColor="text1"/>
        </w:rPr>
        <w:t xml:space="preserve">. As a rare case in which settlers faced colonial courts, the judgment illuminates the administration’s attempts to regulate settler behaviour while negotiating racial hierarchies and settler autonomy (Kenya National Archives, 1967). </w:t>
      </w:r>
      <w:proofErr w:type="spellStart"/>
      <w:r w:rsidRPr="00C97BEC">
        <w:rPr>
          <w:rFonts w:ascii="Calibri" w:hAnsi="Calibri" w:cs="Calibri"/>
          <w:color w:val="000000" w:themeColor="text1"/>
        </w:rPr>
        <w:t>Dolbey’s</w:t>
      </w:r>
      <w:proofErr w:type="spellEnd"/>
      <w:r w:rsidRPr="00C97BEC">
        <w:rPr>
          <w:rFonts w:ascii="Calibri" w:hAnsi="Calibri" w:cs="Calibri"/>
          <w:color w:val="000000" w:themeColor="text1"/>
        </w:rPr>
        <w:t xml:space="preserve"> judgment exposes the </w:t>
      </w:r>
      <w:r w:rsidR="00F25A70" w:rsidRPr="00C97BEC">
        <w:rPr>
          <w:rFonts w:ascii="Calibri" w:hAnsi="Calibri" w:cs="Calibri"/>
          <w:color w:val="000000" w:themeColor="text1"/>
        </w:rPr>
        <w:t xml:space="preserve">contradictions of colonial justice in the East Africa Protectorate. Intended to enforce law over settlers, it simultaneously upheld racial hierarchies and settler privilege, revealing how colonial </w:t>
      </w:r>
      <w:r w:rsidR="00C97BEC" w:rsidRPr="00C97BEC">
        <w:rPr>
          <w:rFonts w:ascii="Calibri" w:hAnsi="Calibri" w:cs="Calibri"/>
          <w:color w:val="000000" w:themeColor="text1"/>
        </w:rPr>
        <w:t>law</w:t>
      </w:r>
      <w:r w:rsidR="00C97BEC">
        <w:rPr>
          <w:rFonts w:ascii="Calibri" w:hAnsi="Calibri" w:cs="Calibri"/>
          <w:color w:val="000000" w:themeColor="text1"/>
        </w:rPr>
        <w:t xml:space="preserve"> </w:t>
      </w:r>
      <w:r w:rsidR="00C97BEC" w:rsidRPr="00C97BEC">
        <w:rPr>
          <w:rFonts w:ascii="Calibri" w:hAnsi="Calibri" w:cs="Calibri"/>
          <w:color w:val="000000" w:themeColor="text1"/>
        </w:rPr>
        <w:t>maintained</w:t>
      </w:r>
      <w:r w:rsidR="00F25A70" w:rsidRPr="00C97BEC">
        <w:rPr>
          <w:rFonts w:ascii="Calibri" w:hAnsi="Calibri" w:cs="Calibri"/>
          <w:color w:val="000000" w:themeColor="text1"/>
        </w:rPr>
        <w:t xml:space="preserve"> order while legitimising European dominance.</w:t>
      </w:r>
    </w:p>
    <w:p w14:paraId="5EE54161" w14:textId="5B7AAB03" w:rsidR="00F11E16" w:rsidRPr="00C97BEC" w:rsidRDefault="00F11E16" w:rsidP="001727FA">
      <w:pPr>
        <w:spacing w:after="0" w:line="360" w:lineRule="auto"/>
        <w:rPr>
          <w:rFonts w:ascii="Calibri" w:hAnsi="Calibri" w:cs="Calibri"/>
          <w:b/>
          <w:bCs/>
          <w:color w:val="000000" w:themeColor="text1"/>
        </w:rPr>
      </w:pPr>
      <w:r w:rsidRPr="00C97BEC">
        <w:rPr>
          <w:rFonts w:ascii="Calibri" w:hAnsi="Calibri" w:cs="Calibri"/>
          <w:color w:val="000000" w:themeColor="text1"/>
        </w:rPr>
        <w:t xml:space="preserve">The </w:t>
      </w:r>
      <w:r w:rsidR="006E3F97" w:rsidRPr="00C97BEC">
        <w:rPr>
          <w:rFonts w:ascii="Calibri" w:hAnsi="Calibri" w:cs="Calibri"/>
          <w:color w:val="000000" w:themeColor="text1"/>
        </w:rPr>
        <w:t>incident</w:t>
      </w:r>
      <w:r w:rsidRPr="00C97BEC">
        <w:rPr>
          <w:rFonts w:ascii="Calibri" w:hAnsi="Calibri" w:cs="Calibri"/>
          <w:color w:val="000000" w:themeColor="text1"/>
        </w:rPr>
        <w:t xml:space="preserve"> occurred during the early years of British rule in Kenya, when a small but assertive settler community sought to define its authority. Although British officials claimed to uphold impartial justice, settlers often circumvented the courts, viewing rulings in favour of Africans as humiliations and challenges to white prestige. Many relied on extra-judicial corporal punishment to enforce discipline and maintain racial hierarchy, believing Africans could only be governed through coercion (Shadle, 2015, pp. 116–117). Settlers and sympathetic administrators argued that English legal traditions were ill</w:t>
      </w:r>
      <w:r w:rsidR="00F25A70" w:rsidRPr="00C97BEC">
        <w:rPr>
          <w:rFonts w:ascii="Calibri" w:hAnsi="Calibri" w:cs="Calibri"/>
          <w:color w:val="000000" w:themeColor="text1"/>
        </w:rPr>
        <w:t>-</w:t>
      </w:r>
      <w:r w:rsidRPr="00C97BEC">
        <w:rPr>
          <w:rFonts w:ascii="Calibri" w:hAnsi="Calibri" w:cs="Calibri"/>
          <w:color w:val="000000" w:themeColor="text1"/>
        </w:rPr>
        <w:t>suited to African subjects, producing acquittals that undermined white authority. In response, settlers imposed informal punishments</w:t>
      </w:r>
      <w:r w:rsidR="00F25A70" w:rsidRPr="00C97BEC">
        <w:rPr>
          <w:rFonts w:ascii="Calibri" w:hAnsi="Calibri" w:cs="Calibri"/>
          <w:color w:val="000000" w:themeColor="text1"/>
        </w:rPr>
        <w:t xml:space="preserve">, </w:t>
      </w:r>
      <w:r w:rsidRPr="00C97BEC">
        <w:rPr>
          <w:rFonts w:ascii="Calibri" w:hAnsi="Calibri" w:cs="Calibri"/>
          <w:color w:val="000000" w:themeColor="text1"/>
        </w:rPr>
        <w:t>fines, floggings, and confinement</w:t>
      </w:r>
      <w:r w:rsidR="00F25A70" w:rsidRPr="00C97BEC">
        <w:rPr>
          <w:rFonts w:ascii="Calibri" w:hAnsi="Calibri" w:cs="Calibri"/>
          <w:color w:val="000000" w:themeColor="text1"/>
        </w:rPr>
        <w:t xml:space="preserve">, </w:t>
      </w:r>
      <w:r w:rsidRPr="00C97BEC">
        <w:rPr>
          <w:rFonts w:ascii="Calibri" w:hAnsi="Calibri" w:cs="Calibri"/>
          <w:color w:val="000000" w:themeColor="text1"/>
        </w:rPr>
        <w:t xml:space="preserve">widely tolerated within the community, where maintaining order and subordination outweighed legal procedure (Shadle, 2015, pp. 120–122). Similar dynamics existed elsewhere in southern Africa, particularly Natal, where flogging persisted well into the twentieth century as a tool of </w:t>
      </w:r>
      <w:r w:rsidRPr="00C97BEC">
        <w:rPr>
          <w:rFonts w:ascii="Calibri" w:hAnsi="Calibri" w:cs="Calibri"/>
          <w:color w:val="000000" w:themeColor="text1"/>
        </w:rPr>
        <w:lastRenderedPageBreak/>
        <w:t xml:space="preserve">labour discipline and settler solidarity. In Kenya, a settler community of roughly 26,000 by the late 1920s cultivated an ethos of paternalism and autonomy, claiming a natural right to determine native policy and discipline workers according to local custom while resisting metropolitan interference (Anderson, 2011). Imperial debates further shaped this context. From the late nineteenth century, British reformers sought to regulate corporal punishment; in 1902, Colonial Secretary Joseph Chamberlain limited flogging to 24 strokes and prohibited its use on women. In Kenya, however, both the Indian Penal Code and Native Courts Regulations permitted flogging, often exceeding these limits. The </w:t>
      </w:r>
      <w:proofErr w:type="spellStart"/>
      <w:r w:rsidRPr="00C97BEC">
        <w:rPr>
          <w:rStyle w:val="Emphasis"/>
          <w:rFonts w:ascii="Calibri" w:hAnsi="Calibri" w:cs="Calibri"/>
          <w:color w:val="000000" w:themeColor="text1"/>
        </w:rPr>
        <w:t>kiboko</w:t>
      </w:r>
      <w:proofErr w:type="spellEnd"/>
      <w:r w:rsidRPr="00C97BEC">
        <w:rPr>
          <w:rFonts w:ascii="Calibri" w:hAnsi="Calibri" w:cs="Calibri"/>
          <w:color w:val="000000" w:themeColor="text1"/>
        </w:rPr>
        <w:t>, a whip of hippopotamus hide, became a symbol of authority, used judicially and informally despite protests from higher courts</w:t>
      </w:r>
      <w:r w:rsidR="001727FA" w:rsidRPr="00C97BEC">
        <w:rPr>
          <w:rFonts w:ascii="Calibri" w:hAnsi="Calibri" w:cs="Calibri"/>
          <w:color w:val="000000" w:themeColor="text1"/>
        </w:rPr>
        <w:t>.</w:t>
      </w:r>
      <w:r w:rsidRPr="00C97BEC">
        <w:rPr>
          <w:rFonts w:ascii="Calibri" w:hAnsi="Calibri" w:cs="Calibri"/>
          <w:color w:val="000000" w:themeColor="text1"/>
        </w:rPr>
        <w:t xml:space="preserve"> </w:t>
      </w:r>
      <w:r w:rsidR="001727FA" w:rsidRPr="00C97BEC">
        <w:rPr>
          <w:rFonts w:ascii="Calibri" w:hAnsi="Calibri" w:cs="Calibri"/>
          <w:color w:val="000000" w:themeColor="text1"/>
        </w:rPr>
        <w:t>E</w:t>
      </w:r>
      <w:r w:rsidRPr="00C97BEC">
        <w:rPr>
          <w:rFonts w:ascii="Calibri" w:hAnsi="Calibri" w:cs="Calibri"/>
          <w:color w:val="000000" w:themeColor="text1"/>
        </w:rPr>
        <w:t xml:space="preserve">ven after the 1907 Courts Ordinance, corporal punishment continued widely (Anderson, 2011). By 1907, tensions had intensified. The European population had grown sharply, particularly through South African migration, fuelling demands for self-government and a racially exclusive </w:t>
      </w:r>
      <w:r w:rsidR="00C97BEC">
        <w:rPr>
          <w:rFonts w:ascii="Calibri" w:hAnsi="Calibri" w:cs="Calibri"/>
          <w:color w:val="000000" w:themeColor="text1"/>
        </w:rPr>
        <w:t>‘</w:t>
      </w:r>
      <w:r w:rsidRPr="00C97BEC">
        <w:rPr>
          <w:rFonts w:ascii="Calibri" w:hAnsi="Calibri" w:cs="Calibri"/>
          <w:color w:val="000000" w:themeColor="text1"/>
        </w:rPr>
        <w:t>white man’s country.</w:t>
      </w:r>
      <w:r w:rsidR="00C97BEC">
        <w:rPr>
          <w:rFonts w:ascii="Calibri" w:hAnsi="Calibri" w:cs="Calibri"/>
          <w:color w:val="000000" w:themeColor="text1"/>
        </w:rPr>
        <w:t>’</w:t>
      </w:r>
      <w:r w:rsidRPr="00C97BEC">
        <w:rPr>
          <w:rFonts w:ascii="Calibri" w:hAnsi="Calibri" w:cs="Calibri"/>
          <w:color w:val="000000" w:themeColor="text1"/>
        </w:rPr>
        <w:t xml:space="preserve"> Settlers pressed for reduced Indian jurisdiction, greater control over policing, and representation on the legislative council, often motivated by perceived African insolence rather than actual crime (Anderson, 2010).</w:t>
      </w:r>
    </w:p>
    <w:p w14:paraId="3D26BE41" w14:textId="77777777" w:rsidR="002B5DC4" w:rsidRPr="00C97BEC" w:rsidRDefault="002B5DC4" w:rsidP="001727FA">
      <w:pPr>
        <w:spacing w:after="0" w:line="360" w:lineRule="auto"/>
        <w:rPr>
          <w:rFonts w:ascii="Calibri" w:hAnsi="Calibri" w:cs="Calibri"/>
          <w:b/>
          <w:bCs/>
          <w:color w:val="000000" w:themeColor="text1"/>
        </w:rPr>
      </w:pPr>
    </w:p>
    <w:p w14:paraId="10405C61" w14:textId="2E25DF58" w:rsidR="00CB4C1D" w:rsidRPr="00C97BEC" w:rsidRDefault="001C3D6F" w:rsidP="001727FA">
      <w:pPr>
        <w:pStyle w:val="NormalWeb"/>
        <w:spacing w:before="0" w:beforeAutospacing="0" w:after="0" w:afterAutospacing="0" w:line="360" w:lineRule="auto"/>
        <w:rPr>
          <w:rFonts w:ascii="Calibri" w:hAnsi="Calibri" w:cs="Calibri"/>
          <w:color w:val="000000" w:themeColor="text1"/>
        </w:rPr>
      </w:pPr>
      <w:r w:rsidRPr="00C97BEC">
        <w:rPr>
          <w:rFonts w:ascii="Calibri" w:hAnsi="Calibri" w:cs="Calibri"/>
          <w:noProof/>
          <w:color w:val="000000" w:themeColor="text1"/>
          <w14:ligatures w14:val="standardContextual"/>
        </w:rPr>
        <w:drawing>
          <wp:anchor distT="0" distB="0" distL="114300" distR="114300" simplePos="0" relativeHeight="251658240" behindDoc="1" locked="0" layoutInCell="1" allowOverlap="1" wp14:anchorId="2565C829" wp14:editId="33B999E3">
            <wp:simplePos x="0" y="0"/>
            <wp:positionH relativeFrom="margin">
              <wp:align>right</wp:align>
            </wp:positionH>
            <wp:positionV relativeFrom="margin">
              <wp:align>bottom</wp:align>
            </wp:positionV>
            <wp:extent cx="1816735" cy="2902585"/>
            <wp:effectExtent l="12700" t="12700" r="12065" b="18415"/>
            <wp:wrapSquare wrapText="bothSides"/>
            <wp:docPr id="1247155611" name="Picture 4" descr="A person in cowboy hat holding an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55611" name="Picture 4" descr="A person in cowboy hat holding an objec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16735" cy="29025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E3F97" w:rsidRPr="00C97BEC">
        <w:rPr>
          <w:rFonts w:ascii="Calibri" w:hAnsi="Calibri" w:cs="Calibri"/>
          <w:color w:val="000000" w:themeColor="text1"/>
        </w:rPr>
        <w:t>The 1907 ‘black peril’ scare originated with an incident involving Captain Ewart Grogan’s</w:t>
      </w:r>
      <w:r w:rsidRPr="00C97BEC">
        <w:rPr>
          <w:rFonts w:ascii="Calibri" w:hAnsi="Calibri" w:cs="Calibri"/>
          <w:color w:val="000000" w:themeColor="text1"/>
        </w:rPr>
        <w:t xml:space="preserve"> (See Figure 1)</w:t>
      </w:r>
      <w:r w:rsidR="006E3F97" w:rsidRPr="00C97BEC">
        <w:rPr>
          <w:rFonts w:ascii="Calibri" w:hAnsi="Calibri" w:cs="Calibri"/>
          <w:color w:val="000000" w:themeColor="text1"/>
        </w:rPr>
        <w:t xml:space="preserve"> family. On 13 March, Grogan’s sister and a friend </w:t>
      </w:r>
      <w:r w:rsidR="001727FA" w:rsidRPr="00C97BEC">
        <w:rPr>
          <w:rFonts w:ascii="Calibri" w:hAnsi="Calibri" w:cs="Calibri"/>
          <w:color w:val="000000" w:themeColor="text1"/>
        </w:rPr>
        <w:t>alleged that three Kikuyu rickshaw men jolted their rickshaw, sparking a dispute.</w:t>
      </w:r>
      <w:r w:rsidR="006E3F97" w:rsidRPr="00C97BEC">
        <w:rPr>
          <w:rFonts w:ascii="Calibri" w:hAnsi="Calibri" w:cs="Calibri"/>
          <w:color w:val="000000" w:themeColor="text1"/>
        </w:rPr>
        <w:t xml:space="preserve"> The following day, Grogan had the men tied up and publicly flogged outside the Nairobi Magistrate’s Court</w:t>
      </w:r>
      <w:r w:rsidRPr="00C97BEC">
        <w:rPr>
          <w:rFonts w:ascii="Calibri" w:hAnsi="Calibri" w:cs="Calibri"/>
          <w:color w:val="000000" w:themeColor="text1"/>
        </w:rPr>
        <w:t xml:space="preserve"> (See Figure 2)</w:t>
      </w:r>
      <w:r w:rsidR="006E3F97" w:rsidRPr="00C97BEC">
        <w:rPr>
          <w:rFonts w:ascii="Calibri" w:hAnsi="Calibri" w:cs="Calibri"/>
          <w:color w:val="000000" w:themeColor="text1"/>
        </w:rPr>
        <w:t xml:space="preserve">, each receiving twenty-five strokes with a </w:t>
      </w:r>
      <w:proofErr w:type="spellStart"/>
      <w:r w:rsidR="006E3F97" w:rsidRPr="00C97BEC">
        <w:rPr>
          <w:rFonts w:ascii="Calibri" w:hAnsi="Calibri" w:cs="Calibri"/>
          <w:i/>
          <w:iCs/>
          <w:color w:val="000000" w:themeColor="text1"/>
        </w:rPr>
        <w:t>kiboko</w:t>
      </w:r>
      <w:proofErr w:type="spellEnd"/>
      <w:r w:rsidR="006E3F97" w:rsidRPr="00C97BEC">
        <w:rPr>
          <w:rFonts w:ascii="Calibri" w:hAnsi="Calibri" w:cs="Calibri"/>
          <w:color w:val="000000" w:themeColor="text1"/>
        </w:rPr>
        <w:t xml:space="preserve">. Authorities who tried to intervene were pushed aside (Anderson, 2010). Shadle (2012) views this as an example of settler extrajudicial authority. Grogan defended the flogging, stating that the safety of European women could not be left to the courts, reflecting a settler mentality that normalised physical punishment to maintain control. Politically, he used the incident to reinforce his authority and raise his profile as </w:t>
      </w:r>
      <w:r w:rsidR="006E3F97" w:rsidRPr="00C97BEC">
        <w:rPr>
          <w:rFonts w:ascii="Calibri" w:hAnsi="Calibri" w:cs="Calibri"/>
          <w:color w:val="000000" w:themeColor="text1"/>
        </w:rPr>
        <w:lastRenderedPageBreak/>
        <w:t xml:space="preserve">president of the Colonists’ </w:t>
      </w:r>
      <w:r w:rsidR="00C97BEC" w:rsidRPr="00C97BEC">
        <w:rPr>
          <w:rFonts w:ascii="Calibri" w:hAnsi="Calibri" w:cs="Calibri"/>
          <w:noProof/>
          <w:color w:val="000000" w:themeColor="text1"/>
          <w14:ligatures w14:val="standardContextual"/>
        </w:rPr>
        <w:drawing>
          <wp:anchor distT="0" distB="0" distL="114300" distR="114300" simplePos="0" relativeHeight="251659264" behindDoc="1" locked="0" layoutInCell="1" allowOverlap="1" wp14:anchorId="7CF9B80D" wp14:editId="59C83653">
            <wp:simplePos x="0" y="0"/>
            <wp:positionH relativeFrom="margin">
              <wp:posOffset>12700</wp:posOffset>
            </wp:positionH>
            <wp:positionV relativeFrom="margin">
              <wp:posOffset>208280</wp:posOffset>
            </wp:positionV>
            <wp:extent cx="2733040" cy="2183765"/>
            <wp:effectExtent l="12700" t="12700" r="10160" b="13335"/>
            <wp:wrapSquare wrapText="bothSides"/>
            <wp:docPr id="2114648124" name="Picture 5" descr="A street with cars and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48124" name="Picture 5" descr="A street with cars and building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3040" cy="21837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E3F97" w:rsidRPr="00C97BEC">
        <w:rPr>
          <w:rFonts w:ascii="Calibri" w:hAnsi="Calibri" w:cs="Calibri"/>
          <w:color w:val="000000" w:themeColor="text1"/>
        </w:rPr>
        <w:t xml:space="preserve">Association. Meanwhile, settlers pressed for stronger law enforcement, reduced Indian jurisdiction, and expanded European control, aiming to turn the Protectorate into a </w:t>
      </w:r>
      <w:r w:rsidR="00C97BEC">
        <w:rPr>
          <w:rFonts w:ascii="Calibri" w:hAnsi="Calibri" w:cs="Calibri"/>
          <w:color w:val="000000" w:themeColor="text1"/>
        </w:rPr>
        <w:t>‘</w:t>
      </w:r>
      <w:r w:rsidR="006E3F97" w:rsidRPr="00C97BEC">
        <w:rPr>
          <w:rFonts w:ascii="Calibri" w:hAnsi="Calibri" w:cs="Calibri"/>
          <w:color w:val="000000" w:themeColor="text1"/>
        </w:rPr>
        <w:t>white man’s colony</w:t>
      </w:r>
      <w:r w:rsidR="00C97BEC">
        <w:rPr>
          <w:rFonts w:ascii="Calibri" w:hAnsi="Calibri" w:cs="Calibri"/>
          <w:color w:val="000000" w:themeColor="text1"/>
        </w:rPr>
        <w:t>’</w:t>
      </w:r>
      <w:r w:rsidR="006E3F97" w:rsidRPr="00C97BEC">
        <w:rPr>
          <w:rFonts w:ascii="Calibri" w:hAnsi="Calibri" w:cs="Calibri"/>
          <w:color w:val="000000" w:themeColor="text1"/>
        </w:rPr>
        <w:t xml:space="preserve"> (Fall, 2016, pp. 157–165). Grogan’s prominence as explorer, landowner, municipal official, and critic of the administration enabled him to exploit the incident to highlight governance flaws and promote settler interests.</w:t>
      </w:r>
    </w:p>
    <w:p w14:paraId="6222BB49" w14:textId="77777777" w:rsidR="00F25A70" w:rsidRPr="00C97BEC" w:rsidRDefault="00F25A70" w:rsidP="001727FA">
      <w:pPr>
        <w:pStyle w:val="NormalWeb"/>
        <w:spacing w:before="0" w:beforeAutospacing="0" w:after="0" w:afterAutospacing="0" w:line="360" w:lineRule="auto"/>
        <w:rPr>
          <w:rFonts w:ascii="Calibri" w:hAnsi="Calibri" w:cs="Calibri"/>
          <w:color w:val="000000" w:themeColor="text1"/>
        </w:rPr>
      </w:pPr>
    </w:p>
    <w:p w14:paraId="629600D6" w14:textId="6256B5F5" w:rsidR="00EB3ACA" w:rsidRPr="00C97BEC" w:rsidRDefault="00DA6BBA" w:rsidP="001727FA">
      <w:pPr>
        <w:spacing w:after="0" w:line="360" w:lineRule="auto"/>
        <w:rPr>
          <w:rFonts w:ascii="Calibri" w:hAnsi="Calibri" w:cs="Calibri"/>
          <w:b/>
          <w:bCs/>
          <w:color w:val="000000" w:themeColor="text1"/>
        </w:rPr>
      </w:pPr>
      <w:r w:rsidRPr="00C97BEC">
        <w:rPr>
          <w:rFonts w:ascii="Calibri" w:hAnsi="Calibri" w:cs="Calibri"/>
          <w:color w:val="000000" w:themeColor="text1"/>
        </w:rPr>
        <w:t xml:space="preserve">The court judgment provides a clear example of colonial legal reasoning in early twentieth-century East Africa. </w:t>
      </w:r>
      <w:proofErr w:type="spellStart"/>
      <w:r w:rsidRPr="00C97BEC">
        <w:rPr>
          <w:rFonts w:ascii="Calibri" w:hAnsi="Calibri" w:cs="Calibri"/>
          <w:color w:val="000000" w:themeColor="text1"/>
        </w:rPr>
        <w:t>Dolbey</w:t>
      </w:r>
      <w:proofErr w:type="spellEnd"/>
      <w:r w:rsidRPr="00C97BEC">
        <w:rPr>
          <w:rFonts w:ascii="Calibri" w:hAnsi="Calibri" w:cs="Calibri"/>
          <w:color w:val="000000" w:themeColor="text1"/>
        </w:rPr>
        <w:t xml:space="preserve"> frame</w:t>
      </w:r>
      <w:r w:rsidR="003818EA">
        <w:rPr>
          <w:rFonts w:ascii="Calibri" w:hAnsi="Calibri" w:cs="Calibri"/>
          <w:color w:val="000000" w:themeColor="text1"/>
        </w:rPr>
        <w:t>s</w:t>
      </w:r>
      <w:r w:rsidRPr="00C97BEC">
        <w:rPr>
          <w:rFonts w:ascii="Calibri" w:hAnsi="Calibri" w:cs="Calibri"/>
          <w:color w:val="000000" w:themeColor="text1"/>
        </w:rPr>
        <w:t xml:space="preserve"> the case </w:t>
      </w:r>
      <w:r w:rsidR="003818EA">
        <w:rPr>
          <w:rFonts w:ascii="Calibri" w:hAnsi="Calibri" w:cs="Calibri"/>
          <w:color w:val="000000" w:themeColor="text1"/>
        </w:rPr>
        <w:t xml:space="preserve">through </w:t>
      </w:r>
      <w:r w:rsidRPr="00C97BEC">
        <w:rPr>
          <w:rFonts w:ascii="Calibri" w:hAnsi="Calibri" w:cs="Calibri"/>
          <w:color w:val="000000" w:themeColor="text1"/>
        </w:rPr>
        <w:t xml:space="preserve">the Indian Penal Code, citing Sections 141–143 on unlawful assembly, Section 107 on abetment, and </w:t>
      </w:r>
      <w:r w:rsidR="00C97BEC" w:rsidRPr="00C97BEC">
        <w:rPr>
          <w:rFonts w:ascii="Calibri" w:hAnsi="Calibri" w:cs="Calibri"/>
          <w:color w:val="000000" w:themeColor="text1"/>
        </w:rPr>
        <w:t xml:space="preserve">Section </w:t>
      </w:r>
      <w:r w:rsidRPr="00C97BEC">
        <w:rPr>
          <w:rFonts w:ascii="Calibri" w:hAnsi="Calibri" w:cs="Calibri"/>
          <w:color w:val="000000" w:themeColor="text1"/>
        </w:rPr>
        <w:t xml:space="preserve">323 on </w:t>
      </w:r>
      <w:r w:rsidR="00F41C52">
        <w:rPr>
          <w:rFonts w:ascii="Calibri" w:hAnsi="Calibri" w:cs="Calibri"/>
          <w:color w:val="000000" w:themeColor="text1"/>
        </w:rPr>
        <w:t>causing</w:t>
      </w:r>
      <w:r w:rsidR="003818EA">
        <w:rPr>
          <w:rFonts w:ascii="Calibri" w:hAnsi="Calibri" w:cs="Calibri"/>
          <w:color w:val="000000" w:themeColor="text1"/>
        </w:rPr>
        <w:t xml:space="preserve"> harm </w:t>
      </w:r>
      <w:r w:rsidRPr="00C97BEC">
        <w:rPr>
          <w:rFonts w:ascii="Calibri" w:hAnsi="Calibri" w:cs="Calibri"/>
          <w:color w:val="000000" w:themeColor="text1"/>
        </w:rPr>
        <w:t xml:space="preserve">(Devgan 2025, 2025a, 2025b). </w:t>
      </w:r>
      <w:r w:rsidR="006E3F97" w:rsidRPr="00C97BEC">
        <w:rPr>
          <w:rFonts w:ascii="Calibri" w:hAnsi="Calibri" w:cs="Calibri"/>
          <w:color w:val="000000" w:themeColor="text1"/>
        </w:rPr>
        <w:t xml:space="preserve">The judgment is </w:t>
      </w:r>
      <w:r w:rsidR="00DB6EE9">
        <w:rPr>
          <w:rFonts w:ascii="Calibri" w:hAnsi="Calibri" w:cs="Calibri"/>
          <w:color w:val="000000" w:themeColor="text1"/>
        </w:rPr>
        <w:t xml:space="preserve">both </w:t>
      </w:r>
      <w:r w:rsidR="006E3F97" w:rsidRPr="00C97BEC">
        <w:rPr>
          <w:rFonts w:ascii="Calibri" w:hAnsi="Calibri" w:cs="Calibri"/>
          <w:color w:val="000000" w:themeColor="text1"/>
        </w:rPr>
        <w:t xml:space="preserve">formal and legalistic, emphasising precedent, facts, law, and justification rather than the experiences of African victims. </w:t>
      </w:r>
      <w:proofErr w:type="spellStart"/>
      <w:r w:rsidRPr="00C97BEC">
        <w:rPr>
          <w:rFonts w:ascii="Calibri" w:hAnsi="Calibri" w:cs="Calibri"/>
          <w:color w:val="000000" w:themeColor="text1"/>
        </w:rPr>
        <w:t>Dolbey</w:t>
      </w:r>
      <w:proofErr w:type="spellEnd"/>
      <w:r w:rsidRPr="00C97BEC">
        <w:rPr>
          <w:rFonts w:ascii="Calibri" w:hAnsi="Calibri" w:cs="Calibri"/>
          <w:color w:val="000000" w:themeColor="text1"/>
        </w:rPr>
        <w:t xml:space="preserve"> establishes a hierarchy of responsibility</w:t>
      </w:r>
      <w:r w:rsidR="006E3F97" w:rsidRPr="00C97BEC">
        <w:rPr>
          <w:rFonts w:ascii="Calibri" w:hAnsi="Calibri" w:cs="Calibri"/>
          <w:color w:val="000000" w:themeColor="text1"/>
        </w:rPr>
        <w:t>,</w:t>
      </w:r>
      <w:r w:rsidRPr="00C97BEC">
        <w:rPr>
          <w:rFonts w:ascii="Calibri" w:hAnsi="Calibri" w:cs="Calibri"/>
          <w:color w:val="000000" w:themeColor="text1"/>
        </w:rPr>
        <w:t xml:space="preserve"> Grogan as originator, Bowker and Gray as direct perpetrators, and </w:t>
      </w:r>
      <w:proofErr w:type="spellStart"/>
      <w:r w:rsidRPr="00C97BEC">
        <w:rPr>
          <w:rFonts w:ascii="Calibri" w:hAnsi="Calibri" w:cs="Calibri"/>
          <w:color w:val="000000" w:themeColor="text1"/>
        </w:rPr>
        <w:t>Fichat</w:t>
      </w:r>
      <w:proofErr w:type="spellEnd"/>
      <w:r w:rsidRPr="00C97BEC">
        <w:rPr>
          <w:rFonts w:ascii="Calibri" w:hAnsi="Calibri" w:cs="Calibri"/>
          <w:color w:val="000000" w:themeColor="text1"/>
        </w:rPr>
        <w:t xml:space="preserve"> and Low as abettors. </w:t>
      </w:r>
      <w:r w:rsidR="003818EA" w:rsidRPr="003818EA">
        <w:rPr>
          <w:rFonts w:ascii="Calibri" w:hAnsi="Calibri" w:cs="Calibri"/>
        </w:rPr>
        <w:t>Even the crowd is treated as complicit</w:t>
      </w:r>
      <w:r w:rsidRPr="003818EA">
        <w:rPr>
          <w:rFonts w:ascii="Calibri" w:hAnsi="Calibri" w:cs="Calibri"/>
          <w:color w:val="000000" w:themeColor="text1"/>
        </w:rPr>
        <w:t>.</w:t>
      </w:r>
      <w:r w:rsidRPr="00C97BEC">
        <w:rPr>
          <w:rFonts w:ascii="Calibri" w:hAnsi="Calibri" w:cs="Calibri"/>
          <w:color w:val="000000" w:themeColor="text1"/>
        </w:rPr>
        <w:t xml:space="preserve"> He rejects claims that the gathering was lawful or limited in scope, reasoning that continued presence after warnings constituted deliberate defiance, especially in front of the courthouse. </w:t>
      </w:r>
      <w:r w:rsidR="00476AA5" w:rsidRPr="00C97BEC">
        <w:rPr>
          <w:rFonts w:ascii="Calibri" w:hAnsi="Calibri" w:cs="Calibri"/>
          <w:color w:val="000000" w:themeColor="text1"/>
        </w:rPr>
        <w:t>The flogging, each receiving 25 strokes, exceed</w:t>
      </w:r>
      <w:r w:rsidR="001727FA" w:rsidRPr="00C97BEC">
        <w:rPr>
          <w:rFonts w:ascii="Calibri" w:hAnsi="Calibri" w:cs="Calibri"/>
          <w:color w:val="000000" w:themeColor="text1"/>
        </w:rPr>
        <w:t>ed</w:t>
      </w:r>
      <w:r w:rsidR="00476AA5" w:rsidRPr="00C97BEC">
        <w:rPr>
          <w:rFonts w:ascii="Calibri" w:hAnsi="Calibri" w:cs="Calibri"/>
          <w:color w:val="000000" w:themeColor="text1"/>
        </w:rPr>
        <w:t xml:space="preserve"> Chamberlain’s 1902 limit of 24, </w:t>
      </w:r>
      <w:r w:rsidR="001727FA" w:rsidRPr="00C97BEC">
        <w:rPr>
          <w:rFonts w:ascii="Calibri" w:hAnsi="Calibri" w:cs="Calibri"/>
          <w:color w:val="000000" w:themeColor="text1"/>
        </w:rPr>
        <w:t>and symbolised settlers’ willingness to flout colonial law</w:t>
      </w:r>
      <w:r w:rsidR="00476AA5" w:rsidRPr="00C97BEC">
        <w:rPr>
          <w:rFonts w:ascii="Calibri" w:hAnsi="Calibri" w:cs="Calibri"/>
          <w:color w:val="000000" w:themeColor="text1"/>
        </w:rPr>
        <w:t xml:space="preserve">. The case required a magistrate from Kisumu, as the Nairobi magistrate had been a witness. Sentences were light, reflecting the dual aim of asserting law while accommodating settler privilege, with limited redress for African victims (Hansard, 1907). </w:t>
      </w:r>
    </w:p>
    <w:p w14:paraId="6DEFF14D" w14:textId="256C3ACF" w:rsidR="003818EA" w:rsidRDefault="00476AA5" w:rsidP="001727FA">
      <w:pPr>
        <w:pStyle w:val="NormalWeb"/>
        <w:spacing w:line="360" w:lineRule="auto"/>
        <w:rPr>
          <w:rFonts w:ascii="Calibri" w:hAnsi="Calibri" w:cs="Calibri"/>
          <w:color w:val="000000" w:themeColor="text1"/>
        </w:rPr>
      </w:pPr>
      <w:r w:rsidRPr="00C97BEC">
        <w:rPr>
          <w:rFonts w:ascii="Calibri" w:hAnsi="Calibri" w:cs="Calibri"/>
          <w:color w:val="000000" w:themeColor="text1"/>
        </w:rPr>
        <w:t>The judgment reveals the limits of colonial justice</w:t>
      </w:r>
      <w:r w:rsidR="003818EA">
        <w:rPr>
          <w:rFonts w:ascii="Calibri" w:hAnsi="Calibri" w:cs="Calibri"/>
          <w:color w:val="000000" w:themeColor="text1"/>
        </w:rPr>
        <w:t xml:space="preserve"> with unusual clarity</w:t>
      </w:r>
      <w:r w:rsidRPr="00C97BEC">
        <w:rPr>
          <w:rFonts w:ascii="Calibri" w:hAnsi="Calibri" w:cs="Calibri"/>
          <w:color w:val="000000" w:themeColor="text1"/>
        </w:rPr>
        <w:t xml:space="preserve">. African victims are referred to generically as </w:t>
      </w:r>
      <w:r w:rsidR="00C97BEC" w:rsidRPr="00C97BEC">
        <w:rPr>
          <w:rFonts w:ascii="Calibri" w:hAnsi="Calibri" w:cs="Calibri"/>
          <w:color w:val="000000" w:themeColor="text1"/>
        </w:rPr>
        <w:t>‘</w:t>
      </w:r>
      <w:r w:rsidRPr="00C97BEC">
        <w:rPr>
          <w:rFonts w:ascii="Calibri" w:hAnsi="Calibri" w:cs="Calibri"/>
          <w:color w:val="000000" w:themeColor="text1"/>
        </w:rPr>
        <w:t>natives</w:t>
      </w:r>
      <w:r w:rsidR="00C97BEC" w:rsidRPr="00C97BEC">
        <w:rPr>
          <w:rFonts w:ascii="Calibri" w:hAnsi="Calibri" w:cs="Calibri"/>
          <w:color w:val="000000" w:themeColor="text1"/>
        </w:rPr>
        <w:t>’</w:t>
      </w:r>
      <w:r w:rsidRPr="00C97BEC">
        <w:rPr>
          <w:rFonts w:ascii="Calibri" w:hAnsi="Calibri" w:cs="Calibri"/>
          <w:color w:val="000000" w:themeColor="text1"/>
        </w:rPr>
        <w:t xml:space="preserve"> or </w:t>
      </w:r>
      <w:r w:rsidR="00C97BEC" w:rsidRPr="00C97BEC">
        <w:rPr>
          <w:rFonts w:ascii="Calibri" w:hAnsi="Calibri" w:cs="Calibri"/>
          <w:color w:val="000000" w:themeColor="text1"/>
        </w:rPr>
        <w:t>‘</w:t>
      </w:r>
      <w:r w:rsidRPr="00C97BEC">
        <w:rPr>
          <w:rFonts w:ascii="Calibri" w:hAnsi="Calibri" w:cs="Calibri"/>
          <w:color w:val="000000" w:themeColor="text1"/>
        </w:rPr>
        <w:t>boys,</w:t>
      </w:r>
      <w:r w:rsidR="00C97BEC" w:rsidRPr="00C97BEC">
        <w:rPr>
          <w:rFonts w:ascii="Calibri" w:hAnsi="Calibri" w:cs="Calibri"/>
          <w:color w:val="000000" w:themeColor="text1"/>
        </w:rPr>
        <w:t>’</w:t>
      </w:r>
      <w:r w:rsidRPr="00C97BEC">
        <w:rPr>
          <w:rFonts w:ascii="Calibri" w:hAnsi="Calibri" w:cs="Calibri"/>
          <w:color w:val="000000" w:themeColor="text1"/>
        </w:rPr>
        <w:t xml:space="preserve"> while the </w:t>
      </w:r>
      <w:r w:rsidR="00DB6EE9">
        <w:rPr>
          <w:rFonts w:ascii="Calibri" w:hAnsi="Calibri" w:cs="Calibri"/>
          <w:color w:val="000000" w:themeColor="text1"/>
        </w:rPr>
        <w:t>attention</w:t>
      </w:r>
      <w:r w:rsidRPr="00C97BEC">
        <w:rPr>
          <w:rFonts w:ascii="Calibri" w:hAnsi="Calibri" w:cs="Calibri"/>
          <w:color w:val="000000" w:themeColor="text1"/>
        </w:rPr>
        <w:t xml:space="preserve"> remains on European behaviour. The text primarily regulates settler conduct and demonstrates the government’s commitment to order, </w:t>
      </w:r>
      <w:r w:rsidR="009808EF" w:rsidRPr="00C97BEC">
        <w:rPr>
          <w:rFonts w:ascii="Calibri" w:hAnsi="Calibri" w:cs="Calibri"/>
          <w:color w:val="000000" w:themeColor="text1"/>
        </w:rPr>
        <w:t>signalling</w:t>
      </w:r>
      <w:r w:rsidRPr="00C97BEC">
        <w:rPr>
          <w:rFonts w:ascii="Calibri" w:hAnsi="Calibri" w:cs="Calibri"/>
          <w:color w:val="000000" w:themeColor="text1"/>
        </w:rPr>
        <w:t xml:space="preserve"> that extrajudicial violence was unacceptable. Yet leniency and entrenched social hierarchy limited its effectiveness in curbing settler abuses. Key themes emerge: the tension between formal authority and extrajudicial action, </w:t>
      </w:r>
      <w:r w:rsidRPr="00C97BEC">
        <w:rPr>
          <w:rFonts w:ascii="Calibri" w:hAnsi="Calibri" w:cs="Calibri"/>
          <w:color w:val="000000" w:themeColor="text1"/>
        </w:rPr>
        <w:lastRenderedPageBreak/>
        <w:t>normali</w:t>
      </w:r>
      <w:r w:rsidR="009808EF" w:rsidRPr="00C97BEC">
        <w:rPr>
          <w:rFonts w:ascii="Calibri" w:hAnsi="Calibri" w:cs="Calibri"/>
          <w:color w:val="000000" w:themeColor="text1"/>
        </w:rPr>
        <w:t>s</w:t>
      </w:r>
      <w:r w:rsidRPr="00C97BEC">
        <w:rPr>
          <w:rFonts w:ascii="Calibri" w:hAnsi="Calibri" w:cs="Calibri"/>
          <w:color w:val="000000" w:themeColor="text1"/>
        </w:rPr>
        <w:t xml:space="preserve">ation of violence against Africans, and reinforcement of racial hierarchies. </w:t>
      </w:r>
      <w:proofErr w:type="spellStart"/>
      <w:r w:rsidRPr="00C97BEC">
        <w:rPr>
          <w:rFonts w:ascii="Calibri" w:hAnsi="Calibri" w:cs="Calibri"/>
          <w:color w:val="000000" w:themeColor="text1"/>
        </w:rPr>
        <w:t>Dolbey’s</w:t>
      </w:r>
      <w:proofErr w:type="spellEnd"/>
      <w:r w:rsidRPr="00C97BEC">
        <w:rPr>
          <w:rFonts w:ascii="Calibri" w:hAnsi="Calibri" w:cs="Calibri"/>
          <w:color w:val="000000" w:themeColor="text1"/>
        </w:rPr>
        <w:t xml:space="preserve"> moralising language condemns lawlessness while reflecting paternalistic assumptions of European superiority. The absence of African perspectives and broader social context highlights the source’s limitations.</w:t>
      </w:r>
      <w:r w:rsidR="009808EF" w:rsidRPr="00C97BEC">
        <w:rPr>
          <w:rFonts w:ascii="Calibri" w:hAnsi="Calibri" w:cs="Calibri"/>
          <w:color w:val="000000" w:themeColor="text1"/>
        </w:rPr>
        <w:t xml:space="preserve"> </w:t>
      </w:r>
      <w:r w:rsidRPr="00C97BEC">
        <w:rPr>
          <w:rFonts w:ascii="Calibri" w:hAnsi="Calibri" w:cs="Calibri"/>
          <w:color w:val="000000" w:themeColor="text1"/>
        </w:rPr>
        <w:t xml:space="preserve">The judgment illustrates colonial law’s dual role as a mechanism of order and a discourse of morality. </w:t>
      </w:r>
    </w:p>
    <w:p w14:paraId="2D40F6A4" w14:textId="570B1C2E" w:rsidR="00CB4C1D" w:rsidRPr="00C97BEC" w:rsidRDefault="00476AA5" w:rsidP="001727FA">
      <w:pPr>
        <w:pStyle w:val="NormalWeb"/>
        <w:spacing w:line="360" w:lineRule="auto"/>
        <w:rPr>
          <w:rFonts w:ascii="Calibri" w:hAnsi="Calibri" w:cs="Calibri"/>
          <w:color w:val="000000" w:themeColor="text1"/>
        </w:rPr>
      </w:pPr>
      <w:proofErr w:type="spellStart"/>
      <w:r w:rsidRPr="00C97BEC">
        <w:rPr>
          <w:rFonts w:ascii="Calibri" w:hAnsi="Calibri" w:cs="Calibri"/>
          <w:color w:val="000000" w:themeColor="text1"/>
        </w:rPr>
        <w:t>Dolbey</w:t>
      </w:r>
      <w:proofErr w:type="spellEnd"/>
      <w:r w:rsidRPr="00C97BEC">
        <w:rPr>
          <w:rFonts w:ascii="Calibri" w:hAnsi="Calibri" w:cs="Calibri"/>
          <w:color w:val="000000" w:themeColor="text1"/>
        </w:rPr>
        <w:t xml:space="preserve"> asserts legal supremacy over settler excess, but selective enforcement, lenient sentencing, and exclusion of African voices reveal structural inequalities. The flogging, </w:t>
      </w:r>
      <w:r w:rsidR="009808EF" w:rsidRPr="00C97BEC">
        <w:rPr>
          <w:rFonts w:ascii="Calibri" w:hAnsi="Calibri" w:cs="Calibri"/>
          <w:color w:val="000000" w:themeColor="text1"/>
        </w:rPr>
        <w:t xml:space="preserve">the </w:t>
      </w:r>
      <w:r w:rsidRPr="00C97BEC">
        <w:rPr>
          <w:rFonts w:ascii="Calibri" w:hAnsi="Calibri" w:cs="Calibri"/>
          <w:color w:val="000000" w:themeColor="text1"/>
        </w:rPr>
        <w:t xml:space="preserve">requirement for an impartial magistrate, and </w:t>
      </w:r>
      <w:r w:rsidR="009808EF" w:rsidRPr="00C97BEC">
        <w:rPr>
          <w:rFonts w:ascii="Calibri" w:hAnsi="Calibri" w:cs="Calibri"/>
          <w:color w:val="000000" w:themeColor="text1"/>
        </w:rPr>
        <w:t xml:space="preserve">the </w:t>
      </w:r>
      <w:r w:rsidRPr="00C97BEC">
        <w:rPr>
          <w:rFonts w:ascii="Calibri" w:hAnsi="Calibri" w:cs="Calibri"/>
          <w:color w:val="000000" w:themeColor="text1"/>
        </w:rPr>
        <w:t xml:space="preserve">police response demonstrate the balancing act of enforcing </w:t>
      </w:r>
      <w:r w:rsidR="009808EF" w:rsidRPr="00C97BEC">
        <w:rPr>
          <w:rFonts w:ascii="Calibri" w:hAnsi="Calibri" w:cs="Calibri"/>
          <w:color w:val="000000" w:themeColor="text1"/>
        </w:rPr>
        <w:t xml:space="preserve">the </w:t>
      </w:r>
      <w:r w:rsidRPr="00C97BEC">
        <w:rPr>
          <w:rFonts w:ascii="Calibri" w:hAnsi="Calibri" w:cs="Calibri"/>
          <w:color w:val="000000" w:themeColor="text1"/>
        </w:rPr>
        <w:t>law while preserving settler privilege. The text transforms a violent act into a lesson on discipline and obedience, reaffirming state authority while maintaining racial hierarchies.</w:t>
      </w:r>
      <w:r w:rsidR="009808EF" w:rsidRPr="00C97BEC">
        <w:rPr>
          <w:rFonts w:ascii="Calibri" w:hAnsi="Calibri" w:cs="Calibri"/>
          <w:color w:val="000000" w:themeColor="text1"/>
        </w:rPr>
        <w:t xml:space="preserve"> </w:t>
      </w:r>
      <w:r w:rsidR="00EB3ACA" w:rsidRPr="00C97BEC">
        <w:rPr>
          <w:rFonts w:ascii="Calibri" w:hAnsi="Calibri" w:cs="Calibri"/>
          <w:color w:val="000000" w:themeColor="text1"/>
        </w:rPr>
        <w:t xml:space="preserve">Ultimately, the judgment demonstrates the dual function of colonial law as both a mechanism of order and a discourse of morality. </w:t>
      </w:r>
      <w:proofErr w:type="spellStart"/>
      <w:r w:rsidR="00EB3ACA" w:rsidRPr="00C97BEC">
        <w:rPr>
          <w:rFonts w:ascii="Calibri" w:hAnsi="Calibri" w:cs="Calibri"/>
          <w:color w:val="000000" w:themeColor="text1"/>
        </w:rPr>
        <w:t>Dolbey’s</w:t>
      </w:r>
      <w:proofErr w:type="spellEnd"/>
      <w:r w:rsidR="00EB3ACA" w:rsidRPr="00C97BEC">
        <w:rPr>
          <w:rFonts w:ascii="Calibri" w:hAnsi="Calibri" w:cs="Calibri"/>
          <w:color w:val="000000" w:themeColor="text1"/>
        </w:rPr>
        <w:t xml:space="preserve"> legal reasoning, moral rhetoric, and insistence on authority assert the supremacy of law in the face of settler excess. Yet lenient sentencing, the exclusion of African voices, and selective enforcement reveal structural inequalities. The case of the 25 strokes, the requirement for an impartial magistrate from Kisumu, and the police response illustrate the balancing act of colonial authority: enforcing law while accommodating settler privilege. The text transforms a violent act into a lesson on discipline and obedience, reaffirming the moral authority of the colonial state while leaving the racial foundations of power intact. As a legal document, it performs more than adjudication</w:t>
      </w:r>
      <w:r w:rsidR="000B65EB">
        <w:rPr>
          <w:rFonts w:ascii="Calibri" w:hAnsi="Calibri" w:cs="Calibri"/>
          <w:color w:val="000000" w:themeColor="text1"/>
        </w:rPr>
        <w:t>,</w:t>
      </w:r>
      <w:r w:rsidR="00EB3ACA" w:rsidRPr="00C97BEC">
        <w:rPr>
          <w:rFonts w:ascii="Calibri" w:hAnsi="Calibri" w:cs="Calibri"/>
          <w:color w:val="000000" w:themeColor="text1"/>
        </w:rPr>
        <w:t xml:space="preserve"> it reasserts control, preserves hierarchy, and defines justice in ways that protect imperial prestige.</w:t>
      </w:r>
    </w:p>
    <w:p w14:paraId="08B1BA81" w14:textId="5B29E19B" w:rsidR="00476AA5" w:rsidRPr="00C97BEC" w:rsidRDefault="00476AA5" w:rsidP="001727FA">
      <w:pPr>
        <w:spacing w:line="360" w:lineRule="auto"/>
        <w:rPr>
          <w:rFonts w:ascii="Calibri" w:hAnsi="Calibri" w:cs="Calibri"/>
          <w:color w:val="000000" w:themeColor="text1"/>
        </w:rPr>
      </w:pPr>
      <w:r w:rsidRPr="00C97BEC">
        <w:rPr>
          <w:rFonts w:ascii="Calibri" w:hAnsi="Calibri" w:cs="Calibri"/>
          <w:color w:val="000000" w:themeColor="text1"/>
        </w:rPr>
        <w:t xml:space="preserve">The case reached the House of Commons on 18 April 1907, where Winston Churchill, then Under-Secretary of State for the Colonies, addressed the incident. Parliamentary attention reflects the challenge the case posed to colonial authority and settler violence. Churchill’s responses stressed the need to expand white policing and control </w:t>
      </w:r>
      <w:r w:rsidR="00C97BEC">
        <w:rPr>
          <w:rFonts w:ascii="Calibri" w:hAnsi="Calibri" w:cs="Calibri"/>
          <w:color w:val="000000" w:themeColor="text1"/>
        </w:rPr>
        <w:t>‘</w:t>
      </w:r>
      <w:r w:rsidRPr="00C97BEC">
        <w:rPr>
          <w:rFonts w:ascii="Calibri" w:hAnsi="Calibri" w:cs="Calibri"/>
          <w:color w:val="000000" w:themeColor="text1"/>
        </w:rPr>
        <w:t>lawlessness,</w:t>
      </w:r>
      <w:r w:rsidR="00C97BEC">
        <w:rPr>
          <w:rFonts w:ascii="Calibri" w:hAnsi="Calibri" w:cs="Calibri"/>
          <w:color w:val="000000" w:themeColor="text1"/>
        </w:rPr>
        <w:t>’</w:t>
      </w:r>
      <w:r w:rsidRPr="00C97BEC">
        <w:rPr>
          <w:rFonts w:ascii="Calibri" w:hAnsi="Calibri" w:cs="Calibri"/>
          <w:color w:val="000000" w:themeColor="text1"/>
        </w:rPr>
        <w:t xml:space="preserve"> while the conviction for unlawful assembly highlighted concerns over public defiance of authority (Hansard, 1907).</w:t>
      </w:r>
    </w:p>
    <w:p w14:paraId="7B857636" w14:textId="21653B92" w:rsidR="00E7643A" w:rsidRDefault="00E7643A" w:rsidP="00C97BEC">
      <w:pPr>
        <w:spacing w:after="0" w:line="360" w:lineRule="auto"/>
        <w:rPr>
          <w:rFonts w:ascii="Calibri" w:hAnsi="Calibri" w:cs="Calibri"/>
          <w:color w:val="000000" w:themeColor="text1"/>
        </w:rPr>
      </w:pPr>
      <w:r w:rsidRPr="00C97BEC">
        <w:rPr>
          <w:rFonts w:ascii="Calibri" w:hAnsi="Calibri" w:cs="Calibri"/>
          <w:color w:val="000000" w:themeColor="text1"/>
        </w:rPr>
        <w:t>Grogan, Gray, and Bowker were sentenced to one month in prison. Although the sentence was relatively mild</w:t>
      </w:r>
      <w:r w:rsidR="00476AA5" w:rsidRPr="00C97BEC">
        <w:rPr>
          <w:rFonts w:ascii="Calibri" w:hAnsi="Calibri" w:cs="Calibri"/>
          <w:color w:val="000000" w:themeColor="text1"/>
        </w:rPr>
        <w:t xml:space="preserve">, </w:t>
      </w:r>
      <w:r w:rsidRPr="00C97BEC">
        <w:rPr>
          <w:rFonts w:ascii="Calibri" w:hAnsi="Calibri" w:cs="Calibri"/>
          <w:color w:val="000000" w:themeColor="text1"/>
        </w:rPr>
        <w:t xml:space="preserve">they were likely among the most astonished Europeans in Africa on the first night of their confinement. About three months later, Grogan and Gray appealed. The </w:t>
      </w:r>
      <w:r w:rsidRPr="00C97BEC">
        <w:rPr>
          <w:rFonts w:ascii="Calibri" w:hAnsi="Calibri" w:cs="Calibri"/>
          <w:color w:val="000000" w:themeColor="text1"/>
        </w:rPr>
        <w:lastRenderedPageBreak/>
        <w:t>higher court overturned the magistrate’s decision but refused to order a new trial, as the</w:t>
      </w:r>
      <w:r w:rsidR="00AB13B4" w:rsidRPr="00C97BEC">
        <w:rPr>
          <w:rFonts w:ascii="Calibri" w:hAnsi="Calibri" w:cs="Calibri"/>
          <w:color w:val="000000" w:themeColor="text1"/>
        </w:rPr>
        <w:t xml:space="preserve"> sentence</w:t>
      </w:r>
      <w:r w:rsidRPr="00C97BEC">
        <w:rPr>
          <w:rFonts w:ascii="Calibri" w:hAnsi="Calibri" w:cs="Calibri"/>
          <w:color w:val="000000" w:themeColor="text1"/>
        </w:rPr>
        <w:t xml:space="preserve"> had already </w:t>
      </w:r>
      <w:r w:rsidR="00AB13B4" w:rsidRPr="00C97BEC">
        <w:rPr>
          <w:rFonts w:ascii="Calibri" w:hAnsi="Calibri" w:cs="Calibri"/>
          <w:color w:val="000000" w:themeColor="text1"/>
        </w:rPr>
        <w:t>been</w:t>
      </w:r>
      <w:r w:rsidRPr="00C97BEC">
        <w:rPr>
          <w:rFonts w:ascii="Calibri" w:hAnsi="Calibri" w:cs="Calibri"/>
          <w:color w:val="000000" w:themeColor="text1"/>
        </w:rPr>
        <w:t xml:space="preserve"> se</w:t>
      </w:r>
      <w:r w:rsidR="00AB13B4" w:rsidRPr="00C97BEC">
        <w:rPr>
          <w:rFonts w:ascii="Calibri" w:hAnsi="Calibri" w:cs="Calibri"/>
          <w:color w:val="000000" w:themeColor="text1"/>
        </w:rPr>
        <w:t>rved</w:t>
      </w:r>
      <w:r w:rsidRPr="00C97BEC">
        <w:rPr>
          <w:rFonts w:ascii="Calibri" w:hAnsi="Calibri" w:cs="Calibri"/>
          <w:color w:val="000000" w:themeColor="text1"/>
        </w:rPr>
        <w:t>. The colonial government then appealed to the Court at Zanzibar against the High Court’s acquittal, but the appeal was withdrawn</w:t>
      </w:r>
      <w:r w:rsidR="00DC682F" w:rsidRPr="00C97BEC">
        <w:rPr>
          <w:rFonts w:ascii="Calibri" w:hAnsi="Calibri" w:cs="Calibri"/>
          <w:color w:val="000000" w:themeColor="text1"/>
        </w:rPr>
        <w:t xml:space="preserve"> </w:t>
      </w:r>
      <w:r w:rsidRPr="00C97BEC">
        <w:rPr>
          <w:rFonts w:ascii="Calibri" w:hAnsi="Calibri" w:cs="Calibri"/>
          <w:color w:val="000000" w:themeColor="text1"/>
        </w:rPr>
        <w:t>(Ross, 1927, p. 170).</w:t>
      </w:r>
    </w:p>
    <w:p w14:paraId="3DF368E9" w14:textId="77777777" w:rsidR="00C97BEC" w:rsidRPr="00C97BEC" w:rsidRDefault="00C97BEC" w:rsidP="00C97BEC">
      <w:pPr>
        <w:spacing w:after="0" w:line="360" w:lineRule="auto"/>
        <w:rPr>
          <w:rFonts w:ascii="Calibri" w:hAnsi="Calibri" w:cs="Calibri"/>
          <w:color w:val="000000" w:themeColor="text1"/>
        </w:rPr>
      </w:pPr>
    </w:p>
    <w:p w14:paraId="4A14F43F" w14:textId="06094DFC" w:rsidR="00E7643A" w:rsidRDefault="006E3F97" w:rsidP="00C97BEC">
      <w:pPr>
        <w:spacing w:after="0" w:line="360" w:lineRule="auto"/>
        <w:rPr>
          <w:rFonts w:ascii="Calibri" w:hAnsi="Calibri" w:cs="Calibri"/>
          <w:color w:val="000000" w:themeColor="text1"/>
          <w:kern w:val="0"/>
          <w14:ligatures w14:val="none"/>
        </w:rPr>
      </w:pPr>
      <w:r w:rsidRPr="00C97BEC">
        <w:rPr>
          <w:rFonts w:ascii="Calibri" w:hAnsi="Calibri" w:cs="Calibri"/>
          <w:color w:val="000000" w:themeColor="text1"/>
          <w:kern w:val="0"/>
          <w14:ligatures w14:val="none"/>
        </w:rPr>
        <w:t xml:space="preserve">The Grogan flogging and debates over </w:t>
      </w:r>
      <w:r w:rsidR="00C97BEC" w:rsidRPr="00C97BEC">
        <w:rPr>
          <w:rFonts w:ascii="Calibri" w:hAnsi="Calibri" w:cs="Calibri"/>
          <w:color w:val="000000" w:themeColor="text1"/>
          <w:kern w:val="0"/>
          <w14:ligatures w14:val="none"/>
        </w:rPr>
        <w:t>‘</w:t>
      </w:r>
      <w:r w:rsidRPr="00C97BEC">
        <w:rPr>
          <w:rFonts w:ascii="Calibri" w:hAnsi="Calibri" w:cs="Calibri"/>
          <w:color w:val="000000" w:themeColor="text1"/>
          <w:kern w:val="0"/>
          <w14:ligatures w14:val="none"/>
        </w:rPr>
        <w:t>black peril</w:t>
      </w:r>
      <w:r w:rsidR="00C97BEC" w:rsidRPr="00C97BEC">
        <w:rPr>
          <w:rFonts w:ascii="Calibri" w:hAnsi="Calibri" w:cs="Calibri"/>
          <w:color w:val="000000" w:themeColor="text1"/>
          <w:kern w:val="0"/>
          <w14:ligatures w14:val="none"/>
        </w:rPr>
        <w:t>’</w:t>
      </w:r>
      <w:r w:rsidRPr="00C97BEC">
        <w:rPr>
          <w:rFonts w:ascii="Calibri" w:hAnsi="Calibri" w:cs="Calibri"/>
          <w:color w:val="000000" w:themeColor="text1"/>
          <w:kern w:val="0"/>
          <w14:ligatures w14:val="none"/>
        </w:rPr>
        <w:t xml:space="preserve"> illustrate how settler notions about race, prestige, and masculinity influenced colonial justice in Kenya. Settlers saw African assaults, especially against white women, as threats justifying public violence to communicate a warning to both Africans and the colonial authorities. Grogan’s use of the </w:t>
      </w:r>
      <w:proofErr w:type="spellStart"/>
      <w:r w:rsidRPr="00C97BEC">
        <w:rPr>
          <w:rFonts w:ascii="Calibri" w:hAnsi="Calibri" w:cs="Calibri"/>
          <w:i/>
          <w:iCs/>
          <w:color w:val="000000" w:themeColor="text1"/>
          <w:kern w:val="0"/>
          <w14:ligatures w14:val="none"/>
        </w:rPr>
        <w:t>kiboko</w:t>
      </w:r>
      <w:proofErr w:type="spellEnd"/>
      <w:r w:rsidRPr="00C97BEC">
        <w:rPr>
          <w:rFonts w:ascii="Calibri" w:hAnsi="Calibri" w:cs="Calibri"/>
          <w:color w:val="000000" w:themeColor="text1"/>
          <w:kern w:val="0"/>
          <w14:ligatures w14:val="none"/>
        </w:rPr>
        <w:t xml:space="preserve"> in a magistrate’s courtyard exemplified this spectacle, showing disregard for the judiciary and assertion of white dominance. Settlers believed courts were too lenient and that legal failures encouraged African insolence, </w:t>
      </w:r>
      <w:r w:rsidR="00DB6EE9">
        <w:rPr>
          <w:rFonts w:ascii="Calibri" w:hAnsi="Calibri" w:cs="Calibri"/>
          <w:color w:val="000000" w:themeColor="text1"/>
          <w:kern w:val="0"/>
          <w14:ligatures w14:val="none"/>
        </w:rPr>
        <w:t>strengthening</w:t>
      </w:r>
      <w:r w:rsidRPr="00C97BEC">
        <w:rPr>
          <w:rFonts w:ascii="Calibri" w:hAnsi="Calibri" w:cs="Calibri"/>
          <w:color w:val="000000" w:themeColor="text1"/>
          <w:kern w:val="0"/>
          <w14:ligatures w14:val="none"/>
        </w:rPr>
        <w:t xml:space="preserve"> the need for corporal punishment. </w:t>
      </w:r>
      <w:r w:rsidR="00DC682F" w:rsidRPr="00C97BEC">
        <w:rPr>
          <w:rFonts w:ascii="Calibri" w:hAnsi="Calibri" w:cs="Calibri"/>
          <w:color w:val="000000" w:themeColor="text1"/>
          <w:kern w:val="0"/>
          <w14:ligatures w14:val="none"/>
        </w:rPr>
        <w:t>T</w:t>
      </w:r>
      <w:r w:rsidR="00DC682F" w:rsidRPr="00C97BEC">
        <w:rPr>
          <w:rFonts w:ascii="Calibri" w:hAnsi="Calibri" w:cs="Calibri"/>
          <w:color w:val="000000" w:themeColor="text1"/>
        </w:rPr>
        <w:t xml:space="preserve">heir pressure prompted reforms, including elevating rape to a capital offence, reflecting a racialised logic that prioritised white victims over African ones. The episode </w:t>
      </w:r>
      <w:r w:rsidR="00DB6EE9">
        <w:rPr>
          <w:rFonts w:ascii="Calibri" w:hAnsi="Calibri" w:cs="Calibri"/>
          <w:color w:val="000000" w:themeColor="text1"/>
        </w:rPr>
        <w:t>illustrates</w:t>
      </w:r>
      <w:r w:rsidR="00DC682F" w:rsidRPr="00C97BEC">
        <w:rPr>
          <w:rFonts w:ascii="Calibri" w:hAnsi="Calibri" w:cs="Calibri"/>
          <w:color w:val="000000" w:themeColor="text1"/>
        </w:rPr>
        <w:t xml:space="preserve"> the tension between British ideals of impartial law and the reality of colonial rule, where legal authority was subordinated to settler interests and violence institutionalised racial hierarchy</w:t>
      </w:r>
      <w:r w:rsidRPr="00C97BEC">
        <w:rPr>
          <w:rFonts w:ascii="Calibri" w:hAnsi="Calibri" w:cs="Calibri"/>
          <w:color w:val="000000" w:themeColor="text1"/>
          <w:kern w:val="0"/>
          <w14:ligatures w14:val="none"/>
        </w:rPr>
        <w:t xml:space="preserve"> (Shadle, 2015, pp. 130-137).</w:t>
      </w:r>
    </w:p>
    <w:p w14:paraId="030BBBFF" w14:textId="77777777" w:rsidR="00C97BEC" w:rsidRPr="00C97BEC" w:rsidRDefault="00C97BEC" w:rsidP="00C97BEC">
      <w:pPr>
        <w:spacing w:after="0" w:line="360" w:lineRule="auto"/>
        <w:rPr>
          <w:rFonts w:ascii="Calibri" w:hAnsi="Calibri" w:cs="Calibri"/>
          <w:color w:val="000000" w:themeColor="text1"/>
          <w:kern w:val="0"/>
          <w14:ligatures w14:val="none"/>
        </w:rPr>
      </w:pPr>
    </w:p>
    <w:p w14:paraId="011C47FB" w14:textId="3763070A" w:rsidR="006C4C59" w:rsidRPr="001727FA" w:rsidRDefault="00DC682F" w:rsidP="001727FA">
      <w:pPr>
        <w:spacing w:after="0" w:line="360" w:lineRule="auto"/>
        <w:rPr>
          <w:rFonts w:ascii="Calibri" w:hAnsi="Calibri" w:cs="Calibri"/>
          <w:b/>
          <w:bCs/>
          <w:color w:val="000000" w:themeColor="text1"/>
        </w:rPr>
      </w:pPr>
      <w:proofErr w:type="spellStart"/>
      <w:r w:rsidRPr="00C97BEC">
        <w:rPr>
          <w:rFonts w:ascii="Calibri" w:hAnsi="Calibri" w:cs="Calibri"/>
          <w:color w:val="000000" w:themeColor="text1"/>
        </w:rPr>
        <w:t>Dolbey’s</w:t>
      </w:r>
      <w:proofErr w:type="spellEnd"/>
      <w:r w:rsidRPr="00C97BEC">
        <w:rPr>
          <w:rFonts w:ascii="Calibri" w:hAnsi="Calibri" w:cs="Calibri"/>
          <w:color w:val="000000" w:themeColor="text1"/>
        </w:rPr>
        <w:t xml:space="preserve"> judgment exposes the contradictions of colonial justice in early twentieth-century Kenya. </w:t>
      </w:r>
      <w:r w:rsidR="00DB6EE9">
        <w:rPr>
          <w:rFonts w:ascii="Calibri" w:hAnsi="Calibri" w:cs="Calibri"/>
          <w:color w:val="000000" w:themeColor="text1"/>
        </w:rPr>
        <w:t>Although</w:t>
      </w:r>
      <w:r w:rsidRPr="00C97BEC">
        <w:rPr>
          <w:rFonts w:ascii="Calibri" w:hAnsi="Calibri" w:cs="Calibri"/>
          <w:color w:val="000000" w:themeColor="text1"/>
        </w:rPr>
        <w:t xml:space="preserve"> intended to enforce the law over European settlers, it simultaneously upheld racial hierarchies and settler privilege: sentences were light, African victims remained marginalised, and the law accommodated settlers’ status and autonomy. The case demonstrates how colonial </w:t>
      </w:r>
      <w:proofErr w:type="gramStart"/>
      <w:r w:rsidRPr="00C97BEC">
        <w:rPr>
          <w:rFonts w:ascii="Calibri" w:hAnsi="Calibri" w:cs="Calibri"/>
          <w:color w:val="000000" w:themeColor="text1"/>
        </w:rPr>
        <w:t>law maintained</w:t>
      </w:r>
      <w:proofErr w:type="gramEnd"/>
      <w:r w:rsidRPr="00C97BEC">
        <w:rPr>
          <w:rFonts w:ascii="Calibri" w:hAnsi="Calibri" w:cs="Calibri"/>
          <w:color w:val="000000" w:themeColor="text1"/>
        </w:rPr>
        <w:t xml:space="preserve"> order while legitimising European dominance—punishing misbehaviour and reinforcing </w:t>
      </w:r>
      <w:proofErr w:type="gramStart"/>
      <w:r w:rsidRPr="00C97BEC">
        <w:rPr>
          <w:rFonts w:ascii="Calibri" w:hAnsi="Calibri" w:cs="Calibri"/>
          <w:color w:val="000000" w:themeColor="text1"/>
        </w:rPr>
        <w:t>authority, yet</w:t>
      </w:r>
      <w:proofErr w:type="gramEnd"/>
      <w:r w:rsidRPr="00C97BEC">
        <w:rPr>
          <w:rFonts w:ascii="Calibri" w:hAnsi="Calibri" w:cs="Calibri"/>
          <w:color w:val="000000" w:themeColor="text1"/>
        </w:rPr>
        <w:t xml:space="preserve"> preserving racial inequalities and signalling European impunity. By transforming a violent act into a legal and moral lesson, the judgment shows that colonial justice was never simply about enforcing law; it functioned as a mechanism for sustaining a racially structured power system, embedding inequality within the very framework of legal authority.</w:t>
      </w:r>
    </w:p>
    <w:p w14:paraId="40857627" w14:textId="77777777" w:rsidR="006C4C59" w:rsidRPr="00EC13CB" w:rsidRDefault="006C4C59" w:rsidP="00504E42">
      <w:pPr>
        <w:spacing w:line="240" w:lineRule="auto"/>
        <w:jc w:val="center"/>
        <w:rPr>
          <w:rFonts w:ascii="Calibri" w:hAnsi="Calibri" w:cs="Calibri"/>
          <w:b/>
          <w:bCs/>
        </w:rPr>
      </w:pPr>
    </w:p>
    <w:p w14:paraId="2DD1E9B9" w14:textId="77777777" w:rsidR="006C4C59" w:rsidRPr="00EC13CB" w:rsidRDefault="006C4C59" w:rsidP="00EC13CB">
      <w:pPr>
        <w:spacing w:line="240" w:lineRule="auto"/>
        <w:rPr>
          <w:rFonts w:ascii="Calibri" w:hAnsi="Calibri" w:cs="Calibri"/>
          <w:b/>
          <w:bCs/>
        </w:rPr>
      </w:pPr>
    </w:p>
    <w:p w14:paraId="19D21975" w14:textId="77777777" w:rsidR="001C3D6F" w:rsidRDefault="001C3D6F" w:rsidP="002350B8">
      <w:pPr>
        <w:spacing w:line="276" w:lineRule="auto"/>
        <w:rPr>
          <w:rFonts w:ascii="Calibri" w:hAnsi="Calibri" w:cs="Calibri"/>
          <w:b/>
          <w:bCs/>
        </w:rPr>
      </w:pPr>
    </w:p>
    <w:p w14:paraId="41AB71B0" w14:textId="4B370BF2" w:rsidR="006C4C59" w:rsidRPr="002350B8" w:rsidRDefault="006C4C59" w:rsidP="002350B8">
      <w:pPr>
        <w:spacing w:line="276" w:lineRule="auto"/>
        <w:rPr>
          <w:rFonts w:ascii="Calibri" w:hAnsi="Calibri" w:cs="Calibri"/>
          <w:b/>
          <w:bCs/>
          <w:color w:val="000000" w:themeColor="text1"/>
        </w:rPr>
      </w:pPr>
      <w:r w:rsidRPr="002350B8">
        <w:rPr>
          <w:rFonts w:ascii="Calibri" w:hAnsi="Calibri" w:cs="Calibri"/>
          <w:b/>
          <w:bCs/>
          <w:color w:val="000000" w:themeColor="text1"/>
        </w:rPr>
        <w:lastRenderedPageBreak/>
        <w:t>BIBLIOGRAPHY</w:t>
      </w:r>
    </w:p>
    <w:p w14:paraId="705788EB" w14:textId="77777777" w:rsidR="002350B8" w:rsidRDefault="006C4C59" w:rsidP="001727FA">
      <w:pPr>
        <w:spacing w:after="0" w:line="276" w:lineRule="auto"/>
        <w:rPr>
          <w:rFonts w:ascii="Calibri" w:hAnsi="Calibri" w:cs="Calibri"/>
          <w:b/>
          <w:bCs/>
          <w:color w:val="000000" w:themeColor="text1"/>
        </w:rPr>
      </w:pPr>
      <w:r w:rsidRPr="00EC68B8">
        <w:rPr>
          <w:rFonts w:ascii="Calibri" w:hAnsi="Calibri" w:cs="Calibri"/>
          <w:b/>
          <w:bCs/>
          <w:color w:val="000000" w:themeColor="text1"/>
        </w:rPr>
        <w:t xml:space="preserve">Primary Source </w:t>
      </w:r>
    </w:p>
    <w:p w14:paraId="0701EB09" w14:textId="1BEB351B" w:rsidR="00DB2D0C" w:rsidRPr="00DB2D0C" w:rsidRDefault="00DB2D0C" w:rsidP="00DB2D0C">
      <w:pPr>
        <w:pStyle w:val="Heading3"/>
        <w:rPr>
          <w:rFonts w:ascii="Calibri" w:hAnsi="Calibri" w:cs="Calibri"/>
          <w:sz w:val="24"/>
          <w:szCs w:val="24"/>
        </w:rPr>
      </w:pPr>
      <w:proofErr w:type="spellStart"/>
      <w:r w:rsidRPr="00DB2D0C">
        <w:rPr>
          <w:rFonts w:ascii="Calibri" w:hAnsi="Calibri" w:cs="Calibri"/>
          <w:color w:val="000000" w:themeColor="text1"/>
          <w:sz w:val="24"/>
          <w:szCs w:val="24"/>
        </w:rPr>
        <w:t>Dolbey</w:t>
      </w:r>
      <w:proofErr w:type="spellEnd"/>
      <w:r w:rsidRPr="00DB2D0C">
        <w:rPr>
          <w:rFonts w:ascii="Calibri" w:hAnsi="Calibri" w:cs="Calibri"/>
          <w:color w:val="000000" w:themeColor="text1"/>
          <w:sz w:val="24"/>
          <w:szCs w:val="24"/>
        </w:rPr>
        <w:t>, H.O. (1907)</w:t>
      </w:r>
      <w:r>
        <w:rPr>
          <w:rFonts w:ascii="Calibri" w:hAnsi="Calibri" w:cs="Calibri"/>
          <w:color w:val="000000" w:themeColor="text1"/>
        </w:rPr>
        <w:t xml:space="preserve"> </w:t>
      </w:r>
      <w:r w:rsidRPr="00DB2D0C">
        <w:rPr>
          <w:rFonts w:ascii="Calibri" w:hAnsi="Calibri" w:cs="Calibri"/>
          <w:i/>
          <w:iCs/>
          <w:color w:val="000000" w:themeColor="text1"/>
          <w:sz w:val="24"/>
          <w:szCs w:val="24"/>
        </w:rPr>
        <w:t xml:space="preserve">Crown versus Grogan, Bowker, Gray, </w:t>
      </w:r>
      <w:proofErr w:type="spellStart"/>
      <w:r w:rsidRPr="00DB2D0C">
        <w:rPr>
          <w:rFonts w:ascii="Calibri" w:hAnsi="Calibri" w:cs="Calibri"/>
          <w:i/>
          <w:iCs/>
          <w:color w:val="000000" w:themeColor="text1"/>
          <w:sz w:val="24"/>
          <w:szCs w:val="24"/>
        </w:rPr>
        <w:t>Fichat</w:t>
      </w:r>
      <w:proofErr w:type="spellEnd"/>
      <w:r w:rsidRPr="00DB2D0C">
        <w:rPr>
          <w:rFonts w:ascii="Calibri" w:hAnsi="Calibri" w:cs="Calibri"/>
          <w:i/>
          <w:iCs/>
          <w:color w:val="000000" w:themeColor="text1"/>
          <w:sz w:val="24"/>
          <w:szCs w:val="24"/>
        </w:rPr>
        <w:t xml:space="preserve"> and Low, Judgment, 2 April 1907, reprinted in East Africa Protectorate, Correspondence relating to the flogging of Natives by Certain Europeans at Nairobi [Cd. 3562] (London: Printed for His Majesty’s Stationery Office, Darling &amp; Son, Ltd, 1907)</w:t>
      </w:r>
      <w:r>
        <w:rPr>
          <w:rFonts w:ascii="Calibri" w:hAnsi="Calibri" w:cs="Calibri"/>
          <w:i/>
          <w:iCs/>
          <w:color w:val="000000" w:themeColor="text1"/>
          <w:sz w:val="24"/>
          <w:szCs w:val="24"/>
        </w:rPr>
        <w:t xml:space="preserve">. </w:t>
      </w:r>
      <w:r w:rsidRPr="00DB2D0C">
        <w:rPr>
          <w:rFonts w:ascii="Calibri" w:hAnsi="Calibri" w:cs="Calibri"/>
          <w:color w:val="000000" w:themeColor="text1"/>
          <w:sz w:val="24"/>
          <w:szCs w:val="24"/>
        </w:rPr>
        <w:t>Available at:</w:t>
      </w:r>
      <w:r>
        <w:rPr>
          <w:rFonts w:ascii="Calibri" w:hAnsi="Calibri" w:cs="Calibri"/>
          <w:i/>
          <w:iCs/>
          <w:color w:val="000000" w:themeColor="text1"/>
          <w:sz w:val="24"/>
          <w:szCs w:val="24"/>
        </w:rPr>
        <w:t xml:space="preserve"> </w:t>
      </w:r>
      <w:hyperlink r:id="rId8" w:history="1">
        <w:r w:rsidRPr="000A5ECE">
          <w:rPr>
            <w:rStyle w:val="Hyperlink"/>
            <w:rFonts w:ascii="Calibri" w:hAnsi="Calibri" w:cs="Calibri"/>
            <w:sz w:val="24"/>
            <w:szCs w:val="24"/>
          </w:rPr>
          <w:t>https://moodle.uwtsd.ac.uk/course/section.php?id=194705</w:t>
        </w:r>
      </w:hyperlink>
      <w:r>
        <w:rPr>
          <w:rFonts w:ascii="Calibri" w:hAnsi="Calibri" w:cs="Calibri"/>
          <w:color w:val="000000" w:themeColor="text1"/>
          <w:sz w:val="24"/>
          <w:szCs w:val="24"/>
        </w:rPr>
        <w:t xml:space="preserve"> (Accessed: 11 November 2026).</w:t>
      </w:r>
    </w:p>
    <w:p w14:paraId="68E226E8" w14:textId="77777777" w:rsidR="00DB2D0C" w:rsidRPr="00EC68B8" w:rsidRDefault="00DB2D0C" w:rsidP="001727FA">
      <w:pPr>
        <w:spacing w:after="0" w:line="276" w:lineRule="auto"/>
        <w:rPr>
          <w:rFonts w:ascii="Calibri" w:hAnsi="Calibri" w:cs="Calibri"/>
          <w:b/>
          <w:bCs/>
          <w:color w:val="000000" w:themeColor="text1"/>
        </w:rPr>
      </w:pPr>
    </w:p>
    <w:p w14:paraId="2353BCF7" w14:textId="77E7ADB4" w:rsidR="006C4C59" w:rsidRDefault="00923B22" w:rsidP="00DB2D0C">
      <w:pPr>
        <w:spacing w:after="0" w:line="276" w:lineRule="auto"/>
        <w:rPr>
          <w:rFonts w:ascii="Calibri" w:hAnsi="Calibri" w:cs="Calibri"/>
          <w:b/>
          <w:bCs/>
          <w:color w:val="000000" w:themeColor="text1"/>
        </w:rPr>
      </w:pPr>
      <w:r w:rsidRPr="00EC68B8">
        <w:rPr>
          <w:rFonts w:ascii="Calibri" w:hAnsi="Calibri" w:cs="Calibri"/>
          <w:color w:val="000000" w:themeColor="text1"/>
        </w:rPr>
        <w:t xml:space="preserve">Hansard (1907) </w:t>
      </w:r>
      <w:r w:rsidRPr="00EC68B8">
        <w:rPr>
          <w:rFonts w:ascii="Calibri" w:eastAsia="Times New Roman" w:hAnsi="Calibri" w:cs="Calibri"/>
          <w:i/>
          <w:iCs/>
          <w:color w:val="000000" w:themeColor="text1"/>
          <w:kern w:val="36"/>
          <w:lang w:eastAsia="en-GB"/>
          <w14:ligatures w14:val="none"/>
        </w:rPr>
        <w:t xml:space="preserve">The Nairobi Case—Captain Grogan: </w:t>
      </w:r>
      <w:r w:rsidRPr="00EC68B8">
        <w:rPr>
          <w:rFonts w:ascii="Calibri" w:hAnsi="Calibri" w:cs="Calibri"/>
          <w:i/>
          <w:iCs/>
          <w:color w:val="000000" w:themeColor="text1"/>
        </w:rPr>
        <w:t xml:space="preserve">HC Deb 18 April 1907 vol 172 cc1135-7. </w:t>
      </w:r>
      <w:r w:rsidRPr="00EC68B8">
        <w:rPr>
          <w:rFonts w:ascii="Calibri" w:hAnsi="Calibri" w:cs="Calibri"/>
          <w:color w:val="000000" w:themeColor="text1"/>
        </w:rPr>
        <w:t xml:space="preserve">Available at: </w:t>
      </w:r>
      <w:hyperlink r:id="rId9" w:anchor=":~:text=The%20Secretary%20of%20State%20has,participate%20in%20their%20unlawful%20acts" w:history="1">
        <w:r w:rsidRPr="00EC68B8">
          <w:rPr>
            <w:rStyle w:val="Hyperlink"/>
            <w:rFonts w:ascii="Calibri" w:hAnsi="Calibri" w:cs="Calibri"/>
            <w:color w:val="000000" w:themeColor="text1"/>
          </w:rPr>
          <w:t>https://api.parliament.uk/historic-hansard/commons/1907/apr/18/the-nairobi-case-captain-grogan#:~:text=The%20Secretary%20of%20State%20has,participate%20in%20their%20unlawful%20acts</w:t>
        </w:r>
      </w:hyperlink>
      <w:r w:rsidRPr="00EC68B8">
        <w:rPr>
          <w:rFonts w:ascii="Calibri" w:hAnsi="Calibri" w:cs="Calibri"/>
          <w:color w:val="000000" w:themeColor="text1"/>
        </w:rPr>
        <w:t xml:space="preserve"> (Accessed: 11 November 2025).</w:t>
      </w:r>
    </w:p>
    <w:p w14:paraId="0CD6B1EB" w14:textId="77777777" w:rsidR="00DB2D0C" w:rsidRPr="00DB2D0C" w:rsidRDefault="00DB2D0C" w:rsidP="00DB2D0C">
      <w:pPr>
        <w:spacing w:after="0" w:line="276" w:lineRule="auto"/>
        <w:rPr>
          <w:rFonts w:ascii="Calibri" w:hAnsi="Calibri" w:cs="Calibri"/>
          <w:b/>
          <w:bCs/>
          <w:color w:val="000000" w:themeColor="text1"/>
        </w:rPr>
      </w:pPr>
    </w:p>
    <w:p w14:paraId="0C0AAE8C" w14:textId="532859A1" w:rsidR="00144984" w:rsidRPr="00C97BEC" w:rsidRDefault="00144984" w:rsidP="001727FA">
      <w:pPr>
        <w:spacing w:line="276" w:lineRule="auto"/>
        <w:rPr>
          <w:rFonts w:ascii="Calibri" w:hAnsi="Calibri" w:cs="Calibri"/>
          <w:color w:val="000000" w:themeColor="text1"/>
        </w:rPr>
      </w:pPr>
      <w:r w:rsidRPr="00C97BEC">
        <w:rPr>
          <w:rFonts w:ascii="Calibri" w:hAnsi="Calibri" w:cs="Calibri"/>
          <w:color w:val="000000" w:themeColor="text1"/>
        </w:rPr>
        <w:t xml:space="preserve">Kenya National Archives (1967) </w:t>
      </w:r>
      <w:r w:rsidRPr="00C97BEC">
        <w:rPr>
          <w:rFonts w:ascii="Calibri" w:hAnsi="Calibri" w:cs="Calibri"/>
          <w:i/>
          <w:iCs/>
          <w:color w:val="000000" w:themeColor="text1"/>
        </w:rPr>
        <w:t>East African Standard 6</w:t>
      </w:r>
      <w:r w:rsidRPr="00C97BEC">
        <w:rPr>
          <w:rFonts w:ascii="Calibri" w:hAnsi="Calibri" w:cs="Calibri"/>
          <w:i/>
          <w:iCs/>
          <w:color w:val="000000" w:themeColor="text1"/>
          <w:vertAlign w:val="superscript"/>
        </w:rPr>
        <w:t>th</w:t>
      </w:r>
      <w:r w:rsidRPr="00C97BEC">
        <w:rPr>
          <w:rFonts w:ascii="Calibri" w:hAnsi="Calibri" w:cs="Calibri"/>
          <w:i/>
          <w:iCs/>
          <w:color w:val="000000" w:themeColor="text1"/>
        </w:rPr>
        <w:t xml:space="preserve"> April 1907 to 27</w:t>
      </w:r>
      <w:r w:rsidRPr="00C97BEC">
        <w:rPr>
          <w:rFonts w:ascii="Calibri" w:hAnsi="Calibri" w:cs="Calibri"/>
          <w:i/>
          <w:iCs/>
          <w:color w:val="000000" w:themeColor="text1"/>
          <w:vertAlign w:val="superscript"/>
        </w:rPr>
        <w:t>th</w:t>
      </w:r>
      <w:r w:rsidRPr="00C97BEC">
        <w:rPr>
          <w:rFonts w:ascii="Calibri" w:hAnsi="Calibri" w:cs="Calibri"/>
          <w:i/>
          <w:iCs/>
          <w:color w:val="000000" w:themeColor="text1"/>
        </w:rPr>
        <w:t xml:space="preserve"> July 1907.</w:t>
      </w:r>
      <w:r w:rsidRPr="00C97BEC">
        <w:rPr>
          <w:rFonts w:ascii="Calibri" w:hAnsi="Calibri" w:cs="Calibri"/>
          <w:color w:val="000000" w:themeColor="text1"/>
        </w:rPr>
        <w:t xml:space="preserve"> Available at: </w:t>
      </w:r>
      <w:hyperlink r:id="rId10" w:history="1">
        <w:r w:rsidRPr="00C97BEC">
          <w:rPr>
            <w:rStyle w:val="Hyperlink"/>
            <w:rFonts w:ascii="Calibri" w:hAnsi="Calibri" w:cs="Calibri"/>
            <w:color w:val="000000" w:themeColor="text1"/>
          </w:rPr>
          <w:t>https://erepository.uonbi.ac.ke/bitstream/handle/11295/158692/EA-STD-R002-004%20%28THE%20EAST%20AFRICAN%20STANDARD%29.pdf?sequence=1&amp;isAllowed=y</w:t>
        </w:r>
      </w:hyperlink>
      <w:r w:rsidRPr="00C97BEC">
        <w:rPr>
          <w:rFonts w:ascii="Calibri" w:hAnsi="Calibri" w:cs="Calibri"/>
          <w:color w:val="000000" w:themeColor="text1"/>
        </w:rPr>
        <w:t xml:space="preserve"> (Accessed: 12 November 2025).</w:t>
      </w:r>
    </w:p>
    <w:p w14:paraId="34006A14" w14:textId="77777777" w:rsidR="006C4C59" w:rsidRPr="00C97BEC" w:rsidRDefault="006C4C59" w:rsidP="001727FA">
      <w:pPr>
        <w:spacing w:line="276" w:lineRule="auto"/>
        <w:rPr>
          <w:rFonts w:ascii="Calibri" w:hAnsi="Calibri" w:cs="Calibri"/>
          <w:b/>
          <w:bCs/>
          <w:color w:val="000000" w:themeColor="text1"/>
        </w:rPr>
      </w:pPr>
    </w:p>
    <w:p w14:paraId="456E9019" w14:textId="7D68A04B" w:rsidR="001727FA" w:rsidRPr="00C97BEC" w:rsidRDefault="006C4C59" w:rsidP="00EC68B8">
      <w:pPr>
        <w:spacing w:after="0" w:line="276" w:lineRule="auto"/>
        <w:rPr>
          <w:rFonts w:ascii="Calibri" w:hAnsi="Calibri" w:cs="Calibri"/>
          <w:b/>
          <w:bCs/>
          <w:color w:val="000000" w:themeColor="text1"/>
        </w:rPr>
      </w:pPr>
      <w:r w:rsidRPr="00C97BEC">
        <w:rPr>
          <w:rFonts w:ascii="Calibri" w:hAnsi="Calibri" w:cs="Calibri"/>
          <w:b/>
          <w:bCs/>
          <w:color w:val="000000" w:themeColor="text1"/>
        </w:rPr>
        <w:t xml:space="preserve">Secondary Source </w:t>
      </w:r>
    </w:p>
    <w:p w14:paraId="31309D85" w14:textId="77777777" w:rsidR="001727FA" w:rsidRPr="00C97BEC" w:rsidRDefault="001727FA" w:rsidP="00EC68B8">
      <w:pPr>
        <w:pStyle w:val="p1"/>
        <w:spacing w:line="276" w:lineRule="auto"/>
        <w:rPr>
          <w:rFonts w:ascii="Calibri" w:hAnsi="Calibri" w:cs="Calibri"/>
          <w:color w:val="000000" w:themeColor="text1"/>
          <w:sz w:val="24"/>
          <w:szCs w:val="24"/>
        </w:rPr>
      </w:pPr>
      <w:r w:rsidRPr="00C97BEC">
        <w:rPr>
          <w:rFonts w:ascii="Calibri" w:hAnsi="Calibri" w:cs="Calibri"/>
          <w:color w:val="000000" w:themeColor="text1"/>
          <w:sz w:val="24"/>
          <w:szCs w:val="24"/>
        </w:rPr>
        <w:t xml:space="preserve">Anderson, D. (2011) ‘Punishment, Race and ‘The Raw Native’: Settler Society and Kenya's Flogging Scandals, 1895–1930’, </w:t>
      </w:r>
      <w:r w:rsidRPr="00C97BEC">
        <w:rPr>
          <w:rFonts w:ascii="Calibri" w:hAnsi="Calibri" w:cs="Calibri"/>
          <w:i/>
          <w:iCs/>
          <w:color w:val="000000" w:themeColor="text1"/>
          <w:sz w:val="24"/>
          <w:szCs w:val="24"/>
        </w:rPr>
        <w:t>Journal of Southern African Studies</w:t>
      </w:r>
      <w:r w:rsidRPr="00C97BEC">
        <w:rPr>
          <w:rFonts w:ascii="Calibri" w:hAnsi="Calibri" w:cs="Calibri"/>
          <w:color w:val="000000" w:themeColor="text1"/>
          <w:sz w:val="24"/>
          <w:szCs w:val="24"/>
        </w:rPr>
        <w:t xml:space="preserve">, 37:3, pp. 479-497. Available at: </w:t>
      </w:r>
      <w:hyperlink r:id="rId11" w:history="1">
        <w:r w:rsidRPr="00C97BEC">
          <w:rPr>
            <w:rStyle w:val="Hyperlink"/>
            <w:rFonts w:ascii="Calibri" w:hAnsi="Calibri" w:cs="Calibri"/>
            <w:color w:val="000000" w:themeColor="text1"/>
            <w:sz w:val="24"/>
            <w:szCs w:val="24"/>
          </w:rPr>
          <w:t>https://doi.org/10.1080/03057070.2011.602887</w:t>
        </w:r>
      </w:hyperlink>
    </w:p>
    <w:p w14:paraId="7BE64BE5" w14:textId="0CEE6866" w:rsidR="001727FA" w:rsidRDefault="001727FA" w:rsidP="00EC68B8">
      <w:pPr>
        <w:spacing w:before="100" w:beforeAutospacing="1" w:after="100" w:afterAutospacing="1" w:line="276" w:lineRule="auto"/>
        <w:outlineLvl w:val="0"/>
        <w:rPr>
          <w:rFonts w:ascii="Calibri" w:hAnsi="Calibri" w:cs="Calibri"/>
          <w:color w:val="000000" w:themeColor="text1"/>
          <w:shd w:val="clear" w:color="auto" w:fill="FFFFFF"/>
        </w:rPr>
      </w:pPr>
      <w:r w:rsidRPr="00C97BEC">
        <w:rPr>
          <w:rFonts w:ascii="Calibri" w:hAnsi="Calibri" w:cs="Calibri"/>
          <w:color w:val="000000" w:themeColor="text1"/>
          <w:shd w:val="clear" w:color="auto" w:fill="FFFFFF"/>
        </w:rPr>
        <w:t>Anderson, D. M. (2010) ‘Sexual Threat and Settler Society: “Black Perils” in Kenya, c. 1907-30’, </w:t>
      </w:r>
      <w:r w:rsidRPr="00C97BEC">
        <w:rPr>
          <w:rFonts w:ascii="Calibri" w:hAnsi="Calibri" w:cs="Calibri"/>
          <w:i/>
          <w:iCs/>
          <w:color w:val="000000" w:themeColor="text1"/>
          <w:shd w:val="clear" w:color="auto" w:fill="FFFFFF"/>
        </w:rPr>
        <w:t>Journal of Imperial and Commonwealth History</w:t>
      </w:r>
      <w:r w:rsidRPr="00C97BEC">
        <w:rPr>
          <w:rFonts w:ascii="Calibri" w:hAnsi="Calibri" w:cs="Calibri"/>
          <w:color w:val="000000" w:themeColor="text1"/>
          <w:shd w:val="clear" w:color="auto" w:fill="FFFFFF"/>
        </w:rPr>
        <w:t>, </w:t>
      </w:r>
      <w:r w:rsidRPr="00C97BEC">
        <w:rPr>
          <w:rFonts w:ascii="Calibri" w:hAnsi="Calibri" w:cs="Calibri"/>
          <w:i/>
          <w:iCs/>
          <w:color w:val="000000" w:themeColor="text1"/>
          <w:shd w:val="clear" w:color="auto" w:fill="FFFFFF"/>
        </w:rPr>
        <w:t>38</w:t>
      </w:r>
      <w:r w:rsidRPr="00C97BEC">
        <w:rPr>
          <w:rFonts w:ascii="Calibri" w:hAnsi="Calibri" w:cs="Calibri"/>
          <w:color w:val="000000" w:themeColor="text1"/>
          <w:shd w:val="clear" w:color="auto" w:fill="FFFFFF"/>
        </w:rPr>
        <w:t xml:space="preserve">(1), pp. 47–74. Available at: </w:t>
      </w:r>
      <w:hyperlink r:id="rId12" w:history="1">
        <w:r w:rsidR="00AC69F6" w:rsidRPr="000A5ECE">
          <w:rPr>
            <w:rStyle w:val="Hyperlink"/>
            <w:rFonts w:ascii="Calibri" w:hAnsi="Calibri" w:cs="Calibri"/>
            <w:shd w:val="clear" w:color="auto" w:fill="FFFFFF"/>
          </w:rPr>
          <w:t>https://doi.org/10.1080/03086530903538194</w:t>
        </w:r>
      </w:hyperlink>
    </w:p>
    <w:p w14:paraId="4CFA7A70" w14:textId="77777777" w:rsidR="001727FA" w:rsidRPr="00C97BEC" w:rsidRDefault="001727FA" w:rsidP="00EC68B8">
      <w:pPr>
        <w:spacing w:before="100" w:beforeAutospacing="1" w:after="100" w:afterAutospacing="1" w:line="276" w:lineRule="auto"/>
        <w:outlineLvl w:val="0"/>
        <w:rPr>
          <w:rFonts w:ascii="Calibri" w:eastAsia="Times New Roman" w:hAnsi="Calibri" w:cs="Calibri"/>
          <w:color w:val="000000" w:themeColor="text1"/>
          <w:kern w:val="36"/>
          <w:lang w:eastAsia="en-GB"/>
          <w14:ligatures w14:val="none"/>
        </w:rPr>
      </w:pPr>
      <w:r w:rsidRPr="00C97BEC">
        <w:rPr>
          <w:rFonts w:ascii="Calibri" w:eastAsia="Times New Roman" w:hAnsi="Calibri" w:cs="Calibri"/>
          <w:color w:val="000000" w:themeColor="text1"/>
          <w:kern w:val="36"/>
          <w:lang w:eastAsia="en-GB"/>
          <w14:ligatures w14:val="none"/>
        </w:rPr>
        <w:t xml:space="preserve">Devgan (2025) </w:t>
      </w:r>
      <w:r w:rsidRPr="00C97BEC">
        <w:rPr>
          <w:rFonts w:ascii="Calibri" w:eastAsia="Times New Roman" w:hAnsi="Calibri" w:cs="Calibri"/>
          <w:i/>
          <w:iCs/>
          <w:color w:val="000000" w:themeColor="text1"/>
          <w:kern w:val="36"/>
          <w:lang w:eastAsia="en-GB"/>
          <w14:ligatures w14:val="none"/>
        </w:rPr>
        <w:t>Indian Penal Code 1860, Chapter 8.</w:t>
      </w:r>
      <w:r w:rsidRPr="00C97BEC">
        <w:rPr>
          <w:rFonts w:ascii="Calibri" w:eastAsia="Times New Roman" w:hAnsi="Calibri" w:cs="Calibri"/>
          <w:color w:val="000000" w:themeColor="text1"/>
          <w:kern w:val="36"/>
          <w:lang w:eastAsia="en-GB"/>
          <w14:ligatures w14:val="none"/>
        </w:rPr>
        <w:t xml:space="preserve"> Available at </w:t>
      </w:r>
      <w:hyperlink r:id="rId13" w:anchor="s141" w:history="1">
        <w:r w:rsidRPr="00C97BEC">
          <w:rPr>
            <w:rStyle w:val="Hyperlink"/>
            <w:rFonts w:ascii="Calibri" w:eastAsia="Times New Roman" w:hAnsi="Calibri" w:cs="Calibri"/>
            <w:color w:val="000000" w:themeColor="text1"/>
            <w:kern w:val="36"/>
            <w:lang w:eastAsia="en-GB"/>
            <w14:ligatures w14:val="none"/>
          </w:rPr>
          <w:t>https://devgan.in/ipc/chapter_08.php#s141</w:t>
        </w:r>
      </w:hyperlink>
      <w:r w:rsidRPr="00C97BEC">
        <w:rPr>
          <w:rFonts w:ascii="Calibri" w:eastAsia="Times New Roman" w:hAnsi="Calibri" w:cs="Calibri"/>
          <w:color w:val="000000" w:themeColor="text1"/>
          <w:kern w:val="36"/>
          <w:lang w:eastAsia="en-GB"/>
          <w14:ligatures w14:val="none"/>
        </w:rPr>
        <w:t xml:space="preserve"> (Accessed: 12 November 2025).</w:t>
      </w:r>
    </w:p>
    <w:p w14:paraId="40380A42" w14:textId="77777777" w:rsidR="001727FA" w:rsidRPr="00C97BEC" w:rsidRDefault="001727FA" w:rsidP="00EC68B8">
      <w:pPr>
        <w:spacing w:before="100" w:beforeAutospacing="1" w:after="100" w:afterAutospacing="1" w:line="276" w:lineRule="auto"/>
        <w:outlineLvl w:val="0"/>
        <w:rPr>
          <w:rFonts w:ascii="Calibri" w:eastAsia="Times New Roman" w:hAnsi="Calibri" w:cs="Calibri"/>
          <w:color w:val="000000" w:themeColor="text1"/>
          <w:kern w:val="36"/>
          <w:lang w:eastAsia="en-GB"/>
          <w14:ligatures w14:val="none"/>
        </w:rPr>
      </w:pPr>
      <w:r w:rsidRPr="00C97BEC">
        <w:rPr>
          <w:rFonts w:ascii="Calibri" w:eastAsia="Times New Roman" w:hAnsi="Calibri" w:cs="Calibri"/>
          <w:color w:val="000000" w:themeColor="text1"/>
          <w:kern w:val="36"/>
          <w:lang w:eastAsia="en-GB"/>
          <w14:ligatures w14:val="none"/>
        </w:rPr>
        <w:t xml:space="preserve">Devgan (2025a) </w:t>
      </w:r>
      <w:r w:rsidRPr="00C97BEC">
        <w:rPr>
          <w:rFonts w:ascii="Calibri" w:eastAsia="Times New Roman" w:hAnsi="Calibri" w:cs="Calibri"/>
          <w:i/>
          <w:iCs/>
          <w:color w:val="000000" w:themeColor="text1"/>
          <w:kern w:val="36"/>
          <w:lang w:eastAsia="en-GB"/>
          <w14:ligatures w14:val="none"/>
        </w:rPr>
        <w:t>Indian Penal Code 1860, Chapter 5.</w:t>
      </w:r>
      <w:r w:rsidRPr="00C97BEC">
        <w:rPr>
          <w:rFonts w:ascii="Calibri" w:eastAsia="Times New Roman" w:hAnsi="Calibri" w:cs="Calibri"/>
          <w:color w:val="000000" w:themeColor="text1"/>
          <w:kern w:val="36"/>
          <w:lang w:eastAsia="en-GB"/>
          <w14:ligatures w14:val="none"/>
        </w:rPr>
        <w:t xml:space="preserve"> Available at </w:t>
      </w:r>
      <w:hyperlink r:id="rId14" w:anchor="s107" w:history="1">
        <w:r w:rsidRPr="00C97BEC">
          <w:rPr>
            <w:rStyle w:val="Hyperlink"/>
            <w:rFonts w:ascii="Calibri" w:eastAsia="Times New Roman" w:hAnsi="Calibri" w:cs="Calibri"/>
            <w:color w:val="000000" w:themeColor="text1"/>
            <w:kern w:val="36"/>
            <w:lang w:eastAsia="en-GB"/>
            <w14:ligatures w14:val="none"/>
          </w:rPr>
          <w:t>https://devgan.in/ipc/chapter_05.php#s107</w:t>
        </w:r>
      </w:hyperlink>
      <w:r w:rsidRPr="00C97BEC">
        <w:rPr>
          <w:rFonts w:ascii="Calibri" w:eastAsia="Times New Roman" w:hAnsi="Calibri" w:cs="Calibri"/>
          <w:color w:val="000000" w:themeColor="text1"/>
          <w:kern w:val="36"/>
          <w:lang w:eastAsia="en-GB"/>
          <w14:ligatures w14:val="none"/>
        </w:rPr>
        <w:t xml:space="preserve"> (Accessed: 12 November 2025).</w:t>
      </w:r>
    </w:p>
    <w:p w14:paraId="40EE4B36" w14:textId="77777777" w:rsidR="001727FA" w:rsidRPr="00C97BEC" w:rsidRDefault="001727FA" w:rsidP="00EC68B8">
      <w:pPr>
        <w:spacing w:before="100" w:beforeAutospacing="1" w:after="100" w:afterAutospacing="1" w:line="276" w:lineRule="auto"/>
        <w:outlineLvl w:val="0"/>
        <w:rPr>
          <w:rFonts w:ascii="Calibri" w:eastAsia="Times New Roman" w:hAnsi="Calibri" w:cs="Calibri"/>
          <w:color w:val="000000" w:themeColor="text1"/>
          <w:kern w:val="36"/>
          <w:lang w:eastAsia="en-GB"/>
          <w14:ligatures w14:val="none"/>
        </w:rPr>
      </w:pPr>
      <w:r w:rsidRPr="00C97BEC">
        <w:rPr>
          <w:rFonts w:ascii="Calibri" w:eastAsia="Times New Roman" w:hAnsi="Calibri" w:cs="Calibri"/>
          <w:color w:val="000000" w:themeColor="text1"/>
          <w:kern w:val="36"/>
          <w:lang w:eastAsia="en-GB"/>
          <w14:ligatures w14:val="none"/>
        </w:rPr>
        <w:t xml:space="preserve">Devgan (2025b) </w:t>
      </w:r>
      <w:r w:rsidRPr="00C97BEC">
        <w:rPr>
          <w:rFonts w:ascii="Calibri" w:eastAsia="Times New Roman" w:hAnsi="Calibri" w:cs="Calibri"/>
          <w:i/>
          <w:iCs/>
          <w:color w:val="000000" w:themeColor="text1"/>
          <w:kern w:val="36"/>
          <w:lang w:eastAsia="en-GB"/>
          <w14:ligatures w14:val="none"/>
        </w:rPr>
        <w:t>Indian Penal Code 1860, Section 323.</w:t>
      </w:r>
      <w:r w:rsidRPr="00C97BEC">
        <w:rPr>
          <w:rFonts w:ascii="Calibri" w:eastAsia="Times New Roman" w:hAnsi="Calibri" w:cs="Calibri"/>
          <w:color w:val="000000" w:themeColor="text1"/>
          <w:kern w:val="36"/>
          <w:lang w:eastAsia="en-GB"/>
          <w14:ligatures w14:val="none"/>
        </w:rPr>
        <w:t xml:space="preserve"> Available at </w:t>
      </w:r>
      <w:hyperlink r:id="rId15" w:history="1">
        <w:r w:rsidRPr="00C97BEC">
          <w:rPr>
            <w:rStyle w:val="Hyperlink"/>
            <w:rFonts w:ascii="Calibri" w:hAnsi="Calibri" w:cs="Calibri"/>
            <w:color w:val="000000" w:themeColor="text1"/>
          </w:rPr>
          <w:t>https://devgan.in/ipc/section/323/</w:t>
        </w:r>
      </w:hyperlink>
      <w:r w:rsidRPr="00C97BEC">
        <w:rPr>
          <w:rFonts w:ascii="Calibri" w:hAnsi="Calibri" w:cs="Calibri"/>
          <w:color w:val="000000" w:themeColor="text1"/>
        </w:rPr>
        <w:t xml:space="preserve"> </w:t>
      </w:r>
      <w:r w:rsidRPr="00C97BEC">
        <w:rPr>
          <w:rFonts w:ascii="Calibri" w:eastAsia="Times New Roman" w:hAnsi="Calibri" w:cs="Calibri"/>
          <w:color w:val="000000" w:themeColor="text1"/>
          <w:kern w:val="36"/>
          <w:lang w:eastAsia="en-GB"/>
          <w14:ligatures w14:val="none"/>
        </w:rPr>
        <w:t>(Accessed: 12 November 2025).</w:t>
      </w:r>
    </w:p>
    <w:p w14:paraId="10C82A2A" w14:textId="77777777" w:rsidR="001727FA" w:rsidRPr="00C97BEC" w:rsidRDefault="001727FA" w:rsidP="00EC68B8">
      <w:pPr>
        <w:spacing w:before="100" w:beforeAutospacing="1" w:after="100" w:afterAutospacing="1" w:line="276" w:lineRule="auto"/>
        <w:outlineLvl w:val="0"/>
        <w:rPr>
          <w:rFonts w:ascii="Calibri" w:eastAsia="Times New Roman" w:hAnsi="Calibri" w:cs="Calibri"/>
          <w:color w:val="000000" w:themeColor="text1"/>
          <w:kern w:val="36"/>
          <w:lang w:eastAsia="en-GB"/>
          <w14:ligatures w14:val="none"/>
        </w:rPr>
      </w:pPr>
      <w:r w:rsidRPr="00C97BEC">
        <w:rPr>
          <w:rFonts w:ascii="Calibri" w:eastAsia="Times New Roman" w:hAnsi="Calibri" w:cs="Calibri"/>
          <w:color w:val="000000" w:themeColor="text1"/>
          <w:kern w:val="36"/>
          <w:lang w:eastAsia="en-GB"/>
          <w14:ligatures w14:val="none"/>
        </w:rPr>
        <w:lastRenderedPageBreak/>
        <w:t xml:space="preserve">Fall, </w:t>
      </w:r>
      <w:proofErr w:type="spellStart"/>
      <w:r w:rsidRPr="00C97BEC">
        <w:rPr>
          <w:rFonts w:ascii="Calibri" w:eastAsia="Times New Roman" w:hAnsi="Calibri" w:cs="Calibri"/>
          <w:color w:val="000000" w:themeColor="text1"/>
          <w:kern w:val="36"/>
          <w:lang w:eastAsia="en-GB"/>
          <w14:ligatures w14:val="none"/>
        </w:rPr>
        <w:t>Makhete</w:t>
      </w:r>
      <w:proofErr w:type="spellEnd"/>
      <w:r w:rsidRPr="00C97BEC">
        <w:rPr>
          <w:rFonts w:ascii="Calibri" w:eastAsia="Times New Roman" w:hAnsi="Calibri" w:cs="Calibri"/>
          <w:color w:val="000000" w:themeColor="text1"/>
          <w:kern w:val="36"/>
          <w:lang w:eastAsia="en-GB"/>
          <w14:ligatures w14:val="none"/>
        </w:rPr>
        <w:t xml:space="preserve"> (2016) </w:t>
      </w:r>
      <w:r w:rsidRPr="00C97BEC">
        <w:rPr>
          <w:rFonts w:ascii="Calibri" w:eastAsia="Times New Roman" w:hAnsi="Calibri" w:cs="Calibri"/>
          <w:i/>
          <w:iCs/>
          <w:color w:val="000000" w:themeColor="text1"/>
          <w:kern w:val="36"/>
          <w:lang w:eastAsia="en-GB"/>
          <w14:ligatures w14:val="none"/>
        </w:rPr>
        <w:t>Early Political Discord in Kenya: European Settlers' Political Struggles in the East Africa Protectorate, 1902-1912</w:t>
      </w:r>
      <w:r w:rsidRPr="00C97BEC">
        <w:rPr>
          <w:rFonts w:ascii="Calibri" w:eastAsia="Times New Roman" w:hAnsi="Calibri" w:cs="Calibri"/>
          <w:color w:val="000000" w:themeColor="text1"/>
          <w:kern w:val="36"/>
          <w:lang w:eastAsia="en-GB"/>
          <w14:ligatures w14:val="none"/>
        </w:rPr>
        <w:t xml:space="preserve">. Available at: </w:t>
      </w:r>
      <w:hyperlink r:id="rId16" w:history="1">
        <w:r w:rsidRPr="00C97BEC">
          <w:rPr>
            <w:rStyle w:val="Hyperlink"/>
            <w:rFonts w:ascii="Calibri" w:eastAsia="Times New Roman" w:hAnsi="Calibri" w:cs="Calibri"/>
            <w:color w:val="000000" w:themeColor="text1"/>
            <w:kern w:val="36"/>
            <w:lang w:eastAsia="en-GB"/>
            <w14:ligatures w14:val="none"/>
          </w:rPr>
          <w:t>https://researchrepository.wvu.edu/etd/5569</w:t>
        </w:r>
      </w:hyperlink>
      <w:r w:rsidRPr="00C97BEC">
        <w:rPr>
          <w:rFonts w:ascii="Calibri" w:eastAsia="Times New Roman" w:hAnsi="Calibri" w:cs="Calibri"/>
          <w:color w:val="000000" w:themeColor="text1"/>
          <w:kern w:val="36"/>
          <w:lang w:eastAsia="en-GB"/>
          <w14:ligatures w14:val="none"/>
        </w:rPr>
        <w:t xml:space="preserve"> (Accessed: 12 November 2025).</w:t>
      </w:r>
    </w:p>
    <w:p w14:paraId="6A065509" w14:textId="38941D1C" w:rsidR="001727FA" w:rsidRPr="00C97BEC" w:rsidRDefault="001727FA" w:rsidP="00EC68B8">
      <w:pPr>
        <w:spacing w:before="100" w:beforeAutospacing="1" w:after="100" w:afterAutospacing="1" w:line="276" w:lineRule="auto"/>
        <w:outlineLvl w:val="0"/>
        <w:rPr>
          <w:rFonts w:ascii="Calibri" w:hAnsi="Calibri" w:cs="Calibri"/>
          <w:color w:val="000000" w:themeColor="text1"/>
          <w:shd w:val="clear" w:color="auto" w:fill="FFFFFF"/>
        </w:rPr>
      </w:pPr>
      <w:r w:rsidRPr="00C97BEC">
        <w:rPr>
          <w:rFonts w:ascii="Calibri" w:hAnsi="Calibri" w:cs="Calibri"/>
          <w:color w:val="000000" w:themeColor="text1"/>
          <w:shd w:val="clear" w:color="auto" w:fill="FFFFFF"/>
        </w:rPr>
        <w:t>Greenwood, A., and Topiwala, H. (2020) ‘Visions of Colonial Nairobi: William Simpson, Health, Segregation and the Problems of Ordering a Plural Society, 1907–1921’, </w:t>
      </w:r>
      <w:r w:rsidRPr="00C97BEC">
        <w:rPr>
          <w:rFonts w:ascii="Calibri" w:hAnsi="Calibri" w:cs="Calibri"/>
          <w:i/>
          <w:iCs/>
          <w:color w:val="000000" w:themeColor="text1"/>
          <w:shd w:val="clear" w:color="auto" w:fill="FFFFFF"/>
        </w:rPr>
        <w:t>Social History of Medicine: The Journal of the Society for the Social History of Medicine</w:t>
      </w:r>
      <w:r w:rsidRPr="00C97BEC">
        <w:rPr>
          <w:rFonts w:ascii="Calibri" w:hAnsi="Calibri" w:cs="Calibri"/>
          <w:color w:val="000000" w:themeColor="text1"/>
          <w:shd w:val="clear" w:color="auto" w:fill="FFFFFF"/>
        </w:rPr>
        <w:t>, </w:t>
      </w:r>
      <w:r w:rsidRPr="00C97BEC">
        <w:rPr>
          <w:rFonts w:ascii="Calibri" w:hAnsi="Calibri" w:cs="Calibri"/>
          <w:i/>
          <w:iCs/>
          <w:color w:val="000000" w:themeColor="text1"/>
          <w:shd w:val="clear" w:color="auto" w:fill="FFFFFF"/>
        </w:rPr>
        <w:t>33</w:t>
      </w:r>
      <w:r w:rsidRPr="00C97BEC">
        <w:rPr>
          <w:rFonts w:ascii="Calibri" w:hAnsi="Calibri" w:cs="Calibri"/>
          <w:color w:val="000000" w:themeColor="text1"/>
          <w:shd w:val="clear" w:color="auto" w:fill="FFFFFF"/>
        </w:rPr>
        <w:t xml:space="preserve">(1), pp. 57–78. Available at: </w:t>
      </w:r>
      <w:hyperlink r:id="rId17" w:history="1">
        <w:r w:rsidRPr="00C97BEC">
          <w:rPr>
            <w:rStyle w:val="Hyperlink"/>
            <w:rFonts w:ascii="Calibri" w:hAnsi="Calibri" w:cs="Calibri"/>
            <w:color w:val="000000" w:themeColor="text1"/>
            <w:shd w:val="clear" w:color="auto" w:fill="FFFFFF"/>
          </w:rPr>
          <w:t>https://doi.org/10.1093/shm/hky060</w:t>
        </w:r>
      </w:hyperlink>
    </w:p>
    <w:p w14:paraId="0FF93AED" w14:textId="77777777" w:rsidR="001727FA" w:rsidRPr="00C97BEC" w:rsidRDefault="001727FA" w:rsidP="00EC68B8">
      <w:pPr>
        <w:spacing w:before="100" w:beforeAutospacing="1" w:after="100" w:afterAutospacing="1" w:line="276" w:lineRule="auto"/>
        <w:outlineLvl w:val="0"/>
        <w:rPr>
          <w:rFonts w:ascii="Calibri" w:eastAsia="Times New Roman" w:hAnsi="Calibri" w:cs="Calibri"/>
          <w:color w:val="000000" w:themeColor="text1"/>
          <w:kern w:val="36"/>
          <w:lang w:eastAsia="en-GB"/>
          <w14:ligatures w14:val="none"/>
        </w:rPr>
      </w:pPr>
      <w:r w:rsidRPr="00C97BEC">
        <w:rPr>
          <w:rFonts w:ascii="Calibri" w:eastAsia="Times New Roman" w:hAnsi="Calibri" w:cs="Calibri"/>
          <w:color w:val="000000" w:themeColor="text1"/>
          <w:kern w:val="36"/>
          <w:lang w:eastAsia="en-GB"/>
          <w14:ligatures w14:val="none"/>
        </w:rPr>
        <w:t xml:space="preserve">Hinges of Time (2025) </w:t>
      </w:r>
      <w:r w:rsidRPr="00C97BEC">
        <w:rPr>
          <w:rFonts w:ascii="Calibri" w:eastAsia="Times New Roman" w:hAnsi="Calibri" w:cs="Calibri"/>
          <w:i/>
          <w:iCs/>
          <w:color w:val="000000" w:themeColor="text1"/>
          <w:kern w:val="36"/>
          <w:lang w:eastAsia="en-GB"/>
          <w14:ligatures w14:val="none"/>
        </w:rPr>
        <w:t>Ewart Grogan.</w:t>
      </w:r>
      <w:r w:rsidRPr="00C97BEC">
        <w:rPr>
          <w:rFonts w:ascii="Calibri" w:eastAsia="Times New Roman" w:hAnsi="Calibri" w:cs="Calibri"/>
          <w:color w:val="000000" w:themeColor="text1"/>
          <w:kern w:val="36"/>
          <w:lang w:eastAsia="en-GB"/>
          <w14:ligatures w14:val="none"/>
        </w:rPr>
        <w:t xml:space="preserve"> Available at: </w:t>
      </w:r>
      <w:hyperlink r:id="rId18" w:history="1">
        <w:r w:rsidRPr="00C97BEC">
          <w:rPr>
            <w:rStyle w:val="Hyperlink"/>
            <w:rFonts w:ascii="Calibri" w:eastAsia="Times New Roman" w:hAnsi="Calibri" w:cs="Calibri"/>
            <w:color w:val="000000" w:themeColor="text1"/>
            <w:kern w:val="36"/>
            <w:lang w:eastAsia="en-GB"/>
            <w14:ligatures w14:val="none"/>
          </w:rPr>
          <w:t>https://vocal.media/history/the-nairobi-incident</w:t>
        </w:r>
      </w:hyperlink>
      <w:r w:rsidRPr="00C97BEC">
        <w:rPr>
          <w:rFonts w:ascii="Calibri" w:eastAsia="Times New Roman" w:hAnsi="Calibri" w:cs="Calibri"/>
          <w:color w:val="000000" w:themeColor="text1"/>
          <w:kern w:val="36"/>
          <w:lang w:eastAsia="en-GB"/>
          <w14:ligatures w14:val="none"/>
        </w:rPr>
        <w:t xml:space="preserve"> (Accessed: 17 November 2025).</w:t>
      </w:r>
    </w:p>
    <w:p w14:paraId="675644DA" w14:textId="77777777" w:rsidR="001727FA" w:rsidRPr="00C97BEC" w:rsidRDefault="001727FA" w:rsidP="00EC68B8">
      <w:pPr>
        <w:spacing w:before="100" w:beforeAutospacing="1" w:after="100" w:afterAutospacing="1" w:line="276" w:lineRule="auto"/>
        <w:outlineLvl w:val="0"/>
        <w:rPr>
          <w:rFonts w:ascii="Calibri" w:eastAsia="Times New Roman" w:hAnsi="Calibri" w:cs="Calibri"/>
          <w:color w:val="000000" w:themeColor="text1"/>
          <w:kern w:val="36"/>
          <w:lang w:eastAsia="en-GB"/>
          <w14:ligatures w14:val="none"/>
        </w:rPr>
      </w:pPr>
      <w:r w:rsidRPr="00C97BEC">
        <w:rPr>
          <w:rFonts w:ascii="Calibri" w:eastAsia="Times New Roman" w:hAnsi="Calibri" w:cs="Calibri"/>
          <w:color w:val="000000" w:themeColor="text1"/>
          <w:kern w:val="36"/>
          <w:lang w:eastAsia="en-GB"/>
          <w14:ligatures w14:val="none"/>
        </w:rPr>
        <w:t xml:space="preserve">Ross, W. (1927) </w:t>
      </w:r>
      <w:r w:rsidRPr="00C97BEC">
        <w:rPr>
          <w:rFonts w:ascii="Calibri" w:eastAsia="Times New Roman" w:hAnsi="Calibri" w:cs="Calibri"/>
          <w:i/>
          <w:iCs/>
          <w:color w:val="000000" w:themeColor="text1"/>
          <w:kern w:val="36"/>
          <w:lang w:eastAsia="en-GB"/>
          <w14:ligatures w14:val="none"/>
        </w:rPr>
        <w:t>Kenya from within: A short political history</w:t>
      </w:r>
      <w:r w:rsidRPr="00C97BEC">
        <w:rPr>
          <w:rFonts w:ascii="Calibri" w:eastAsia="Times New Roman" w:hAnsi="Calibri" w:cs="Calibri"/>
          <w:color w:val="000000" w:themeColor="text1"/>
          <w:kern w:val="36"/>
          <w:lang w:eastAsia="en-GB"/>
          <w14:ligatures w14:val="none"/>
        </w:rPr>
        <w:t>. 1</w:t>
      </w:r>
      <w:r w:rsidRPr="00C97BEC">
        <w:rPr>
          <w:rFonts w:ascii="Calibri" w:eastAsia="Times New Roman" w:hAnsi="Calibri" w:cs="Calibri"/>
          <w:color w:val="000000" w:themeColor="text1"/>
          <w:kern w:val="36"/>
          <w:vertAlign w:val="superscript"/>
          <w:lang w:eastAsia="en-GB"/>
          <w14:ligatures w14:val="none"/>
        </w:rPr>
        <w:t>st</w:t>
      </w:r>
      <w:r w:rsidRPr="00C97BEC">
        <w:rPr>
          <w:rFonts w:ascii="Calibri" w:eastAsia="Times New Roman" w:hAnsi="Calibri" w:cs="Calibri"/>
          <w:color w:val="000000" w:themeColor="text1"/>
          <w:kern w:val="36"/>
          <w:lang w:eastAsia="en-GB"/>
          <w14:ligatures w14:val="none"/>
        </w:rPr>
        <w:t xml:space="preserve"> </w:t>
      </w:r>
      <w:proofErr w:type="spellStart"/>
      <w:r w:rsidRPr="00C97BEC">
        <w:rPr>
          <w:rFonts w:ascii="Calibri" w:eastAsia="Times New Roman" w:hAnsi="Calibri" w:cs="Calibri"/>
          <w:color w:val="000000" w:themeColor="text1"/>
          <w:kern w:val="36"/>
          <w:lang w:eastAsia="en-GB"/>
          <w14:ligatures w14:val="none"/>
        </w:rPr>
        <w:t>edn</w:t>
      </w:r>
      <w:proofErr w:type="spellEnd"/>
      <w:r w:rsidRPr="00C97BEC">
        <w:rPr>
          <w:rFonts w:ascii="Calibri" w:eastAsia="Times New Roman" w:hAnsi="Calibri" w:cs="Calibri"/>
          <w:color w:val="000000" w:themeColor="text1"/>
          <w:kern w:val="36"/>
          <w:lang w:eastAsia="en-GB"/>
          <w14:ligatures w14:val="none"/>
        </w:rPr>
        <w:t xml:space="preserve">. George Allen &amp; Unwin Ltd: London. Available at: </w:t>
      </w:r>
      <w:hyperlink r:id="rId19" w:history="1">
        <w:r w:rsidRPr="00C97BEC">
          <w:rPr>
            <w:rStyle w:val="Hyperlink"/>
            <w:rFonts w:ascii="Calibri" w:eastAsia="Times New Roman" w:hAnsi="Calibri" w:cs="Calibri"/>
            <w:color w:val="000000" w:themeColor="text1"/>
            <w:kern w:val="36"/>
            <w:lang w:eastAsia="en-GB"/>
            <w14:ligatures w14:val="none"/>
          </w:rPr>
          <w:t>https://electricscotland.com/independence/sip/Kenya-From-Within.pdf</w:t>
        </w:r>
      </w:hyperlink>
      <w:r w:rsidRPr="00C97BEC">
        <w:rPr>
          <w:rFonts w:ascii="Calibri" w:eastAsia="Times New Roman" w:hAnsi="Calibri" w:cs="Calibri"/>
          <w:color w:val="000000" w:themeColor="text1"/>
          <w:kern w:val="36"/>
          <w:lang w:eastAsia="en-GB"/>
          <w14:ligatures w14:val="none"/>
        </w:rPr>
        <w:t xml:space="preserve"> (Accessed: 12 November 2025).</w:t>
      </w:r>
    </w:p>
    <w:p w14:paraId="739C4638" w14:textId="36670FA5" w:rsidR="001727FA" w:rsidRPr="00C97BEC" w:rsidRDefault="001727FA" w:rsidP="00EC68B8">
      <w:pPr>
        <w:pStyle w:val="p1"/>
        <w:spacing w:line="276" w:lineRule="auto"/>
        <w:rPr>
          <w:rFonts w:ascii="Calibri" w:eastAsiaTheme="minorHAnsi" w:hAnsi="Calibri" w:cs="Calibri"/>
          <w:color w:val="000000" w:themeColor="text1"/>
          <w:kern w:val="2"/>
          <w:sz w:val="24"/>
          <w:szCs w:val="24"/>
          <w:lang w:eastAsia="en-US"/>
          <w14:ligatures w14:val="standardContextual"/>
        </w:rPr>
      </w:pPr>
      <w:r w:rsidRPr="00C97BEC">
        <w:rPr>
          <w:rFonts w:ascii="Calibri" w:eastAsiaTheme="minorHAnsi" w:hAnsi="Calibri" w:cs="Calibri"/>
          <w:color w:val="000000" w:themeColor="text1"/>
          <w:kern w:val="2"/>
          <w:sz w:val="24"/>
          <w:szCs w:val="24"/>
          <w:lang w:eastAsia="en-US"/>
          <w14:ligatures w14:val="standardContextual"/>
        </w:rPr>
        <w:t>Shadle, B. (2012) ‘</w:t>
      </w:r>
      <w:r w:rsidRPr="00C97BEC">
        <w:rPr>
          <w:rFonts w:ascii="Calibri" w:eastAsiaTheme="minorHAnsi" w:hAnsi="Calibri" w:cs="Calibri"/>
          <w:i/>
          <w:iCs/>
          <w:color w:val="000000" w:themeColor="text1"/>
          <w:kern w:val="2"/>
          <w:sz w:val="24"/>
          <w:szCs w:val="24"/>
          <w:lang w:eastAsia="en-US"/>
          <w14:ligatures w14:val="standardContextual"/>
        </w:rPr>
        <w:t>Settlers, Africans, and Inter</w:t>
      </w:r>
      <w:r w:rsidRPr="00C97BEC">
        <w:rPr>
          <w:rFonts w:ascii="Calibri" w:eastAsiaTheme="minorHAnsi" w:hAnsi="Calibri" w:cs="Calibri"/>
          <w:i/>
          <w:iCs/>
          <w:color w:val="000000" w:themeColor="text1"/>
          <w:kern w:val="2"/>
          <w:sz w:val="24"/>
          <w:szCs w:val="24"/>
          <w:lang w:eastAsia="en-US"/>
          <w14:ligatures w14:val="standardContextual"/>
        </w:rPr>
        <w:noBreakHyphen/>
        <w:t>Personal Violence in Kenya, ca. 1900</w:t>
      </w:r>
      <w:r w:rsidRPr="00C97BEC">
        <w:rPr>
          <w:rFonts w:ascii="Calibri" w:eastAsiaTheme="minorHAnsi" w:hAnsi="Calibri" w:cs="Calibri"/>
          <w:i/>
          <w:iCs/>
          <w:color w:val="000000" w:themeColor="text1"/>
          <w:kern w:val="2"/>
          <w:sz w:val="24"/>
          <w:szCs w:val="24"/>
          <w:lang w:eastAsia="en-US"/>
          <w14:ligatures w14:val="standardContextual"/>
        </w:rPr>
        <w:noBreakHyphen/>
        <w:t>1920s</w:t>
      </w:r>
      <w:r w:rsidRPr="00C97BEC">
        <w:rPr>
          <w:rFonts w:ascii="Calibri" w:eastAsiaTheme="minorHAnsi" w:hAnsi="Calibri" w:cs="Calibri"/>
          <w:color w:val="000000" w:themeColor="text1"/>
          <w:kern w:val="2"/>
          <w:sz w:val="24"/>
          <w:szCs w:val="24"/>
          <w:lang w:eastAsia="en-US"/>
          <w14:ligatures w14:val="standardContextual"/>
        </w:rPr>
        <w:t>’, International Journal of African Historical Studies, 45(1), pp. 57</w:t>
      </w:r>
      <w:r w:rsidRPr="00C97BEC">
        <w:rPr>
          <w:rFonts w:ascii="Calibri" w:eastAsiaTheme="minorHAnsi" w:hAnsi="Calibri" w:cs="Calibri"/>
          <w:color w:val="000000" w:themeColor="text1"/>
          <w:kern w:val="2"/>
          <w:sz w:val="24"/>
          <w:szCs w:val="24"/>
          <w:lang w:eastAsia="en-US"/>
          <w14:ligatures w14:val="standardContextual"/>
        </w:rPr>
        <w:noBreakHyphen/>
        <w:t xml:space="preserve">80. Available at: </w:t>
      </w:r>
      <w:hyperlink r:id="rId20" w:history="1">
        <w:r w:rsidR="00AC69F6" w:rsidRPr="000A5ECE">
          <w:rPr>
            <w:rStyle w:val="Hyperlink"/>
            <w:rFonts w:ascii="Calibri" w:hAnsi="Calibri" w:cs="Calibri"/>
            <w:sz w:val="24"/>
            <w:szCs w:val="24"/>
          </w:rPr>
          <w:t>https://vtechworks.lib.vt.edu/server/api/core/bitstreams/56782c8d-5d94-4700-9b3b-a86e4f205f23/content</w:t>
        </w:r>
      </w:hyperlink>
      <w:r w:rsidR="00AC69F6">
        <w:rPr>
          <w:rFonts w:ascii="Calibri" w:hAnsi="Calibri" w:cs="Calibri"/>
          <w:sz w:val="24"/>
          <w:szCs w:val="24"/>
        </w:rPr>
        <w:t xml:space="preserve"> </w:t>
      </w:r>
      <w:r w:rsidRPr="00C97BEC">
        <w:rPr>
          <w:rFonts w:ascii="Calibri" w:eastAsiaTheme="minorHAnsi" w:hAnsi="Calibri" w:cs="Calibri"/>
          <w:color w:val="000000" w:themeColor="text1"/>
          <w:kern w:val="2"/>
          <w:sz w:val="24"/>
          <w:szCs w:val="24"/>
          <w:lang w:eastAsia="en-US"/>
          <w14:ligatures w14:val="standardContextual"/>
        </w:rPr>
        <w:t>(Accessed: 12 November 2025).</w:t>
      </w:r>
    </w:p>
    <w:p w14:paraId="6A058EFD" w14:textId="77777777" w:rsidR="001727FA" w:rsidRPr="00C97BEC" w:rsidRDefault="001727FA" w:rsidP="00EC68B8">
      <w:pPr>
        <w:pStyle w:val="p1"/>
        <w:spacing w:line="276" w:lineRule="auto"/>
        <w:rPr>
          <w:rFonts w:ascii="Calibri" w:eastAsiaTheme="minorHAnsi" w:hAnsi="Calibri" w:cs="Calibri"/>
          <w:color w:val="000000" w:themeColor="text1"/>
          <w:kern w:val="2"/>
          <w:sz w:val="24"/>
          <w:szCs w:val="24"/>
          <w:lang w:eastAsia="en-US"/>
          <w14:ligatures w14:val="standardContextual"/>
        </w:rPr>
      </w:pPr>
    </w:p>
    <w:p w14:paraId="32BF4873" w14:textId="2CA5019F" w:rsidR="00883E4D" w:rsidRPr="00EC68B8" w:rsidRDefault="001727FA" w:rsidP="00EC68B8">
      <w:pPr>
        <w:pStyle w:val="p1"/>
        <w:spacing w:line="276" w:lineRule="auto"/>
        <w:rPr>
          <w:rFonts w:ascii="Calibri" w:hAnsi="Calibri" w:cs="Calibri"/>
          <w:color w:val="000000" w:themeColor="text1"/>
          <w:sz w:val="24"/>
          <w:szCs w:val="24"/>
        </w:rPr>
      </w:pPr>
      <w:r w:rsidRPr="00C97BEC">
        <w:rPr>
          <w:rFonts w:ascii="Calibri" w:hAnsi="Calibri" w:cs="Calibri"/>
          <w:color w:val="000000" w:themeColor="text1"/>
          <w:sz w:val="24"/>
          <w:szCs w:val="24"/>
        </w:rPr>
        <w:t xml:space="preserve">Shadle, B. (2015) </w:t>
      </w:r>
      <w:r w:rsidRPr="00C97BEC">
        <w:rPr>
          <w:rFonts w:ascii="Calibri" w:hAnsi="Calibri" w:cs="Calibri"/>
          <w:i/>
          <w:iCs/>
          <w:color w:val="000000" w:themeColor="text1"/>
          <w:sz w:val="24"/>
          <w:szCs w:val="24"/>
        </w:rPr>
        <w:t xml:space="preserve">The souls of white folk: white settlers in Kenya 1900s-1920s. </w:t>
      </w:r>
      <w:r w:rsidRPr="00C97BEC">
        <w:rPr>
          <w:rFonts w:ascii="Calibri" w:hAnsi="Calibri" w:cs="Calibri"/>
          <w:color w:val="000000" w:themeColor="text1"/>
          <w:sz w:val="24"/>
          <w:szCs w:val="24"/>
        </w:rPr>
        <w:t>1</w:t>
      </w:r>
      <w:r w:rsidRPr="00C97BEC">
        <w:rPr>
          <w:rFonts w:ascii="Calibri" w:hAnsi="Calibri" w:cs="Calibri"/>
          <w:color w:val="000000" w:themeColor="text1"/>
          <w:sz w:val="24"/>
          <w:szCs w:val="24"/>
          <w:vertAlign w:val="superscript"/>
        </w:rPr>
        <w:t>st</w:t>
      </w:r>
      <w:r w:rsidRPr="00C97BEC">
        <w:rPr>
          <w:rFonts w:ascii="Calibri" w:hAnsi="Calibri" w:cs="Calibri"/>
          <w:color w:val="000000" w:themeColor="text1"/>
          <w:sz w:val="24"/>
          <w:szCs w:val="24"/>
        </w:rPr>
        <w:t xml:space="preserve"> </w:t>
      </w:r>
      <w:proofErr w:type="spellStart"/>
      <w:r w:rsidRPr="00C97BEC">
        <w:rPr>
          <w:rFonts w:ascii="Calibri" w:hAnsi="Calibri" w:cs="Calibri"/>
          <w:color w:val="000000" w:themeColor="text1"/>
          <w:sz w:val="24"/>
          <w:szCs w:val="24"/>
        </w:rPr>
        <w:t>edn</w:t>
      </w:r>
      <w:proofErr w:type="spellEnd"/>
      <w:r w:rsidRPr="00C97BEC">
        <w:rPr>
          <w:rFonts w:ascii="Calibri" w:hAnsi="Calibri" w:cs="Calibri"/>
          <w:color w:val="000000" w:themeColor="text1"/>
          <w:sz w:val="24"/>
          <w:szCs w:val="24"/>
        </w:rPr>
        <w:t>. Manchester University Press.</w:t>
      </w:r>
      <w:r w:rsidRPr="00EC68B8">
        <w:rPr>
          <w:rFonts w:ascii="Calibri" w:hAnsi="Calibri" w:cs="Calibri"/>
          <w:color w:val="000000" w:themeColor="text1"/>
          <w:sz w:val="24"/>
          <w:szCs w:val="24"/>
        </w:rPr>
        <w:t xml:space="preserve"> </w:t>
      </w:r>
    </w:p>
    <w:p w14:paraId="18F6222A" w14:textId="77777777" w:rsidR="004F30A2" w:rsidRPr="00EC68B8" w:rsidRDefault="004F30A2" w:rsidP="00EC68B8">
      <w:pPr>
        <w:spacing w:line="276" w:lineRule="auto"/>
        <w:rPr>
          <w:rFonts w:ascii="Calibri" w:hAnsi="Calibri" w:cs="Calibri"/>
        </w:rPr>
      </w:pPr>
    </w:p>
    <w:p w14:paraId="64A70BB9" w14:textId="77777777" w:rsidR="006C4C59" w:rsidRPr="00EC13CB" w:rsidRDefault="006C4C59" w:rsidP="00EC13CB">
      <w:pPr>
        <w:spacing w:line="240" w:lineRule="auto"/>
        <w:rPr>
          <w:rFonts w:ascii="Calibri" w:hAnsi="Calibri" w:cs="Calibri"/>
        </w:rPr>
      </w:pPr>
    </w:p>
    <w:p w14:paraId="1314AC49" w14:textId="77777777" w:rsidR="006C4C59" w:rsidRDefault="006C4C59" w:rsidP="00EC13CB">
      <w:pPr>
        <w:spacing w:line="240" w:lineRule="auto"/>
        <w:rPr>
          <w:rFonts w:ascii="Calibri" w:hAnsi="Calibri" w:cs="Calibri"/>
        </w:rPr>
      </w:pPr>
    </w:p>
    <w:p w14:paraId="61D855CB" w14:textId="77777777" w:rsidR="00D11673" w:rsidRDefault="00D11673" w:rsidP="00EC13CB">
      <w:pPr>
        <w:spacing w:line="240" w:lineRule="auto"/>
        <w:rPr>
          <w:rFonts w:ascii="Calibri" w:hAnsi="Calibri" w:cs="Calibri"/>
        </w:rPr>
      </w:pPr>
    </w:p>
    <w:p w14:paraId="5B30B49A" w14:textId="77777777" w:rsidR="00D11673" w:rsidRDefault="00D11673" w:rsidP="00EC13CB">
      <w:pPr>
        <w:spacing w:line="240" w:lineRule="auto"/>
        <w:rPr>
          <w:rFonts w:ascii="Calibri" w:hAnsi="Calibri" w:cs="Calibri"/>
        </w:rPr>
      </w:pPr>
    </w:p>
    <w:p w14:paraId="28A6A540" w14:textId="77777777" w:rsidR="00D11673" w:rsidRDefault="00D11673" w:rsidP="00EC13CB">
      <w:pPr>
        <w:spacing w:line="240" w:lineRule="auto"/>
        <w:rPr>
          <w:rFonts w:ascii="Calibri" w:hAnsi="Calibri" w:cs="Calibri"/>
        </w:rPr>
      </w:pPr>
    </w:p>
    <w:p w14:paraId="52D9F2B8" w14:textId="77777777" w:rsidR="00D11673" w:rsidRDefault="00D11673" w:rsidP="00EC13CB">
      <w:pPr>
        <w:spacing w:line="240" w:lineRule="auto"/>
        <w:rPr>
          <w:rFonts w:ascii="Calibri" w:hAnsi="Calibri" w:cs="Calibri"/>
        </w:rPr>
      </w:pPr>
    </w:p>
    <w:p w14:paraId="7CA9FD9A" w14:textId="77777777" w:rsidR="00D11673" w:rsidRDefault="00D11673" w:rsidP="00EC13CB">
      <w:pPr>
        <w:spacing w:line="240" w:lineRule="auto"/>
        <w:rPr>
          <w:rFonts w:ascii="Calibri" w:hAnsi="Calibri" w:cs="Calibri"/>
        </w:rPr>
      </w:pPr>
    </w:p>
    <w:p w14:paraId="783DD757" w14:textId="77777777" w:rsidR="00D11673" w:rsidRDefault="00D11673" w:rsidP="00EC13CB">
      <w:pPr>
        <w:spacing w:line="240" w:lineRule="auto"/>
        <w:rPr>
          <w:rFonts w:ascii="Calibri" w:hAnsi="Calibri" w:cs="Calibri"/>
        </w:rPr>
      </w:pPr>
    </w:p>
    <w:p w14:paraId="47ADA87D" w14:textId="77777777" w:rsidR="00D11673" w:rsidRDefault="00D11673" w:rsidP="00EC13CB">
      <w:pPr>
        <w:spacing w:line="240" w:lineRule="auto"/>
        <w:rPr>
          <w:rFonts w:ascii="Calibri" w:hAnsi="Calibri" w:cs="Calibri"/>
        </w:rPr>
      </w:pPr>
    </w:p>
    <w:p w14:paraId="77B2CD14" w14:textId="77777777" w:rsidR="00D11673" w:rsidRPr="00EC13CB" w:rsidRDefault="00D11673" w:rsidP="00EC13CB">
      <w:pPr>
        <w:spacing w:line="240" w:lineRule="auto"/>
        <w:rPr>
          <w:rFonts w:ascii="Calibri" w:hAnsi="Calibri" w:cs="Calibri"/>
        </w:rPr>
      </w:pPr>
    </w:p>
    <w:p w14:paraId="09433384" w14:textId="77777777" w:rsidR="006C4C59" w:rsidRPr="00EC13CB" w:rsidRDefault="006C4C59" w:rsidP="00EC13CB">
      <w:pPr>
        <w:spacing w:line="240" w:lineRule="auto"/>
        <w:rPr>
          <w:rFonts w:ascii="Calibri" w:hAnsi="Calibri" w:cs="Calibri"/>
        </w:rPr>
      </w:pPr>
    </w:p>
    <w:p w14:paraId="3E64376B" w14:textId="77777777" w:rsidR="00883E4D" w:rsidRDefault="00883E4D" w:rsidP="00EB1EA4">
      <w:pPr>
        <w:spacing w:line="240" w:lineRule="auto"/>
        <w:rPr>
          <w:rFonts w:ascii="Calibri" w:hAnsi="Calibri" w:cs="Calibri"/>
        </w:rPr>
      </w:pPr>
    </w:p>
    <w:p w14:paraId="0A533050" w14:textId="77777777" w:rsidR="00AC69F6" w:rsidRDefault="00AC69F6" w:rsidP="00EB1EA4">
      <w:pPr>
        <w:spacing w:line="240" w:lineRule="auto"/>
        <w:rPr>
          <w:rFonts w:ascii="Calibri" w:hAnsi="Calibri" w:cs="Calibri"/>
        </w:rPr>
      </w:pPr>
    </w:p>
    <w:p w14:paraId="3F402F04" w14:textId="52DDFEC5" w:rsidR="00883E4D" w:rsidRDefault="00D11673" w:rsidP="00D11673">
      <w:pPr>
        <w:spacing w:line="240" w:lineRule="auto"/>
        <w:jc w:val="center"/>
        <w:rPr>
          <w:rFonts w:ascii="Calibri" w:hAnsi="Calibri" w:cs="Calibri"/>
          <w:b/>
          <w:bCs/>
        </w:rPr>
      </w:pPr>
      <w:r w:rsidRPr="00D11673">
        <w:rPr>
          <w:rFonts w:ascii="Calibri" w:hAnsi="Calibri" w:cs="Calibri"/>
          <w:b/>
          <w:bCs/>
        </w:rPr>
        <w:lastRenderedPageBreak/>
        <w:t>APPENDIX</w:t>
      </w:r>
    </w:p>
    <w:p w14:paraId="522B0091" w14:textId="77777777" w:rsidR="00D11673" w:rsidRDefault="00D11673" w:rsidP="00D11673">
      <w:pPr>
        <w:spacing w:line="240" w:lineRule="auto"/>
        <w:jc w:val="center"/>
        <w:rPr>
          <w:rFonts w:ascii="Calibri" w:hAnsi="Calibri" w:cs="Calibri"/>
          <w:b/>
          <w:bCs/>
        </w:rPr>
      </w:pPr>
    </w:p>
    <w:p w14:paraId="3E474C18" w14:textId="3205EA30" w:rsidR="00D11673" w:rsidRPr="00D11673" w:rsidRDefault="00D11673" w:rsidP="00D11673">
      <w:pPr>
        <w:spacing w:line="240" w:lineRule="auto"/>
        <w:rPr>
          <w:rFonts w:ascii="Calibri" w:hAnsi="Calibri" w:cs="Calibri"/>
          <w:b/>
          <w:bCs/>
        </w:rPr>
      </w:pPr>
      <w:r w:rsidRPr="00D11673">
        <w:rPr>
          <w:rFonts w:ascii="Calibri" w:hAnsi="Calibri" w:cs="Calibri"/>
          <w:b/>
          <w:bCs/>
        </w:rPr>
        <w:t>APPENDIX 1</w:t>
      </w:r>
    </w:p>
    <w:p w14:paraId="478B3EF9" w14:textId="401BF1B6" w:rsidR="00D11673" w:rsidRPr="00D11673" w:rsidRDefault="00D11673" w:rsidP="00D11673">
      <w:pPr>
        <w:pStyle w:val="Heading3"/>
        <w:rPr>
          <w:rFonts w:ascii="Calibri" w:hAnsi="Calibri" w:cs="Calibri"/>
          <w:sz w:val="24"/>
          <w:szCs w:val="24"/>
        </w:rPr>
      </w:pPr>
      <w:r w:rsidRPr="00D11673">
        <w:rPr>
          <w:rFonts w:ascii="Calibri" w:hAnsi="Calibri" w:cs="Calibri"/>
          <w:sz w:val="24"/>
          <w:szCs w:val="24"/>
        </w:rPr>
        <w:t xml:space="preserve">Crown versus Grogan, Bowker, Gray, </w:t>
      </w:r>
      <w:proofErr w:type="spellStart"/>
      <w:r w:rsidRPr="00D11673">
        <w:rPr>
          <w:rFonts w:ascii="Calibri" w:hAnsi="Calibri" w:cs="Calibri"/>
          <w:sz w:val="24"/>
          <w:szCs w:val="24"/>
        </w:rPr>
        <w:t>Fichat</w:t>
      </w:r>
      <w:proofErr w:type="spellEnd"/>
      <w:r w:rsidRPr="00D11673">
        <w:rPr>
          <w:rFonts w:ascii="Calibri" w:hAnsi="Calibri" w:cs="Calibri"/>
          <w:sz w:val="24"/>
          <w:szCs w:val="24"/>
        </w:rPr>
        <w:t xml:space="preserve"> and Low, Judgment, 2 April 1907, reprinted in East Africa Protectorate, </w:t>
      </w:r>
      <w:r w:rsidRPr="00D11673">
        <w:rPr>
          <w:rFonts w:ascii="Calibri" w:hAnsi="Calibri" w:cs="Calibri"/>
          <w:i/>
          <w:iCs/>
          <w:sz w:val="24"/>
          <w:szCs w:val="24"/>
        </w:rPr>
        <w:t xml:space="preserve">Correspondence relating to the flogging of Natives by Certain Europeans at Nairobi </w:t>
      </w:r>
      <w:r w:rsidRPr="00D11673">
        <w:rPr>
          <w:rFonts w:ascii="Calibri" w:hAnsi="Calibri" w:cs="Calibri"/>
          <w:sz w:val="24"/>
          <w:szCs w:val="24"/>
        </w:rPr>
        <w:t>[Cd. 3562] (London: Printed for His Majesty’s Stationery Office, Darling &amp; Son, Ltd, 1907)</w:t>
      </w:r>
      <w:r>
        <w:rPr>
          <w:rFonts w:ascii="Calibri" w:hAnsi="Calibri" w:cs="Calibri"/>
          <w:sz w:val="24"/>
          <w:szCs w:val="24"/>
        </w:rPr>
        <w:t>.</w:t>
      </w:r>
    </w:p>
    <w:p w14:paraId="43FBB9F6"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In this case the accused, Grogan, Bowker, Gray, </w:t>
      </w:r>
      <w:proofErr w:type="spellStart"/>
      <w:r w:rsidRPr="00DB2D0C">
        <w:rPr>
          <w:rFonts w:ascii="Calibri" w:hAnsi="Calibri" w:cs="Calibri"/>
          <w:sz w:val="20"/>
          <w:szCs w:val="20"/>
        </w:rPr>
        <w:t>Fichat</w:t>
      </w:r>
      <w:proofErr w:type="spellEnd"/>
      <w:r w:rsidRPr="00DB2D0C">
        <w:rPr>
          <w:rFonts w:ascii="Calibri" w:hAnsi="Calibri" w:cs="Calibri"/>
          <w:sz w:val="20"/>
          <w:szCs w:val="20"/>
        </w:rPr>
        <w:t>, and Low, are summoned for being members of an unlawful assembly under paragraph 143, I.P.C.</w:t>
      </w:r>
    </w:p>
    <w:p w14:paraId="2B19F49A"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Section 141 states that any assembly of five or more persons having as its common object the commission of an offence is an unlawful assembly.</w:t>
      </w:r>
    </w:p>
    <w:p w14:paraId="1DC97072"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The term “offence” for the purposes of this section is defined by paragraph 40 of Chapter II. of the Penal Code as being any offence punishable under the code or under any special or general law with imprisonment for a term of six months or upwards.</w:t>
      </w:r>
    </w:p>
    <w:p w14:paraId="53EB773E"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Section 142 states “Whoever being aware of facts which render any assembly an unlawful assembly intentionally joins that assembly or continues in it is said to be a member of an unlawful assembly.”</w:t>
      </w:r>
    </w:p>
    <w:p w14:paraId="0B4A5759"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As the facts in this case can hardly be said to be in dispute, it is unnecessary for me to do more than briefly restate them.</w:t>
      </w:r>
    </w:p>
    <w:p w14:paraId="3E05B24C"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On March 13th Grogan, in consequence of information which he states he received regarding the conduct of three of his </w:t>
      </w:r>
      <w:proofErr w:type="spellStart"/>
      <w:r w:rsidRPr="00DB2D0C">
        <w:rPr>
          <w:rFonts w:ascii="Calibri" w:hAnsi="Calibri" w:cs="Calibri"/>
          <w:sz w:val="20"/>
          <w:szCs w:val="20"/>
        </w:rPr>
        <w:t>gharri</w:t>
      </w:r>
      <w:proofErr w:type="spellEnd"/>
      <w:r w:rsidRPr="00DB2D0C">
        <w:rPr>
          <w:rFonts w:ascii="Calibri" w:hAnsi="Calibri" w:cs="Calibri"/>
          <w:sz w:val="20"/>
          <w:szCs w:val="20"/>
        </w:rPr>
        <w:t xml:space="preserve"> boys, conceives the idea of flogging them in public. On the evening of that day, and the morning of the next, lie consults with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on this subject, and while in </w:t>
      </w:r>
      <w:proofErr w:type="spellStart"/>
      <w:r w:rsidRPr="00DB2D0C">
        <w:rPr>
          <w:rFonts w:ascii="Calibri" w:hAnsi="Calibri" w:cs="Calibri"/>
          <w:sz w:val="20"/>
          <w:szCs w:val="20"/>
        </w:rPr>
        <w:t>Fichat’s</w:t>
      </w:r>
      <w:proofErr w:type="spellEnd"/>
      <w:r w:rsidRPr="00DB2D0C">
        <w:rPr>
          <w:rFonts w:ascii="Calibri" w:hAnsi="Calibri" w:cs="Calibri"/>
          <w:sz w:val="20"/>
          <w:szCs w:val="20"/>
        </w:rPr>
        <w:t xml:space="preserve"> company definitely decided upon this course of action. On this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circulates the news of this decision throughout the town about an hour before the act is to take place by informing a variety of people whom he meets.</w:t>
      </w:r>
    </w:p>
    <w:p w14:paraId="7B95D397"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In the circulation of this news the evidence shows he is assisted by Low.</w:t>
      </w:r>
    </w:p>
    <w:p w14:paraId="3DE33AB9"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About 10 o’clock in the morning of this day (</w:t>
      </w:r>
      <w:r w:rsidRPr="00DB2D0C">
        <w:rPr>
          <w:rFonts w:ascii="Calibri" w:hAnsi="Calibri" w:cs="Calibri"/>
          <w:i/>
          <w:iCs/>
          <w:sz w:val="20"/>
          <w:szCs w:val="20"/>
        </w:rPr>
        <w:t>i.e.</w:t>
      </w:r>
      <w:r w:rsidRPr="00DB2D0C">
        <w:rPr>
          <w:rFonts w:ascii="Calibri" w:hAnsi="Calibri" w:cs="Calibri"/>
          <w:sz w:val="20"/>
          <w:szCs w:val="20"/>
        </w:rPr>
        <w:t xml:space="preserve">, 14th March), Grogan brings these, three natives into the town. On his arrival he is met by a large crowd of Europeans, estimated in number from 50 to 250, who have assembled to witness the flogging in consequence of the announcement which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circulated. The boys are taken in front of the Court House, the crowd accompanying them.</w:t>
      </w:r>
    </w:p>
    <w:p w14:paraId="51509037"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On arrival there they are met by Logan, the Town Magistrate, who asks the meaning of this assembly, and on being informed, warns the crowd of the illegality of their proposed action.</w:t>
      </w:r>
    </w:p>
    <w:p w14:paraId="1AB972FD"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In spite of this warning, and in spite also of the efforts of Smith, of the Police, to prevent it, the flogging takes place, the actual men to do the flogging being Grogan, Bowker, and Gray, who each flog one of the natives.</w:t>
      </w:r>
    </w:p>
    <w:p w14:paraId="577D01B1"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It is this flogging that constitutes the offence which is the essence of the unlawful assembly, the substance of this charge, and I find that this offence is punishable under paragraph 323 of the Code with imprisonment for one year. Thus, with regard to the nature of the offence the requirements of paragraph 141 of I.P.C. are fulfilled.</w:t>
      </w:r>
    </w:p>
    <w:p w14:paraId="71B6BC76"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With regard to the other requirements of that section, it is necessary that there should be at least five persons present at that assembly with the common object of committing the offence to which I have referred.</w:t>
      </w:r>
    </w:p>
    <w:p w14:paraId="0A6900EB"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lastRenderedPageBreak/>
        <w:t>Allen has argued that there were not five persons in fact present whose object it was to flog these natives; that at most there were only three with that object; and that the common object of the remainder of that assembly was merely to look on.</w:t>
      </w:r>
    </w:p>
    <w:p w14:paraId="7954E932"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I do not think there is very much in that contention. With regard to Grogan, Bowker, and Gray, their acts make it obvious what their object was.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was present with Grogan when the decision to flog these natives was arrived at. He admits he approved of the idea. He made no effort to dissuade Grogan, who apparently originated the scheme. He states he made suggestions as to where the flogging should take place, and finally he collected the crowd who assembled. By this series of </w:t>
      </w:r>
      <w:proofErr w:type="gramStart"/>
      <w:r w:rsidRPr="00DB2D0C">
        <w:rPr>
          <w:rFonts w:ascii="Calibri" w:hAnsi="Calibri" w:cs="Calibri"/>
          <w:sz w:val="20"/>
          <w:szCs w:val="20"/>
        </w:rPr>
        <w:t>acts</w:t>
      </w:r>
      <w:proofErr w:type="gramEnd"/>
      <w:r w:rsidRPr="00DB2D0C">
        <w:rPr>
          <w:rFonts w:ascii="Calibri" w:hAnsi="Calibri" w:cs="Calibri"/>
          <w:sz w:val="20"/>
          <w:szCs w:val="20"/>
        </w:rPr>
        <w:t xml:space="preserve"> I find the accused,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has been guilty of abetment by instigation (Section 107, I.P.C). Abetment of this nature may be either direct or indirect. It is sufficient if the abettor counsels an offence, or if he evinces an express liking, approbation, or assent to another design of committing an offence (Starling page 119). It is laid down that taking any active proceeding either in procuring, inciting, or in some other way encouraging the act done by the principal will bring a person accused of abetment within the section. </w:t>
      </w:r>
      <w:proofErr w:type="spellStart"/>
      <w:r w:rsidRPr="00DB2D0C">
        <w:rPr>
          <w:rFonts w:ascii="Calibri" w:hAnsi="Calibri" w:cs="Calibri"/>
          <w:sz w:val="20"/>
          <w:szCs w:val="20"/>
        </w:rPr>
        <w:t>Fichat</w:t>
      </w:r>
      <w:proofErr w:type="spellEnd"/>
      <w:r w:rsidRPr="00DB2D0C">
        <w:rPr>
          <w:rFonts w:ascii="Calibri" w:hAnsi="Calibri" w:cs="Calibri"/>
          <w:sz w:val="20"/>
          <w:szCs w:val="20"/>
        </w:rPr>
        <w:t>, to my mind, has been clearly guilty of counselling Grogan in his design by the suggestion which he admits he made to Grogan during their discussions on March 13th and 14th with regard to the place where the flogging should take place. He also admits that he approved of the act and assented to it. It is also clear, in my mind, that by collecting a crowd to witness Grogan’s commission of this act that he was thereby encouraging the act.</w:t>
      </w:r>
    </w:p>
    <w:p w14:paraId="49831B59"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In the collection of this crowd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was assisted by Low in these proceedings, and I consequently find Low encouraged the act done by </w:t>
      </w:r>
      <w:proofErr w:type="gramStart"/>
      <w:r w:rsidRPr="00DB2D0C">
        <w:rPr>
          <w:rFonts w:ascii="Calibri" w:hAnsi="Calibri" w:cs="Calibri"/>
          <w:sz w:val="20"/>
          <w:szCs w:val="20"/>
        </w:rPr>
        <w:t>Grogan, and</w:t>
      </w:r>
      <w:proofErr w:type="gramEnd"/>
      <w:r w:rsidRPr="00DB2D0C">
        <w:rPr>
          <w:rFonts w:ascii="Calibri" w:hAnsi="Calibri" w:cs="Calibri"/>
          <w:sz w:val="20"/>
          <w:szCs w:val="20"/>
        </w:rPr>
        <w:t xml:space="preserve"> is likewise guilty of abetment by instigation.</w:t>
      </w:r>
    </w:p>
    <w:p w14:paraId="45BD0CA8"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In law a person present abetting an offence is to be deemed to have committed that offence though, in fact, he does not do so any more than a principal in the second degree (Starling page 130). He is to be considered as a principal (Reg. &amp; Shib. Chunder </w:t>
      </w:r>
      <w:proofErr w:type="spellStart"/>
      <w:r w:rsidRPr="00DB2D0C">
        <w:rPr>
          <w:rFonts w:ascii="Calibri" w:hAnsi="Calibri" w:cs="Calibri"/>
          <w:sz w:val="20"/>
          <w:szCs w:val="20"/>
        </w:rPr>
        <w:t>Mudle</w:t>
      </w:r>
      <w:proofErr w:type="spellEnd"/>
      <w:r w:rsidRPr="00DB2D0C">
        <w:rPr>
          <w:rFonts w:ascii="Calibri" w:hAnsi="Calibri" w:cs="Calibri"/>
          <w:sz w:val="20"/>
          <w:szCs w:val="20"/>
        </w:rPr>
        <w:t xml:space="preserve">, Starling page 131). The punishment for both principal and abettor in the offence in question is the same, and I do not think that there is any distinction to be drawn between the common objects of Grogan, Bowker, Gray, and that of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and Low.</w:t>
      </w:r>
    </w:p>
    <w:p w14:paraId="009B7562"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I think there is complete evidence of the presence of the five persons necessary under the section without including the witness Newland who, in his evidence, stated that he attended the meeting for the purpose of taking part in the object which it possessed.</w:t>
      </w:r>
    </w:p>
    <w:p w14:paraId="66F2D6BD" w14:textId="77777777" w:rsidR="00D11673" w:rsidRPr="00DB2D0C" w:rsidRDefault="00D11673" w:rsidP="00D11673">
      <w:pPr>
        <w:rPr>
          <w:rFonts w:ascii="Calibri" w:hAnsi="Calibri" w:cs="Calibri"/>
          <w:sz w:val="20"/>
          <w:szCs w:val="20"/>
        </w:rPr>
      </w:pPr>
      <w:proofErr w:type="gramStart"/>
      <w:r w:rsidRPr="00DB2D0C">
        <w:rPr>
          <w:rFonts w:ascii="Calibri" w:hAnsi="Calibri" w:cs="Calibri"/>
          <w:sz w:val="20"/>
          <w:szCs w:val="20"/>
        </w:rPr>
        <w:t>But,</w:t>
      </w:r>
      <w:proofErr w:type="gramEnd"/>
      <w:r w:rsidRPr="00DB2D0C">
        <w:rPr>
          <w:rFonts w:ascii="Calibri" w:hAnsi="Calibri" w:cs="Calibri"/>
          <w:sz w:val="20"/>
          <w:szCs w:val="20"/>
        </w:rPr>
        <w:t xml:space="preserve"> however this may be, assuming for an instant that this meeting was a lawful assembly at its commencement, there cannot be much doubt but that it subsequently became an unlawful one.</w:t>
      </w:r>
    </w:p>
    <w:p w14:paraId="0D24FBF6"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After the illegality of its object had been stated to the assembly by Logan, the Town Magistrate, the crowd still remained, and actively assisted Grogan, Bowker, / and Gray in the prosecution of their purpose by forcibly preventing any interference by Captain Smith, the Police Officer, when he attempted to intervene. They cheered these three men at the close of the proceedings, and further evidence as to their intention is disclosed by the fact that Grogan himself found it necessary to extract promises from them that they would not molest these three men when he had finished with them.</w:t>
      </w:r>
    </w:p>
    <w:p w14:paraId="5EE2CF80"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They all became abettors of the offence, and since the lowest computation of their number is almost fifty, I have </w:t>
      </w:r>
      <w:proofErr w:type="gramStart"/>
      <w:r w:rsidRPr="00DB2D0C">
        <w:rPr>
          <w:rFonts w:ascii="Calibri" w:hAnsi="Calibri" w:cs="Calibri"/>
          <w:sz w:val="20"/>
          <w:szCs w:val="20"/>
        </w:rPr>
        <w:t>come to the conclusion</w:t>
      </w:r>
      <w:proofErr w:type="gramEnd"/>
      <w:r w:rsidRPr="00DB2D0C">
        <w:rPr>
          <w:rFonts w:ascii="Calibri" w:hAnsi="Calibri" w:cs="Calibri"/>
          <w:sz w:val="20"/>
          <w:szCs w:val="20"/>
        </w:rPr>
        <w:t xml:space="preserve"> that the assembly was an unlawful assembly within the meaning of Section </w:t>
      </w:r>
      <w:proofErr w:type="gramStart"/>
      <w:r w:rsidRPr="00DB2D0C">
        <w:rPr>
          <w:rFonts w:ascii="Calibri" w:hAnsi="Calibri" w:cs="Calibri"/>
          <w:sz w:val="20"/>
          <w:szCs w:val="20"/>
        </w:rPr>
        <w:t>141, and</w:t>
      </w:r>
      <w:proofErr w:type="gramEnd"/>
      <w:r w:rsidRPr="00DB2D0C">
        <w:rPr>
          <w:rFonts w:ascii="Calibri" w:hAnsi="Calibri" w:cs="Calibri"/>
          <w:sz w:val="20"/>
          <w:szCs w:val="20"/>
        </w:rPr>
        <w:t xml:space="preserve"> find accordingly.</w:t>
      </w:r>
    </w:p>
    <w:p w14:paraId="3E3F581D"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Having come to this conclusion, and also to the conclusion that those of the accused who are not guilty as principals in this affair are guilty as abettors, it necessarily follows, since they were all admittedly present at this meeting, that they were members of this unlawful assembly within the meaning of Section 142.</w:t>
      </w:r>
    </w:p>
    <w:p w14:paraId="1F24189E"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I will, however, leave for the moment the question as to the degree of criminality attaching to each of the accused as such members, and return to it later. The next point for consideration is the magnitude of the offence, the commission of which formed the object of this meeting.</w:t>
      </w:r>
    </w:p>
    <w:p w14:paraId="46D13532"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lastRenderedPageBreak/>
        <w:t>From first to last it appears to me that out of all the people present assisting at the flogging of these men, there was no one of that number who ever took the trouble to satisfy himself as to whether these natives had ever done anything deserving of punishment at all. There was no trial of any sort nor any form or pretence of trial. These boys were neither asked whether they had any defence or explanation to give, nor does it appear that they ever had any opportunity of making one. Grogan, who ordered the flogging, has himself stated that no plea or defence which they might have made would have diverted him from his purpose.</w:t>
      </w:r>
    </w:p>
    <w:p w14:paraId="62F2AA29"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This is a very unpleasant feature in the case, and I consider that of its class this offence it is about as bad as it can be. Yet, in my opinion, it is further aggravated by the fact that the place selected for this unlawful act was directly in front of the Court House.</w:t>
      </w:r>
    </w:p>
    <w:p w14:paraId="1276CF6C"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It has been stated in defence that this selection was not a matter of prearranged choice, but the fact remains that this situation was chosen and continued on after the Town Magistrate had made his protest to the crowd to desist from their purpose.</w:t>
      </w:r>
    </w:p>
    <w:p w14:paraId="7300249E"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In face of these </w:t>
      </w:r>
      <w:proofErr w:type="gramStart"/>
      <w:r w:rsidRPr="00DB2D0C">
        <w:rPr>
          <w:rFonts w:ascii="Calibri" w:hAnsi="Calibri" w:cs="Calibri"/>
          <w:sz w:val="20"/>
          <w:szCs w:val="20"/>
        </w:rPr>
        <w:t>facts</w:t>
      </w:r>
      <w:proofErr w:type="gramEnd"/>
      <w:r w:rsidRPr="00DB2D0C">
        <w:rPr>
          <w:rFonts w:ascii="Calibri" w:hAnsi="Calibri" w:cs="Calibri"/>
          <w:sz w:val="20"/>
          <w:szCs w:val="20"/>
        </w:rPr>
        <w:t xml:space="preserve"> I am compelled to take a serious view of the offence, and with regard to their respective participation in it, I will first deal with the cases of the accused,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and Low.</w:t>
      </w:r>
    </w:p>
    <w:p w14:paraId="6789BF0D"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For reasons that I had already stated I find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was an abettor of this flogging, in fact, the most active abettor.</w:t>
      </w:r>
    </w:p>
    <w:p w14:paraId="2A734717"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I think the words he is stated to have used in the Travellers’ Club, and which he has not denied, to the effect that he had got together a crowd in a record time, give the best indication of the part he has played in this affair.</w:t>
      </w:r>
    </w:p>
    <w:p w14:paraId="237B1061"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As regards Low – since I have already found him to be a member of this unlawful assembly, and an abettor of the offence committed by it, I need not go at any length into his defence whereby he pleads that he was a newspaper reporter present to make a report of the proceedings. He admits in cross-examination that this was not his only object.</w:t>
      </w:r>
    </w:p>
    <w:p w14:paraId="4330169B"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The evidence shows he assisted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in the collection of this record crowd which directly encouraged the commission of the offence, but I do not think he was an abettor to as large an extent as </w:t>
      </w:r>
      <w:proofErr w:type="spellStart"/>
      <w:r w:rsidRPr="00DB2D0C">
        <w:rPr>
          <w:rFonts w:ascii="Calibri" w:hAnsi="Calibri" w:cs="Calibri"/>
          <w:sz w:val="20"/>
          <w:szCs w:val="20"/>
        </w:rPr>
        <w:t>Fichat</w:t>
      </w:r>
      <w:proofErr w:type="spellEnd"/>
      <w:r w:rsidRPr="00DB2D0C">
        <w:rPr>
          <w:rFonts w:ascii="Calibri" w:hAnsi="Calibri" w:cs="Calibri"/>
          <w:sz w:val="20"/>
          <w:szCs w:val="20"/>
        </w:rPr>
        <w:t>.</w:t>
      </w:r>
    </w:p>
    <w:p w14:paraId="26E00915"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I sentence </w:t>
      </w:r>
      <w:proofErr w:type="spellStart"/>
      <w:r w:rsidRPr="00DB2D0C">
        <w:rPr>
          <w:rFonts w:ascii="Calibri" w:hAnsi="Calibri" w:cs="Calibri"/>
          <w:sz w:val="20"/>
          <w:szCs w:val="20"/>
        </w:rPr>
        <w:t>Fichat</w:t>
      </w:r>
      <w:proofErr w:type="spellEnd"/>
      <w:r w:rsidRPr="00DB2D0C">
        <w:rPr>
          <w:rFonts w:ascii="Calibri" w:hAnsi="Calibri" w:cs="Calibri"/>
          <w:sz w:val="20"/>
          <w:szCs w:val="20"/>
        </w:rPr>
        <w:t xml:space="preserve"> to 14 days’ and Low to 7 days’ simple imprisonment.</w:t>
      </w:r>
    </w:p>
    <w:p w14:paraId="7BC93D1F"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With regard to the accused, Bowker and Gray, they were members of this unlawful assembly who each took an active part in the flogging. The statement put in by Bowker is no defence at all to the charge against him, and the points raised by Gray in the statement made by him to the Court have already been dealt with in this judgment.</w:t>
      </w:r>
    </w:p>
    <w:p w14:paraId="723ACDF0"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I convict them both, and sentence each to 14 days’ simple imprisonment, and (each) to pay a fine of Rs. 250, in default 14 days’ simple imprisonment additional. </w:t>
      </w:r>
    </w:p>
    <w:p w14:paraId="54FB5DCF"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The worst case of all is that of E. S. Grogan, who originated the whole affair. I have been careful in considering his defence to weigh the reasons for his actions which he has put forward, but I cannot find any justification of any sort or kind which can be urged on his behalf.</w:t>
      </w:r>
    </w:p>
    <w:p w14:paraId="4A4A9E26"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Owing to the position which he occupied he was a man to whom the Government ought, with reasonable expectation of success, to have been able to look for assistance in the keeping of law and order. In fact, from the evidence in this case, it is clear that he has used his influence toward the commission of a most lawless act in open and premeditated defiance of the authorities.</w:t>
      </w:r>
    </w:p>
    <w:p w14:paraId="2BA1EA61"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Having regard to the circumstances I do not see what other constructions can be placed upon his actions.</w:t>
      </w:r>
    </w:p>
    <w:p w14:paraId="7DA94528"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lastRenderedPageBreak/>
        <w:t>I cannot find the slightest foundation in fact, for his statement that the offence which he alleges these natives to have committed constituted a matter of such paramount importance that, having at heart the safety of his women folk, he dare not trust this matter to be dealt with by what he describes as the vagaries of the law and the application thereof.</w:t>
      </w:r>
    </w:p>
    <w:p w14:paraId="61CEF907"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On his own showing the safety of his women folk was never involved – at most these natives had only been guilty of impertinence – and on his own admission he has no recollection of any case ever being brought before the Courts of this Protectorate in which natives have been charged with indecent conduct to white women.</w:t>
      </w:r>
    </w:p>
    <w:p w14:paraId="5C347827"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But I should add that, to my mind, there is nothing more calculated to set a bad example not only to natives but to others also than exhibitions of lawlessness of the kind of which Grogan himself has been guilty.</w:t>
      </w:r>
    </w:p>
    <w:p w14:paraId="63F25E9C"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 xml:space="preserve">The order of this Court is that he be imprisoned for one month simple </w:t>
      </w:r>
      <w:proofErr w:type="gramStart"/>
      <w:r w:rsidRPr="00DB2D0C">
        <w:rPr>
          <w:rFonts w:ascii="Calibri" w:hAnsi="Calibri" w:cs="Calibri"/>
          <w:sz w:val="20"/>
          <w:szCs w:val="20"/>
        </w:rPr>
        <w:t>imprisonment, and</w:t>
      </w:r>
      <w:proofErr w:type="gramEnd"/>
      <w:r w:rsidRPr="00DB2D0C">
        <w:rPr>
          <w:rFonts w:ascii="Calibri" w:hAnsi="Calibri" w:cs="Calibri"/>
          <w:sz w:val="20"/>
          <w:szCs w:val="20"/>
        </w:rPr>
        <w:t xml:space="preserve"> pay a fine of Rs. 500, in default </w:t>
      </w:r>
      <w:proofErr w:type="gramStart"/>
      <w:r w:rsidRPr="00DB2D0C">
        <w:rPr>
          <w:rFonts w:ascii="Calibri" w:hAnsi="Calibri" w:cs="Calibri"/>
          <w:sz w:val="20"/>
          <w:szCs w:val="20"/>
        </w:rPr>
        <w:t>one month</w:t>
      </w:r>
      <w:proofErr w:type="gramEnd"/>
      <w:r w:rsidRPr="00DB2D0C">
        <w:rPr>
          <w:rFonts w:ascii="Calibri" w:hAnsi="Calibri" w:cs="Calibri"/>
          <w:sz w:val="20"/>
          <w:szCs w:val="20"/>
        </w:rPr>
        <w:t xml:space="preserve"> simple imprisonment additional.</w:t>
      </w:r>
    </w:p>
    <w:p w14:paraId="64247CD5"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Convictions and sentences under Section 143 I.P.C.</w:t>
      </w:r>
    </w:p>
    <w:p w14:paraId="66D5E260" w14:textId="77777777" w:rsidR="00D11673" w:rsidRPr="00DB2D0C" w:rsidRDefault="00D11673" w:rsidP="00D11673">
      <w:pPr>
        <w:rPr>
          <w:rFonts w:ascii="Calibri" w:hAnsi="Calibri" w:cs="Calibri"/>
          <w:sz w:val="20"/>
          <w:szCs w:val="20"/>
        </w:rPr>
      </w:pPr>
      <w:r w:rsidRPr="00DB2D0C">
        <w:rPr>
          <w:rFonts w:ascii="Calibri" w:hAnsi="Calibri" w:cs="Calibri"/>
          <w:sz w:val="20"/>
          <w:szCs w:val="20"/>
        </w:rPr>
        <w:t>H. O. DOLBEY.</w:t>
      </w:r>
    </w:p>
    <w:p w14:paraId="58524AD3" w14:textId="0F56489C" w:rsidR="00DB2D0C" w:rsidRPr="00D11673" w:rsidRDefault="00DB2D0C" w:rsidP="00DB2D0C">
      <w:pPr>
        <w:jc w:val="center"/>
        <w:rPr>
          <w:rFonts w:ascii="Calibri" w:hAnsi="Calibri" w:cs="Calibri"/>
        </w:rPr>
      </w:pPr>
      <w:r>
        <w:rPr>
          <w:rFonts w:ascii="Calibri" w:hAnsi="Calibri" w:cs="Calibri"/>
        </w:rPr>
        <w:t>Ref: (</w:t>
      </w:r>
      <w:proofErr w:type="spellStart"/>
      <w:r>
        <w:rPr>
          <w:rFonts w:ascii="Calibri" w:hAnsi="Calibri" w:cs="Calibri"/>
        </w:rPr>
        <w:t>Dolbey</w:t>
      </w:r>
      <w:proofErr w:type="spellEnd"/>
      <w:r>
        <w:rPr>
          <w:rFonts w:ascii="Calibri" w:hAnsi="Calibri" w:cs="Calibri"/>
        </w:rPr>
        <w:t>, 1907)</w:t>
      </w:r>
    </w:p>
    <w:p w14:paraId="23B901DE" w14:textId="77777777" w:rsidR="00D11673" w:rsidRPr="00D11673" w:rsidRDefault="00D11673" w:rsidP="00D11673">
      <w:pPr>
        <w:spacing w:line="240" w:lineRule="auto"/>
        <w:rPr>
          <w:rFonts w:ascii="Calibri" w:hAnsi="Calibri" w:cs="Calibri"/>
        </w:rPr>
      </w:pPr>
    </w:p>
    <w:p w14:paraId="0A0549DB" w14:textId="77777777" w:rsidR="00883E4D" w:rsidRDefault="00883E4D" w:rsidP="00EB1EA4">
      <w:pPr>
        <w:spacing w:line="240" w:lineRule="auto"/>
        <w:rPr>
          <w:rFonts w:ascii="Calibri" w:hAnsi="Calibri" w:cs="Calibri"/>
        </w:rPr>
      </w:pPr>
    </w:p>
    <w:p w14:paraId="76D41EC9" w14:textId="77777777" w:rsidR="00883E4D" w:rsidRDefault="00883E4D" w:rsidP="00EB1EA4">
      <w:pPr>
        <w:spacing w:line="240" w:lineRule="auto"/>
        <w:rPr>
          <w:rFonts w:ascii="Calibri" w:hAnsi="Calibri" w:cs="Calibri"/>
        </w:rPr>
      </w:pPr>
    </w:p>
    <w:p w14:paraId="27F739DF" w14:textId="77777777" w:rsidR="00883E4D" w:rsidRDefault="00883E4D" w:rsidP="00EB1EA4">
      <w:pPr>
        <w:spacing w:line="240" w:lineRule="auto"/>
        <w:rPr>
          <w:rFonts w:ascii="Calibri" w:hAnsi="Calibri" w:cs="Calibri"/>
        </w:rPr>
      </w:pPr>
    </w:p>
    <w:p w14:paraId="434B3423" w14:textId="77777777" w:rsidR="00883E4D" w:rsidRDefault="00883E4D" w:rsidP="00EB1EA4">
      <w:pPr>
        <w:spacing w:line="240" w:lineRule="auto"/>
        <w:rPr>
          <w:rFonts w:ascii="Calibri" w:hAnsi="Calibri" w:cs="Calibri"/>
        </w:rPr>
      </w:pPr>
    </w:p>
    <w:p w14:paraId="7C3A36B3" w14:textId="3C7A2B67" w:rsidR="001727FA" w:rsidRDefault="001727FA" w:rsidP="001C3D6F">
      <w:pPr>
        <w:spacing w:line="240" w:lineRule="auto"/>
        <w:rPr>
          <w:rFonts w:ascii="Calibri" w:hAnsi="Calibri" w:cs="Calibri"/>
        </w:rPr>
      </w:pPr>
    </w:p>
    <w:p w14:paraId="5F4F458B" w14:textId="77777777" w:rsidR="00883E4D" w:rsidRPr="00883E4D" w:rsidRDefault="00883E4D" w:rsidP="001C3D6F">
      <w:pPr>
        <w:spacing w:line="240" w:lineRule="auto"/>
        <w:rPr>
          <w:rFonts w:ascii="Calibri" w:hAnsi="Calibri" w:cs="Calibri"/>
        </w:rPr>
      </w:pPr>
    </w:p>
    <w:sectPr w:rsidR="00883E4D" w:rsidRPr="00883E4D">
      <w:headerReference w:type="default" r:id="rId2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C20E4" w14:textId="77777777" w:rsidR="009309DE" w:rsidRDefault="009309DE" w:rsidP="00A74025">
      <w:pPr>
        <w:spacing w:after="0" w:line="240" w:lineRule="auto"/>
      </w:pPr>
      <w:r>
        <w:separator/>
      </w:r>
    </w:p>
  </w:endnote>
  <w:endnote w:type="continuationSeparator" w:id="0">
    <w:p w14:paraId="5140E178" w14:textId="77777777" w:rsidR="009309DE" w:rsidRDefault="009309DE" w:rsidP="00A74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2686969"/>
      <w:docPartObj>
        <w:docPartGallery w:val="Page Numbers (Bottom of Page)"/>
        <w:docPartUnique/>
      </w:docPartObj>
    </w:sdtPr>
    <w:sdtContent>
      <w:p w14:paraId="34C78E7D" w14:textId="5994460E" w:rsidR="00A74025" w:rsidRDefault="00A74025" w:rsidP="003342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D377D1C" w14:textId="77777777" w:rsidR="00A74025" w:rsidRDefault="00A740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333840"/>
      <w:docPartObj>
        <w:docPartGallery w:val="Page Numbers (Bottom of Page)"/>
        <w:docPartUnique/>
      </w:docPartObj>
    </w:sdtPr>
    <w:sdtContent>
      <w:p w14:paraId="68BA5D81" w14:textId="7A96708B" w:rsidR="00A74025" w:rsidRDefault="00A74025" w:rsidP="003342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7E1A0F" w14:textId="77777777" w:rsidR="00A74025" w:rsidRDefault="00A74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847A8" w14:textId="77777777" w:rsidR="009309DE" w:rsidRDefault="009309DE" w:rsidP="00A74025">
      <w:pPr>
        <w:spacing w:after="0" w:line="240" w:lineRule="auto"/>
      </w:pPr>
      <w:r>
        <w:separator/>
      </w:r>
    </w:p>
  </w:footnote>
  <w:footnote w:type="continuationSeparator" w:id="0">
    <w:p w14:paraId="6F7B7E2D" w14:textId="77777777" w:rsidR="009309DE" w:rsidRDefault="009309DE" w:rsidP="00A740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7E43E" w14:textId="5D0430FF" w:rsidR="00A74025" w:rsidRPr="00B46132" w:rsidRDefault="00A74025" w:rsidP="00A74025">
    <w:pPr>
      <w:pStyle w:val="Header"/>
      <w:rPr>
        <w:rFonts w:ascii="Calibri" w:hAnsi="Calibri" w:cs="Calibri"/>
        <w:color w:val="000000" w:themeColor="text1"/>
        <w:sz w:val="20"/>
        <w:szCs w:val="20"/>
      </w:rPr>
    </w:pPr>
    <w:r w:rsidRPr="00151F2C">
      <w:rPr>
        <w:rFonts w:ascii="Calibri" w:hAnsi="Calibri" w:cs="Calibri"/>
        <w:color w:val="000000" w:themeColor="text1"/>
        <w:sz w:val="20"/>
        <w:szCs w:val="20"/>
      </w:rPr>
      <w:t xml:space="preserve">R. Bakewell (2204367)  </w:t>
    </w:r>
    <w:r>
      <w:rPr>
        <w:rFonts w:ascii="Calibri" w:hAnsi="Calibri" w:cs="Calibri"/>
        <w:color w:val="000000" w:themeColor="text1"/>
        <w:sz w:val="20"/>
        <w:szCs w:val="20"/>
      </w:rPr>
      <w:t xml:space="preserve">                                                                                                                         </w:t>
    </w:r>
    <w:r w:rsidRPr="00151F2C">
      <w:rPr>
        <w:rFonts w:ascii="Calibri" w:hAnsi="Calibri" w:cs="Calibri"/>
        <w:color w:val="000000" w:themeColor="text1"/>
        <w:sz w:val="20"/>
        <w:szCs w:val="20"/>
      </w:rPr>
      <w:t>Module: HPHI6036</w:t>
    </w:r>
  </w:p>
  <w:p w14:paraId="7C22E238" w14:textId="481EB4A0" w:rsidR="00A74025" w:rsidRDefault="00A74025">
    <w:pPr>
      <w:pStyle w:val="Header"/>
    </w:pPr>
  </w:p>
  <w:p w14:paraId="394AA4B0" w14:textId="77777777" w:rsidR="00A74025" w:rsidRDefault="00A740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58A"/>
    <w:rsid w:val="000B5B74"/>
    <w:rsid w:val="000B65EB"/>
    <w:rsid w:val="000C4318"/>
    <w:rsid w:val="000D065B"/>
    <w:rsid w:val="00105D55"/>
    <w:rsid w:val="00144984"/>
    <w:rsid w:val="001727FA"/>
    <w:rsid w:val="001C3D6F"/>
    <w:rsid w:val="00232E8C"/>
    <w:rsid w:val="002350B8"/>
    <w:rsid w:val="00263296"/>
    <w:rsid w:val="00297BF8"/>
    <w:rsid w:val="002B5DC4"/>
    <w:rsid w:val="00303786"/>
    <w:rsid w:val="003818EA"/>
    <w:rsid w:val="00404BDB"/>
    <w:rsid w:val="00412F4B"/>
    <w:rsid w:val="00434BD9"/>
    <w:rsid w:val="00441CF9"/>
    <w:rsid w:val="004563CE"/>
    <w:rsid w:val="00466E74"/>
    <w:rsid w:val="00476AA5"/>
    <w:rsid w:val="00480AA8"/>
    <w:rsid w:val="00487428"/>
    <w:rsid w:val="004F30A2"/>
    <w:rsid w:val="00501E29"/>
    <w:rsid w:val="00504E42"/>
    <w:rsid w:val="0050550F"/>
    <w:rsid w:val="005549BB"/>
    <w:rsid w:val="005D6E4C"/>
    <w:rsid w:val="00602060"/>
    <w:rsid w:val="0061658A"/>
    <w:rsid w:val="006318DB"/>
    <w:rsid w:val="006638D0"/>
    <w:rsid w:val="006C4C59"/>
    <w:rsid w:val="006E3F97"/>
    <w:rsid w:val="007937A4"/>
    <w:rsid w:val="007B1917"/>
    <w:rsid w:val="007B2874"/>
    <w:rsid w:val="0081560B"/>
    <w:rsid w:val="0081799C"/>
    <w:rsid w:val="00872037"/>
    <w:rsid w:val="00883E4D"/>
    <w:rsid w:val="00923B22"/>
    <w:rsid w:val="009309DE"/>
    <w:rsid w:val="00944163"/>
    <w:rsid w:val="0096184A"/>
    <w:rsid w:val="009808EF"/>
    <w:rsid w:val="00986CA0"/>
    <w:rsid w:val="009A02D9"/>
    <w:rsid w:val="009B63A0"/>
    <w:rsid w:val="00A0172C"/>
    <w:rsid w:val="00A7171A"/>
    <w:rsid w:val="00A74025"/>
    <w:rsid w:val="00A747BD"/>
    <w:rsid w:val="00AB13B4"/>
    <w:rsid w:val="00AB73FF"/>
    <w:rsid w:val="00AC69F6"/>
    <w:rsid w:val="00AD2670"/>
    <w:rsid w:val="00AD3FFA"/>
    <w:rsid w:val="00B33020"/>
    <w:rsid w:val="00B54CD2"/>
    <w:rsid w:val="00B84E9B"/>
    <w:rsid w:val="00B96763"/>
    <w:rsid w:val="00C84519"/>
    <w:rsid w:val="00C97BEC"/>
    <w:rsid w:val="00CB4C1D"/>
    <w:rsid w:val="00CF0779"/>
    <w:rsid w:val="00D05903"/>
    <w:rsid w:val="00D11673"/>
    <w:rsid w:val="00D36B03"/>
    <w:rsid w:val="00D664B2"/>
    <w:rsid w:val="00D7404B"/>
    <w:rsid w:val="00DA6BBA"/>
    <w:rsid w:val="00DB29B4"/>
    <w:rsid w:val="00DB2D0C"/>
    <w:rsid w:val="00DB6EE9"/>
    <w:rsid w:val="00DC682F"/>
    <w:rsid w:val="00DE20DE"/>
    <w:rsid w:val="00E23006"/>
    <w:rsid w:val="00E7643A"/>
    <w:rsid w:val="00E80186"/>
    <w:rsid w:val="00E81C98"/>
    <w:rsid w:val="00EB1EA4"/>
    <w:rsid w:val="00EB3ACA"/>
    <w:rsid w:val="00EC13CB"/>
    <w:rsid w:val="00EC68B8"/>
    <w:rsid w:val="00EE4D6C"/>
    <w:rsid w:val="00F07A55"/>
    <w:rsid w:val="00F11E16"/>
    <w:rsid w:val="00F25A70"/>
    <w:rsid w:val="00F41C52"/>
    <w:rsid w:val="00FE63C2"/>
    <w:rsid w:val="00FF1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62DFF"/>
  <w15:chartTrackingRefBased/>
  <w15:docId w15:val="{FD1260A6-71F2-3646-9181-4FA0F9D8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5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5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65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5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5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5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5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5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5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5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5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65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5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5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5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5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5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58A"/>
    <w:rPr>
      <w:rFonts w:eastAsiaTheme="majorEastAsia" w:cstheme="majorBidi"/>
      <w:color w:val="272727" w:themeColor="text1" w:themeTint="D8"/>
    </w:rPr>
  </w:style>
  <w:style w:type="paragraph" w:styleId="Title">
    <w:name w:val="Title"/>
    <w:basedOn w:val="Normal"/>
    <w:next w:val="Normal"/>
    <w:link w:val="TitleChar"/>
    <w:uiPriority w:val="10"/>
    <w:qFormat/>
    <w:rsid w:val="006165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5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5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5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58A"/>
    <w:pPr>
      <w:spacing w:before="160"/>
      <w:jc w:val="center"/>
    </w:pPr>
    <w:rPr>
      <w:i/>
      <w:iCs/>
      <w:color w:val="404040" w:themeColor="text1" w:themeTint="BF"/>
    </w:rPr>
  </w:style>
  <w:style w:type="character" w:customStyle="1" w:styleId="QuoteChar">
    <w:name w:val="Quote Char"/>
    <w:basedOn w:val="DefaultParagraphFont"/>
    <w:link w:val="Quote"/>
    <w:uiPriority w:val="29"/>
    <w:rsid w:val="0061658A"/>
    <w:rPr>
      <w:i/>
      <w:iCs/>
      <w:color w:val="404040" w:themeColor="text1" w:themeTint="BF"/>
    </w:rPr>
  </w:style>
  <w:style w:type="paragraph" w:styleId="ListParagraph">
    <w:name w:val="List Paragraph"/>
    <w:basedOn w:val="Normal"/>
    <w:uiPriority w:val="34"/>
    <w:qFormat/>
    <w:rsid w:val="0061658A"/>
    <w:pPr>
      <w:ind w:left="720"/>
      <w:contextualSpacing/>
    </w:pPr>
  </w:style>
  <w:style w:type="character" w:styleId="IntenseEmphasis">
    <w:name w:val="Intense Emphasis"/>
    <w:basedOn w:val="DefaultParagraphFont"/>
    <w:uiPriority w:val="21"/>
    <w:qFormat/>
    <w:rsid w:val="0061658A"/>
    <w:rPr>
      <w:i/>
      <w:iCs/>
      <w:color w:val="0F4761" w:themeColor="accent1" w:themeShade="BF"/>
    </w:rPr>
  </w:style>
  <w:style w:type="paragraph" w:styleId="IntenseQuote">
    <w:name w:val="Intense Quote"/>
    <w:basedOn w:val="Normal"/>
    <w:next w:val="Normal"/>
    <w:link w:val="IntenseQuoteChar"/>
    <w:uiPriority w:val="30"/>
    <w:qFormat/>
    <w:rsid w:val="006165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58A"/>
    <w:rPr>
      <w:i/>
      <w:iCs/>
      <w:color w:val="0F4761" w:themeColor="accent1" w:themeShade="BF"/>
    </w:rPr>
  </w:style>
  <w:style w:type="character" w:styleId="IntenseReference">
    <w:name w:val="Intense Reference"/>
    <w:basedOn w:val="DefaultParagraphFont"/>
    <w:uiPriority w:val="32"/>
    <w:qFormat/>
    <w:rsid w:val="0061658A"/>
    <w:rPr>
      <w:b/>
      <w:bCs/>
      <w:smallCaps/>
      <w:color w:val="0F4761" w:themeColor="accent1" w:themeShade="BF"/>
      <w:spacing w:val="5"/>
    </w:rPr>
  </w:style>
  <w:style w:type="paragraph" w:customStyle="1" w:styleId="p1">
    <w:name w:val="p1"/>
    <w:basedOn w:val="Normal"/>
    <w:rsid w:val="0081799C"/>
    <w:pPr>
      <w:spacing w:after="0" w:line="240" w:lineRule="auto"/>
    </w:pPr>
    <w:rPr>
      <w:rFonts w:ascii="Helvetica" w:eastAsia="Times New Roman" w:hAnsi="Helvetica" w:cs="Times New Roman"/>
      <w:color w:val="000000"/>
      <w:kern w:val="0"/>
      <w:sz w:val="15"/>
      <w:szCs w:val="15"/>
      <w:lang w:eastAsia="en-GB"/>
      <w14:ligatures w14:val="none"/>
    </w:rPr>
  </w:style>
  <w:style w:type="character" w:styleId="Strong">
    <w:name w:val="Strong"/>
    <w:basedOn w:val="DefaultParagraphFont"/>
    <w:uiPriority w:val="22"/>
    <w:qFormat/>
    <w:rsid w:val="00923B22"/>
    <w:rPr>
      <w:b/>
      <w:bCs/>
    </w:rPr>
  </w:style>
  <w:style w:type="character" w:styleId="Hyperlink">
    <w:name w:val="Hyperlink"/>
    <w:basedOn w:val="DefaultParagraphFont"/>
    <w:uiPriority w:val="99"/>
    <w:unhideWhenUsed/>
    <w:rsid w:val="00923B22"/>
    <w:rPr>
      <w:color w:val="467886" w:themeColor="hyperlink"/>
      <w:u w:val="single"/>
    </w:rPr>
  </w:style>
  <w:style w:type="character" w:styleId="UnresolvedMention">
    <w:name w:val="Unresolved Mention"/>
    <w:basedOn w:val="DefaultParagraphFont"/>
    <w:uiPriority w:val="99"/>
    <w:semiHidden/>
    <w:unhideWhenUsed/>
    <w:rsid w:val="00923B22"/>
    <w:rPr>
      <w:color w:val="605E5C"/>
      <w:shd w:val="clear" w:color="auto" w:fill="E1DFDD"/>
    </w:rPr>
  </w:style>
  <w:style w:type="character" w:customStyle="1" w:styleId="apple-converted-space">
    <w:name w:val="apple-converted-space"/>
    <w:basedOn w:val="DefaultParagraphFont"/>
    <w:rsid w:val="00501E29"/>
  </w:style>
  <w:style w:type="character" w:customStyle="1" w:styleId="s1">
    <w:name w:val="s1"/>
    <w:basedOn w:val="DefaultParagraphFont"/>
    <w:rsid w:val="00501E29"/>
    <w:rPr>
      <w:rFonts w:ascii="Helvetica" w:hAnsi="Helvetica" w:hint="default"/>
      <w:sz w:val="11"/>
      <w:szCs w:val="11"/>
    </w:rPr>
  </w:style>
  <w:style w:type="paragraph" w:customStyle="1" w:styleId="p2">
    <w:name w:val="p2"/>
    <w:basedOn w:val="Normal"/>
    <w:rsid w:val="009B63A0"/>
    <w:pPr>
      <w:spacing w:after="0" w:line="240" w:lineRule="auto"/>
    </w:pPr>
    <w:rPr>
      <w:rFonts w:ascii="Helvetica" w:eastAsia="Times New Roman" w:hAnsi="Helvetica" w:cs="Times New Roman"/>
      <w:color w:val="1A1718"/>
      <w:kern w:val="0"/>
      <w:sz w:val="12"/>
      <w:szCs w:val="12"/>
      <w:lang w:eastAsia="en-GB"/>
      <w14:ligatures w14:val="none"/>
    </w:rPr>
  </w:style>
  <w:style w:type="character" w:customStyle="1" w:styleId="s2">
    <w:name w:val="s2"/>
    <w:basedOn w:val="DefaultParagraphFont"/>
    <w:rsid w:val="00872037"/>
    <w:rPr>
      <w:rFonts w:ascii="Helvetica" w:hAnsi="Helvetica" w:hint="default"/>
      <w:sz w:val="10"/>
      <w:szCs w:val="10"/>
    </w:rPr>
  </w:style>
  <w:style w:type="character" w:styleId="FollowedHyperlink">
    <w:name w:val="FollowedHyperlink"/>
    <w:basedOn w:val="DefaultParagraphFont"/>
    <w:uiPriority w:val="99"/>
    <w:semiHidden/>
    <w:unhideWhenUsed/>
    <w:rsid w:val="00144984"/>
    <w:rPr>
      <w:color w:val="96607D" w:themeColor="followedHyperlink"/>
      <w:u w:val="single"/>
    </w:rPr>
  </w:style>
  <w:style w:type="character" w:styleId="Emphasis">
    <w:name w:val="Emphasis"/>
    <w:basedOn w:val="DefaultParagraphFont"/>
    <w:uiPriority w:val="20"/>
    <w:qFormat/>
    <w:rsid w:val="00144984"/>
    <w:rPr>
      <w:i/>
      <w:iCs/>
    </w:rPr>
  </w:style>
  <w:style w:type="paragraph" w:styleId="NormalWeb">
    <w:name w:val="Normal (Web)"/>
    <w:basedOn w:val="Normal"/>
    <w:uiPriority w:val="99"/>
    <w:unhideWhenUsed/>
    <w:rsid w:val="00DE20D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vkekvd">
    <w:name w:val="vkekvd"/>
    <w:basedOn w:val="DefaultParagraphFont"/>
    <w:rsid w:val="00E80186"/>
  </w:style>
  <w:style w:type="paragraph" w:styleId="Header">
    <w:name w:val="header"/>
    <w:basedOn w:val="Normal"/>
    <w:link w:val="HeaderChar"/>
    <w:uiPriority w:val="99"/>
    <w:unhideWhenUsed/>
    <w:rsid w:val="00A74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025"/>
  </w:style>
  <w:style w:type="paragraph" w:styleId="Footer">
    <w:name w:val="footer"/>
    <w:basedOn w:val="Normal"/>
    <w:link w:val="FooterChar"/>
    <w:uiPriority w:val="99"/>
    <w:unhideWhenUsed/>
    <w:rsid w:val="00A74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025"/>
  </w:style>
  <w:style w:type="character" w:styleId="PageNumber">
    <w:name w:val="page number"/>
    <w:basedOn w:val="DefaultParagraphFont"/>
    <w:uiPriority w:val="99"/>
    <w:semiHidden/>
    <w:unhideWhenUsed/>
    <w:rsid w:val="00A74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section.php?id=194705" TargetMode="External"/><Relationship Id="rId13" Type="http://schemas.openxmlformats.org/officeDocument/2006/relationships/hyperlink" Target="https://devgan.in/ipc/chapter_08.php" TargetMode="External"/><Relationship Id="rId18" Type="http://schemas.openxmlformats.org/officeDocument/2006/relationships/hyperlink" Target="https://vocal.media/history/the-nairobi-incident"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doi.org/10.1080/03086530903538194" TargetMode="External"/><Relationship Id="rId17" Type="http://schemas.openxmlformats.org/officeDocument/2006/relationships/hyperlink" Target="https://doi.org/10.1093/shm/hky06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researchrepository.wvu.edu/etd/5569" TargetMode="External"/><Relationship Id="rId20" Type="http://schemas.openxmlformats.org/officeDocument/2006/relationships/hyperlink" Target="https://vtechworks.lib.vt.edu/server/api/core/bitstreams/56782c8d-5d94-4700-9b3b-a86e4f205f23/conten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80/03057070.2011.602887"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evgan.in/ipc/section/323/" TargetMode="External"/><Relationship Id="rId23" Type="http://schemas.openxmlformats.org/officeDocument/2006/relationships/footer" Target="footer2.xml"/><Relationship Id="rId10" Type="http://schemas.openxmlformats.org/officeDocument/2006/relationships/hyperlink" Target="https://erepository.uonbi.ac.ke/bitstream/handle/11295/158692/EA-STD-R002-004%20%28THE%20EAST%20AFRICAN%20STANDARD%29.pdf?sequence=1&amp;isAllowed=y" TargetMode="External"/><Relationship Id="rId19" Type="http://schemas.openxmlformats.org/officeDocument/2006/relationships/hyperlink" Target="https://electricscotland.com/independence/sip/Kenya-From-Within.pdf" TargetMode="External"/><Relationship Id="rId4" Type="http://schemas.openxmlformats.org/officeDocument/2006/relationships/footnotes" Target="footnotes.xml"/><Relationship Id="rId9" Type="http://schemas.openxmlformats.org/officeDocument/2006/relationships/hyperlink" Target="https://api.parliament.uk/historic-hansard/commons/1907/apr/18/the-nairobi-case-captain-grogan" TargetMode="External"/><Relationship Id="rId14" Type="http://schemas.openxmlformats.org/officeDocument/2006/relationships/hyperlink" Target="https://devgan.in/ipc/chapter_05.ph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11</Pages>
  <Words>4223</Words>
  <Characters>24074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4</cp:revision>
  <cp:lastPrinted>2026-04-30T08:36:00Z</cp:lastPrinted>
  <dcterms:created xsi:type="dcterms:W3CDTF">2026-04-30T08:41:00Z</dcterms:created>
  <dcterms:modified xsi:type="dcterms:W3CDTF">2026-04-30T09:38:00Z</dcterms:modified>
</cp:coreProperties>
</file>