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CD1E9D" w14:textId="77777777" w:rsidR="00DC6916" w:rsidRPr="00FC6ABC" w:rsidRDefault="00DC6916" w:rsidP="00DC6916">
      <w:pPr>
        <w:jc w:val="center"/>
        <w:rPr>
          <w:rFonts w:ascii="Arial" w:hAnsi="Arial" w:cs="Arial"/>
          <w:b/>
          <w:bCs/>
          <w:sz w:val="44"/>
          <w:szCs w:val="44"/>
          <w:lang w:val="en-GB"/>
        </w:rPr>
      </w:pPr>
      <w:r>
        <w:rPr>
          <w:rFonts w:ascii="Arial" w:hAnsi="Arial" w:cs="Arial"/>
          <w:b/>
          <w:bCs/>
          <w:sz w:val="44"/>
          <w:szCs w:val="44"/>
          <w:lang w:val="en-GB"/>
        </w:rPr>
        <w:t>Security Analysis Report</w:t>
      </w:r>
    </w:p>
    <w:p w14:paraId="7D6EFE75" w14:textId="5D9DE8CA" w:rsidR="008C43FD" w:rsidRPr="00FC6ABC" w:rsidRDefault="00CC7EAD" w:rsidP="008C43FD">
      <w:pPr>
        <w:jc w:val="center"/>
        <w:rPr>
          <w:rFonts w:ascii="Arial" w:hAnsi="Arial" w:cs="Arial"/>
          <w:noProof/>
          <w:lang w:val="en-US"/>
        </w:rPr>
      </w:pPr>
      <w:r>
        <w:rPr>
          <w:rFonts w:ascii="Arial" w:hAnsi="Arial" w:cs="Arial"/>
          <w:b/>
          <w:bCs/>
          <w:sz w:val="44"/>
          <w:szCs w:val="44"/>
          <w:lang w:val="en-GB"/>
        </w:rPr>
        <w:t>Security Manager for SteelForm</w:t>
      </w:r>
      <w:r>
        <w:rPr>
          <w:rFonts w:ascii="Arial" w:hAnsi="Arial" w:cs="Arial"/>
          <w:b/>
          <w:bCs/>
          <w:sz w:val="40"/>
          <w:szCs w:val="40"/>
          <w:lang w:val="en-GB"/>
        </w:rPr>
        <w:t xml:space="preserve"> </w:t>
      </w:r>
      <w:r>
        <w:rPr>
          <w:rFonts w:ascii="Arial" w:hAnsi="Arial" w:cs="Arial"/>
          <w:b/>
          <w:bCs/>
          <w:sz w:val="44"/>
          <w:szCs w:val="44"/>
          <w:lang w:val="en-GB"/>
        </w:rPr>
        <w:t>Manufacturing Ltd (SFM)</w:t>
      </w:r>
      <w:r>
        <w:rPr>
          <w:rFonts w:ascii="Arial" w:eastAsia="Times New Roman" w:hAnsi="Arial" w:cs="Arial"/>
          <w:kern w:val="0"/>
          <w:lang w:val="en-US"/>
          <w14:ligatures w14:val="none"/>
        </w:rPr>
        <w:t xml:space="preserve"> </w:t>
      </w:r>
      <w:r>
        <w:rPr>
          <w:rFonts w:ascii="Arial" w:hAnsi="Arial" w:cs="Arial"/>
          <w:noProof/>
          <w:lang w:val="en-US"/>
        </w:rPr>
        <w:drawing>
          <wp:inline distT="0" distB="0" distL="0" distR="0" wp14:anchorId="2527A844" wp14:editId="310015C3">
            <wp:extent cx="5731510" cy="3462655"/>
            <wp:effectExtent l="190500" t="190500" r="193040" b="194945"/>
            <wp:docPr id="75243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462655"/>
                    </a:xfrm>
                    <a:prstGeom prst="rect">
                      <a:avLst/>
                    </a:prstGeom>
                    <a:ln>
                      <a:noFill/>
                    </a:ln>
                    <a:effectLst>
                      <a:outerShdw blurRad="190500" algn="tl" rotWithShape="0">
                        <a:srgbClr val="000000">
                          <a:alpha val="70000"/>
                        </a:srgbClr>
                      </a:outerShdw>
                    </a:effectLst>
                  </pic:spPr>
                </pic:pic>
              </a:graphicData>
            </a:graphic>
          </wp:inline>
        </w:drawing>
      </w:r>
    </w:p>
    <w:p w14:paraId="048CC30C" w14:textId="6762B4A7" w:rsidR="00DC6916" w:rsidRPr="00FC6ABC" w:rsidRDefault="00DC6916" w:rsidP="00DC6916">
      <w:pPr>
        <w:jc w:val="center"/>
        <w:rPr>
          <w:rFonts w:ascii="Arial" w:hAnsi="Arial" w:cs="Arial"/>
          <w:lang w:val="en-GB"/>
        </w:rPr>
      </w:pPr>
    </w:p>
    <w:p w14:paraId="7C46101B" w14:textId="3357AC58" w:rsidR="00DC6916" w:rsidRPr="00FC6ABC" w:rsidRDefault="00DC6916" w:rsidP="00DC6916">
      <w:pPr>
        <w:jc w:val="center"/>
        <w:rPr>
          <w:rFonts w:ascii="Arial" w:hAnsi="Arial" w:cs="Arial"/>
          <w:b/>
          <w:bCs/>
          <w:sz w:val="36"/>
          <w:szCs w:val="36"/>
          <w:lang w:val="en-GB"/>
        </w:rPr>
      </w:pPr>
      <w:r>
        <w:rPr>
          <w:rFonts w:ascii="Arial" w:hAnsi="Arial" w:cs="Arial"/>
          <w:b/>
          <w:bCs/>
          <w:sz w:val="36"/>
          <w:szCs w:val="36"/>
          <w:lang w:val="en-GB"/>
        </w:rPr>
        <w:t>Prepared by:</w:t>
      </w:r>
      <w:r>
        <w:rPr>
          <w:rFonts w:ascii="Arial" w:hAnsi="Arial" w:cs="Arial"/>
          <w:sz w:val="36"/>
          <w:szCs w:val="36"/>
          <w:lang w:val="en-GB"/>
        </w:rPr>
        <w:t xml:space="preserve"> </w:t>
      </w:r>
      <w:r>
        <w:rPr>
          <w:rFonts w:ascii="Arial" w:hAnsi="Arial" w:cs="Arial"/>
          <w:sz w:val="36"/>
          <w:szCs w:val="36"/>
          <w:lang w:val="en-GB"/>
        </w:rPr>
        <w:br/>
      </w:r>
      <w:r>
        <w:rPr>
          <w:rFonts w:ascii="Arial" w:hAnsi="Arial" w:cs="Arial"/>
          <w:b/>
          <w:bCs/>
          <w:sz w:val="36"/>
          <w:szCs w:val="36"/>
          <w:lang w:val="en-GB"/>
        </w:rPr>
        <w:t>Bernard Unuigboje Ileogben</w:t>
      </w:r>
    </w:p>
    <w:p w14:paraId="3160F8E0" w14:textId="40EE0BF7" w:rsidR="00DC6916" w:rsidRDefault="00CC7EAD" w:rsidP="00DC6916">
      <w:pPr>
        <w:jc w:val="center"/>
        <w:rPr>
          <w:rFonts w:ascii="Arial" w:hAnsi="Arial" w:cs="Arial"/>
          <w:b/>
          <w:bCs/>
          <w:sz w:val="36"/>
          <w:szCs w:val="36"/>
          <w:lang w:val="en-GB"/>
        </w:rPr>
      </w:pPr>
      <w:r>
        <w:rPr>
          <w:rFonts w:ascii="Arial" w:hAnsi="Arial" w:cs="Arial"/>
          <w:b/>
          <w:bCs/>
          <w:sz w:val="36"/>
          <w:szCs w:val="36"/>
          <w:lang w:val="en-GB"/>
        </w:rPr>
        <w:t>2512918</w:t>
      </w:r>
    </w:p>
    <w:p w14:paraId="20CA07D8" w14:textId="77777777" w:rsidR="005C1A0C" w:rsidRDefault="005C1A0C" w:rsidP="00DC6916">
      <w:pPr>
        <w:jc w:val="center"/>
        <w:rPr>
          <w:rFonts w:ascii="Arial" w:hAnsi="Arial" w:cs="Arial"/>
          <w:b/>
          <w:bCs/>
          <w:sz w:val="36"/>
          <w:szCs w:val="36"/>
          <w:lang w:val="en-GB"/>
        </w:rPr>
      </w:pPr>
    </w:p>
    <w:p w14:paraId="7438A4AB" w14:textId="18CCB1FC" w:rsidR="000F0CD1" w:rsidRPr="00FC6ABC" w:rsidRDefault="005C1A0C" w:rsidP="00DC6916">
      <w:pPr>
        <w:jc w:val="center"/>
        <w:rPr>
          <w:rFonts w:ascii="Arial" w:hAnsi="Arial" w:cs="Arial"/>
          <w:b/>
          <w:bCs/>
          <w:sz w:val="36"/>
          <w:szCs w:val="36"/>
          <w:lang w:val="en-GB"/>
        </w:rPr>
      </w:pPr>
      <w:r w:rsidRPr="005C1A0C">
        <w:rPr>
          <w:rFonts w:ascii="Arial" w:hAnsi="Arial" w:cs="Arial"/>
          <w:b/>
          <w:bCs/>
          <w:sz w:val="36"/>
          <w:szCs w:val="36"/>
          <w:lang w:val="en-GB"/>
        </w:rPr>
        <w:t>UNIVERSITY OF WALES TRINITY SAINT DAVID</w:t>
      </w:r>
    </w:p>
    <w:p w14:paraId="35EA4693" w14:textId="7C769AFF" w:rsidR="00F61DF7" w:rsidRPr="00FC6ABC" w:rsidRDefault="00F61DF7" w:rsidP="00DC6916">
      <w:pPr>
        <w:jc w:val="center"/>
        <w:rPr>
          <w:rFonts w:ascii="Arial" w:hAnsi="Arial" w:cs="Arial"/>
          <w:lang w:val="en-GB"/>
        </w:rPr>
      </w:pPr>
      <w:r>
        <w:rPr>
          <w:rFonts w:ascii="Arial" w:hAnsi="Arial" w:cs="Arial"/>
          <w:lang w:val="en-GB"/>
        </w:rPr>
        <w:br w:type="page"/>
      </w:r>
    </w:p>
    <w:sdt>
      <w:sdtPr>
        <w:rPr>
          <w:rFonts w:ascii="Arial" w:eastAsiaTheme="minorHAnsi" w:hAnsi="Arial" w:cs="Arial"/>
          <w:color w:val="auto"/>
          <w:kern w:val="2"/>
          <w:sz w:val="24"/>
          <w:szCs w:val="24"/>
          <w:lang w:val="en-GB"/>
          <w14:ligatures w14:val="standardContextual"/>
        </w:rPr>
        <w:id w:val="1067462799"/>
        <w:docPartObj>
          <w:docPartGallery w:val="Table of Contents"/>
          <w:docPartUnique/>
        </w:docPartObj>
      </w:sdtPr>
      <w:sdtEndPr>
        <w:rPr>
          <w:noProof/>
        </w:rPr>
      </w:sdtEndPr>
      <w:sdtContent>
        <w:p w14:paraId="77A24F3D" w14:textId="77777777" w:rsidR="00F61DF7" w:rsidRPr="00FC6ABC" w:rsidRDefault="00F61DF7" w:rsidP="00B136A8">
          <w:pPr>
            <w:pStyle w:val="TOCHeading"/>
            <w:spacing w:line="360" w:lineRule="auto"/>
            <w:jc w:val="center"/>
            <w:rPr>
              <w:rFonts w:ascii="Arial" w:hAnsi="Arial" w:cs="Arial"/>
              <w:b/>
              <w:bCs/>
              <w:color w:val="auto"/>
              <w:sz w:val="24"/>
              <w:szCs w:val="24"/>
              <w:lang w:val="en-GB"/>
            </w:rPr>
          </w:pPr>
          <w:r>
            <w:rPr>
              <w:rFonts w:ascii="Arial" w:hAnsi="Arial" w:cs="Arial"/>
              <w:b/>
              <w:bCs/>
              <w:color w:val="auto"/>
              <w:sz w:val="24"/>
              <w:szCs w:val="24"/>
              <w:lang w:val="en-GB"/>
            </w:rPr>
            <w:t>Table of Contents</w:t>
          </w:r>
        </w:p>
        <w:p w14:paraId="7F61FE9A" w14:textId="736B215D" w:rsidR="00FD6AC5" w:rsidRDefault="00F61DF7">
          <w:pPr>
            <w:pStyle w:val="TOC1"/>
            <w:tabs>
              <w:tab w:val="right" w:leader="dot" w:pos="9016"/>
            </w:tabs>
            <w:rPr>
              <w:rFonts w:asciiTheme="minorHAnsi" w:eastAsiaTheme="minorEastAsia" w:hAnsiTheme="minorHAnsi"/>
              <w:noProof/>
              <w:lang w:val="en-US"/>
            </w:rPr>
          </w:pPr>
          <w:r>
            <w:rPr>
              <w:rFonts w:ascii="Arial" w:hAnsi="Arial" w:cs="Arial"/>
              <w:lang w:val="en-GB"/>
            </w:rPr>
            <w:fldChar w:fldCharType="begin"/>
          </w:r>
          <w:r>
            <w:rPr>
              <w:rFonts w:ascii="Arial" w:hAnsi="Arial" w:cs="Arial"/>
              <w:lang w:val="en-GB"/>
            </w:rPr>
            <w:instrText xml:space="preserve"> TOC \o "1-3" \h \z \u </w:instrText>
          </w:r>
          <w:r>
            <w:rPr>
              <w:rFonts w:ascii="Arial" w:hAnsi="Arial" w:cs="Arial"/>
              <w:lang w:val="en-GB"/>
            </w:rPr>
            <w:fldChar w:fldCharType="separate"/>
          </w:r>
          <w:hyperlink w:anchor="_Toc234626969" w:history="1">
            <w:r w:rsidR="00FD6AC5" w:rsidRPr="009211E6">
              <w:rPr>
                <w:rStyle w:val="Hyperlink"/>
                <w:rFonts w:ascii="Arial" w:hAnsi="Arial" w:cs="Arial"/>
                <w:b/>
                <w:bCs/>
                <w:noProof/>
                <w:lang w:val="en-GB"/>
              </w:rPr>
              <w:t>Abstract</w:t>
            </w:r>
            <w:r w:rsidR="00FD6AC5">
              <w:rPr>
                <w:noProof/>
                <w:webHidden/>
              </w:rPr>
              <w:tab/>
            </w:r>
            <w:r w:rsidR="00FD6AC5">
              <w:rPr>
                <w:noProof/>
                <w:webHidden/>
              </w:rPr>
              <w:fldChar w:fldCharType="begin"/>
            </w:r>
            <w:r w:rsidR="00FD6AC5">
              <w:rPr>
                <w:noProof/>
                <w:webHidden/>
              </w:rPr>
              <w:instrText xml:space="preserve"> PAGEREF _Toc234626969 \h </w:instrText>
            </w:r>
            <w:r w:rsidR="00FD6AC5">
              <w:rPr>
                <w:noProof/>
                <w:webHidden/>
              </w:rPr>
            </w:r>
            <w:r w:rsidR="00FD6AC5">
              <w:rPr>
                <w:noProof/>
                <w:webHidden/>
              </w:rPr>
              <w:fldChar w:fldCharType="separate"/>
            </w:r>
            <w:r w:rsidR="00FD6AC5">
              <w:rPr>
                <w:noProof/>
                <w:webHidden/>
              </w:rPr>
              <w:t>3</w:t>
            </w:r>
            <w:r w:rsidR="00FD6AC5">
              <w:rPr>
                <w:noProof/>
                <w:webHidden/>
              </w:rPr>
              <w:fldChar w:fldCharType="end"/>
            </w:r>
          </w:hyperlink>
        </w:p>
        <w:p w14:paraId="6D715161" w14:textId="4526C351" w:rsidR="00FD6AC5" w:rsidRDefault="00FD6AC5">
          <w:pPr>
            <w:pStyle w:val="TOC1"/>
            <w:tabs>
              <w:tab w:val="right" w:leader="dot" w:pos="9016"/>
            </w:tabs>
            <w:rPr>
              <w:rFonts w:asciiTheme="minorHAnsi" w:eastAsiaTheme="minorEastAsia" w:hAnsiTheme="minorHAnsi"/>
              <w:noProof/>
              <w:lang w:val="en-US"/>
            </w:rPr>
          </w:pPr>
          <w:hyperlink w:anchor="_Toc234626970" w:history="1">
            <w:r w:rsidRPr="009211E6">
              <w:rPr>
                <w:rStyle w:val="Hyperlink"/>
                <w:rFonts w:ascii="Arial" w:hAnsi="Arial" w:cs="Arial"/>
                <w:b/>
                <w:bCs/>
                <w:noProof/>
                <w:lang w:val="en-GB"/>
              </w:rPr>
              <w:t>Introduction</w:t>
            </w:r>
            <w:r>
              <w:rPr>
                <w:noProof/>
                <w:webHidden/>
              </w:rPr>
              <w:tab/>
            </w:r>
            <w:r>
              <w:rPr>
                <w:noProof/>
                <w:webHidden/>
              </w:rPr>
              <w:fldChar w:fldCharType="begin"/>
            </w:r>
            <w:r>
              <w:rPr>
                <w:noProof/>
                <w:webHidden/>
              </w:rPr>
              <w:instrText xml:space="preserve"> PAGEREF _Toc234626970 \h </w:instrText>
            </w:r>
            <w:r>
              <w:rPr>
                <w:noProof/>
                <w:webHidden/>
              </w:rPr>
            </w:r>
            <w:r>
              <w:rPr>
                <w:noProof/>
                <w:webHidden/>
              </w:rPr>
              <w:fldChar w:fldCharType="separate"/>
            </w:r>
            <w:r>
              <w:rPr>
                <w:noProof/>
                <w:webHidden/>
              </w:rPr>
              <w:t>4</w:t>
            </w:r>
            <w:r>
              <w:rPr>
                <w:noProof/>
                <w:webHidden/>
              </w:rPr>
              <w:fldChar w:fldCharType="end"/>
            </w:r>
          </w:hyperlink>
        </w:p>
        <w:p w14:paraId="2F4BE4C2" w14:textId="0C8FA3DD" w:rsidR="00FD6AC5" w:rsidRDefault="00FD6AC5">
          <w:pPr>
            <w:pStyle w:val="TOC2"/>
            <w:tabs>
              <w:tab w:val="right" w:leader="dot" w:pos="9016"/>
            </w:tabs>
            <w:rPr>
              <w:rFonts w:asciiTheme="minorHAnsi" w:eastAsiaTheme="minorEastAsia" w:hAnsiTheme="minorHAnsi"/>
              <w:noProof/>
              <w:lang w:val="en-US"/>
            </w:rPr>
          </w:pPr>
          <w:hyperlink w:anchor="_Toc234626971" w:history="1">
            <w:r w:rsidRPr="009211E6">
              <w:rPr>
                <w:rStyle w:val="Hyperlink"/>
                <w:rFonts w:ascii="Arial" w:hAnsi="Arial" w:cs="Arial"/>
                <w:b/>
                <w:bCs/>
                <w:noProof/>
                <w:lang w:val="en-GB"/>
              </w:rPr>
              <w:t>Identification of Threats</w:t>
            </w:r>
            <w:r>
              <w:rPr>
                <w:noProof/>
                <w:webHidden/>
              </w:rPr>
              <w:tab/>
            </w:r>
            <w:r>
              <w:rPr>
                <w:noProof/>
                <w:webHidden/>
              </w:rPr>
              <w:fldChar w:fldCharType="begin"/>
            </w:r>
            <w:r>
              <w:rPr>
                <w:noProof/>
                <w:webHidden/>
              </w:rPr>
              <w:instrText xml:space="preserve"> PAGEREF _Toc234626971 \h </w:instrText>
            </w:r>
            <w:r>
              <w:rPr>
                <w:noProof/>
                <w:webHidden/>
              </w:rPr>
            </w:r>
            <w:r>
              <w:rPr>
                <w:noProof/>
                <w:webHidden/>
              </w:rPr>
              <w:fldChar w:fldCharType="separate"/>
            </w:r>
            <w:r>
              <w:rPr>
                <w:noProof/>
                <w:webHidden/>
              </w:rPr>
              <w:t>5</w:t>
            </w:r>
            <w:r>
              <w:rPr>
                <w:noProof/>
                <w:webHidden/>
              </w:rPr>
              <w:fldChar w:fldCharType="end"/>
            </w:r>
          </w:hyperlink>
        </w:p>
        <w:p w14:paraId="0D93BD52" w14:textId="4FBBD270" w:rsidR="00FD6AC5" w:rsidRDefault="00FD6AC5">
          <w:pPr>
            <w:pStyle w:val="TOC2"/>
            <w:tabs>
              <w:tab w:val="right" w:leader="dot" w:pos="9016"/>
            </w:tabs>
            <w:rPr>
              <w:rFonts w:asciiTheme="minorHAnsi" w:eastAsiaTheme="minorEastAsia" w:hAnsiTheme="minorHAnsi"/>
              <w:noProof/>
              <w:lang w:val="en-US"/>
            </w:rPr>
          </w:pPr>
          <w:hyperlink w:anchor="_Toc234626972" w:history="1">
            <w:r w:rsidRPr="009211E6">
              <w:rPr>
                <w:rStyle w:val="Hyperlink"/>
                <w:rFonts w:ascii="Arial" w:hAnsi="Arial" w:cs="Arial"/>
                <w:b/>
                <w:bCs/>
                <w:noProof/>
                <w:lang w:val="en-GB"/>
              </w:rPr>
              <w:t>Security Policies</w:t>
            </w:r>
            <w:r>
              <w:rPr>
                <w:noProof/>
                <w:webHidden/>
              </w:rPr>
              <w:tab/>
            </w:r>
            <w:r>
              <w:rPr>
                <w:noProof/>
                <w:webHidden/>
              </w:rPr>
              <w:fldChar w:fldCharType="begin"/>
            </w:r>
            <w:r>
              <w:rPr>
                <w:noProof/>
                <w:webHidden/>
              </w:rPr>
              <w:instrText xml:space="preserve"> PAGEREF _Toc234626972 \h </w:instrText>
            </w:r>
            <w:r>
              <w:rPr>
                <w:noProof/>
                <w:webHidden/>
              </w:rPr>
            </w:r>
            <w:r>
              <w:rPr>
                <w:noProof/>
                <w:webHidden/>
              </w:rPr>
              <w:fldChar w:fldCharType="separate"/>
            </w:r>
            <w:r>
              <w:rPr>
                <w:noProof/>
                <w:webHidden/>
              </w:rPr>
              <w:t>5</w:t>
            </w:r>
            <w:r>
              <w:rPr>
                <w:noProof/>
                <w:webHidden/>
              </w:rPr>
              <w:fldChar w:fldCharType="end"/>
            </w:r>
          </w:hyperlink>
        </w:p>
        <w:p w14:paraId="77D2BA44" w14:textId="4F783170" w:rsidR="00FD6AC5" w:rsidRDefault="00FD6AC5">
          <w:pPr>
            <w:pStyle w:val="TOC2"/>
            <w:tabs>
              <w:tab w:val="right" w:leader="dot" w:pos="9016"/>
            </w:tabs>
            <w:rPr>
              <w:rFonts w:asciiTheme="minorHAnsi" w:eastAsiaTheme="minorEastAsia" w:hAnsiTheme="minorHAnsi"/>
              <w:noProof/>
              <w:lang w:val="en-US"/>
            </w:rPr>
          </w:pPr>
          <w:hyperlink w:anchor="_Toc234626973" w:history="1">
            <w:r w:rsidRPr="009211E6">
              <w:rPr>
                <w:rStyle w:val="Hyperlink"/>
                <w:rFonts w:ascii="Arial" w:hAnsi="Arial" w:cs="Arial"/>
                <w:b/>
                <w:bCs/>
                <w:noProof/>
                <w:lang w:val="en-GB"/>
              </w:rPr>
              <w:t>Mitigation Measures</w:t>
            </w:r>
            <w:r>
              <w:rPr>
                <w:noProof/>
                <w:webHidden/>
              </w:rPr>
              <w:tab/>
            </w:r>
            <w:r>
              <w:rPr>
                <w:noProof/>
                <w:webHidden/>
              </w:rPr>
              <w:fldChar w:fldCharType="begin"/>
            </w:r>
            <w:r>
              <w:rPr>
                <w:noProof/>
                <w:webHidden/>
              </w:rPr>
              <w:instrText xml:space="preserve"> PAGEREF _Toc234626973 \h </w:instrText>
            </w:r>
            <w:r>
              <w:rPr>
                <w:noProof/>
                <w:webHidden/>
              </w:rPr>
            </w:r>
            <w:r>
              <w:rPr>
                <w:noProof/>
                <w:webHidden/>
              </w:rPr>
              <w:fldChar w:fldCharType="separate"/>
            </w:r>
            <w:r>
              <w:rPr>
                <w:noProof/>
                <w:webHidden/>
              </w:rPr>
              <w:t>6</w:t>
            </w:r>
            <w:r>
              <w:rPr>
                <w:noProof/>
                <w:webHidden/>
              </w:rPr>
              <w:fldChar w:fldCharType="end"/>
            </w:r>
          </w:hyperlink>
        </w:p>
        <w:p w14:paraId="6A40CDD8" w14:textId="0982767B" w:rsidR="00FD6AC5" w:rsidRDefault="00FD6AC5">
          <w:pPr>
            <w:pStyle w:val="TOC2"/>
            <w:tabs>
              <w:tab w:val="right" w:leader="dot" w:pos="9016"/>
            </w:tabs>
            <w:rPr>
              <w:rFonts w:asciiTheme="minorHAnsi" w:eastAsiaTheme="minorEastAsia" w:hAnsiTheme="minorHAnsi"/>
              <w:noProof/>
              <w:lang w:val="en-US"/>
            </w:rPr>
          </w:pPr>
          <w:hyperlink w:anchor="_Toc234626974" w:history="1">
            <w:r w:rsidRPr="009211E6">
              <w:rPr>
                <w:rStyle w:val="Hyperlink"/>
                <w:rFonts w:ascii="Arial" w:hAnsi="Arial" w:cs="Arial"/>
                <w:b/>
                <w:bCs/>
                <w:noProof/>
                <w:lang w:val="en-GB"/>
              </w:rPr>
              <w:t>Monitoring and Incident Response</w:t>
            </w:r>
            <w:r>
              <w:rPr>
                <w:noProof/>
                <w:webHidden/>
              </w:rPr>
              <w:tab/>
            </w:r>
            <w:r>
              <w:rPr>
                <w:noProof/>
                <w:webHidden/>
              </w:rPr>
              <w:fldChar w:fldCharType="begin"/>
            </w:r>
            <w:r>
              <w:rPr>
                <w:noProof/>
                <w:webHidden/>
              </w:rPr>
              <w:instrText xml:space="preserve"> PAGEREF _Toc234626974 \h </w:instrText>
            </w:r>
            <w:r>
              <w:rPr>
                <w:noProof/>
                <w:webHidden/>
              </w:rPr>
            </w:r>
            <w:r>
              <w:rPr>
                <w:noProof/>
                <w:webHidden/>
              </w:rPr>
              <w:fldChar w:fldCharType="separate"/>
            </w:r>
            <w:r>
              <w:rPr>
                <w:noProof/>
                <w:webHidden/>
              </w:rPr>
              <w:t>7</w:t>
            </w:r>
            <w:r>
              <w:rPr>
                <w:noProof/>
                <w:webHidden/>
              </w:rPr>
              <w:fldChar w:fldCharType="end"/>
            </w:r>
          </w:hyperlink>
        </w:p>
        <w:p w14:paraId="5325BD25" w14:textId="665FBD8C" w:rsidR="00FD6AC5" w:rsidRDefault="00FD6AC5">
          <w:pPr>
            <w:pStyle w:val="TOC2"/>
            <w:tabs>
              <w:tab w:val="right" w:leader="dot" w:pos="9016"/>
            </w:tabs>
            <w:rPr>
              <w:rFonts w:asciiTheme="minorHAnsi" w:eastAsiaTheme="minorEastAsia" w:hAnsiTheme="minorHAnsi"/>
              <w:noProof/>
              <w:lang w:val="en-US"/>
            </w:rPr>
          </w:pPr>
          <w:hyperlink w:anchor="_Toc234626975" w:history="1">
            <w:r w:rsidRPr="009211E6">
              <w:rPr>
                <w:rStyle w:val="Hyperlink"/>
                <w:rFonts w:ascii="Arial" w:hAnsi="Arial" w:cs="Arial"/>
                <w:b/>
                <w:bCs/>
                <w:noProof/>
                <w:lang w:val="en-GB"/>
              </w:rPr>
              <w:t>Training and Awareness</w:t>
            </w:r>
            <w:r>
              <w:rPr>
                <w:noProof/>
                <w:webHidden/>
              </w:rPr>
              <w:tab/>
            </w:r>
            <w:r>
              <w:rPr>
                <w:noProof/>
                <w:webHidden/>
              </w:rPr>
              <w:fldChar w:fldCharType="begin"/>
            </w:r>
            <w:r>
              <w:rPr>
                <w:noProof/>
                <w:webHidden/>
              </w:rPr>
              <w:instrText xml:space="preserve"> PAGEREF _Toc234626975 \h </w:instrText>
            </w:r>
            <w:r>
              <w:rPr>
                <w:noProof/>
                <w:webHidden/>
              </w:rPr>
            </w:r>
            <w:r>
              <w:rPr>
                <w:noProof/>
                <w:webHidden/>
              </w:rPr>
              <w:fldChar w:fldCharType="separate"/>
            </w:r>
            <w:r>
              <w:rPr>
                <w:noProof/>
                <w:webHidden/>
              </w:rPr>
              <w:t>10</w:t>
            </w:r>
            <w:r>
              <w:rPr>
                <w:noProof/>
                <w:webHidden/>
              </w:rPr>
              <w:fldChar w:fldCharType="end"/>
            </w:r>
          </w:hyperlink>
        </w:p>
        <w:p w14:paraId="69D620EF" w14:textId="13275974" w:rsidR="00FD6AC5" w:rsidRDefault="00FD6AC5">
          <w:pPr>
            <w:pStyle w:val="TOC1"/>
            <w:tabs>
              <w:tab w:val="right" w:leader="dot" w:pos="9016"/>
            </w:tabs>
            <w:rPr>
              <w:rFonts w:asciiTheme="minorHAnsi" w:eastAsiaTheme="minorEastAsia" w:hAnsiTheme="minorHAnsi"/>
              <w:noProof/>
              <w:lang w:val="en-US"/>
            </w:rPr>
          </w:pPr>
          <w:hyperlink w:anchor="_Toc234626976" w:history="1">
            <w:r w:rsidRPr="009211E6">
              <w:rPr>
                <w:rStyle w:val="Hyperlink"/>
                <w:rFonts w:ascii="Arial" w:hAnsi="Arial" w:cs="Arial"/>
                <w:b/>
                <w:bCs/>
                <w:noProof/>
                <w:lang w:val="en-GB"/>
              </w:rPr>
              <w:t>Conclusion</w:t>
            </w:r>
            <w:r>
              <w:rPr>
                <w:noProof/>
                <w:webHidden/>
              </w:rPr>
              <w:tab/>
            </w:r>
            <w:r>
              <w:rPr>
                <w:noProof/>
                <w:webHidden/>
              </w:rPr>
              <w:fldChar w:fldCharType="begin"/>
            </w:r>
            <w:r>
              <w:rPr>
                <w:noProof/>
                <w:webHidden/>
              </w:rPr>
              <w:instrText xml:space="preserve"> PAGEREF _Toc234626976 \h </w:instrText>
            </w:r>
            <w:r>
              <w:rPr>
                <w:noProof/>
                <w:webHidden/>
              </w:rPr>
            </w:r>
            <w:r>
              <w:rPr>
                <w:noProof/>
                <w:webHidden/>
              </w:rPr>
              <w:fldChar w:fldCharType="separate"/>
            </w:r>
            <w:r>
              <w:rPr>
                <w:noProof/>
                <w:webHidden/>
              </w:rPr>
              <w:t>12</w:t>
            </w:r>
            <w:r>
              <w:rPr>
                <w:noProof/>
                <w:webHidden/>
              </w:rPr>
              <w:fldChar w:fldCharType="end"/>
            </w:r>
          </w:hyperlink>
        </w:p>
        <w:p w14:paraId="56BA71A0" w14:textId="6D2E3104" w:rsidR="00FD6AC5" w:rsidRDefault="00FD6AC5">
          <w:pPr>
            <w:pStyle w:val="TOC1"/>
            <w:tabs>
              <w:tab w:val="right" w:leader="dot" w:pos="9016"/>
            </w:tabs>
            <w:rPr>
              <w:rFonts w:asciiTheme="minorHAnsi" w:eastAsiaTheme="minorEastAsia" w:hAnsiTheme="minorHAnsi"/>
              <w:noProof/>
              <w:lang w:val="en-US"/>
            </w:rPr>
          </w:pPr>
          <w:hyperlink w:anchor="_Toc234626977" w:history="1">
            <w:r w:rsidRPr="009211E6">
              <w:rPr>
                <w:rStyle w:val="Hyperlink"/>
                <w:rFonts w:ascii="Arial" w:hAnsi="Arial" w:cs="Arial"/>
                <w:b/>
                <w:bCs/>
                <w:noProof/>
                <w:lang w:val="en-GB"/>
              </w:rPr>
              <w:t>References</w:t>
            </w:r>
            <w:r>
              <w:rPr>
                <w:noProof/>
                <w:webHidden/>
              </w:rPr>
              <w:tab/>
            </w:r>
            <w:r>
              <w:rPr>
                <w:noProof/>
                <w:webHidden/>
              </w:rPr>
              <w:fldChar w:fldCharType="begin"/>
            </w:r>
            <w:r>
              <w:rPr>
                <w:noProof/>
                <w:webHidden/>
              </w:rPr>
              <w:instrText xml:space="preserve"> PAGEREF _Toc234626977 \h </w:instrText>
            </w:r>
            <w:r>
              <w:rPr>
                <w:noProof/>
                <w:webHidden/>
              </w:rPr>
            </w:r>
            <w:r>
              <w:rPr>
                <w:noProof/>
                <w:webHidden/>
              </w:rPr>
              <w:fldChar w:fldCharType="separate"/>
            </w:r>
            <w:r>
              <w:rPr>
                <w:noProof/>
                <w:webHidden/>
              </w:rPr>
              <w:t>13</w:t>
            </w:r>
            <w:r>
              <w:rPr>
                <w:noProof/>
                <w:webHidden/>
              </w:rPr>
              <w:fldChar w:fldCharType="end"/>
            </w:r>
          </w:hyperlink>
        </w:p>
        <w:p w14:paraId="49A5EA2E" w14:textId="52475A81" w:rsidR="00FD6AC5" w:rsidRDefault="00FD6AC5">
          <w:pPr>
            <w:pStyle w:val="TOC1"/>
            <w:tabs>
              <w:tab w:val="right" w:leader="dot" w:pos="9016"/>
            </w:tabs>
            <w:rPr>
              <w:rFonts w:asciiTheme="minorHAnsi" w:eastAsiaTheme="minorEastAsia" w:hAnsiTheme="minorHAnsi"/>
              <w:noProof/>
              <w:lang w:val="en-US"/>
            </w:rPr>
          </w:pPr>
          <w:hyperlink w:anchor="_Toc234626978" w:history="1">
            <w:r w:rsidRPr="009211E6">
              <w:rPr>
                <w:rStyle w:val="Hyperlink"/>
                <w:rFonts w:ascii="Arial" w:hAnsi="Arial" w:cs="Arial"/>
                <w:b/>
                <w:bCs/>
                <w:noProof/>
                <w:lang w:val="en-GB"/>
              </w:rPr>
              <w:t>Appendix: Board Presentation Slides</w:t>
            </w:r>
            <w:r>
              <w:rPr>
                <w:noProof/>
                <w:webHidden/>
              </w:rPr>
              <w:tab/>
            </w:r>
            <w:r>
              <w:rPr>
                <w:noProof/>
                <w:webHidden/>
              </w:rPr>
              <w:fldChar w:fldCharType="begin"/>
            </w:r>
            <w:r>
              <w:rPr>
                <w:noProof/>
                <w:webHidden/>
              </w:rPr>
              <w:instrText xml:space="preserve"> PAGEREF _Toc234626978 \h </w:instrText>
            </w:r>
            <w:r>
              <w:rPr>
                <w:noProof/>
                <w:webHidden/>
              </w:rPr>
            </w:r>
            <w:r>
              <w:rPr>
                <w:noProof/>
                <w:webHidden/>
              </w:rPr>
              <w:fldChar w:fldCharType="separate"/>
            </w:r>
            <w:r>
              <w:rPr>
                <w:noProof/>
                <w:webHidden/>
              </w:rPr>
              <w:t>14</w:t>
            </w:r>
            <w:r>
              <w:rPr>
                <w:noProof/>
                <w:webHidden/>
              </w:rPr>
              <w:fldChar w:fldCharType="end"/>
            </w:r>
          </w:hyperlink>
        </w:p>
        <w:p w14:paraId="6271CB7A" w14:textId="7D15C57E" w:rsidR="00F61DF7" w:rsidRPr="00FC6ABC" w:rsidRDefault="00F61DF7" w:rsidP="00B136A8">
          <w:pPr>
            <w:jc w:val="center"/>
            <w:rPr>
              <w:rFonts w:ascii="Arial" w:hAnsi="Arial" w:cs="Arial"/>
              <w:lang w:val="en-GB"/>
            </w:rPr>
          </w:pPr>
          <w:r>
            <w:rPr>
              <w:rFonts w:ascii="Arial" w:hAnsi="Arial" w:cs="Arial"/>
              <w:noProof/>
              <w:lang w:val="en-GB"/>
            </w:rPr>
            <w:fldChar w:fldCharType="end"/>
          </w:r>
        </w:p>
      </w:sdtContent>
    </w:sdt>
    <w:p w14:paraId="4297EBB9" w14:textId="77777777" w:rsidR="00F61DF7" w:rsidRPr="00FC6ABC" w:rsidRDefault="00F61DF7" w:rsidP="00B136A8">
      <w:pPr>
        <w:rPr>
          <w:rFonts w:ascii="Arial" w:hAnsi="Arial" w:cs="Arial"/>
          <w:lang w:val="en-GB"/>
        </w:rPr>
      </w:pPr>
      <w:r>
        <w:rPr>
          <w:rFonts w:ascii="Arial" w:hAnsi="Arial" w:cs="Arial"/>
          <w:lang w:val="en-GB"/>
        </w:rPr>
        <w:br w:type="page"/>
      </w:r>
    </w:p>
    <w:p w14:paraId="593B0155" w14:textId="77777777" w:rsidR="00F61DF7" w:rsidRPr="00FC6ABC" w:rsidRDefault="00F61DF7" w:rsidP="00B136A8">
      <w:pPr>
        <w:pStyle w:val="Heading1"/>
        <w:rPr>
          <w:rFonts w:ascii="Arial" w:hAnsi="Arial" w:cs="Arial"/>
          <w:b/>
          <w:bCs/>
          <w:color w:val="auto"/>
          <w:sz w:val="24"/>
          <w:szCs w:val="24"/>
          <w:lang w:val="en-GB"/>
        </w:rPr>
      </w:pPr>
      <w:bookmarkStart w:id="0" w:name="_Toc234626969"/>
      <w:r>
        <w:rPr>
          <w:rFonts w:ascii="Arial" w:hAnsi="Arial" w:cs="Arial"/>
          <w:b/>
          <w:bCs/>
          <w:color w:val="auto"/>
          <w:sz w:val="24"/>
          <w:szCs w:val="24"/>
          <w:lang w:val="en-GB"/>
        </w:rPr>
        <w:lastRenderedPageBreak/>
        <w:t>Abstract</w:t>
      </w:r>
      <w:bookmarkEnd w:id="0"/>
    </w:p>
    <w:p w14:paraId="47AEEDA6" w14:textId="77777777" w:rsidR="00F61DF7" w:rsidRPr="00FC6ABC" w:rsidRDefault="00F61DF7" w:rsidP="00B136A8">
      <w:pPr>
        <w:rPr>
          <w:rFonts w:ascii="Arial" w:hAnsi="Arial" w:cs="Arial"/>
          <w:lang w:val="en-GB"/>
        </w:rPr>
      </w:pPr>
      <w:r>
        <w:rPr>
          <w:rFonts w:ascii="Arial" w:hAnsi="Arial" w:cs="Arial"/>
          <w:lang w:val="en-GB"/>
        </w:rPr>
        <w:t>SteelForm Manufacturing Ltd (SFM) has adopted the Internet of Things (IoT), embedding sensors in products and automated machinery and connecting them via a cloud-based network for production management, and has recently suffered from malware attacks, phishing attacks targeting its procurement staff and attempts for unauthorised entry into its production network. The report presents a synthesis of a cybersecurity and data governance solution for SFM, identifying internal and external threats, a set of policies based on ISO/IEC 27001 standards and NIST Cybersecurity Framework, a mitigation plan and a plan defining the action steps to take when dealing with an incident, and a training programme for staff. The solution proposed involves network segmentation between information technology (IT) and operational technology (OT), multi-factor authentication, constant monitoring through Security Information and Event Management (SIEM), and a culture of security awareness. The application of these recommendations will likely minimise exposure of SFM to ransomware, industrial espionage and supply-chain compromise and support regulatory compliance and continuity of production.</w:t>
      </w:r>
    </w:p>
    <w:p w14:paraId="1CDFD5FE" w14:textId="77777777" w:rsidR="006C5BF1" w:rsidRPr="00FC6ABC" w:rsidRDefault="006C5BF1" w:rsidP="00B136A8">
      <w:pPr>
        <w:rPr>
          <w:rFonts w:ascii="Arial" w:hAnsi="Arial" w:cs="Arial"/>
          <w:lang w:val="en-GB"/>
        </w:rPr>
      </w:pPr>
      <w:r>
        <w:rPr>
          <w:rFonts w:ascii="Arial" w:hAnsi="Arial" w:cs="Arial"/>
          <w:lang w:val="en-GB"/>
        </w:rPr>
        <w:br w:type="page"/>
      </w:r>
    </w:p>
    <w:p w14:paraId="52213F33" w14:textId="77777777" w:rsidR="00F61DF7" w:rsidRPr="00FC6ABC" w:rsidRDefault="00F61DF7" w:rsidP="00B136A8">
      <w:pPr>
        <w:pStyle w:val="Heading1"/>
        <w:rPr>
          <w:rFonts w:ascii="Arial" w:hAnsi="Arial" w:cs="Arial"/>
          <w:b/>
          <w:bCs/>
          <w:color w:val="auto"/>
          <w:sz w:val="24"/>
          <w:szCs w:val="24"/>
          <w:lang w:val="en-GB"/>
        </w:rPr>
      </w:pPr>
      <w:bookmarkStart w:id="1" w:name="_Toc234626970"/>
      <w:r>
        <w:rPr>
          <w:rFonts w:ascii="Arial" w:hAnsi="Arial" w:cs="Arial"/>
          <w:b/>
          <w:bCs/>
          <w:color w:val="auto"/>
          <w:sz w:val="24"/>
          <w:szCs w:val="24"/>
          <w:lang w:val="en-GB"/>
        </w:rPr>
        <w:lastRenderedPageBreak/>
        <w:t>Introduction</w:t>
      </w:r>
      <w:bookmarkEnd w:id="1"/>
    </w:p>
    <w:p w14:paraId="60825DC5" w14:textId="5DE7B1BE" w:rsidR="00F61DF7" w:rsidRPr="00FC6ABC" w:rsidRDefault="00F61DF7" w:rsidP="00B136A8">
      <w:pPr>
        <w:rPr>
          <w:rFonts w:ascii="Arial" w:hAnsi="Arial" w:cs="Arial"/>
          <w:lang w:val="en-GB"/>
        </w:rPr>
      </w:pPr>
      <w:r>
        <w:rPr>
          <w:rFonts w:ascii="Arial" w:hAnsi="Arial" w:cs="Arial"/>
          <w:lang w:val="en-GB"/>
        </w:rPr>
        <w:t>As organisations in all industries network previously unconnected computer systems to corporate networks and the Internet, computer security has become a primary issue at board-level. This has also had a profound impact on manufacturing, where the convergence of information technology (IT) and operational technology (OT) under Industry 4.0, automation and the Industrial Internet of Things (IIoT) has increased the attack surface for criminal and state-sponsored actors [1]. For the past few years, manufacturing has been the most attacked industry for cyberattacks, and ransomware attacks make up a significant share of both the reported incidents and the average breach cost, driven in part by the losses caused by production downtime [2].</w:t>
      </w:r>
    </w:p>
    <w:p w14:paraId="04542B08" w14:textId="718907E0" w:rsidR="00F61DF7" w:rsidRPr="00FC6ABC" w:rsidRDefault="00F61DF7" w:rsidP="00B136A8">
      <w:pPr>
        <w:rPr>
          <w:rFonts w:ascii="Arial" w:hAnsi="Arial" w:cs="Arial"/>
          <w:lang w:val="en-GB"/>
        </w:rPr>
      </w:pPr>
      <w:r>
        <w:rPr>
          <w:rFonts w:ascii="Arial" w:hAnsi="Arial" w:cs="Arial"/>
          <w:lang w:val="en-GB"/>
        </w:rPr>
        <w:t>SteelForm Manufacturing Ltd (SFM) is a medium-sized manufacturer of custom-engineered components for the automotive and aerospace industries. Consequently, SFM has equipped its facilities with sensors and automated systems and introduced a cloud-based production management system, but has recently experienced malware infections, phishing campaigns targeting procurement staff and repeated unauthorised access attempts against its production network. This report addresses the brief issued by SFM's Board which focused on the threats to the organisation and the development of a cybersecurity and data governance policy based on known cybersecurity standards such as the ISO/IEC 27001:2022 and the NIST Cybersecurity Framework [3], and the Confidentiality, Integrity and Availability (CIA) triad.</w:t>
      </w:r>
    </w:p>
    <w:p w14:paraId="58B1FC25" w14:textId="77777777" w:rsidR="009D4BC2" w:rsidRPr="00FC6ABC" w:rsidRDefault="00126FD6" w:rsidP="009D4BC2">
      <w:pPr>
        <w:keepNext/>
        <w:jc w:val="center"/>
        <w:rPr>
          <w:rFonts w:ascii="Arial" w:hAnsi="Arial" w:cs="Arial"/>
        </w:rPr>
      </w:pPr>
      <w:r>
        <w:rPr>
          <w:rFonts w:ascii="Arial" w:hAnsi="Arial" w:cs="Arial"/>
          <w:noProof/>
        </w:rPr>
        <w:drawing>
          <wp:inline distT="0" distB="0" distL="0" distR="0" wp14:anchorId="2265C100" wp14:editId="617B67BD">
            <wp:extent cx="3762375" cy="2437666"/>
            <wp:effectExtent l="0" t="0" r="0" b="1270"/>
            <wp:docPr id="1273255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255496" name=""/>
                    <pic:cNvPicPr/>
                  </pic:nvPicPr>
                  <pic:blipFill>
                    <a:blip r:embed="rId8"/>
                    <a:stretch>
                      <a:fillRect/>
                    </a:stretch>
                  </pic:blipFill>
                  <pic:spPr>
                    <a:xfrm>
                      <a:off x="0" y="0"/>
                      <a:ext cx="3778512" cy="2448121"/>
                    </a:xfrm>
                    <a:prstGeom prst="rect">
                      <a:avLst/>
                    </a:prstGeom>
                  </pic:spPr>
                </pic:pic>
              </a:graphicData>
            </a:graphic>
          </wp:inline>
        </w:drawing>
      </w:r>
    </w:p>
    <w:p w14:paraId="7F846EDE" w14:textId="65C51CC3" w:rsidR="00B727CD" w:rsidRPr="00FC6ABC" w:rsidRDefault="009D4BC2" w:rsidP="009D4BC2">
      <w:pPr>
        <w:pStyle w:val="Caption"/>
        <w:jc w:val="center"/>
        <w:rPr>
          <w:rFonts w:ascii="Arial" w:hAnsi="Arial" w:cs="Arial"/>
          <w:color w:val="auto"/>
          <w:lang w:val="en-GB"/>
        </w:rPr>
      </w:pPr>
      <w:r>
        <w:rPr>
          <w:rFonts w:ascii="Arial" w:hAnsi="Arial" w:cs="Arial"/>
          <w:color w:val="auto"/>
        </w:rPr>
        <w:t xml:space="preserve">Figure </w:t>
      </w:r>
      <w:r>
        <w:rPr>
          <w:rFonts w:ascii="Arial" w:hAnsi="Arial" w:cs="Arial"/>
          <w:color w:val="auto"/>
        </w:rPr>
        <w:fldChar w:fldCharType="begin"/>
      </w:r>
      <w:r>
        <w:rPr>
          <w:rFonts w:ascii="Arial" w:hAnsi="Arial" w:cs="Arial"/>
          <w:color w:val="auto"/>
        </w:rPr>
        <w:instrText xml:space="preserve"> SEQ Figure \* ARABIC </w:instrText>
      </w:r>
      <w:r>
        <w:rPr>
          <w:rFonts w:ascii="Arial" w:hAnsi="Arial" w:cs="Arial"/>
          <w:color w:val="auto"/>
        </w:rPr>
        <w:fldChar w:fldCharType="separate"/>
      </w:r>
      <w:r>
        <w:rPr>
          <w:rFonts w:ascii="Arial" w:hAnsi="Arial" w:cs="Arial"/>
          <w:noProof/>
          <w:color w:val="auto"/>
        </w:rPr>
        <w:t>1</w:t>
      </w:r>
      <w:r>
        <w:rPr>
          <w:rFonts w:ascii="Arial" w:hAnsi="Arial" w:cs="Arial"/>
          <w:color w:val="auto"/>
        </w:rPr>
        <w:fldChar w:fldCharType="end"/>
      </w:r>
      <w:r>
        <w:rPr>
          <w:rFonts w:ascii="Arial" w:hAnsi="Arial" w:cs="Arial"/>
          <w:color w:val="auto"/>
        </w:rPr>
        <w:t xml:space="preserve"> illustrates the principal categories of cybersecurity threats relevant to modern manufacturing organisations, several of which have already affected SFM, including malware, phishing and unauthorised access attempts.</w:t>
      </w:r>
    </w:p>
    <w:p w14:paraId="4C8A3CBA" w14:textId="77777777" w:rsidR="00F61DF7" w:rsidRPr="00FC6ABC" w:rsidRDefault="00F61DF7" w:rsidP="00B136A8">
      <w:pPr>
        <w:pStyle w:val="Heading2"/>
        <w:rPr>
          <w:rFonts w:ascii="Arial" w:hAnsi="Arial" w:cs="Arial"/>
          <w:b/>
          <w:bCs/>
          <w:color w:val="auto"/>
          <w:sz w:val="24"/>
          <w:szCs w:val="24"/>
          <w:lang w:val="en-GB"/>
        </w:rPr>
      </w:pPr>
      <w:bookmarkStart w:id="2" w:name="_Toc234626971"/>
      <w:r>
        <w:rPr>
          <w:rFonts w:ascii="Arial" w:hAnsi="Arial" w:cs="Arial"/>
          <w:b/>
          <w:bCs/>
          <w:color w:val="auto"/>
          <w:sz w:val="24"/>
          <w:szCs w:val="24"/>
          <w:lang w:val="en-GB"/>
        </w:rPr>
        <w:lastRenderedPageBreak/>
        <w:t>Identification of Threats</w:t>
      </w:r>
      <w:bookmarkEnd w:id="2"/>
    </w:p>
    <w:p w14:paraId="6E489584" w14:textId="67BDD8B7" w:rsidR="00F61DF7" w:rsidRPr="00FC6ABC" w:rsidRDefault="00F61DF7" w:rsidP="00B136A8">
      <w:pPr>
        <w:rPr>
          <w:rFonts w:ascii="Arial" w:hAnsi="Arial" w:cs="Arial"/>
          <w:lang w:val="en-GB"/>
        </w:rPr>
      </w:pPr>
      <w:r>
        <w:rPr>
          <w:rFonts w:ascii="Arial" w:hAnsi="Arial" w:cs="Arial"/>
          <w:lang w:val="en-GB"/>
        </w:rPr>
        <w:t>As a connected manufacturer with commercially sensitive automotive and aerospace designs, SFM is exposed to a myriad of internal and external issues that pose threats [4].</w:t>
      </w:r>
    </w:p>
    <w:p w14:paraId="719CE302" w14:textId="74132606" w:rsidR="00F61DF7" w:rsidRPr="00FC6ABC" w:rsidRDefault="00F61DF7" w:rsidP="00B136A8">
      <w:pPr>
        <w:rPr>
          <w:rFonts w:ascii="Arial" w:hAnsi="Arial" w:cs="Arial"/>
          <w:lang w:val="en-GB"/>
        </w:rPr>
      </w:pPr>
      <w:r>
        <w:rPr>
          <w:rFonts w:ascii="Arial" w:hAnsi="Arial" w:cs="Arial"/>
          <w:lang w:val="en-GB"/>
        </w:rPr>
        <w:t>Threats in the external environment consist mainly of ransomware-as-a-service operations; Dragos reported an 87% year-on-year increase in ransomware attacks [1] against the manufacturing sector. A second area is the malicious campaigns that target procurement and finance, exploiting human trust to gain credentials or authorisation for fraudulent payments. Managed-service providers and small vendors are also increasingly popular targets for supply-chain compromise, giving attackers indirect access to larger industrial targets [2]. The unauthorised accesses to the production network of the type seen at SFM could be a sign of reconnaissance prior to a more aggressive intrusion; these could be attempts to access programmable logic controllers (PLCs) or supervisory control and data acquisition (SCADA) systems. Competitors and state actors have also been known to engage in industrial espionage at an opportune moment.</w:t>
      </w:r>
    </w:p>
    <w:p w14:paraId="2ABDBFE2" w14:textId="6F5AA195" w:rsidR="00F61DF7" w:rsidRPr="00FC6ABC" w:rsidRDefault="00F61DF7" w:rsidP="00B136A8">
      <w:pPr>
        <w:rPr>
          <w:rFonts w:ascii="Arial" w:hAnsi="Arial" w:cs="Arial"/>
          <w:lang w:val="en-GB"/>
        </w:rPr>
      </w:pPr>
      <w:r>
        <w:rPr>
          <w:rFonts w:ascii="Arial" w:hAnsi="Arial" w:cs="Arial"/>
          <w:lang w:val="en-GB"/>
        </w:rPr>
        <w:t>Internal risks include malicious or negligent insiders, weak password and access-control practices, departments installing cloud services without taking a proactive approach to security oversight (shadow IT), and legacy operational technology (OT) equipment that cannot easily be taken offline for security updates. The convergence of IT and OT systems not only allows an intrusion into one network to spread to the other but also can impact data confidentiality as well as physical safety, as a compromise of a relatively low-cost IT system, such as an email account, can result in harm to production systems [5].</w:t>
      </w:r>
    </w:p>
    <w:p w14:paraId="4C771A31" w14:textId="77777777" w:rsidR="00F61DF7" w:rsidRPr="00FC6ABC" w:rsidRDefault="00F61DF7" w:rsidP="00B136A8">
      <w:pPr>
        <w:rPr>
          <w:rFonts w:ascii="Arial" w:hAnsi="Arial" w:cs="Arial"/>
          <w:lang w:val="en-GB"/>
        </w:rPr>
      </w:pPr>
      <w:r>
        <w:rPr>
          <w:rFonts w:ascii="Arial" w:hAnsi="Arial" w:cs="Arial"/>
          <w:lang w:val="en-GB"/>
        </w:rPr>
        <w:t>Ransomware and unauthorised access most commonly harm the availability and integrity of production data, whereas phishing and espionage most commonly are attacks on confidentiality, relating to the disclosure of personal data and/or of IP and confidential data of staff and partners.</w:t>
      </w:r>
    </w:p>
    <w:p w14:paraId="1034A285" w14:textId="77777777" w:rsidR="00F61DF7" w:rsidRPr="00FC6ABC" w:rsidRDefault="00F61DF7" w:rsidP="00B136A8">
      <w:pPr>
        <w:pStyle w:val="Heading2"/>
        <w:rPr>
          <w:rFonts w:ascii="Arial" w:hAnsi="Arial" w:cs="Arial"/>
          <w:b/>
          <w:bCs/>
          <w:color w:val="auto"/>
          <w:sz w:val="24"/>
          <w:szCs w:val="24"/>
          <w:lang w:val="en-GB"/>
        </w:rPr>
      </w:pPr>
      <w:bookmarkStart w:id="3" w:name="_Toc234626972"/>
      <w:r>
        <w:rPr>
          <w:rFonts w:ascii="Arial" w:hAnsi="Arial" w:cs="Arial"/>
          <w:b/>
          <w:bCs/>
          <w:color w:val="auto"/>
          <w:sz w:val="24"/>
          <w:szCs w:val="24"/>
          <w:lang w:val="en-GB"/>
        </w:rPr>
        <w:t>Security Policies</w:t>
      </w:r>
      <w:bookmarkEnd w:id="3"/>
    </w:p>
    <w:p w14:paraId="4E4B7E30" w14:textId="77777777" w:rsidR="00F61DF7" w:rsidRPr="00FC6ABC" w:rsidRDefault="00F61DF7" w:rsidP="00B136A8">
      <w:pPr>
        <w:rPr>
          <w:rFonts w:ascii="Arial" w:hAnsi="Arial" w:cs="Arial"/>
          <w:lang w:val="en-GB"/>
        </w:rPr>
      </w:pPr>
      <w:r>
        <w:rPr>
          <w:rFonts w:ascii="Arial" w:hAnsi="Arial" w:cs="Arial"/>
          <w:lang w:val="en-GB"/>
        </w:rPr>
        <w:t>A comprehensive suite of security policies is recommended that provides some form of "governance" for SFM's current security policies and meets obligations under UK data protection law.</w:t>
      </w:r>
    </w:p>
    <w:p w14:paraId="4134E848" w14:textId="1B0D5745" w:rsidR="00F61DF7" w:rsidRPr="00FC6ABC" w:rsidRDefault="00F61DF7" w:rsidP="00B136A8">
      <w:pPr>
        <w:rPr>
          <w:rFonts w:ascii="Arial" w:hAnsi="Arial" w:cs="Arial"/>
          <w:lang w:val="en-GB"/>
        </w:rPr>
      </w:pPr>
      <w:r>
        <w:rPr>
          <w:rFonts w:ascii="Arial" w:hAnsi="Arial" w:cs="Arial"/>
          <w:lang w:val="en-GB"/>
        </w:rPr>
        <w:lastRenderedPageBreak/>
        <w:t>The Information Security Policy should be adopted on top of ISO/IEC 27001:2022, which outlines requirements for establishing, implementing and continually improving an information security management system [6]. The principle of least privilege and a Zero Trust approach should be implemented with an Access Control Policy, meaning that regardless of network location, no user or device is trusted, and access should be continually checked [3]. A Network Segmentation Policy should be formally in place to separate the corporate IT network from the OT network dealing with production machinery, as Dragos revealed that companies enforcing strict IT/OT Segmentation coped much more rapidly with ransomware attacks [1] than those where segregation was not facilitated.</w:t>
      </w:r>
    </w:p>
    <w:p w14:paraId="25BFDAC4" w14:textId="12BEFDB5" w:rsidR="00F61DF7" w:rsidRPr="00FC6ABC" w:rsidRDefault="00F61DF7" w:rsidP="00B136A8">
      <w:pPr>
        <w:rPr>
          <w:rFonts w:ascii="Arial" w:hAnsi="Arial" w:cs="Arial"/>
          <w:lang w:val="en-GB"/>
        </w:rPr>
      </w:pPr>
      <w:r>
        <w:rPr>
          <w:rFonts w:ascii="Arial" w:hAnsi="Arial" w:cs="Arial"/>
          <w:lang w:val="en-GB"/>
        </w:rPr>
        <w:t>A Data Governance and Classification Policy should establish the classification of design files, customer data, production data, based on the criteria of their level of sensitivity, and define rules that they must follow in relation to these classifications, as well as comply with the standards outlined in the UK General Data Protection Regulation regarding lawfulness of processing and breach notification [7]. Security Due Diligence and security clauses in contracts should be included in a Third Party and Supply Chain Security Policy, because attacks are increasingly coming from third parties [2]. The framework is completed by an Acceptable Use Policy, and an Incident Response Policy [8], which forms part of the monitoring and responding policy outlined in the Monitoring and Incident Response section.</w:t>
      </w:r>
    </w:p>
    <w:p w14:paraId="4C38450E" w14:textId="46D27C9C" w:rsidR="00F61DF7" w:rsidRPr="00FC6ABC" w:rsidRDefault="00F61DF7" w:rsidP="00B136A8">
      <w:pPr>
        <w:rPr>
          <w:rFonts w:ascii="Arial" w:hAnsi="Arial" w:cs="Arial"/>
          <w:lang w:val="en-GB"/>
        </w:rPr>
      </w:pPr>
      <w:r>
        <w:rPr>
          <w:rFonts w:ascii="Arial" w:hAnsi="Arial" w:cs="Arial"/>
          <w:lang w:val="en-GB"/>
        </w:rPr>
        <w:t>Each policy is designed to be practical rather than aspirational, and ownership is assigned to named roles (IT Security Manager, Head of Operations, Data Protection Officer) with policies being reviewed in line with the continuous improvement cycle that exists in ISO/IEC 27001 [6].</w:t>
      </w:r>
    </w:p>
    <w:p w14:paraId="5B7546F3" w14:textId="77777777" w:rsidR="0053699B" w:rsidRPr="00FC6ABC" w:rsidRDefault="0053699B" w:rsidP="00B136A8">
      <w:pPr>
        <w:rPr>
          <w:rFonts w:ascii="Arial" w:hAnsi="Arial" w:cs="Arial"/>
          <w:lang w:val="en-GB"/>
        </w:rPr>
      </w:pPr>
    </w:p>
    <w:p w14:paraId="25BDF83D" w14:textId="77777777" w:rsidR="00F61DF7" w:rsidRPr="00FC6ABC" w:rsidRDefault="00F61DF7" w:rsidP="00B136A8">
      <w:pPr>
        <w:pStyle w:val="Heading2"/>
        <w:rPr>
          <w:rFonts w:ascii="Arial" w:hAnsi="Arial" w:cs="Arial"/>
          <w:b/>
          <w:bCs/>
          <w:color w:val="auto"/>
          <w:sz w:val="24"/>
          <w:szCs w:val="24"/>
          <w:lang w:val="en-GB"/>
        </w:rPr>
      </w:pPr>
      <w:bookmarkStart w:id="4" w:name="_Toc234626973"/>
      <w:r>
        <w:rPr>
          <w:rFonts w:ascii="Arial" w:hAnsi="Arial" w:cs="Arial"/>
          <w:b/>
          <w:bCs/>
          <w:color w:val="auto"/>
          <w:sz w:val="24"/>
          <w:szCs w:val="24"/>
          <w:lang w:val="en-GB"/>
        </w:rPr>
        <w:t>Mitigation Measures</w:t>
      </w:r>
      <w:bookmarkEnd w:id="4"/>
    </w:p>
    <w:p w14:paraId="03E900F3" w14:textId="77777777" w:rsidR="00CF040C" w:rsidRPr="00FC6ABC" w:rsidRDefault="00F61DF7" w:rsidP="00B136A8">
      <w:pPr>
        <w:rPr>
          <w:rFonts w:ascii="Arial" w:hAnsi="Arial" w:cs="Arial"/>
          <w:lang w:val="en-GB"/>
        </w:rPr>
      </w:pPr>
      <w:r>
        <w:rPr>
          <w:rFonts w:ascii="Arial" w:hAnsi="Arial" w:cs="Arial"/>
          <w:lang w:val="en-GB"/>
        </w:rPr>
        <w:t>Mitigation measures are proposed across technical and administrative domains and are chosen to be feasible for a medium-sized manufacturer.</w:t>
      </w:r>
    </w:p>
    <w:p w14:paraId="1CD61404" w14:textId="5619EA12" w:rsidR="006105D1" w:rsidRPr="00FC6ABC" w:rsidRDefault="006105D1" w:rsidP="00B136A8">
      <w:pPr>
        <w:rPr>
          <w:rFonts w:ascii="Arial" w:hAnsi="Arial" w:cs="Arial"/>
          <w:lang w:val="en-GB"/>
        </w:rPr>
      </w:pPr>
      <w:r>
        <w:rPr>
          <w:rFonts w:ascii="Arial" w:hAnsi="Arial" w:cs="Arial"/>
          <w:lang w:val="en-GB"/>
        </w:rPr>
        <w:t xml:space="preserve">All remote access to SFM's systems, all finance systems and all cloud administration systems should be subject to multi-factor authentication (MFA), especially given the number of phishing attacks already suffered within the procurement process. A firewall </w:t>
      </w:r>
      <w:r>
        <w:rPr>
          <w:rFonts w:ascii="Arial" w:hAnsi="Arial" w:cs="Arial"/>
          <w:lang w:val="en-GB"/>
        </w:rPr>
        <w:lastRenderedPageBreak/>
        <w:t>and a demilitarised zone (DMZ) at the network boundary between IT and OT should be implemented as the most effective technical control, as it has been shown to significantly reduce ransomware recovery time [1]. A patch management programme</w:t>
      </w:r>
      <w:r w:rsidR="00D859B9">
        <w:rPr>
          <w:rFonts w:ascii="Arial" w:hAnsi="Arial" w:cs="Arial"/>
          <w:lang w:val="en-GB"/>
        </w:rPr>
        <w:t>,</w:t>
      </w:r>
      <w:r>
        <w:rPr>
          <w:rFonts w:ascii="Arial" w:hAnsi="Arial" w:cs="Arial"/>
          <w:lang w:val="en-GB"/>
        </w:rPr>
        <w:t xml:space="preserve"> which should be structured and time phased</w:t>
      </w:r>
      <w:r w:rsidR="00D859B9">
        <w:rPr>
          <w:rFonts w:ascii="Arial" w:hAnsi="Arial" w:cs="Arial"/>
          <w:lang w:val="en-GB"/>
        </w:rPr>
        <w:t xml:space="preserve">, </w:t>
      </w:r>
      <w:r>
        <w:rPr>
          <w:rFonts w:ascii="Arial" w:hAnsi="Arial" w:cs="Arial"/>
          <w:lang w:val="en-GB"/>
        </w:rPr>
        <w:t>should focus on known vulnerabilities that have been exploited in the wild from published vulnerability catalogues but should be flexible enough to integrate the notion of 'compensating controls' as these are required for some legacy OT equipment where patching is not possible [9].</w:t>
      </w:r>
    </w:p>
    <w:p w14:paraId="5BCA9799" w14:textId="1634E138" w:rsidR="006105D1" w:rsidRPr="00FC6ABC" w:rsidRDefault="006105D1" w:rsidP="00B136A8">
      <w:pPr>
        <w:rPr>
          <w:rFonts w:ascii="Arial" w:hAnsi="Arial" w:cs="Arial"/>
          <w:lang w:val="en-GB"/>
        </w:rPr>
      </w:pPr>
      <w:r>
        <w:rPr>
          <w:rFonts w:ascii="Arial" w:hAnsi="Arial" w:cs="Arial"/>
          <w:lang w:val="en-GB"/>
        </w:rPr>
        <w:t>Traditional signature-based anti-virus software will not work with industrial protocols, so endpoint detection and response (EDR) tools should be deployed on IT assets but also include anomaly-based monitoring on the OT network. Production and production-related design data should be backed up in an immutable, offline manner, as organisations with well-maintained offline backups pay ransoms far less often than those without them [1]. The volume of phishing messages reaching staff inboxes should be reduced through email filtering combined with Domain-Based Message Authentication, and a vendor risk assessment should be carried out before new suppliers or software are onboarded.</w:t>
      </w:r>
    </w:p>
    <w:p w14:paraId="0626A0A0" w14:textId="24E7729D" w:rsidR="006105D1" w:rsidRDefault="006105D1" w:rsidP="00B136A8">
      <w:pPr>
        <w:rPr>
          <w:rFonts w:ascii="Arial" w:hAnsi="Arial" w:cs="Arial"/>
          <w:lang w:val="en-GB"/>
        </w:rPr>
      </w:pPr>
      <w:r>
        <w:rPr>
          <w:rFonts w:ascii="Arial" w:hAnsi="Arial" w:cs="Arial"/>
          <w:lang w:val="en-GB"/>
        </w:rPr>
        <w:t>Data stored on design files and customer data should be encrypted at rest and in transmission to deliver the “confidentiality” element of the CIA triad, and a vulnerability-scanning schedule should be mutually agreed upon</w:t>
      </w:r>
      <w:r w:rsidR="006429FB">
        <w:rPr>
          <w:rFonts w:ascii="Arial" w:hAnsi="Arial" w:cs="Arial"/>
          <w:lang w:val="en-GB"/>
        </w:rPr>
        <w:t xml:space="preserve">, </w:t>
      </w:r>
      <w:r>
        <w:rPr>
          <w:rFonts w:ascii="Arial" w:hAnsi="Arial" w:cs="Arial"/>
          <w:lang w:val="en-GB"/>
        </w:rPr>
        <w:t>both for IT assets and, when it is considered safe, for OT assets. The measures are also identified and assigned with respect to the threat they would impact and to the owner or responsible party for that security measure; the intention is that each measure would be included in SFM's ongoing security programme in different IT and/or operations functions, and not in a newly established security function.</w:t>
      </w:r>
    </w:p>
    <w:p w14:paraId="42698584" w14:textId="77777777" w:rsidR="00851288" w:rsidRPr="00FC6ABC" w:rsidRDefault="00851288" w:rsidP="00B136A8">
      <w:pPr>
        <w:rPr>
          <w:rFonts w:ascii="Arial" w:hAnsi="Arial" w:cs="Arial"/>
          <w:lang w:val="en-GB"/>
        </w:rPr>
      </w:pPr>
    </w:p>
    <w:p w14:paraId="12ECDE03" w14:textId="77777777" w:rsidR="006105D1" w:rsidRPr="00FC6ABC" w:rsidRDefault="006105D1" w:rsidP="00B136A8">
      <w:pPr>
        <w:pStyle w:val="Heading2"/>
        <w:rPr>
          <w:rFonts w:ascii="Arial" w:hAnsi="Arial" w:cs="Arial"/>
          <w:b/>
          <w:bCs/>
          <w:color w:val="auto"/>
          <w:sz w:val="24"/>
          <w:szCs w:val="24"/>
          <w:lang w:val="en-GB"/>
        </w:rPr>
      </w:pPr>
      <w:bookmarkStart w:id="5" w:name="_Toc234626974"/>
      <w:r>
        <w:rPr>
          <w:rFonts w:ascii="Arial" w:hAnsi="Arial" w:cs="Arial"/>
          <w:b/>
          <w:bCs/>
          <w:color w:val="auto"/>
          <w:sz w:val="24"/>
          <w:szCs w:val="24"/>
          <w:lang w:val="en-GB"/>
        </w:rPr>
        <w:t>Monitoring and Incident Response</w:t>
      </w:r>
      <w:bookmarkEnd w:id="5"/>
    </w:p>
    <w:p w14:paraId="240DE24C" w14:textId="77777777" w:rsidR="006105D1" w:rsidRPr="00FC6ABC" w:rsidRDefault="006105D1" w:rsidP="00B136A8">
      <w:pPr>
        <w:rPr>
          <w:rFonts w:ascii="Arial" w:hAnsi="Arial" w:cs="Arial"/>
          <w:lang w:val="en-GB"/>
        </w:rPr>
      </w:pPr>
      <w:r>
        <w:rPr>
          <w:rFonts w:ascii="Arial" w:hAnsi="Arial" w:cs="Arial"/>
          <w:lang w:val="en-GB"/>
        </w:rPr>
        <w:t xml:space="preserve">Mitigation measures alone will not ensure that there are no infiltration events; therefore, continuous monitoring is essential. It is proposed to have a Security Information and Event Management (SIEM) capability that consolidates logs from firewalls, servers, cloud services and, optionally, OT sensors to give consolidated visibility across SFM's wider environment. Security Orchestration, Automation and Response (SOAR) tooling can then be used to automate routine containment activities </w:t>
      </w:r>
      <w:r>
        <w:rPr>
          <w:rFonts w:ascii="Arial" w:hAnsi="Arial" w:cs="Arial"/>
          <w:lang w:val="en-GB"/>
        </w:rPr>
        <w:lastRenderedPageBreak/>
        <w:t>like blocking a compromised account, thus shortening the time from detection to containment.</w:t>
      </w:r>
    </w:p>
    <w:p w14:paraId="35A42C04" w14:textId="6AEAFE41" w:rsidR="007235D0" w:rsidRPr="00FC6ABC" w:rsidRDefault="006105D1" w:rsidP="006C7721">
      <w:pPr>
        <w:rPr>
          <w:rFonts w:ascii="Arial" w:hAnsi="Arial" w:cs="Arial"/>
          <w:lang w:val="en-GB"/>
        </w:rPr>
      </w:pPr>
      <w:r>
        <w:rPr>
          <w:rFonts w:ascii="Arial" w:hAnsi="Arial" w:cs="Arial"/>
          <w:lang w:val="en-GB"/>
        </w:rPr>
        <w:t>The five steps outlined in Figure 2 below are taken from standard incident-handling guidance and match the NIST Cybersecurity Framework function 'Respond' [3].</w:t>
      </w:r>
      <w:r>
        <w:rPr>
          <w:rFonts w:ascii="Arial" w:hAnsi="Arial" w:cs="Arial"/>
          <w:lang w:val="en-GB"/>
        </w:rPr>
        <w:br/>
      </w:r>
      <w:r>
        <w:rPr>
          <w:rFonts w:ascii="Arial" w:hAnsi="Arial" w:cs="Arial"/>
          <w:lang w:val="en-GB"/>
        </w:rPr>
        <w:lastRenderedPageBreak/>
        <w:br/>
      </w:r>
      <w:r>
        <w:rPr>
          <w:rFonts w:ascii="Arial" w:hAnsi="Arial" w:cs="Arial"/>
          <w:noProof/>
        </w:rPr>
        <w:drawing>
          <wp:inline distT="0" distB="0" distL="0" distR="0" wp14:anchorId="55B392AC" wp14:editId="5D5EDD62">
            <wp:extent cx="5433237" cy="7529843"/>
            <wp:effectExtent l="0" t="0" r="0" b="0"/>
            <wp:docPr id="725569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569419" name=""/>
                    <pic:cNvPicPr/>
                  </pic:nvPicPr>
                  <pic:blipFill>
                    <a:blip r:embed="rId9"/>
                    <a:stretch>
                      <a:fillRect/>
                    </a:stretch>
                  </pic:blipFill>
                  <pic:spPr>
                    <a:xfrm>
                      <a:off x="0" y="0"/>
                      <a:ext cx="5444971" cy="7546106"/>
                    </a:xfrm>
                    <a:prstGeom prst="rect">
                      <a:avLst/>
                    </a:prstGeom>
                  </pic:spPr>
                </pic:pic>
              </a:graphicData>
            </a:graphic>
          </wp:inline>
        </w:drawing>
      </w:r>
    </w:p>
    <w:p w14:paraId="646ADAEF" w14:textId="09EF065C" w:rsidR="006D1AE5" w:rsidRPr="00FC6ABC" w:rsidRDefault="006D1AE5" w:rsidP="00B136A8">
      <w:pPr>
        <w:rPr>
          <w:rFonts w:ascii="Arial" w:hAnsi="Arial" w:cs="Arial"/>
          <w:i/>
          <w:sz w:val="20"/>
        </w:rPr>
      </w:pPr>
      <w:r>
        <w:rPr>
          <w:rFonts w:ascii="Arial" w:hAnsi="Arial" w:cs="Arial"/>
          <w:i/>
          <w:sz w:val="20"/>
        </w:rPr>
        <w:t>Figure 2: Five-stage incident response workflow, aligned with the NIST Cybersecurity Framework 2.0 [3]</w:t>
      </w:r>
    </w:p>
    <w:p w14:paraId="11BAA117" w14:textId="73B843D4" w:rsidR="006105D1" w:rsidRDefault="006105D1" w:rsidP="00B136A8">
      <w:pPr>
        <w:rPr>
          <w:rFonts w:ascii="Arial" w:hAnsi="Arial" w:cs="Arial"/>
          <w:lang w:val="en-GB"/>
        </w:rPr>
      </w:pPr>
      <w:r>
        <w:rPr>
          <w:rFonts w:ascii="Arial" w:hAnsi="Arial" w:cs="Arial"/>
          <w:lang w:val="en-GB"/>
        </w:rPr>
        <w:lastRenderedPageBreak/>
        <w:t>Given the resource constraints typical of a medium-sized manufacturer, monitoring should be conducted around the clock, either facilitated by a Security Operations Centre established within the organisation or by an outsourced Managed Detection and Response (MDR) service provider. Given the safety concerns of bringing the production line to a standstill, defined severity levels and escalation paths are essential to ensure that OT-impacting incidents are escalated to Operations Management as soon as possible. SFM is able to show preparedness for ransomware by documenting an incident-response plan, testing it with periodic tabletop exercises, and having a pre-agreed position on ransom payment supported by evidence that paying ransoms is associated with a higher re-attack rate [2].</w:t>
      </w:r>
    </w:p>
    <w:p w14:paraId="095FF80A" w14:textId="77777777" w:rsidR="00851288" w:rsidRPr="00FC6ABC" w:rsidRDefault="00851288" w:rsidP="00B136A8">
      <w:pPr>
        <w:rPr>
          <w:rFonts w:ascii="Arial" w:hAnsi="Arial" w:cs="Arial"/>
          <w:lang w:val="en-GB"/>
        </w:rPr>
      </w:pPr>
    </w:p>
    <w:p w14:paraId="3FC29E30" w14:textId="77777777" w:rsidR="006105D1" w:rsidRPr="00FC6ABC" w:rsidRDefault="006105D1" w:rsidP="00B136A8">
      <w:pPr>
        <w:pStyle w:val="Heading2"/>
        <w:rPr>
          <w:rFonts w:ascii="Arial" w:hAnsi="Arial" w:cs="Arial"/>
          <w:b/>
          <w:bCs/>
          <w:color w:val="auto"/>
          <w:sz w:val="24"/>
          <w:szCs w:val="24"/>
          <w:lang w:val="en-GB"/>
        </w:rPr>
      </w:pPr>
      <w:bookmarkStart w:id="6" w:name="_Toc234626975"/>
      <w:r>
        <w:rPr>
          <w:rFonts w:ascii="Arial" w:hAnsi="Arial" w:cs="Arial"/>
          <w:b/>
          <w:bCs/>
          <w:color w:val="auto"/>
          <w:sz w:val="24"/>
          <w:szCs w:val="24"/>
          <w:lang w:val="en-GB"/>
        </w:rPr>
        <w:t>Training and Awareness</w:t>
      </w:r>
      <w:bookmarkEnd w:id="6"/>
    </w:p>
    <w:p w14:paraId="283B5F12" w14:textId="77777777" w:rsidR="006105D1" w:rsidRPr="00FC6ABC" w:rsidRDefault="006105D1" w:rsidP="00B136A8">
      <w:pPr>
        <w:rPr>
          <w:rFonts w:ascii="Arial" w:hAnsi="Arial" w:cs="Arial"/>
          <w:lang w:val="en-GB"/>
        </w:rPr>
      </w:pPr>
      <w:r>
        <w:rPr>
          <w:rFonts w:ascii="Arial" w:hAnsi="Arial" w:cs="Arial"/>
          <w:lang w:val="en-GB"/>
        </w:rPr>
        <w:t>Technical controls alone are not sufficient; they must be complemented with staff training to identify and report threats, especially as phishing is now targeting SFM's procurement process.</w:t>
      </w:r>
    </w:p>
    <w:p w14:paraId="08BB01E5" w14:textId="62DA9F30" w:rsidR="006105D1" w:rsidRPr="00FC6ABC" w:rsidRDefault="006105D1" w:rsidP="00B136A8">
      <w:pPr>
        <w:rPr>
          <w:rFonts w:ascii="Arial" w:hAnsi="Arial" w:cs="Arial"/>
          <w:lang w:val="en-GB"/>
        </w:rPr>
      </w:pPr>
      <w:r>
        <w:rPr>
          <w:rFonts w:ascii="Arial" w:hAnsi="Arial" w:cs="Arial"/>
          <w:lang w:val="en-GB"/>
        </w:rPr>
        <w:t>It is suggested that a continuous training programme replace the one annual training programme. For any new hires, they should be provided with the basic security induction material that includes password best practice, multi-factor authentication and data classification. It is recommended that all employees take part in simulated phishing exercises four times a year to gauge the success of the training and to provide follow-up coaching when needed, without punishing staff who flag a message they suspect may be a scam, fostering a culture in which employees are not afraid to report something even if they turn out to be wrong [10]. Procurement and finance staff should receive training on what constitutes invoice fraud or business email compromise, and production and engineering staff should be trained on the indicators of suspicious activity around OT systems, particularly the receipt of unexpected USB devices.</w:t>
      </w:r>
    </w:p>
    <w:p w14:paraId="09446531" w14:textId="77777777" w:rsidR="006105D1" w:rsidRPr="00FC6ABC" w:rsidRDefault="006105D1" w:rsidP="00B136A8">
      <w:pPr>
        <w:rPr>
          <w:rFonts w:ascii="Arial" w:hAnsi="Arial" w:cs="Arial"/>
          <w:lang w:val="en-GB"/>
        </w:rPr>
      </w:pPr>
      <w:r>
        <w:rPr>
          <w:rFonts w:ascii="Arial" w:hAnsi="Arial" w:cs="Arial"/>
          <w:lang w:val="en-GB"/>
        </w:rPr>
        <w:t xml:space="preserve">This should be backed by regular reporting to management and the board on security investment and business risk, to sustain continued support for the security policies outlined in the Security Policies section. There should also be a short induction module and an easy way for incidents to be reported, for example a dedicated phone line or an online incident-reporting form, which should be advertised across the whole organisation so that suspected incidents are reported as soon as possible and not kept </w:t>
      </w:r>
      <w:r>
        <w:rPr>
          <w:rFonts w:ascii="Arial" w:hAnsi="Arial" w:cs="Arial"/>
          <w:lang w:val="en-GB"/>
        </w:rPr>
        <w:lastRenderedPageBreak/>
        <w:t>secret. Embedding security awareness in communication would not be a standalone compliance activity, but an effort to inculcate the security-minded culture that is desired by SFM's board.</w:t>
      </w:r>
    </w:p>
    <w:p w14:paraId="1FEAC8B8" w14:textId="6B27A295" w:rsidR="006C5BF1" w:rsidRPr="00FC6ABC" w:rsidRDefault="006C5BF1" w:rsidP="00B136A8">
      <w:pPr>
        <w:rPr>
          <w:rFonts w:ascii="Arial" w:hAnsi="Arial" w:cs="Arial"/>
          <w:lang w:val="en-GB"/>
        </w:rPr>
      </w:pPr>
      <w:r>
        <w:rPr>
          <w:rFonts w:ascii="Arial" w:hAnsi="Arial" w:cs="Arial"/>
          <w:lang w:val="en-GB"/>
        </w:rPr>
        <w:br w:type="page"/>
      </w:r>
    </w:p>
    <w:p w14:paraId="0D22EC00" w14:textId="6B27A295" w:rsidR="006105D1" w:rsidRPr="00FC6ABC" w:rsidRDefault="006105D1" w:rsidP="00B136A8">
      <w:pPr>
        <w:pStyle w:val="Heading1"/>
        <w:rPr>
          <w:rFonts w:ascii="Arial" w:hAnsi="Arial" w:cs="Arial"/>
          <w:b/>
          <w:bCs/>
          <w:color w:val="auto"/>
          <w:sz w:val="24"/>
          <w:szCs w:val="24"/>
          <w:lang w:val="en-GB"/>
        </w:rPr>
      </w:pPr>
      <w:bookmarkStart w:id="7" w:name="_Toc234626976"/>
      <w:r>
        <w:rPr>
          <w:rFonts w:ascii="Arial" w:hAnsi="Arial" w:cs="Arial"/>
          <w:b/>
          <w:bCs/>
          <w:color w:val="auto"/>
          <w:sz w:val="24"/>
          <w:szCs w:val="24"/>
          <w:lang w:val="en-GB"/>
        </w:rPr>
        <w:lastRenderedPageBreak/>
        <w:t>Conclusion</w:t>
      </w:r>
      <w:bookmarkEnd w:id="7"/>
    </w:p>
    <w:p w14:paraId="0FC47579" w14:textId="77777777" w:rsidR="006105D1" w:rsidRPr="00FC6ABC" w:rsidRDefault="006105D1" w:rsidP="00B136A8">
      <w:pPr>
        <w:rPr>
          <w:rFonts w:ascii="Arial" w:hAnsi="Arial" w:cs="Arial"/>
          <w:lang w:val="en-GB"/>
        </w:rPr>
      </w:pPr>
      <w:r>
        <w:rPr>
          <w:rFonts w:ascii="Arial" w:hAnsi="Arial" w:cs="Arial"/>
          <w:lang w:val="en-GB"/>
        </w:rPr>
        <w:t>SFM is increasingly exposed to a variety of internal and external cyber risks, which are likely to grow as its use of connected manufacturing technologies expands. Network segmentation, multi-factor authentication, continuous monitoring, a structured incident-response workflow and a continuous training programme are all proposed solutions to these threats that are achievable in a medium-sized manufacturer context and compliant with ISO/IEC 27001 and the NIST Cybersecurity Framework. As SFM's security maturity grows, the policy could usefully be expanded to include formal third-party security audits and OT-specific penetration tests.</w:t>
      </w:r>
    </w:p>
    <w:p w14:paraId="7EDB62A4" w14:textId="77777777" w:rsidR="00E06454" w:rsidRPr="00FC6ABC" w:rsidRDefault="00E06454" w:rsidP="00B136A8">
      <w:pPr>
        <w:rPr>
          <w:rFonts w:ascii="Arial" w:hAnsi="Arial" w:cs="Arial"/>
          <w:lang w:val="en-GB"/>
        </w:rPr>
      </w:pPr>
      <w:r>
        <w:rPr>
          <w:rFonts w:ascii="Arial" w:hAnsi="Arial" w:cs="Arial"/>
          <w:lang w:val="en-GB"/>
        </w:rPr>
        <w:br w:type="page"/>
      </w:r>
    </w:p>
    <w:p w14:paraId="41643CEB" w14:textId="77777777" w:rsidR="00E06454" w:rsidRPr="00FC6ABC" w:rsidRDefault="00E06454" w:rsidP="00B136A8">
      <w:pPr>
        <w:pStyle w:val="Heading1"/>
        <w:rPr>
          <w:rFonts w:ascii="Arial" w:hAnsi="Arial" w:cs="Arial"/>
          <w:b/>
          <w:bCs/>
          <w:color w:val="auto"/>
          <w:sz w:val="24"/>
          <w:szCs w:val="24"/>
          <w:lang w:val="en-GB"/>
        </w:rPr>
      </w:pPr>
      <w:bookmarkStart w:id="8" w:name="_Toc234626977"/>
      <w:r>
        <w:rPr>
          <w:rFonts w:ascii="Arial" w:hAnsi="Arial" w:cs="Arial"/>
          <w:b/>
          <w:bCs/>
          <w:color w:val="auto"/>
          <w:sz w:val="24"/>
          <w:szCs w:val="24"/>
          <w:lang w:val="en-GB"/>
        </w:rPr>
        <w:lastRenderedPageBreak/>
        <w:t>References</w:t>
      </w:r>
      <w:bookmarkEnd w:id="8"/>
    </w:p>
    <w:p w14:paraId="7961C7DA" w14:textId="2B32C85F" w:rsidR="00170013" w:rsidRPr="00FC6ABC" w:rsidRDefault="00170013" w:rsidP="00170013">
      <w:pPr>
        <w:rPr>
          <w:rFonts w:ascii="Arial" w:hAnsi="Arial" w:cs="Arial"/>
          <w:lang w:val="en-US"/>
        </w:rPr>
      </w:pPr>
      <w:r>
        <w:rPr>
          <w:rFonts w:ascii="Arial" w:hAnsi="Arial" w:cs="Arial"/>
          <w:lang w:val="en-US"/>
        </w:rPr>
        <w:t xml:space="preserve">[1] Dragos, "OT/ICS Cybersecurity Report: 2024 Year in Review," Dragos Inc., 2025. [Online]. Available: </w:t>
      </w:r>
      <w:hyperlink r:id="rId10" w:history="1">
        <w:r>
          <w:rPr>
            <w:rStyle w:val="Hyperlink"/>
            <w:rFonts w:ascii="Arial" w:hAnsi="Arial" w:cs="Arial"/>
            <w:color w:val="auto"/>
            <w:lang w:val="en-US"/>
          </w:rPr>
          <w:t>https://www.dragos.com</w:t>
        </w:r>
      </w:hyperlink>
      <w:r>
        <w:rPr>
          <w:rFonts w:ascii="Arial" w:hAnsi="Arial" w:cs="Arial"/>
          <w:lang w:val="en-US"/>
        </w:rPr>
        <w:t>. [Accessed: 28-Jun-2026].</w:t>
      </w:r>
    </w:p>
    <w:p w14:paraId="47952D25" w14:textId="77777777" w:rsidR="0053699B" w:rsidRPr="00FC6ABC" w:rsidRDefault="0053699B" w:rsidP="0053699B">
      <w:pPr>
        <w:rPr>
          <w:rFonts w:ascii="Arial" w:hAnsi="Arial" w:cs="Arial"/>
          <w:lang w:val="en-US"/>
        </w:rPr>
      </w:pPr>
      <w:r>
        <w:rPr>
          <w:rFonts w:ascii="Arial" w:hAnsi="Arial" w:cs="Arial"/>
          <w:lang w:val="en-US"/>
        </w:rPr>
        <w:t xml:space="preserve">[2] Industrial Cyber, "Dragos finds ransomware attacks on industrial sector surge 87%, manufacturing hit hardest as OT targeting rises," </w:t>
      </w:r>
      <w:r>
        <w:rPr>
          <w:rFonts w:ascii="Arial" w:hAnsi="Arial" w:cs="Arial"/>
          <w:i/>
          <w:iCs/>
          <w:lang w:val="en-US"/>
        </w:rPr>
        <w:t>Industrial Cyber</w:t>
      </w:r>
      <w:r>
        <w:rPr>
          <w:rFonts w:ascii="Arial" w:hAnsi="Arial" w:cs="Arial"/>
          <w:lang w:val="en-US"/>
        </w:rPr>
        <w:t xml:space="preserve">, Feb. 25, 2025. [Online]. Available: </w:t>
      </w:r>
      <w:hyperlink r:id="rId11" w:history="1">
        <w:r>
          <w:rPr>
            <w:rStyle w:val="Hyperlink"/>
            <w:rFonts w:ascii="Arial" w:hAnsi="Arial" w:cs="Arial"/>
            <w:color w:val="auto"/>
            <w:lang w:val="en-US"/>
          </w:rPr>
          <w:t>https://industrialcyber.co</w:t>
        </w:r>
      </w:hyperlink>
      <w:r>
        <w:rPr>
          <w:rFonts w:ascii="Arial" w:hAnsi="Arial" w:cs="Arial"/>
          <w:lang w:val="en-US"/>
        </w:rPr>
        <w:t>. [Accessed: 28-Jun-2026].</w:t>
      </w:r>
    </w:p>
    <w:p w14:paraId="3A1773D1" w14:textId="1F815859" w:rsidR="0053699B" w:rsidRPr="00FC6ABC" w:rsidRDefault="0053699B" w:rsidP="0053699B">
      <w:pPr>
        <w:rPr>
          <w:rFonts w:ascii="Arial" w:hAnsi="Arial" w:cs="Arial"/>
          <w:lang w:val="en-US"/>
        </w:rPr>
      </w:pPr>
      <w:r>
        <w:rPr>
          <w:rFonts w:ascii="Arial" w:hAnsi="Arial" w:cs="Arial"/>
          <w:lang w:val="en-US"/>
        </w:rPr>
        <w:t>[3] National Institute of Standards and Technology, The NIST Cybersecurity Framework (CSF) 2.0. Gaithersburg, MD, USA: U.S. Department of Commerce, National Institute of Standards and Technology, 2024.</w:t>
      </w:r>
    </w:p>
    <w:p w14:paraId="30C2FCF5" w14:textId="0530FDA0" w:rsidR="0053699B" w:rsidRPr="00FC6ABC" w:rsidRDefault="0053699B" w:rsidP="0053699B">
      <w:pPr>
        <w:rPr>
          <w:rFonts w:ascii="Arial" w:hAnsi="Arial" w:cs="Arial"/>
          <w:lang w:val="en-US"/>
        </w:rPr>
      </w:pPr>
      <w:r>
        <w:rPr>
          <w:rFonts w:ascii="Arial" w:hAnsi="Arial" w:cs="Arial"/>
          <w:lang w:val="en-US"/>
        </w:rPr>
        <w:t>[4] V. Vadivelu, P. Nachimuthu, P. Karthikeyan. "Transforming Supply Chains (SCs) with Additive Manufacturing (AM) A Paradigm Shift in Production," in Metal Additive Manufacturing: Principles, Techniques and Applications, pp. 359–406, 2025.</w:t>
      </w:r>
    </w:p>
    <w:p w14:paraId="35F79D06" w14:textId="77777777" w:rsidR="00FD6AC5" w:rsidRDefault="0053699B" w:rsidP="0053699B">
      <w:pPr>
        <w:rPr>
          <w:rFonts w:ascii="Arial" w:hAnsi="Arial" w:cs="Arial"/>
          <w:lang w:val="en-GB"/>
        </w:rPr>
      </w:pPr>
      <w:r>
        <w:rPr>
          <w:rFonts w:ascii="Arial" w:hAnsi="Arial" w:cs="Arial"/>
          <w:lang w:val="en-US"/>
        </w:rPr>
        <w:t xml:space="preserve">[5] Waterfall Security Solutions, "2024 Threat Report: OT Cyberattacks with Physical Consequences," Waterfall Security Solutions, 2024. [Online]. Available: </w:t>
      </w:r>
      <w:hyperlink r:id="rId12" w:history="1">
        <w:r>
          <w:rPr>
            <w:rStyle w:val="Hyperlink"/>
            <w:rFonts w:ascii="Arial" w:hAnsi="Arial" w:cs="Arial"/>
            <w:color w:val="auto"/>
            <w:lang w:val="en-US"/>
          </w:rPr>
          <w:t>https://waterfall-security.com</w:t>
        </w:r>
      </w:hyperlink>
      <w:r>
        <w:rPr>
          <w:rFonts w:ascii="Arial" w:hAnsi="Arial" w:cs="Arial"/>
          <w:lang w:val="en-US"/>
        </w:rPr>
        <w:t>. [Accessed: 28-Jun-2026].</w:t>
      </w:r>
    </w:p>
    <w:p w14:paraId="15292150" w14:textId="398ECA67" w:rsidR="0053699B" w:rsidRPr="00FD6AC5" w:rsidRDefault="0053699B" w:rsidP="0053699B">
      <w:pPr>
        <w:rPr>
          <w:rFonts w:ascii="Arial" w:hAnsi="Arial" w:cs="Arial"/>
          <w:lang w:val="en-GB"/>
        </w:rPr>
      </w:pPr>
      <w:r>
        <w:rPr>
          <w:rFonts w:ascii="Arial" w:hAnsi="Arial" w:cs="Arial"/>
          <w:lang w:val="en-US"/>
        </w:rPr>
        <w:t>[6] International Organization for Standardization and International Electrotechnical Commission, ISO/IEC 27001:2022 Information Security, Cybersecurity and Privacy Protection—Information Security Management Systems—Requirements. Geneva, Switzerland: ISO/IEC, 2022.</w:t>
      </w:r>
    </w:p>
    <w:p w14:paraId="40F1BE95" w14:textId="77777777" w:rsidR="0053699B" w:rsidRPr="00FC6ABC" w:rsidRDefault="0053699B" w:rsidP="0053699B">
      <w:pPr>
        <w:rPr>
          <w:rFonts w:ascii="Arial" w:hAnsi="Arial" w:cs="Arial"/>
          <w:lang w:val="en-US"/>
        </w:rPr>
      </w:pPr>
      <w:r>
        <w:rPr>
          <w:rFonts w:ascii="Arial" w:hAnsi="Arial" w:cs="Arial"/>
          <w:lang w:val="en-US"/>
        </w:rPr>
        <w:t xml:space="preserve">[7] Information Commissioner's Office, "Guide to the UK General Data Protection Regulation (UK GDPR)," ICO, 2023. [Online]. Available: </w:t>
      </w:r>
      <w:hyperlink r:id="rId13" w:history="1">
        <w:r>
          <w:rPr>
            <w:rStyle w:val="Hyperlink"/>
            <w:rFonts w:ascii="Arial" w:hAnsi="Arial" w:cs="Arial"/>
            <w:color w:val="auto"/>
            <w:lang w:val="en-US"/>
          </w:rPr>
          <w:t>https://ico.org.uk</w:t>
        </w:r>
      </w:hyperlink>
      <w:r>
        <w:rPr>
          <w:rFonts w:ascii="Arial" w:hAnsi="Arial" w:cs="Arial"/>
          <w:lang w:val="en-US"/>
        </w:rPr>
        <w:t>. [Accessed: 28-Jun-2026].</w:t>
      </w:r>
    </w:p>
    <w:p w14:paraId="7CE4912C" w14:textId="152D48E0" w:rsidR="0053699B" w:rsidRPr="00FC6ABC" w:rsidRDefault="0053699B" w:rsidP="0053699B">
      <w:pPr>
        <w:rPr>
          <w:rFonts w:ascii="Arial" w:hAnsi="Arial" w:cs="Arial"/>
          <w:lang w:val="en-US"/>
        </w:rPr>
      </w:pPr>
      <w:r>
        <w:rPr>
          <w:rFonts w:ascii="Arial" w:hAnsi="Arial" w:cs="Arial"/>
          <w:lang w:val="en-US"/>
        </w:rPr>
        <w:t>[8] S. Boddy, "Case study: The decision-support framework and NIS2, CER, and DORA incident reporting obligations," Ph.D. dissertation, University of Jyväskyla, 2024.</w:t>
      </w:r>
    </w:p>
    <w:p w14:paraId="55736922" w14:textId="77777777" w:rsidR="0053699B" w:rsidRPr="00FC6ABC" w:rsidRDefault="0053699B" w:rsidP="0053699B">
      <w:pPr>
        <w:rPr>
          <w:rFonts w:ascii="Arial" w:hAnsi="Arial" w:cs="Arial"/>
          <w:lang w:val="en-US"/>
        </w:rPr>
      </w:pPr>
      <w:r>
        <w:rPr>
          <w:rFonts w:ascii="Arial" w:hAnsi="Arial" w:cs="Arial"/>
          <w:lang w:val="en-US"/>
        </w:rPr>
        <w:t xml:space="preserve">[9] C. Hughes and N. Robinson, </w:t>
      </w:r>
      <w:r>
        <w:rPr>
          <w:rFonts w:ascii="Arial" w:hAnsi="Arial" w:cs="Arial"/>
          <w:i/>
          <w:iCs/>
          <w:lang w:val="en-US"/>
        </w:rPr>
        <w:t>Effective Vulnerability Management: Managing Risk in the Vulnerable Digital Ecosystem</w:t>
      </w:r>
      <w:r>
        <w:rPr>
          <w:rFonts w:ascii="Arial" w:hAnsi="Arial" w:cs="Arial"/>
          <w:lang w:val="en-US"/>
        </w:rPr>
        <w:t>. Hoboken, NJ: John Wiley &amp; Sons, 2024.</w:t>
      </w:r>
    </w:p>
    <w:p w14:paraId="65EFC2F7" w14:textId="77777777" w:rsidR="0053699B" w:rsidRPr="00FC6ABC" w:rsidRDefault="0053699B" w:rsidP="0053699B">
      <w:pPr>
        <w:rPr>
          <w:rFonts w:ascii="Arial" w:hAnsi="Arial" w:cs="Arial"/>
          <w:lang w:val="en-US"/>
        </w:rPr>
      </w:pPr>
      <w:r>
        <w:rPr>
          <w:rFonts w:ascii="Arial" w:hAnsi="Arial" w:cs="Arial"/>
          <w:lang w:val="en-US"/>
        </w:rPr>
        <w:t xml:space="preserve">[10] KnowBe4, "Manufacturing Industry Cybersecurity Report 2025," KnowBe4, 2025. [Online]. Available: </w:t>
      </w:r>
      <w:hyperlink r:id="rId14" w:history="1">
        <w:r>
          <w:rPr>
            <w:rStyle w:val="Hyperlink"/>
            <w:rFonts w:ascii="Arial" w:hAnsi="Arial" w:cs="Arial"/>
            <w:color w:val="auto"/>
            <w:lang w:val="en-US"/>
          </w:rPr>
          <w:t>https://www.knowbe4.com</w:t>
        </w:r>
      </w:hyperlink>
      <w:r>
        <w:rPr>
          <w:rFonts w:ascii="Arial" w:hAnsi="Arial" w:cs="Arial"/>
          <w:lang w:val="en-US"/>
        </w:rPr>
        <w:t>. [Accessed: 28-Jun-2026].</w:t>
      </w:r>
    </w:p>
    <w:p w14:paraId="393F2FEB" w14:textId="77777777" w:rsidR="007235D0" w:rsidRPr="00FC6ABC" w:rsidRDefault="00351E86">
      <w:pPr>
        <w:pStyle w:val="Heading1"/>
        <w:rPr>
          <w:rFonts w:ascii="Arial" w:hAnsi="Arial" w:cs="Arial"/>
          <w:b/>
          <w:bCs/>
          <w:color w:val="auto"/>
          <w:sz w:val="24"/>
          <w:szCs w:val="24"/>
          <w:lang w:val="en-GB"/>
        </w:rPr>
      </w:pPr>
      <w:bookmarkStart w:id="9" w:name="_Toc234626978"/>
      <w:r>
        <w:rPr>
          <w:rFonts w:ascii="Arial" w:hAnsi="Arial" w:cs="Arial"/>
          <w:b/>
          <w:bCs/>
          <w:color w:val="auto"/>
          <w:sz w:val="24"/>
          <w:szCs w:val="24"/>
          <w:lang w:val="en-GB"/>
        </w:rPr>
        <w:lastRenderedPageBreak/>
        <w:t>Appendix: Board Presentation Slides</w:t>
      </w:r>
      <w:bookmarkEnd w:id="9"/>
    </w:p>
    <w:p w14:paraId="481E1526" w14:textId="77777777" w:rsidR="007235D0" w:rsidRPr="00FC6ABC" w:rsidRDefault="00351E86">
      <w:pPr>
        <w:rPr>
          <w:rFonts w:ascii="Arial" w:hAnsi="Arial" w:cs="Arial"/>
          <w:i/>
          <w:lang w:val="en-GB"/>
        </w:rPr>
      </w:pPr>
      <w:r>
        <w:rPr>
          <w:rFonts w:ascii="Arial" w:hAnsi="Arial" w:cs="Arial"/>
          <w:i/>
          <w:lang w:val="en-GB"/>
        </w:rPr>
        <w:t>The following slides were presented to the SFM Board as the 10-minute board presentation accompanying this report.</w:t>
      </w:r>
    </w:p>
    <w:p w14:paraId="451E3749" w14:textId="56BD3B5A" w:rsidR="007235D0" w:rsidRPr="00FC6ABC" w:rsidRDefault="004B73F1">
      <w:pPr>
        <w:spacing w:before="240" w:after="60"/>
        <w:jc w:val="center"/>
        <w:rPr>
          <w:rFonts w:ascii="Arial" w:hAnsi="Arial" w:cs="Arial"/>
          <w:lang w:val="en-GB"/>
        </w:rPr>
      </w:pPr>
      <w:r>
        <w:rPr>
          <w:rFonts w:ascii="Arial" w:hAnsi="Arial" w:cs="Arial"/>
          <w:noProof/>
        </w:rPr>
        <w:drawing>
          <wp:inline distT="0" distB="0" distL="0" distR="0" wp14:anchorId="5DAC7E65" wp14:editId="10EFB346">
            <wp:extent cx="5731510" cy="3223895"/>
            <wp:effectExtent l="0" t="0" r="2540" b="0"/>
            <wp:docPr id="2988239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82397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333BB540" w14:textId="77777777" w:rsidR="007235D0" w:rsidRPr="00FC6ABC" w:rsidRDefault="00351E86">
      <w:pPr>
        <w:spacing w:after="240"/>
        <w:jc w:val="center"/>
        <w:rPr>
          <w:rFonts w:ascii="Arial" w:hAnsi="Arial" w:cs="Arial"/>
          <w:i/>
          <w:sz w:val="20"/>
          <w:lang w:val="en-GB"/>
        </w:rPr>
      </w:pPr>
      <w:r>
        <w:rPr>
          <w:rFonts w:ascii="Arial" w:hAnsi="Arial" w:cs="Arial"/>
          <w:i/>
          <w:sz w:val="20"/>
          <w:lang w:val="en-GB"/>
        </w:rPr>
        <w:t>Slide 1 — Title Slide</w:t>
      </w:r>
    </w:p>
    <w:p w14:paraId="14A527E7" w14:textId="77777777" w:rsidR="007235D0" w:rsidRPr="00FC6ABC" w:rsidRDefault="00351E86">
      <w:pPr>
        <w:spacing w:before="240" w:after="60"/>
        <w:jc w:val="center"/>
        <w:rPr>
          <w:rFonts w:ascii="Arial" w:hAnsi="Arial" w:cs="Arial"/>
          <w:lang w:val="en-GB"/>
        </w:rPr>
      </w:pPr>
      <w:r>
        <w:rPr>
          <w:rFonts w:ascii="Arial" w:hAnsi="Arial" w:cs="Arial"/>
          <w:noProof/>
          <w:lang w:val="en-GB"/>
        </w:rPr>
        <w:drawing>
          <wp:inline distT="0" distB="0" distL="0" distR="0" wp14:anchorId="189CE1A1" wp14:editId="55889E13">
            <wp:extent cx="5731510" cy="3222363"/>
            <wp:effectExtent l="0" t="0" r="0" b="0"/>
            <wp:docPr id="202" name="sl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 name="slide2.jpg"/>
                    <pic:cNvPicPr/>
                  </pic:nvPicPr>
                  <pic:blipFill>
                    <a:blip r:embed="rId17"/>
                    <a:stretch>
                      <a:fillRect/>
                    </a:stretch>
                  </pic:blipFill>
                  <pic:spPr>
                    <a:xfrm>
                      <a:off x="0" y="0"/>
                      <a:ext cx="5731510" cy="3222363"/>
                    </a:xfrm>
                    <a:prstGeom prst="rect">
                      <a:avLst/>
                    </a:prstGeom>
                  </pic:spPr>
                </pic:pic>
              </a:graphicData>
            </a:graphic>
          </wp:inline>
        </w:drawing>
      </w:r>
    </w:p>
    <w:p w14:paraId="1EF87F9E" w14:textId="77777777" w:rsidR="007235D0" w:rsidRPr="00FC6ABC" w:rsidRDefault="00351E86">
      <w:pPr>
        <w:spacing w:after="240"/>
        <w:jc w:val="center"/>
        <w:rPr>
          <w:rFonts w:ascii="Arial" w:hAnsi="Arial" w:cs="Arial"/>
          <w:i/>
          <w:sz w:val="20"/>
          <w:lang w:val="en-GB"/>
        </w:rPr>
      </w:pPr>
      <w:r>
        <w:rPr>
          <w:rFonts w:ascii="Arial" w:hAnsi="Arial" w:cs="Arial"/>
          <w:i/>
          <w:sz w:val="20"/>
          <w:lang w:val="en-GB"/>
        </w:rPr>
        <w:t>Slide 2 — The Challenge Facing SFM</w:t>
      </w:r>
    </w:p>
    <w:p w14:paraId="3E449ACD" w14:textId="77777777" w:rsidR="007235D0" w:rsidRPr="00FC6ABC" w:rsidRDefault="00351E86">
      <w:pPr>
        <w:spacing w:before="240" w:after="60"/>
        <w:jc w:val="center"/>
        <w:rPr>
          <w:rFonts w:ascii="Arial" w:hAnsi="Arial" w:cs="Arial"/>
          <w:lang w:val="en-GB"/>
        </w:rPr>
      </w:pPr>
      <w:r>
        <w:rPr>
          <w:rFonts w:ascii="Arial" w:hAnsi="Arial" w:cs="Arial"/>
          <w:noProof/>
          <w:lang w:val="en-GB"/>
        </w:rPr>
        <w:lastRenderedPageBreak/>
        <w:drawing>
          <wp:inline distT="0" distB="0" distL="0" distR="0" wp14:anchorId="75252EC4" wp14:editId="2E801CAD">
            <wp:extent cx="5731510" cy="3222363"/>
            <wp:effectExtent l="0" t="0" r="0" b="0"/>
            <wp:docPr id="203" name="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 name="slide3.jpg"/>
                    <pic:cNvPicPr/>
                  </pic:nvPicPr>
                  <pic:blipFill>
                    <a:blip r:embed="rId18"/>
                    <a:stretch>
                      <a:fillRect/>
                    </a:stretch>
                  </pic:blipFill>
                  <pic:spPr>
                    <a:xfrm>
                      <a:off x="0" y="0"/>
                      <a:ext cx="5731510" cy="3222363"/>
                    </a:xfrm>
                    <a:prstGeom prst="rect">
                      <a:avLst/>
                    </a:prstGeom>
                  </pic:spPr>
                </pic:pic>
              </a:graphicData>
            </a:graphic>
          </wp:inline>
        </w:drawing>
      </w:r>
    </w:p>
    <w:p w14:paraId="68F39279" w14:textId="77777777" w:rsidR="007235D0" w:rsidRPr="00FC6ABC" w:rsidRDefault="00351E86">
      <w:pPr>
        <w:spacing w:after="240"/>
        <w:jc w:val="center"/>
        <w:rPr>
          <w:rFonts w:ascii="Arial" w:hAnsi="Arial" w:cs="Arial"/>
          <w:i/>
          <w:sz w:val="20"/>
          <w:lang w:val="en-GB"/>
        </w:rPr>
      </w:pPr>
      <w:r>
        <w:rPr>
          <w:rFonts w:ascii="Arial" w:hAnsi="Arial" w:cs="Arial"/>
          <w:i/>
          <w:sz w:val="20"/>
          <w:lang w:val="en-GB"/>
        </w:rPr>
        <w:t>Slide 3 — Threat Landscape: Internal &amp; External</w:t>
      </w:r>
    </w:p>
    <w:p w14:paraId="63470A4A" w14:textId="77777777" w:rsidR="007235D0" w:rsidRPr="00FC6ABC" w:rsidRDefault="00351E86">
      <w:pPr>
        <w:spacing w:before="240" w:after="60"/>
        <w:jc w:val="center"/>
        <w:rPr>
          <w:rFonts w:ascii="Arial" w:hAnsi="Arial" w:cs="Arial"/>
          <w:lang w:val="en-GB"/>
        </w:rPr>
      </w:pPr>
      <w:r>
        <w:rPr>
          <w:rFonts w:ascii="Arial" w:hAnsi="Arial" w:cs="Arial"/>
          <w:noProof/>
          <w:lang w:val="en-GB"/>
        </w:rPr>
        <w:drawing>
          <wp:inline distT="0" distB="0" distL="0" distR="0" wp14:anchorId="03D8DBEA" wp14:editId="317942ED">
            <wp:extent cx="5731510" cy="3222363"/>
            <wp:effectExtent l="0" t="0" r="0" b="0"/>
            <wp:docPr id="204" name="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 name="slide4.jpg"/>
                    <pic:cNvPicPr/>
                  </pic:nvPicPr>
                  <pic:blipFill>
                    <a:blip r:embed="rId19"/>
                    <a:stretch>
                      <a:fillRect/>
                    </a:stretch>
                  </pic:blipFill>
                  <pic:spPr>
                    <a:xfrm>
                      <a:off x="0" y="0"/>
                      <a:ext cx="5731510" cy="3222363"/>
                    </a:xfrm>
                    <a:prstGeom prst="rect">
                      <a:avLst/>
                    </a:prstGeom>
                  </pic:spPr>
                </pic:pic>
              </a:graphicData>
            </a:graphic>
          </wp:inline>
        </w:drawing>
      </w:r>
    </w:p>
    <w:p w14:paraId="3762AD06" w14:textId="77777777" w:rsidR="007235D0" w:rsidRPr="00FC6ABC" w:rsidRDefault="00351E86">
      <w:pPr>
        <w:spacing w:after="240"/>
        <w:jc w:val="center"/>
        <w:rPr>
          <w:rFonts w:ascii="Arial" w:hAnsi="Arial" w:cs="Arial"/>
          <w:i/>
          <w:sz w:val="20"/>
          <w:lang w:val="en-GB"/>
        </w:rPr>
      </w:pPr>
      <w:r>
        <w:rPr>
          <w:rFonts w:ascii="Arial" w:hAnsi="Arial" w:cs="Arial"/>
          <w:i/>
          <w:sz w:val="20"/>
          <w:lang w:val="en-GB"/>
        </w:rPr>
        <w:t>Slide 4 — Security Policy Framework</w:t>
      </w:r>
    </w:p>
    <w:p w14:paraId="5F94877C" w14:textId="77777777" w:rsidR="007235D0" w:rsidRPr="00FC6ABC" w:rsidRDefault="00351E86">
      <w:pPr>
        <w:spacing w:before="240" w:after="60"/>
        <w:jc w:val="center"/>
        <w:rPr>
          <w:rFonts w:ascii="Arial" w:hAnsi="Arial" w:cs="Arial"/>
          <w:lang w:val="en-GB"/>
        </w:rPr>
      </w:pPr>
      <w:r>
        <w:rPr>
          <w:rFonts w:ascii="Arial" w:hAnsi="Arial" w:cs="Arial"/>
          <w:noProof/>
          <w:lang w:val="en-GB"/>
        </w:rPr>
        <w:lastRenderedPageBreak/>
        <w:drawing>
          <wp:inline distT="0" distB="0" distL="0" distR="0" wp14:anchorId="14094A4E" wp14:editId="43743B66">
            <wp:extent cx="5731510" cy="3222363"/>
            <wp:effectExtent l="0" t="0" r="0" b="0"/>
            <wp:docPr id="205" name="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 name="slide5.jpg"/>
                    <pic:cNvPicPr/>
                  </pic:nvPicPr>
                  <pic:blipFill>
                    <a:blip r:embed="rId20"/>
                    <a:stretch>
                      <a:fillRect/>
                    </a:stretch>
                  </pic:blipFill>
                  <pic:spPr>
                    <a:xfrm>
                      <a:off x="0" y="0"/>
                      <a:ext cx="5731510" cy="3222363"/>
                    </a:xfrm>
                    <a:prstGeom prst="rect">
                      <a:avLst/>
                    </a:prstGeom>
                  </pic:spPr>
                </pic:pic>
              </a:graphicData>
            </a:graphic>
          </wp:inline>
        </w:drawing>
      </w:r>
    </w:p>
    <w:p w14:paraId="601E84C0" w14:textId="77777777" w:rsidR="007235D0" w:rsidRPr="00FC6ABC" w:rsidRDefault="00351E86">
      <w:pPr>
        <w:spacing w:after="240"/>
        <w:jc w:val="center"/>
        <w:rPr>
          <w:rFonts w:ascii="Arial" w:hAnsi="Arial" w:cs="Arial"/>
          <w:i/>
          <w:sz w:val="20"/>
          <w:lang w:val="en-GB"/>
        </w:rPr>
      </w:pPr>
      <w:r>
        <w:rPr>
          <w:rFonts w:ascii="Arial" w:hAnsi="Arial" w:cs="Arial"/>
          <w:i/>
          <w:sz w:val="20"/>
          <w:lang w:val="en-GB"/>
        </w:rPr>
        <w:t>Slide 5 — Technical &amp; Administrative Mitigations</w:t>
      </w:r>
    </w:p>
    <w:p w14:paraId="0DD79863" w14:textId="77777777" w:rsidR="007235D0" w:rsidRPr="00FC6ABC" w:rsidRDefault="00351E86">
      <w:pPr>
        <w:spacing w:before="240" w:after="60"/>
        <w:jc w:val="center"/>
        <w:rPr>
          <w:rFonts w:ascii="Arial" w:hAnsi="Arial" w:cs="Arial"/>
          <w:lang w:val="en-GB"/>
        </w:rPr>
      </w:pPr>
      <w:r>
        <w:rPr>
          <w:rFonts w:ascii="Arial" w:hAnsi="Arial" w:cs="Arial"/>
          <w:noProof/>
          <w:lang w:val="en-GB"/>
        </w:rPr>
        <w:drawing>
          <wp:inline distT="0" distB="0" distL="0" distR="0" wp14:anchorId="5D178036" wp14:editId="699E6E62">
            <wp:extent cx="5731510" cy="3222363"/>
            <wp:effectExtent l="0" t="0" r="0" b="0"/>
            <wp:docPr id="206" name="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 name="slide6.jpg"/>
                    <pic:cNvPicPr/>
                  </pic:nvPicPr>
                  <pic:blipFill>
                    <a:blip r:embed="rId21"/>
                    <a:stretch>
                      <a:fillRect/>
                    </a:stretch>
                  </pic:blipFill>
                  <pic:spPr>
                    <a:xfrm>
                      <a:off x="0" y="0"/>
                      <a:ext cx="5731510" cy="3222363"/>
                    </a:xfrm>
                    <a:prstGeom prst="rect">
                      <a:avLst/>
                    </a:prstGeom>
                  </pic:spPr>
                </pic:pic>
              </a:graphicData>
            </a:graphic>
          </wp:inline>
        </w:drawing>
      </w:r>
    </w:p>
    <w:p w14:paraId="22FDD141" w14:textId="77777777" w:rsidR="007235D0" w:rsidRPr="00FC6ABC" w:rsidRDefault="00351E86">
      <w:pPr>
        <w:spacing w:after="240"/>
        <w:jc w:val="center"/>
        <w:rPr>
          <w:rFonts w:ascii="Arial" w:hAnsi="Arial" w:cs="Arial"/>
          <w:i/>
          <w:sz w:val="20"/>
          <w:lang w:val="en-GB"/>
        </w:rPr>
      </w:pPr>
      <w:r>
        <w:rPr>
          <w:rFonts w:ascii="Arial" w:hAnsi="Arial" w:cs="Arial"/>
          <w:i/>
          <w:sz w:val="20"/>
          <w:lang w:val="en-GB"/>
        </w:rPr>
        <w:t>Slide 6 — Monitoring &amp; Incident Response Workflow</w:t>
      </w:r>
    </w:p>
    <w:p w14:paraId="7E51626E" w14:textId="77777777" w:rsidR="007235D0" w:rsidRPr="00FC6ABC" w:rsidRDefault="00351E86">
      <w:pPr>
        <w:spacing w:before="240" w:after="60"/>
        <w:jc w:val="center"/>
        <w:rPr>
          <w:rFonts w:ascii="Arial" w:hAnsi="Arial" w:cs="Arial"/>
          <w:lang w:val="en-GB"/>
        </w:rPr>
      </w:pPr>
      <w:r>
        <w:rPr>
          <w:rFonts w:ascii="Arial" w:hAnsi="Arial" w:cs="Arial"/>
          <w:noProof/>
          <w:lang w:val="en-GB"/>
        </w:rPr>
        <w:lastRenderedPageBreak/>
        <w:drawing>
          <wp:inline distT="0" distB="0" distL="0" distR="0" wp14:anchorId="7DFD8C7A" wp14:editId="03030D39">
            <wp:extent cx="5731510" cy="3222363"/>
            <wp:effectExtent l="0" t="0" r="0" b="0"/>
            <wp:docPr id="207" name="slid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 name="slide7.jpg"/>
                    <pic:cNvPicPr/>
                  </pic:nvPicPr>
                  <pic:blipFill>
                    <a:blip r:embed="rId22"/>
                    <a:stretch>
                      <a:fillRect/>
                    </a:stretch>
                  </pic:blipFill>
                  <pic:spPr>
                    <a:xfrm>
                      <a:off x="0" y="0"/>
                      <a:ext cx="5731510" cy="3222363"/>
                    </a:xfrm>
                    <a:prstGeom prst="rect">
                      <a:avLst/>
                    </a:prstGeom>
                  </pic:spPr>
                </pic:pic>
              </a:graphicData>
            </a:graphic>
          </wp:inline>
        </w:drawing>
      </w:r>
    </w:p>
    <w:p w14:paraId="133A2288" w14:textId="77777777" w:rsidR="007235D0" w:rsidRPr="00FC6ABC" w:rsidRDefault="00351E86">
      <w:pPr>
        <w:spacing w:after="240"/>
        <w:jc w:val="center"/>
        <w:rPr>
          <w:rFonts w:ascii="Arial" w:hAnsi="Arial" w:cs="Arial"/>
          <w:i/>
          <w:sz w:val="20"/>
          <w:lang w:val="en-GB"/>
        </w:rPr>
      </w:pPr>
      <w:r>
        <w:rPr>
          <w:rFonts w:ascii="Arial" w:hAnsi="Arial" w:cs="Arial"/>
          <w:i/>
          <w:sz w:val="20"/>
          <w:lang w:val="en-GB"/>
        </w:rPr>
        <w:t>Slide 7 — Continuous Training &amp; Awareness</w:t>
      </w:r>
    </w:p>
    <w:p w14:paraId="384B6597" w14:textId="77777777" w:rsidR="007235D0" w:rsidRPr="00FC6ABC" w:rsidRDefault="00351E86">
      <w:pPr>
        <w:spacing w:before="240" w:after="60"/>
        <w:jc w:val="center"/>
        <w:rPr>
          <w:rFonts w:ascii="Arial" w:hAnsi="Arial" w:cs="Arial"/>
          <w:lang w:val="en-GB"/>
        </w:rPr>
      </w:pPr>
      <w:r>
        <w:rPr>
          <w:rFonts w:ascii="Arial" w:hAnsi="Arial" w:cs="Arial"/>
          <w:noProof/>
          <w:lang w:val="en-GB"/>
        </w:rPr>
        <w:drawing>
          <wp:inline distT="0" distB="0" distL="0" distR="0" wp14:anchorId="271F0293" wp14:editId="6BB28417">
            <wp:extent cx="5731510" cy="3222363"/>
            <wp:effectExtent l="0" t="0" r="0" b="0"/>
            <wp:docPr id="208" name="slid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 name="slide8.jpg"/>
                    <pic:cNvPicPr/>
                  </pic:nvPicPr>
                  <pic:blipFill>
                    <a:blip r:embed="rId23"/>
                    <a:stretch>
                      <a:fillRect/>
                    </a:stretch>
                  </pic:blipFill>
                  <pic:spPr>
                    <a:xfrm>
                      <a:off x="0" y="0"/>
                      <a:ext cx="5731510" cy="3222363"/>
                    </a:xfrm>
                    <a:prstGeom prst="rect">
                      <a:avLst/>
                    </a:prstGeom>
                  </pic:spPr>
                </pic:pic>
              </a:graphicData>
            </a:graphic>
          </wp:inline>
        </w:drawing>
      </w:r>
    </w:p>
    <w:p w14:paraId="3F8535CF" w14:textId="77777777" w:rsidR="007235D0" w:rsidRDefault="00351E86">
      <w:pPr>
        <w:spacing w:after="240"/>
        <w:jc w:val="center"/>
        <w:rPr>
          <w:rFonts w:ascii="Arial" w:hAnsi="Arial" w:cs="Arial"/>
          <w:i/>
          <w:sz w:val="20"/>
          <w:lang w:val="en-GB"/>
        </w:rPr>
      </w:pPr>
      <w:r>
        <w:rPr>
          <w:rFonts w:ascii="Arial" w:hAnsi="Arial" w:cs="Arial"/>
          <w:i/>
          <w:sz w:val="20"/>
          <w:lang w:val="en-GB"/>
        </w:rPr>
        <w:t>Slide 8 — Recommendations to the Board</w:t>
      </w:r>
    </w:p>
    <w:p w14:paraId="7ECD4CC5" w14:textId="77777777" w:rsidR="005B4F0C" w:rsidRDefault="005B4F0C">
      <w:pPr>
        <w:spacing w:after="240"/>
        <w:jc w:val="center"/>
        <w:rPr>
          <w:rFonts w:ascii="Arial" w:hAnsi="Arial" w:cs="Arial"/>
          <w:i/>
          <w:sz w:val="20"/>
          <w:lang w:val="en-GB"/>
        </w:rPr>
      </w:pPr>
    </w:p>
    <w:p w14:paraId="6072BEB7" w14:textId="61B96E61" w:rsidR="005B4F0C" w:rsidRDefault="00FE7F60">
      <w:pPr>
        <w:spacing w:after="240"/>
        <w:jc w:val="center"/>
        <w:rPr>
          <w:rFonts w:ascii="Arial" w:hAnsi="Arial" w:cs="Arial"/>
          <w:i/>
          <w:sz w:val="20"/>
          <w:lang w:val="en-GB"/>
        </w:rPr>
      </w:pPr>
      <w:r>
        <w:rPr>
          <w:noProof/>
        </w:rPr>
        <w:lastRenderedPageBreak/>
        <w:drawing>
          <wp:inline distT="0" distB="0" distL="0" distR="0" wp14:anchorId="21CC6EF5" wp14:editId="22518768">
            <wp:extent cx="5731510" cy="2813050"/>
            <wp:effectExtent l="0" t="0" r="2540" b="6350"/>
            <wp:docPr id="913781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781194" name=""/>
                    <pic:cNvPicPr/>
                  </pic:nvPicPr>
                  <pic:blipFill>
                    <a:blip r:embed="rId24"/>
                    <a:stretch>
                      <a:fillRect/>
                    </a:stretch>
                  </pic:blipFill>
                  <pic:spPr>
                    <a:xfrm>
                      <a:off x="0" y="0"/>
                      <a:ext cx="5731510" cy="2813050"/>
                    </a:xfrm>
                    <a:prstGeom prst="rect">
                      <a:avLst/>
                    </a:prstGeom>
                  </pic:spPr>
                </pic:pic>
              </a:graphicData>
            </a:graphic>
          </wp:inline>
        </w:drawing>
      </w:r>
    </w:p>
    <w:p w14:paraId="1C371713" w14:textId="7A903D91" w:rsidR="00FE7F60" w:rsidRDefault="00FE7F60" w:rsidP="00FE7F60">
      <w:pPr>
        <w:spacing w:after="240"/>
        <w:jc w:val="center"/>
        <w:rPr>
          <w:rFonts w:ascii="Arial" w:hAnsi="Arial" w:cs="Arial"/>
          <w:i/>
          <w:sz w:val="20"/>
          <w:lang w:val="en-GB"/>
        </w:rPr>
      </w:pPr>
      <w:r>
        <w:rPr>
          <w:rFonts w:ascii="Arial" w:hAnsi="Arial" w:cs="Arial"/>
          <w:i/>
          <w:sz w:val="20"/>
          <w:lang w:val="en-GB"/>
        </w:rPr>
        <w:t>Slide 9 — Reference list</w:t>
      </w:r>
    </w:p>
    <w:p w14:paraId="032356AE" w14:textId="77777777" w:rsidR="00FE7F60" w:rsidRPr="00FC6ABC" w:rsidRDefault="00FE7F60">
      <w:pPr>
        <w:spacing w:after="240"/>
        <w:jc w:val="center"/>
        <w:rPr>
          <w:rFonts w:ascii="Arial" w:hAnsi="Arial" w:cs="Arial"/>
          <w:i/>
          <w:sz w:val="20"/>
          <w:lang w:val="en-GB"/>
        </w:rPr>
      </w:pPr>
    </w:p>
    <w:p w14:paraId="746E2BE0" w14:textId="77777777" w:rsidR="007235D0" w:rsidRPr="00FC6ABC" w:rsidRDefault="00351E86">
      <w:pPr>
        <w:spacing w:before="240" w:after="60"/>
        <w:jc w:val="center"/>
        <w:rPr>
          <w:rFonts w:ascii="Arial" w:hAnsi="Arial" w:cs="Arial"/>
          <w:lang w:val="en-GB"/>
        </w:rPr>
      </w:pPr>
      <w:r>
        <w:rPr>
          <w:rFonts w:ascii="Arial" w:hAnsi="Arial" w:cs="Arial"/>
          <w:noProof/>
          <w:lang w:val="en-GB"/>
        </w:rPr>
        <w:drawing>
          <wp:inline distT="0" distB="0" distL="0" distR="0" wp14:anchorId="3A824A29" wp14:editId="3363DEA3">
            <wp:extent cx="5731510" cy="3222363"/>
            <wp:effectExtent l="0" t="0" r="0" b="0"/>
            <wp:docPr id="209" name="slid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 name="slide9.jpg"/>
                    <pic:cNvPicPr/>
                  </pic:nvPicPr>
                  <pic:blipFill>
                    <a:blip r:embed="rId25"/>
                    <a:stretch>
                      <a:fillRect/>
                    </a:stretch>
                  </pic:blipFill>
                  <pic:spPr>
                    <a:xfrm>
                      <a:off x="0" y="0"/>
                      <a:ext cx="5731510" cy="3222363"/>
                    </a:xfrm>
                    <a:prstGeom prst="rect">
                      <a:avLst/>
                    </a:prstGeom>
                  </pic:spPr>
                </pic:pic>
              </a:graphicData>
            </a:graphic>
          </wp:inline>
        </w:drawing>
      </w:r>
    </w:p>
    <w:p w14:paraId="41961CDF" w14:textId="323FF11E" w:rsidR="007235D0" w:rsidRPr="00FC6ABC" w:rsidRDefault="00351E86">
      <w:pPr>
        <w:spacing w:after="240"/>
        <w:jc w:val="center"/>
        <w:rPr>
          <w:rFonts w:ascii="Arial" w:hAnsi="Arial" w:cs="Arial"/>
          <w:i/>
          <w:sz w:val="20"/>
          <w:lang w:val="en-GB"/>
        </w:rPr>
      </w:pPr>
      <w:r>
        <w:rPr>
          <w:rFonts w:ascii="Arial" w:hAnsi="Arial" w:cs="Arial"/>
          <w:i/>
          <w:sz w:val="20"/>
          <w:lang w:val="en-GB"/>
        </w:rPr>
        <w:t>Slide 10 — Thank You / Questions &amp; Discussion</w:t>
      </w:r>
    </w:p>
    <w:sectPr w:rsidR="007235D0" w:rsidRPr="00FC6ABC">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AAB679" w14:textId="77777777" w:rsidR="00924E25" w:rsidRDefault="00924E25" w:rsidP="00F61DF7">
      <w:pPr>
        <w:spacing w:after="0" w:line="240" w:lineRule="auto"/>
      </w:pPr>
      <w:r>
        <w:separator/>
      </w:r>
    </w:p>
  </w:endnote>
  <w:endnote w:type="continuationSeparator" w:id="0">
    <w:p w14:paraId="6E6F42CF" w14:textId="77777777" w:rsidR="00924E25" w:rsidRDefault="00924E25" w:rsidP="00F61D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1891421"/>
      <w:docPartObj>
        <w:docPartGallery w:val="Page Numbers (Bottom of Page)"/>
        <w:docPartUnique/>
      </w:docPartObj>
    </w:sdtPr>
    <w:sdtEndPr>
      <w:rPr>
        <w:noProof/>
      </w:rPr>
    </w:sdtEndPr>
    <w:sdtContent>
      <w:p w14:paraId="48EF2FC6" w14:textId="5A3674A5" w:rsidR="00F61DF7" w:rsidRDefault="00F61DF7">
        <w:pPr>
          <w:pStyle w:val="Footer"/>
          <w:jc w:val="right"/>
        </w:pPr>
        <w:r>
          <w:fldChar w:fldCharType="begin"/>
        </w:r>
        <w:r>
          <w:instrText xml:space="preserve"> PAGE   \* MERGEFORMAT </w:instrText>
        </w:r>
        <w:r>
          <w:fldChar w:fldCharType="separate"/>
        </w:r>
        <w:r w:rsidR="00DC6916">
          <w:rPr>
            <w:noProof/>
          </w:rPr>
          <w:t>1</w:t>
        </w:r>
        <w:r>
          <w:rPr>
            <w:noProof/>
          </w:rPr>
          <w:fldChar w:fldCharType="end"/>
        </w:r>
      </w:p>
    </w:sdtContent>
  </w:sdt>
  <w:p w14:paraId="1B089DA4" w14:textId="77777777" w:rsidR="00F61DF7" w:rsidRDefault="00F61D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8E58EE" w14:textId="77777777" w:rsidR="00924E25" w:rsidRDefault="00924E25" w:rsidP="00F61DF7">
      <w:pPr>
        <w:spacing w:after="0" w:line="240" w:lineRule="auto"/>
      </w:pPr>
      <w:r>
        <w:separator/>
      </w:r>
    </w:p>
  </w:footnote>
  <w:footnote w:type="continuationSeparator" w:id="0">
    <w:p w14:paraId="78ACE2EE" w14:textId="77777777" w:rsidR="00924E25" w:rsidRDefault="00924E25" w:rsidP="00F61DF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040C"/>
    <w:rsid w:val="00072732"/>
    <w:rsid w:val="000A4E39"/>
    <w:rsid w:val="000B31E5"/>
    <w:rsid w:val="000F0CD1"/>
    <w:rsid w:val="00126FD6"/>
    <w:rsid w:val="00133C4C"/>
    <w:rsid w:val="00170013"/>
    <w:rsid w:val="001C4C54"/>
    <w:rsid w:val="001E637B"/>
    <w:rsid w:val="0021485E"/>
    <w:rsid w:val="002E242B"/>
    <w:rsid w:val="00351E86"/>
    <w:rsid w:val="00392BFF"/>
    <w:rsid w:val="00455084"/>
    <w:rsid w:val="0046467E"/>
    <w:rsid w:val="00497EF8"/>
    <w:rsid w:val="004B3F73"/>
    <w:rsid w:val="004B73F1"/>
    <w:rsid w:val="005004DC"/>
    <w:rsid w:val="0050623C"/>
    <w:rsid w:val="0053699B"/>
    <w:rsid w:val="005B4F0C"/>
    <w:rsid w:val="005C1A0C"/>
    <w:rsid w:val="006105D1"/>
    <w:rsid w:val="0062099E"/>
    <w:rsid w:val="006211D3"/>
    <w:rsid w:val="006253D0"/>
    <w:rsid w:val="006429FB"/>
    <w:rsid w:val="006823CE"/>
    <w:rsid w:val="006C5BF1"/>
    <w:rsid w:val="006C7721"/>
    <w:rsid w:val="006D1AE5"/>
    <w:rsid w:val="007235D0"/>
    <w:rsid w:val="007D31FF"/>
    <w:rsid w:val="007D6A13"/>
    <w:rsid w:val="00831BD9"/>
    <w:rsid w:val="00851288"/>
    <w:rsid w:val="008C43FD"/>
    <w:rsid w:val="008C60C4"/>
    <w:rsid w:val="00903D18"/>
    <w:rsid w:val="00921350"/>
    <w:rsid w:val="00924E25"/>
    <w:rsid w:val="00946C3B"/>
    <w:rsid w:val="00950658"/>
    <w:rsid w:val="009B0557"/>
    <w:rsid w:val="009D4BC2"/>
    <w:rsid w:val="00A00BA5"/>
    <w:rsid w:val="00A67B23"/>
    <w:rsid w:val="00AF19D2"/>
    <w:rsid w:val="00AF2248"/>
    <w:rsid w:val="00B136A8"/>
    <w:rsid w:val="00B4028E"/>
    <w:rsid w:val="00B727CD"/>
    <w:rsid w:val="00B92132"/>
    <w:rsid w:val="00C501D4"/>
    <w:rsid w:val="00C60645"/>
    <w:rsid w:val="00C66D10"/>
    <w:rsid w:val="00C966F3"/>
    <w:rsid w:val="00CB576D"/>
    <w:rsid w:val="00CC0F42"/>
    <w:rsid w:val="00CC58D3"/>
    <w:rsid w:val="00CC7EAD"/>
    <w:rsid w:val="00CF040C"/>
    <w:rsid w:val="00D859B9"/>
    <w:rsid w:val="00DC6916"/>
    <w:rsid w:val="00E06454"/>
    <w:rsid w:val="00E65E9A"/>
    <w:rsid w:val="00E76B1A"/>
    <w:rsid w:val="00EC3EC5"/>
    <w:rsid w:val="00F00106"/>
    <w:rsid w:val="00F051C1"/>
    <w:rsid w:val="00F12557"/>
    <w:rsid w:val="00F17630"/>
    <w:rsid w:val="00F479DB"/>
    <w:rsid w:val="00F61DF7"/>
    <w:rsid w:val="00FA2AC5"/>
    <w:rsid w:val="00FC6ABC"/>
    <w:rsid w:val="00FD57F2"/>
    <w:rsid w:val="00FD5D5C"/>
    <w:rsid w:val="00FD6AC5"/>
    <w:rsid w:val="00FE7F6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6F984"/>
  <w15:chartTrackingRefBased/>
  <w15:docId w15:val="{0D44BB4E-0B08-408E-B8C2-2D3536AA6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2AC5"/>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CF040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F040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F040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F040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F040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F04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04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04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04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040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F040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F040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F040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F040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F04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04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04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040C"/>
    <w:rPr>
      <w:rFonts w:eastAsiaTheme="majorEastAsia" w:cstheme="majorBidi"/>
      <w:color w:val="272727" w:themeColor="text1" w:themeTint="D8"/>
    </w:rPr>
  </w:style>
  <w:style w:type="paragraph" w:styleId="Title">
    <w:name w:val="Title"/>
    <w:basedOn w:val="Normal"/>
    <w:next w:val="Normal"/>
    <w:link w:val="TitleChar"/>
    <w:uiPriority w:val="10"/>
    <w:qFormat/>
    <w:rsid w:val="00CF04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04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04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04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040C"/>
    <w:pPr>
      <w:spacing w:before="160"/>
      <w:jc w:val="center"/>
    </w:pPr>
    <w:rPr>
      <w:i/>
      <w:iCs/>
      <w:color w:val="404040" w:themeColor="text1" w:themeTint="BF"/>
    </w:rPr>
  </w:style>
  <w:style w:type="character" w:customStyle="1" w:styleId="QuoteChar">
    <w:name w:val="Quote Char"/>
    <w:basedOn w:val="DefaultParagraphFont"/>
    <w:link w:val="Quote"/>
    <w:uiPriority w:val="29"/>
    <w:rsid w:val="00CF040C"/>
    <w:rPr>
      <w:i/>
      <w:iCs/>
      <w:color w:val="404040" w:themeColor="text1" w:themeTint="BF"/>
    </w:rPr>
  </w:style>
  <w:style w:type="paragraph" w:styleId="ListParagraph">
    <w:name w:val="List Paragraph"/>
    <w:basedOn w:val="Normal"/>
    <w:uiPriority w:val="34"/>
    <w:qFormat/>
    <w:rsid w:val="00CF040C"/>
    <w:pPr>
      <w:ind w:left="720"/>
      <w:contextualSpacing/>
    </w:pPr>
  </w:style>
  <w:style w:type="character" w:styleId="IntenseEmphasis">
    <w:name w:val="Intense Emphasis"/>
    <w:basedOn w:val="DefaultParagraphFont"/>
    <w:uiPriority w:val="21"/>
    <w:qFormat/>
    <w:rsid w:val="00CF040C"/>
    <w:rPr>
      <w:i/>
      <w:iCs/>
      <w:color w:val="2F5496" w:themeColor="accent1" w:themeShade="BF"/>
    </w:rPr>
  </w:style>
  <w:style w:type="paragraph" w:styleId="IntenseQuote">
    <w:name w:val="Intense Quote"/>
    <w:basedOn w:val="Normal"/>
    <w:next w:val="Normal"/>
    <w:link w:val="IntenseQuoteChar"/>
    <w:uiPriority w:val="30"/>
    <w:qFormat/>
    <w:rsid w:val="00CF040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F040C"/>
    <w:rPr>
      <w:i/>
      <w:iCs/>
      <w:color w:val="2F5496" w:themeColor="accent1" w:themeShade="BF"/>
    </w:rPr>
  </w:style>
  <w:style w:type="character" w:styleId="IntenseReference">
    <w:name w:val="Intense Reference"/>
    <w:basedOn w:val="DefaultParagraphFont"/>
    <w:uiPriority w:val="32"/>
    <w:qFormat/>
    <w:rsid w:val="00CF040C"/>
    <w:rPr>
      <w:b/>
      <w:bCs/>
      <w:smallCaps/>
      <w:color w:val="2F5496" w:themeColor="accent1" w:themeShade="BF"/>
      <w:spacing w:val="5"/>
    </w:rPr>
  </w:style>
  <w:style w:type="paragraph" w:styleId="TOCHeading">
    <w:name w:val="TOC Heading"/>
    <w:basedOn w:val="Heading1"/>
    <w:next w:val="Normal"/>
    <w:uiPriority w:val="39"/>
    <w:unhideWhenUsed/>
    <w:qFormat/>
    <w:rsid w:val="00F61DF7"/>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F61D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1DF7"/>
  </w:style>
  <w:style w:type="paragraph" w:styleId="Footer">
    <w:name w:val="footer"/>
    <w:basedOn w:val="Normal"/>
    <w:link w:val="FooterChar"/>
    <w:uiPriority w:val="99"/>
    <w:unhideWhenUsed/>
    <w:rsid w:val="00F61D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1DF7"/>
  </w:style>
  <w:style w:type="character" w:styleId="Hyperlink">
    <w:name w:val="Hyperlink"/>
    <w:basedOn w:val="DefaultParagraphFont"/>
    <w:uiPriority w:val="99"/>
    <w:unhideWhenUsed/>
    <w:rsid w:val="00C66D10"/>
    <w:rPr>
      <w:color w:val="0563C1" w:themeColor="hyperlink"/>
      <w:u w:val="single"/>
    </w:rPr>
  </w:style>
  <w:style w:type="character" w:customStyle="1" w:styleId="UnresolvedMention1">
    <w:name w:val="Unresolved Mention1"/>
    <w:basedOn w:val="DefaultParagraphFont"/>
    <w:uiPriority w:val="99"/>
    <w:semiHidden/>
    <w:unhideWhenUsed/>
    <w:rsid w:val="00C66D10"/>
    <w:rPr>
      <w:color w:val="605E5C"/>
      <w:shd w:val="clear" w:color="auto" w:fill="E1DFDD"/>
    </w:rPr>
  </w:style>
  <w:style w:type="paragraph" w:styleId="TOC1">
    <w:name w:val="toc 1"/>
    <w:basedOn w:val="Normal"/>
    <w:next w:val="Normal"/>
    <w:autoRedefine/>
    <w:uiPriority w:val="39"/>
    <w:unhideWhenUsed/>
    <w:rsid w:val="00B136A8"/>
    <w:pPr>
      <w:spacing w:after="100"/>
    </w:pPr>
  </w:style>
  <w:style w:type="paragraph" w:styleId="TOC2">
    <w:name w:val="toc 2"/>
    <w:basedOn w:val="Normal"/>
    <w:next w:val="Normal"/>
    <w:autoRedefine/>
    <w:uiPriority w:val="39"/>
    <w:unhideWhenUsed/>
    <w:rsid w:val="00B136A8"/>
    <w:pPr>
      <w:spacing w:after="100"/>
      <w:ind w:left="240"/>
    </w:pPr>
  </w:style>
  <w:style w:type="character" w:styleId="UnresolvedMention">
    <w:name w:val="Unresolved Mention"/>
    <w:basedOn w:val="DefaultParagraphFont"/>
    <w:uiPriority w:val="99"/>
    <w:semiHidden/>
    <w:unhideWhenUsed/>
    <w:rsid w:val="0053699B"/>
    <w:rPr>
      <w:color w:val="605E5C"/>
      <w:shd w:val="clear" w:color="auto" w:fill="E1DFDD"/>
    </w:rPr>
  </w:style>
  <w:style w:type="paragraph" w:styleId="Caption">
    <w:name w:val="caption"/>
    <w:basedOn w:val="Normal"/>
    <w:next w:val="Normal"/>
    <w:uiPriority w:val="35"/>
    <w:unhideWhenUsed/>
    <w:qFormat/>
    <w:rsid w:val="008C43FD"/>
    <w:pPr>
      <w:spacing w:after="200" w:line="240" w:lineRule="auto"/>
    </w:pPr>
    <w:rPr>
      <w:i/>
      <w:iCs/>
      <w:color w:val="44546A" w:themeColor="text2"/>
      <w:sz w:val="18"/>
      <w:szCs w:val="18"/>
    </w:rPr>
  </w:style>
  <w:style w:type="paragraph" w:styleId="NormalWeb">
    <w:name w:val="Normal (Web)"/>
    <w:basedOn w:val="Normal"/>
    <w:uiPriority w:val="99"/>
    <w:semiHidden/>
    <w:unhideWhenUsed/>
    <w:rsid w:val="008C43FD"/>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ico.org.uk" TargetMode="External"/><Relationship Id="rId18" Type="http://schemas.openxmlformats.org/officeDocument/2006/relationships/image" Target="media/image7.jp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0.jpg"/><Relationship Id="rId7" Type="http://schemas.openxmlformats.org/officeDocument/2006/relationships/image" Target="media/image1.jpeg"/><Relationship Id="rId12" Type="http://schemas.openxmlformats.org/officeDocument/2006/relationships/hyperlink" Target="https://waterfall-security.com" TargetMode="External"/><Relationship Id="rId17" Type="http://schemas.openxmlformats.org/officeDocument/2006/relationships/image" Target="media/image6.jpg"/><Relationship Id="rId25" Type="http://schemas.openxmlformats.org/officeDocument/2006/relationships/image" Target="media/image14.jpg"/><Relationship Id="rId2" Type="http://schemas.openxmlformats.org/officeDocument/2006/relationships/styles" Target="styles.xml"/><Relationship Id="rId16" Type="http://schemas.openxmlformats.org/officeDocument/2006/relationships/image" Target="media/image5.svg"/><Relationship Id="rId20" Type="http://schemas.openxmlformats.org/officeDocument/2006/relationships/image" Target="media/image9.jp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ndustrialcyber.co" TargetMode="External"/><Relationship Id="rId24" Type="http://schemas.openxmlformats.org/officeDocument/2006/relationships/image" Target="media/image13.png"/><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jpg"/><Relationship Id="rId28" Type="http://schemas.openxmlformats.org/officeDocument/2006/relationships/theme" Target="theme/theme1.xml"/><Relationship Id="rId10" Type="http://schemas.openxmlformats.org/officeDocument/2006/relationships/hyperlink" Target="https://www.dragos.com" TargetMode="External"/><Relationship Id="rId19" Type="http://schemas.openxmlformats.org/officeDocument/2006/relationships/image" Target="media/image8.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knowbe4.com" TargetMode="External"/><Relationship Id="rId22" Type="http://schemas.openxmlformats.org/officeDocument/2006/relationships/image" Target="media/image11.jp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97736F-A874-4BDC-9DA5-66B2FD919A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18</Pages>
  <Words>2595</Words>
  <Characters>14796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Bernard Ileogben</cp:lastModifiedBy>
  <cp:revision>38</cp:revision>
  <dcterms:created xsi:type="dcterms:W3CDTF">2026-06-30T10:30:00Z</dcterms:created>
  <dcterms:modified xsi:type="dcterms:W3CDTF">2026-07-11T00:49:00Z</dcterms:modified>
</cp:coreProperties>
</file>