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FF34D8" w14:textId="3DFCBD96" w:rsidR="003B14B0" w:rsidRDefault="003B14B0">
      <w:r w:rsidRPr="006A7EEB">
        <w:rPr>
          <w:rFonts w:ascii="Arial" w:hAnsi="Arial" w:cs="Arial"/>
          <w:noProof/>
          <w:sz w:val="22"/>
          <w:lang w:val="en-US"/>
        </w:rPr>
        <w:drawing>
          <wp:inline distT="0" distB="0" distL="0" distR="0" wp14:anchorId="240201FB" wp14:editId="429F1068">
            <wp:extent cx="2895600" cy="1085850"/>
            <wp:effectExtent l="0" t="0" r="0" b="0"/>
            <wp:docPr id="1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sign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895600" cy="108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26FEA" w14:textId="77777777" w:rsidR="003B14B0" w:rsidRDefault="003B14B0"/>
    <w:p w14:paraId="3127A90F" w14:textId="77777777" w:rsidR="003B14B0" w:rsidRDefault="003B14B0"/>
    <w:p w14:paraId="416FB62A" w14:textId="6872D71C" w:rsidR="003B14B0" w:rsidRPr="003B14B0" w:rsidRDefault="003B14B0" w:rsidP="003B14B0">
      <w:pPr>
        <w:spacing w:line="360" w:lineRule="auto"/>
        <w:rPr>
          <w:rFonts w:ascii="Arial" w:hAnsi="Arial" w:cs="Arial"/>
          <w:sz w:val="22"/>
        </w:rPr>
      </w:pPr>
      <w:r w:rsidRPr="003B14B0">
        <w:rPr>
          <w:rFonts w:ascii="Arial" w:hAnsi="Arial" w:cs="Arial"/>
          <w:b/>
          <w:bCs/>
          <w:sz w:val="22"/>
        </w:rPr>
        <w:t xml:space="preserve">NAME: </w:t>
      </w:r>
      <w:r>
        <w:rPr>
          <w:rFonts w:ascii="Arial" w:hAnsi="Arial" w:cs="Arial"/>
          <w:sz w:val="22"/>
        </w:rPr>
        <w:t>Vilma Dias Rodrigues</w:t>
      </w:r>
    </w:p>
    <w:p w14:paraId="75AC4B30" w14:textId="5DD63F4C" w:rsidR="003B14B0" w:rsidRPr="003B14B0" w:rsidRDefault="003B14B0" w:rsidP="003B14B0">
      <w:pPr>
        <w:spacing w:line="360" w:lineRule="auto"/>
        <w:rPr>
          <w:rFonts w:ascii="Arial" w:hAnsi="Arial" w:cs="Arial"/>
          <w:b/>
          <w:bCs/>
          <w:sz w:val="22"/>
        </w:rPr>
      </w:pPr>
      <w:r w:rsidRPr="003B14B0">
        <w:rPr>
          <w:rFonts w:ascii="Arial" w:hAnsi="Arial" w:cs="Arial"/>
          <w:b/>
          <w:bCs/>
          <w:sz w:val="22"/>
        </w:rPr>
        <w:t xml:space="preserve">Student ID number: </w:t>
      </w:r>
      <w:r w:rsidRPr="003B14B0">
        <w:rPr>
          <w:rFonts w:ascii="Arial" w:hAnsi="Arial" w:cs="Arial"/>
          <w:sz w:val="22"/>
        </w:rPr>
        <w:t>2336478</w:t>
      </w:r>
    </w:p>
    <w:p w14:paraId="6DCD59C9" w14:textId="7994265D" w:rsidR="003B14B0" w:rsidRPr="003B14B0" w:rsidRDefault="003B14B0" w:rsidP="003B14B0">
      <w:pPr>
        <w:spacing w:line="360" w:lineRule="auto"/>
        <w:rPr>
          <w:rFonts w:ascii="Arial" w:hAnsi="Arial" w:cs="Arial"/>
          <w:sz w:val="22"/>
        </w:rPr>
      </w:pPr>
      <w:r w:rsidRPr="003B14B0">
        <w:rPr>
          <w:rFonts w:ascii="Arial" w:hAnsi="Arial" w:cs="Arial"/>
          <w:b/>
          <w:bCs/>
          <w:sz w:val="22"/>
        </w:rPr>
        <w:t>Module code:</w:t>
      </w:r>
      <w:r>
        <w:rPr>
          <w:rFonts w:ascii="Arial" w:hAnsi="Arial" w:cs="Arial"/>
          <w:b/>
          <w:bCs/>
          <w:sz w:val="22"/>
        </w:rPr>
        <w:t xml:space="preserve"> </w:t>
      </w:r>
      <w:r>
        <w:rPr>
          <w:rFonts w:ascii="Arial" w:hAnsi="Arial" w:cs="Arial"/>
          <w:sz w:val="22"/>
        </w:rPr>
        <w:t>BMHP5012</w:t>
      </w:r>
    </w:p>
    <w:p w14:paraId="14C8A8CE" w14:textId="61DC4A8C" w:rsidR="003B14B0" w:rsidRDefault="003B14B0" w:rsidP="003B14B0">
      <w:pPr>
        <w:spacing w:line="360" w:lineRule="auto"/>
        <w:rPr>
          <w:rFonts w:ascii="Arial" w:hAnsi="Arial" w:cs="Arial"/>
          <w:sz w:val="22"/>
        </w:rPr>
      </w:pPr>
      <w:r w:rsidRPr="003B14B0">
        <w:rPr>
          <w:rFonts w:ascii="Arial" w:hAnsi="Arial" w:cs="Arial"/>
          <w:b/>
          <w:bCs/>
          <w:sz w:val="22"/>
        </w:rPr>
        <w:t xml:space="preserve">Lecturer Name: </w:t>
      </w:r>
      <w:r w:rsidR="00BA2B22">
        <w:rPr>
          <w:rFonts w:ascii="Arial" w:hAnsi="Arial" w:cs="Arial"/>
          <w:sz w:val="22"/>
        </w:rPr>
        <w:t xml:space="preserve">Diola </w:t>
      </w:r>
      <w:proofErr w:type="spellStart"/>
      <w:r w:rsidR="00BA2B22">
        <w:rPr>
          <w:rFonts w:ascii="Arial" w:hAnsi="Arial" w:cs="Arial"/>
          <w:sz w:val="22"/>
        </w:rPr>
        <w:t>Bijlhout</w:t>
      </w:r>
      <w:proofErr w:type="spellEnd"/>
    </w:p>
    <w:p w14:paraId="2AEEFDC9" w14:textId="77777777" w:rsidR="00BA2B22" w:rsidRDefault="00BA2B22" w:rsidP="003B14B0">
      <w:pPr>
        <w:spacing w:line="360" w:lineRule="auto"/>
        <w:rPr>
          <w:rFonts w:ascii="Arial" w:hAnsi="Arial" w:cs="Arial"/>
          <w:sz w:val="22"/>
        </w:rPr>
      </w:pPr>
    </w:p>
    <w:p w14:paraId="437D8CCD" w14:textId="77777777" w:rsidR="00BA2B22" w:rsidRDefault="00BA2B22" w:rsidP="003B14B0">
      <w:pPr>
        <w:spacing w:line="360" w:lineRule="auto"/>
        <w:rPr>
          <w:rFonts w:ascii="Arial" w:hAnsi="Arial" w:cs="Arial"/>
          <w:sz w:val="22"/>
        </w:rPr>
      </w:pPr>
    </w:p>
    <w:p w14:paraId="145C7B2B" w14:textId="4BCC070B" w:rsidR="00BA2B22" w:rsidRPr="00BA2B22" w:rsidRDefault="00BA2B22" w:rsidP="00BA2B22">
      <w:pPr>
        <w:spacing w:line="360" w:lineRule="auto"/>
        <w:jc w:val="center"/>
        <w:rPr>
          <w:rFonts w:ascii="Arial" w:hAnsi="Arial" w:cs="Arial"/>
          <w:b/>
          <w:bCs/>
        </w:rPr>
      </w:pPr>
      <w:r w:rsidRPr="00BA2B22">
        <w:rPr>
          <w:rFonts w:ascii="Arial" w:hAnsi="Arial" w:cs="Arial"/>
          <w:b/>
          <w:bCs/>
        </w:rPr>
        <w:t xml:space="preserve">Reference </w:t>
      </w:r>
      <w:r>
        <w:rPr>
          <w:rFonts w:ascii="Arial" w:hAnsi="Arial" w:cs="Arial"/>
          <w:b/>
          <w:bCs/>
        </w:rPr>
        <w:t>L</w:t>
      </w:r>
      <w:r w:rsidRPr="00BA2B22">
        <w:rPr>
          <w:rFonts w:ascii="Arial" w:hAnsi="Arial" w:cs="Arial"/>
          <w:b/>
          <w:bCs/>
        </w:rPr>
        <w:t>ist</w:t>
      </w:r>
    </w:p>
    <w:p w14:paraId="22D9BE13" w14:textId="6238572D" w:rsidR="003B14B0" w:rsidRDefault="003B14B0" w:rsidP="003B14B0">
      <w:pPr>
        <w:rPr>
          <w:rFonts w:ascii="Arial" w:hAnsi="Arial" w:cs="Arial"/>
        </w:rPr>
      </w:pPr>
    </w:p>
    <w:p w14:paraId="7D9A97AB" w14:textId="77777777" w:rsidR="00BA2B22" w:rsidRDefault="00BA2B22" w:rsidP="00BA2B22">
      <w:pPr>
        <w:rPr>
          <w:rFonts w:ascii="Arial" w:hAnsi="Arial" w:cs="Arial"/>
        </w:rPr>
      </w:pPr>
    </w:p>
    <w:p w14:paraId="1D46EAB2" w14:textId="31FF0496" w:rsidR="00BA2B22" w:rsidRDefault="00BA2B22" w:rsidP="00BA2B22">
      <w:pPr>
        <w:rPr>
          <w:rFonts w:ascii="Arial" w:hAnsi="Arial" w:cs="Arial"/>
        </w:rPr>
      </w:pPr>
      <w:r w:rsidRPr="00BA2B22">
        <w:rPr>
          <w:rFonts w:ascii="Arial" w:hAnsi="Arial" w:cs="Arial"/>
        </w:rPr>
        <w:t xml:space="preserve">Blackburn with Darwen, Blackpool and Lancashire Children’s Safeguarding Assurance Partnership (2023) Child Safeguarding Practice Review: Child F. Available at: </w:t>
      </w:r>
      <w:hyperlink r:id="rId8" w:history="1">
        <w:r w:rsidR="00A65F27" w:rsidRPr="00F56EF2">
          <w:rPr>
            <w:rStyle w:val="Hyperlink"/>
            <w:rFonts w:ascii="Arial" w:hAnsi="Arial" w:cs="Arial"/>
          </w:rPr>
          <w:t>https://www.safeguardingpartnership.org.uk</w:t>
        </w:r>
      </w:hyperlink>
      <w:r w:rsidR="00A65F27">
        <w:rPr>
          <w:rFonts w:ascii="Arial" w:hAnsi="Arial" w:cs="Arial"/>
        </w:rPr>
        <w:t xml:space="preserve">  </w:t>
      </w:r>
      <w:r w:rsidRPr="00BA2B22">
        <w:rPr>
          <w:rFonts w:ascii="Arial" w:hAnsi="Arial" w:cs="Arial"/>
        </w:rPr>
        <w:t xml:space="preserve">(Accessed: </w:t>
      </w:r>
      <w:r w:rsidR="00C962BD">
        <w:rPr>
          <w:rFonts w:ascii="Arial" w:hAnsi="Arial" w:cs="Arial"/>
        </w:rPr>
        <w:t xml:space="preserve">31 October </w:t>
      </w:r>
      <w:r w:rsidRPr="00BA2B22">
        <w:rPr>
          <w:rFonts w:ascii="Arial" w:hAnsi="Arial" w:cs="Arial"/>
        </w:rPr>
        <w:t>2025)</w:t>
      </w:r>
      <w:r w:rsidR="00C962BD">
        <w:rPr>
          <w:rFonts w:ascii="Arial" w:hAnsi="Arial" w:cs="Arial"/>
        </w:rPr>
        <w:t>.</w:t>
      </w:r>
    </w:p>
    <w:p w14:paraId="4E3952B4" w14:textId="77777777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>Children Act 1989 (1989) London: HMSO.</w:t>
      </w:r>
    </w:p>
    <w:p w14:paraId="4D9B6465" w14:textId="77777777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Children Act 2004 (2004) London: HMSO. </w:t>
      </w:r>
    </w:p>
    <w:p w14:paraId="0736A4E0" w14:textId="46C5151C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Department for Education (2023) Working Together to Safeguard Children. London: DfE. Available at: </w:t>
      </w:r>
      <w:hyperlink r:id="rId9" w:history="1">
        <w:r w:rsidR="00A65F27" w:rsidRPr="00F56EF2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>(Accessed:</w:t>
      </w:r>
      <w:r>
        <w:rPr>
          <w:rFonts w:ascii="Arial" w:hAnsi="Arial" w:cs="Arial"/>
        </w:rPr>
        <w:t xml:space="preserve"> 31 October </w:t>
      </w:r>
      <w:r w:rsidRPr="00C962BD">
        <w:rPr>
          <w:rFonts w:ascii="Arial" w:hAnsi="Arial" w:cs="Arial"/>
        </w:rPr>
        <w:t>2025)</w:t>
      </w:r>
      <w:r>
        <w:rPr>
          <w:rFonts w:ascii="Arial" w:hAnsi="Arial" w:cs="Arial"/>
        </w:rPr>
        <w:t>.</w:t>
      </w:r>
    </w:p>
    <w:p w14:paraId="5FF4633E" w14:textId="77777777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>Holmes, D. (2022) Safeguarding Young People: Risk, Rights, Resilience and Relationships. London: Jessica Kingsley Publishers.</w:t>
      </w:r>
    </w:p>
    <w:p w14:paraId="6CBFA2BA" w14:textId="77777777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Sawyer, S.M., Azzopardi, P.S., </w:t>
      </w:r>
      <w:proofErr w:type="spellStart"/>
      <w:r w:rsidRPr="00C962BD">
        <w:rPr>
          <w:rFonts w:ascii="Arial" w:hAnsi="Arial" w:cs="Arial"/>
        </w:rPr>
        <w:t>Wickremarathne</w:t>
      </w:r>
      <w:proofErr w:type="spellEnd"/>
      <w:r w:rsidRPr="00C962BD">
        <w:rPr>
          <w:rFonts w:ascii="Arial" w:hAnsi="Arial" w:cs="Arial"/>
        </w:rPr>
        <w:t>, D. and Patton, G.C. (2018) ‘The age of adolescence’, The Lancet Child &amp; Adolescent Health, 2(3), pp. 223–228.</w:t>
      </w:r>
    </w:p>
    <w:p w14:paraId="4C475507" w14:textId="0ED29C41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>Felitti, V.J., Anda, R.F., Nordenberg, D. et al. (1998) ‘Relationship of childhood abuse and household dysfunction to many of the leading causes of death in adults: The ACE Study’, American Journal of Preventive Medicine, 14(4), pp. 245–258</w:t>
      </w:r>
      <w:r>
        <w:rPr>
          <w:rFonts w:ascii="Arial" w:hAnsi="Arial" w:cs="Arial"/>
        </w:rPr>
        <w:t>.</w:t>
      </w:r>
    </w:p>
    <w:p w14:paraId="1F0EF3C2" w14:textId="207D865F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lastRenderedPageBreak/>
        <w:t xml:space="preserve">Contextual Safeguarding Network (2020) Contextual Safeguarding Briefing. University of Bedfordshire. Available at: </w:t>
      </w:r>
      <w:hyperlink r:id="rId10" w:history="1">
        <w:r w:rsidR="00A65F27" w:rsidRPr="00F56EF2">
          <w:rPr>
            <w:rStyle w:val="Hyperlink"/>
            <w:rFonts w:ascii="Arial" w:hAnsi="Arial" w:cs="Arial"/>
          </w:rPr>
          <w:t>https://contextualsafeguarding.org.uk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10</w:t>
      </w:r>
      <w:r w:rsidRPr="00C962BD">
        <w:rPr>
          <w:rFonts w:ascii="Arial" w:hAnsi="Arial" w:cs="Arial"/>
        </w:rPr>
        <w:t xml:space="preserve"> November 2025).</w:t>
      </w:r>
    </w:p>
    <w:p w14:paraId="01A49EBB" w14:textId="76680C6A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TCE – Tackling Child Exploitation Support Programme (2020) Risk Assessing Child Exploitation. Research in Practice. Available at: </w:t>
      </w:r>
      <w:hyperlink r:id="rId11" w:history="1">
        <w:r w:rsidR="00A65F27" w:rsidRPr="00F56EF2">
          <w:rPr>
            <w:rStyle w:val="Hyperlink"/>
            <w:rFonts w:ascii="Arial" w:hAnsi="Arial" w:cs="Arial"/>
          </w:rPr>
          <w:t>https://tce.researchinpractice.org.uk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10</w:t>
      </w:r>
      <w:r w:rsidRPr="00C962BD">
        <w:rPr>
          <w:rFonts w:ascii="Arial" w:hAnsi="Arial" w:cs="Arial"/>
        </w:rPr>
        <w:t xml:space="preserve"> November 2025).</w:t>
      </w:r>
    </w:p>
    <w:p w14:paraId="4CCD7E49" w14:textId="136F9987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Irwin-Rogers, K., </w:t>
      </w:r>
      <w:proofErr w:type="spellStart"/>
      <w:r w:rsidRPr="00C962BD">
        <w:rPr>
          <w:rFonts w:ascii="Arial" w:hAnsi="Arial" w:cs="Arial"/>
        </w:rPr>
        <w:t>Muthoo</w:t>
      </w:r>
      <w:proofErr w:type="spellEnd"/>
      <w:r w:rsidRPr="00C962BD">
        <w:rPr>
          <w:rFonts w:ascii="Arial" w:hAnsi="Arial" w:cs="Arial"/>
        </w:rPr>
        <w:t xml:space="preserve">, A. and Billingham, L. (2020) Youth Violence Commission Final Report. London: Youth Violence Commission. Available at: </w:t>
      </w:r>
      <w:hyperlink r:id="rId12" w:history="1">
        <w:r w:rsidR="00A65F27" w:rsidRPr="00F56EF2">
          <w:rPr>
            <w:rStyle w:val="Hyperlink"/>
            <w:rFonts w:ascii="Arial" w:hAnsi="Arial" w:cs="Arial"/>
          </w:rPr>
          <w:t>https://yvcommission.com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 xml:space="preserve">(Accessed: </w:t>
      </w:r>
      <w:r>
        <w:rPr>
          <w:rFonts w:ascii="Arial" w:hAnsi="Arial" w:cs="Arial"/>
        </w:rPr>
        <w:t>15</w:t>
      </w:r>
      <w:r w:rsidRPr="00C962BD">
        <w:rPr>
          <w:rFonts w:ascii="Arial" w:hAnsi="Arial" w:cs="Arial"/>
        </w:rPr>
        <w:t xml:space="preserve"> November 2025)</w:t>
      </w:r>
      <w:r>
        <w:rPr>
          <w:rFonts w:ascii="Arial" w:hAnsi="Arial" w:cs="Arial"/>
        </w:rPr>
        <w:t>.</w:t>
      </w:r>
    </w:p>
    <w:p w14:paraId="52ADFD05" w14:textId="77777777" w:rsidR="00C424BB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>Firmin, C. and Lloyd, J. (2021) Contextual Safeguarding and Child Protection: Rewriting the Rules.</w:t>
      </w:r>
      <w:r w:rsidR="00C424BB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>Abingdon: Routledge.</w:t>
      </w:r>
    </w:p>
    <w:p w14:paraId="57E4E2FC" w14:textId="2A260E3E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HM Government (2022) Tackling Child Exploitation: National Review. London: HMSO. Available at: </w:t>
      </w:r>
      <w:hyperlink r:id="rId13" w:history="1">
        <w:r w:rsidR="00A65F27" w:rsidRPr="00F56EF2">
          <w:rPr>
            <w:rStyle w:val="Hyperlink"/>
            <w:rFonts w:ascii="Arial" w:hAnsi="Arial" w:cs="Arial"/>
          </w:rPr>
          <w:t>https://www.gov.uk/government/publications/tackling-child-exploitation-national-review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>(Accessed: 27 November 2025).</w:t>
      </w:r>
    </w:p>
    <w:p w14:paraId="57F1AD60" w14:textId="33C5523C" w:rsidR="00C962BD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Department for Education (2022) Harm Outside the Home: Multi-agency Safeguarding Responses to Extra-familial Risks. London: DfE. Available at: </w:t>
      </w:r>
      <w:hyperlink r:id="rId14" w:history="1">
        <w:r w:rsidR="00A65F27" w:rsidRPr="00F56EF2">
          <w:rPr>
            <w:rStyle w:val="Hyperlink"/>
            <w:rFonts w:ascii="Arial" w:hAnsi="Arial" w:cs="Arial"/>
          </w:rPr>
          <w:t>https://www.gov.uk/government/publications/harm-outside-the-home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>(Accessed: 27 November 2025).</w:t>
      </w:r>
    </w:p>
    <w:p w14:paraId="23069B6A" w14:textId="76BAD289" w:rsidR="00C424BB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 xml:space="preserve">Ofsted (2023) Protecting Children from Criminal Exploitation: Learning from Local Safeguarding Partnerships. London: Ofsted. Available at: </w:t>
      </w:r>
      <w:hyperlink r:id="rId15" w:history="1">
        <w:r w:rsidR="00A65F27" w:rsidRPr="00F56EF2">
          <w:rPr>
            <w:rStyle w:val="Hyperlink"/>
            <w:rFonts w:ascii="Arial" w:hAnsi="Arial" w:cs="Arial"/>
          </w:rPr>
          <w:t>https://www.gov.uk/government/publications/criminal-exploitation-of-children-ofsted-review</w:t>
        </w:r>
      </w:hyperlink>
      <w:r w:rsidR="00A65F27">
        <w:rPr>
          <w:rFonts w:ascii="Arial" w:hAnsi="Arial" w:cs="Arial"/>
        </w:rPr>
        <w:t xml:space="preserve"> </w:t>
      </w:r>
      <w:r w:rsidRPr="00C962BD">
        <w:rPr>
          <w:rFonts w:ascii="Arial" w:hAnsi="Arial" w:cs="Arial"/>
        </w:rPr>
        <w:t>(Accessed: 27 November 2025).</w:t>
      </w:r>
    </w:p>
    <w:p w14:paraId="6D931409" w14:textId="161AAF82" w:rsidR="00C424BB" w:rsidRDefault="00C962BD" w:rsidP="00BA2B22">
      <w:pPr>
        <w:rPr>
          <w:rFonts w:ascii="Arial" w:hAnsi="Arial" w:cs="Arial"/>
        </w:rPr>
      </w:pPr>
      <w:r w:rsidRPr="00C962BD">
        <w:rPr>
          <w:rFonts w:ascii="Arial" w:hAnsi="Arial" w:cs="Arial"/>
        </w:rPr>
        <w:t>Public Health England (2021) Adolescent Health: Applying a Life Course Approach. London: PHE</w:t>
      </w:r>
      <w:r w:rsidR="00C424BB">
        <w:rPr>
          <w:rFonts w:ascii="Arial" w:hAnsi="Arial" w:cs="Arial"/>
        </w:rPr>
        <w:t xml:space="preserve">. </w:t>
      </w:r>
      <w:r w:rsidR="00C424BB" w:rsidRPr="00C424BB">
        <w:rPr>
          <w:rFonts w:ascii="Arial" w:hAnsi="Arial" w:cs="Arial"/>
        </w:rPr>
        <w:t xml:space="preserve">Available at: </w:t>
      </w:r>
      <w:hyperlink r:id="rId16" w:history="1">
        <w:r w:rsidR="00A65F27" w:rsidRPr="00F56EF2">
          <w:rPr>
            <w:rStyle w:val="Hyperlink"/>
            <w:rFonts w:ascii="Arial" w:hAnsi="Arial" w:cs="Arial"/>
          </w:rPr>
          <w:t>https://www.gov.uk/government/publications/adolescent-health-applying-a-life-course-approach</w:t>
        </w:r>
      </w:hyperlink>
      <w:r w:rsidR="00A65F27">
        <w:rPr>
          <w:rFonts w:ascii="Arial" w:hAnsi="Arial" w:cs="Arial"/>
        </w:rPr>
        <w:t xml:space="preserve"> </w:t>
      </w:r>
      <w:r w:rsidR="00C424BB" w:rsidRPr="00C424BB">
        <w:rPr>
          <w:rFonts w:ascii="Arial" w:hAnsi="Arial" w:cs="Arial"/>
        </w:rPr>
        <w:t>(Accessed: 2</w:t>
      </w:r>
      <w:r w:rsidR="00C424BB">
        <w:rPr>
          <w:rFonts w:ascii="Arial" w:hAnsi="Arial" w:cs="Arial"/>
        </w:rPr>
        <w:t>1</w:t>
      </w:r>
      <w:r w:rsidR="00C424BB" w:rsidRPr="00C424BB">
        <w:rPr>
          <w:rFonts w:ascii="Arial" w:hAnsi="Arial" w:cs="Arial"/>
        </w:rPr>
        <w:t xml:space="preserve"> November 2025).</w:t>
      </w:r>
    </w:p>
    <w:p w14:paraId="1BABE2B8" w14:textId="6224B1DD" w:rsidR="00C424BB" w:rsidRDefault="00C424BB" w:rsidP="00BA2B22">
      <w:pPr>
        <w:rPr>
          <w:rFonts w:ascii="Arial" w:hAnsi="Arial" w:cs="Arial"/>
        </w:rPr>
      </w:pPr>
      <w:r w:rsidRPr="00C424BB">
        <w:rPr>
          <w:rFonts w:ascii="Arial" w:hAnsi="Arial" w:cs="Arial"/>
        </w:rPr>
        <w:t xml:space="preserve">National Society for the Prevention of Cruelty to Children (NSPCC) (2021) Protecting Young People from Child Criminal Exploitation. London: NSPCC. Available at: </w:t>
      </w:r>
      <w:hyperlink r:id="rId17" w:history="1">
        <w:r w:rsidR="00A65F27" w:rsidRPr="00F56EF2">
          <w:rPr>
            <w:rStyle w:val="Hyperlink"/>
            <w:rFonts w:ascii="Arial" w:hAnsi="Arial" w:cs="Arial"/>
          </w:rPr>
          <w:t>https://learning.nspcc.org.uk</w:t>
        </w:r>
      </w:hyperlink>
      <w:r w:rsidR="00A65F27">
        <w:rPr>
          <w:rFonts w:ascii="Arial" w:hAnsi="Arial" w:cs="Arial"/>
        </w:rPr>
        <w:t xml:space="preserve"> </w:t>
      </w:r>
      <w:r w:rsidRPr="00C424BB">
        <w:rPr>
          <w:rFonts w:ascii="Arial" w:hAnsi="Arial" w:cs="Arial"/>
        </w:rPr>
        <w:t>(Accessed: 2</w:t>
      </w:r>
      <w:r>
        <w:rPr>
          <w:rFonts w:ascii="Arial" w:hAnsi="Arial" w:cs="Arial"/>
        </w:rPr>
        <w:t>3</w:t>
      </w:r>
      <w:r w:rsidRPr="00C424BB">
        <w:rPr>
          <w:rFonts w:ascii="Arial" w:hAnsi="Arial" w:cs="Arial"/>
        </w:rPr>
        <w:t xml:space="preserve"> November 2025).</w:t>
      </w:r>
    </w:p>
    <w:p w14:paraId="23AD624A" w14:textId="438AE3A6" w:rsidR="00C424BB" w:rsidRPr="00BA2B22" w:rsidRDefault="00C424BB" w:rsidP="00BA2B22">
      <w:pPr>
        <w:rPr>
          <w:rFonts w:ascii="Arial" w:hAnsi="Arial" w:cs="Arial"/>
        </w:rPr>
      </w:pPr>
      <w:r w:rsidRPr="00C424BB">
        <w:rPr>
          <w:rFonts w:ascii="Arial" w:hAnsi="Arial" w:cs="Arial"/>
        </w:rPr>
        <w:t xml:space="preserve">Youth Endowment Fund (2022) The Impact of Trauma-informed Practice in Working with Vulnerable Adolescents. London: YEF. Available at: </w:t>
      </w:r>
      <w:hyperlink r:id="rId18" w:history="1">
        <w:r w:rsidRPr="00F56EF2">
          <w:rPr>
            <w:rStyle w:val="Hyperlink"/>
            <w:rFonts w:ascii="Arial" w:hAnsi="Arial" w:cs="Arial"/>
          </w:rPr>
          <w:t>https://youthendowmentfund.org.uk</w:t>
        </w:r>
      </w:hyperlink>
      <w:r>
        <w:rPr>
          <w:rFonts w:ascii="Arial" w:hAnsi="Arial" w:cs="Arial"/>
        </w:rPr>
        <w:t xml:space="preserve"> </w:t>
      </w:r>
      <w:r w:rsidRPr="00C424BB">
        <w:rPr>
          <w:rFonts w:ascii="Arial" w:hAnsi="Arial" w:cs="Arial"/>
        </w:rPr>
        <w:t>(Accessed: 2</w:t>
      </w:r>
      <w:r>
        <w:rPr>
          <w:rFonts w:ascii="Arial" w:hAnsi="Arial" w:cs="Arial"/>
        </w:rPr>
        <w:t>3</w:t>
      </w:r>
      <w:r w:rsidRPr="00C424BB">
        <w:rPr>
          <w:rFonts w:ascii="Arial" w:hAnsi="Arial" w:cs="Arial"/>
        </w:rPr>
        <w:t xml:space="preserve"> November 2025)</w:t>
      </w:r>
      <w:r>
        <w:rPr>
          <w:rFonts w:ascii="Arial" w:hAnsi="Arial" w:cs="Arial"/>
        </w:rPr>
        <w:t>.</w:t>
      </w:r>
    </w:p>
    <w:sectPr w:rsidR="00C424BB" w:rsidRPr="00BA2B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14B0"/>
    <w:rsid w:val="003B14B0"/>
    <w:rsid w:val="00584700"/>
    <w:rsid w:val="00936880"/>
    <w:rsid w:val="00A57387"/>
    <w:rsid w:val="00A65F27"/>
    <w:rsid w:val="00B21AF3"/>
    <w:rsid w:val="00BA2B22"/>
    <w:rsid w:val="00C424BB"/>
    <w:rsid w:val="00C962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26E4BD"/>
  <w15:chartTrackingRefBased/>
  <w15:docId w15:val="{5FFD6667-9052-45E6-A009-71115461ED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14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14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14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14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14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14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14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14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14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14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14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14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14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14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14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14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14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14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14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14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14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14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14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14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14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14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14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14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14B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24B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24B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afeguardingpartnership.org.uk" TargetMode="External"/><Relationship Id="rId13" Type="http://schemas.openxmlformats.org/officeDocument/2006/relationships/hyperlink" Target="https://www.gov.uk/government/publications/tackling-child-exploitation-national-review" TargetMode="External"/><Relationship Id="rId18" Type="http://schemas.openxmlformats.org/officeDocument/2006/relationships/hyperlink" Target="https://youthendowmentfund.org.uk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yvcommission.com" TargetMode="External"/><Relationship Id="rId17" Type="http://schemas.openxmlformats.org/officeDocument/2006/relationships/hyperlink" Target="https://learning.nspcc.org.uk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adolescent-health-applying-a-life-course-approach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tce.researchinpractice.org.uk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criminal-exploitation-of-children-ofsted-review" TargetMode="External"/><Relationship Id="rId10" Type="http://schemas.openxmlformats.org/officeDocument/2006/relationships/hyperlink" Target="https://contextualsafeguarding.org.uk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www.gov.uk/government/publications/working-together-to-safeguard-children--2" TargetMode="External"/><Relationship Id="rId14" Type="http://schemas.openxmlformats.org/officeDocument/2006/relationships/hyperlink" Target="https://www.gov.uk/government/publications/harm-outside-the-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10" ma:contentTypeDescription="Create a new document." ma:contentTypeScope="" ma:versionID="c0523dff32862a3fcf4cfe2179582593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b89812170b1ccab0e3a773187a1cc23f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Props1.xml><?xml version="1.0" encoding="utf-8"?>
<ds:datastoreItem xmlns:ds="http://schemas.openxmlformats.org/officeDocument/2006/customXml" ds:itemID="{50C3E955-EA97-4FFB-AC03-E33E73286F9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9A4D40-90C3-4764-B42F-B13B96BE96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57E6121-BDB8-4FF8-8F8A-F4254A51683A}">
  <ds:schemaRefs>
    <ds:schemaRef ds:uri="80ad0dd2-2cb0-44fb-bfff-af5123703117"/>
    <ds:schemaRef ds:uri="http://purl.org/dc/terms/"/>
    <ds:schemaRef ds:uri="http://www.w3.org/XML/1998/namespace"/>
    <ds:schemaRef ds:uri="http://schemas.microsoft.com/office/2006/metadata/properties"/>
    <ds:schemaRef ds:uri="http://purl.org/dc/elements/1.1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601</Words>
  <Characters>3432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telma andrade</dc:creator>
  <cp:keywords/>
  <dc:description/>
  <cp:lastModifiedBy>Vilma Dias Rodrigues (2336478)</cp:lastModifiedBy>
  <cp:revision>2</cp:revision>
  <dcterms:created xsi:type="dcterms:W3CDTF">2025-11-27T19:11:00Z</dcterms:created>
  <dcterms:modified xsi:type="dcterms:W3CDTF">2025-11-27T19:11:00Z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