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0570" w:rsidRDefault="006A0570" w:rsidP="008C6A21"/>
    <w:p w:rsidR="00CD76BC" w:rsidRDefault="00CD76BC" w:rsidP="006A0570">
      <w:pPr>
        <w:pStyle w:val="Title"/>
        <w:jc w:val="center"/>
      </w:pPr>
    </w:p>
    <w:p w:rsidR="00CD76BC" w:rsidRDefault="00CD76BC" w:rsidP="006A0570">
      <w:pPr>
        <w:pStyle w:val="Title"/>
        <w:jc w:val="center"/>
      </w:pPr>
    </w:p>
    <w:p w:rsidR="00CD76BC" w:rsidRDefault="00CD76BC" w:rsidP="006A0570">
      <w:pPr>
        <w:pStyle w:val="Title"/>
        <w:jc w:val="center"/>
      </w:pPr>
    </w:p>
    <w:p w:rsidR="006A0570" w:rsidRDefault="006A0570" w:rsidP="006A0570">
      <w:pPr>
        <w:pStyle w:val="Title"/>
        <w:jc w:val="center"/>
      </w:pPr>
      <w:r>
        <w:t xml:space="preserve">Finance Management </w:t>
      </w:r>
      <w:r w:rsidR="003A3FE9">
        <w:t xml:space="preserve">- </w:t>
      </w:r>
      <w:r>
        <w:t>SBMA7100D</w:t>
      </w:r>
    </w:p>
    <w:p w:rsidR="006A0570" w:rsidRDefault="006A0570" w:rsidP="006A0570"/>
    <w:p w:rsidR="006A0570" w:rsidRDefault="006A0570" w:rsidP="006A0570">
      <w:pPr>
        <w:pStyle w:val="Title"/>
        <w:jc w:val="center"/>
      </w:pPr>
      <w:r>
        <w:t>Assignment 1 (parts 1 &amp; 2)</w:t>
      </w:r>
    </w:p>
    <w:p w:rsidR="006A0570" w:rsidRDefault="006A0570" w:rsidP="006A0570"/>
    <w:p w:rsidR="006A0570" w:rsidRPr="006A0570" w:rsidRDefault="006A0570" w:rsidP="006A0570">
      <w:pPr>
        <w:pStyle w:val="Title"/>
        <w:jc w:val="center"/>
      </w:pPr>
      <w:r>
        <w:t>Student Number 1707375</w:t>
      </w:r>
    </w:p>
    <w:p w:rsidR="001A790D" w:rsidRDefault="001A790D" w:rsidP="006A0570">
      <w:pPr>
        <w:pStyle w:val="Title"/>
        <w:rPr>
          <w:rStyle w:val="Strong"/>
        </w:rPr>
      </w:pPr>
    </w:p>
    <w:p w:rsidR="001A790D" w:rsidRDefault="001A790D" w:rsidP="006A0570">
      <w:pPr>
        <w:pStyle w:val="Title"/>
        <w:rPr>
          <w:rStyle w:val="Strong"/>
        </w:rPr>
      </w:pPr>
    </w:p>
    <w:p w:rsidR="001A790D" w:rsidRDefault="00EA1297" w:rsidP="001A790D">
      <w:pPr>
        <w:pStyle w:val="Title"/>
        <w:jc w:val="center"/>
        <w:rPr>
          <w:rStyle w:val="Strong"/>
          <w:b/>
        </w:rPr>
      </w:pPr>
      <w:r w:rsidRPr="001A790D">
        <w:rPr>
          <w:rStyle w:val="Strong"/>
          <w:b/>
        </w:rPr>
        <w:t>Word count – Part 1: 2589. Part 2:</w:t>
      </w:r>
      <w:r w:rsidR="001A790D" w:rsidRPr="001A790D">
        <w:rPr>
          <w:rStyle w:val="Strong"/>
          <w:b/>
        </w:rPr>
        <w:t xml:space="preserve"> 2494. </w:t>
      </w:r>
    </w:p>
    <w:p w:rsidR="006A0570" w:rsidRPr="001A790D" w:rsidRDefault="001A790D" w:rsidP="001A790D">
      <w:pPr>
        <w:pStyle w:val="Title"/>
        <w:jc w:val="center"/>
        <w:rPr>
          <w:rStyle w:val="Strong"/>
          <w:b/>
        </w:rPr>
      </w:pPr>
      <w:r w:rsidRPr="001A790D">
        <w:rPr>
          <w:rStyle w:val="Strong"/>
          <w:b/>
        </w:rPr>
        <w:t>Total: 5083</w:t>
      </w:r>
    </w:p>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sdt>
      <w:sdtPr>
        <w:rPr>
          <w:rFonts w:asciiTheme="minorHAnsi" w:eastAsiaTheme="minorHAnsi" w:hAnsiTheme="minorHAnsi" w:cstheme="minorBidi"/>
          <w:color w:val="auto"/>
          <w:sz w:val="22"/>
          <w:szCs w:val="22"/>
          <w:lang w:val="en-GB"/>
        </w:rPr>
        <w:id w:val="-123847829"/>
        <w:docPartObj>
          <w:docPartGallery w:val="Table of Contents"/>
          <w:docPartUnique/>
        </w:docPartObj>
      </w:sdtPr>
      <w:sdtEndPr>
        <w:rPr>
          <w:b/>
          <w:bCs/>
          <w:noProof/>
        </w:rPr>
      </w:sdtEndPr>
      <w:sdtContent>
        <w:p w:rsidR="00DF4CA7" w:rsidRDefault="00DF4CA7">
          <w:pPr>
            <w:pStyle w:val="TOCHeading"/>
          </w:pPr>
          <w:r>
            <w:t>Table o</w:t>
          </w:r>
          <w:bookmarkStart w:id="0" w:name="_GoBack"/>
          <w:bookmarkEnd w:id="0"/>
          <w:r>
            <w:t>f Contents</w:t>
          </w:r>
        </w:p>
        <w:p w:rsidR="00CD76BC" w:rsidRDefault="00DF4CA7">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606289" w:history="1">
            <w:r w:rsidR="00CD76BC" w:rsidRPr="00377E72">
              <w:rPr>
                <w:rStyle w:val="Hyperlink"/>
                <w:noProof/>
              </w:rPr>
              <w:t>1</w:t>
            </w:r>
            <w:r w:rsidR="00CD76BC">
              <w:rPr>
                <w:rFonts w:eastAsiaTheme="minorEastAsia"/>
                <w:noProof/>
                <w:lang w:eastAsia="en-GB"/>
              </w:rPr>
              <w:tab/>
            </w:r>
            <w:r w:rsidR="00CD76BC" w:rsidRPr="00377E72">
              <w:rPr>
                <w:rStyle w:val="Hyperlink"/>
                <w:noProof/>
              </w:rPr>
              <w:t>Part 1 – FTSE 100 listed company report</w:t>
            </w:r>
            <w:r w:rsidR="00CD76BC">
              <w:rPr>
                <w:noProof/>
                <w:webHidden/>
              </w:rPr>
              <w:tab/>
            </w:r>
            <w:r w:rsidR="00CD76BC">
              <w:rPr>
                <w:noProof/>
                <w:webHidden/>
              </w:rPr>
              <w:fldChar w:fldCharType="begin"/>
            </w:r>
            <w:r w:rsidR="00CD76BC">
              <w:rPr>
                <w:noProof/>
                <w:webHidden/>
              </w:rPr>
              <w:instrText xml:space="preserve"> PAGEREF _Toc535606289 \h </w:instrText>
            </w:r>
            <w:r w:rsidR="00CD76BC">
              <w:rPr>
                <w:noProof/>
                <w:webHidden/>
              </w:rPr>
            </w:r>
            <w:r w:rsidR="00CD76BC">
              <w:rPr>
                <w:noProof/>
                <w:webHidden/>
              </w:rPr>
              <w:fldChar w:fldCharType="separate"/>
            </w:r>
            <w:r w:rsidR="00CD76BC">
              <w:rPr>
                <w:noProof/>
                <w:webHidden/>
              </w:rPr>
              <w:t>4</w:t>
            </w:r>
            <w:r w:rsidR="00CD76BC">
              <w:rPr>
                <w:noProof/>
                <w:webHidden/>
              </w:rPr>
              <w:fldChar w:fldCharType="end"/>
            </w:r>
          </w:hyperlink>
        </w:p>
        <w:p w:rsidR="00CD76BC" w:rsidRDefault="00CD76BC">
          <w:pPr>
            <w:pStyle w:val="TOC1"/>
            <w:tabs>
              <w:tab w:val="left" w:pos="440"/>
              <w:tab w:val="right" w:leader="dot" w:pos="9016"/>
            </w:tabs>
            <w:rPr>
              <w:rFonts w:eastAsiaTheme="minorEastAsia"/>
              <w:noProof/>
              <w:lang w:eastAsia="en-GB"/>
            </w:rPr>
          </w:pPr>
          <w:hyperlink w:anchor="_Toc535606290" w:history="1">
            <w:r w:rsidRPr="00377E72">
              <w:rPr>
                <w:rStyle w:val="Hyperlink"/>
                <w:noProof/>
              </w:rPr>
              <w:t>2</w:t>
            </w:r>
            <w:r>
              <w:rPr>
                <w:rFonts w:eastAsiaTheme="minorEastAsia"/>
                <w:noProof/>
                <w:lang w:eastAsia="en-GB"/>
              </w:rPr>
              <w:tab/>
            </w:r>
            <w:r w:rsidRPr="00377E72">
              <w:rPr>
                <w:rStyle w:val="Hyperlink"/>
                <w:noProof/>
              </w:rPr>
              <w:t>Introduction</w:t>
            </w:r>
            <w:r>
              <w:rPr>
                <w:noProof/>
                <w:webHidden/>
              </w:rPr>
              <w:tab/>
            </w:r>
            <w:r>
              <w:rPr>
                <w:noProof/>
                <w:webHidden/>
              </w:rPr>
              <w:fldChar w:fldCharType="begin"/>
            </w:r>
            <w:r>
              <w:rPr>
                <w:noProof/>
                <w:webHidden/>
              </w:rPr>
              <w:instrText xml:space="preserve"> PAGEREF _Toc535606290 \h </w:instrText>
            </w:r>
            <w:r>
              <w:rPr>
                <w:noProof/>
                <w:webHidden/>
              </w:rPr>
            </w:r>
            <w:r>
              <w:rPr>
                <w:noProof/>
                <w:webHidden/>
              </w:rPr>
              <w:fldChar w:fldCharType="separate"/>
            </w:r>
            <w:r>
              <w:rPr>
                <w:noProof/>
                <w:webHidden/>
              </w:rPr>
              <w:t>4</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291" w:history="1">
            <w:r w:rsidRPr="00377E72">
              <w:rPr>
                <w:rStyle w:val="Hyperlink"/>
                <w:noProof/>
              </w:rPr>
              <w:t>2.1</w:t>
            </w:r>
            <w:r>
              <w:rPr>
                <w:rFonts w:eastAsiaTheme="minorEastAsia"/>
                <w:noProof/>
                <w:lang w:eastAsia="en-GB"/>
              </w:rPr>
              <w:tab/>
            </w:r>
            <w:r w:rsidRPr="00377E72">
              <w:rPr>
                <w:rStyle w:val="Hyperlink"/>
                <w:noProof/>
              </w:rPr>
              <w:t>FTSE 100 companies</w:t>
            </w:r>
            <w:r>
              <w:rPr>
                <w:noProof/>
                <w:webHidden/>
              </w:rPr>
              <w:tab/>
            </w:r>
            <w:r>
              <w:rPr>
                <w:noProof/>
                <w:webHidden/>
              </w:rPr>
              <w:fldChar w:fldCharType="begin"/>
            </w:r>
            <w:r>
              <w:rPr>
                <w:noProof/>
                <w:webHidden/>
              </w:rPr>
              <w:instrText xml:space="preserve"> PAGEREF _Toc535606291 \h </w:instrText>
            </w:r>
            <w:r>
              <w:rPr>
                <w:noProof/>
                <w:webHidden/>
              </w:rPr>
            </w:r>
            <w:r>
              <w:rPr>
                <w:noProof/>
                <w:webHidden/>
              </w:rPr>
              <w:fldChar w:fldCharType="separate"/>
            </w:r>
            <w:r>
              <w:rPr>
                <w:noProof/>
                <w:webHidden/>
              </w:rPr>
              <w:t>4</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292" w:history="1">
            <w:r w:rsidRPr="00377E72">
              <w:rPr>
                <w:rStyle w:val="Hyperlink"/>
                <w:noProof/>
              </w:rPr>
              <w:t>2.1.1</w:t>
            </w:r>
            <w:r>
              <w:rPr>
                <w:rFonts w:eastAsiaTheme="minorEastAsia"/>
                <w:noProof/>
                <w:lang w:eastAsia="en-GB"/>
              </w:rPr>
              <w:tab/>
            </w:r>
            <w:r w:rsidRPr="00377E72">
              <w:rPr>
                <w:rStyle w:val="Hyperlink"/>
                <w:noProof/>
              </w:rPr>
              <w:t>Hargreaves Lansdown</w:t>
            </w:r>
            <w:r>
              <w:rPr>
                <w:noProof/>
                <w:webHidden/>
              </w:rPr>
              <w:tab/>
            </w:r>
            <w:r>
              <w:rPr>
                <w:noProof/>
                <w:webHidden/>
              </w:rPr>
              <w:fldChar w:fldCharType="begin"/>
            </w:r>
            <w:r>
              <w:rPr>
                <w:noProof/>
                <w:webHidden/>
              </w:rPr>
              <w:instrText xml:space="preserve"> PAGEREF _Toc535606292 \h </w:instrText>
            </w:r>
            <w:r>
              <w:rPr>
                <w:noProof/>
                <w:webHidden/>
              </w:rPr>
            </w:r>
            <w:r>
              <w:rPr>
                <w:noProof/>
                <w:webHidden/>
              </w:rPr>
              <w:fldChar w:fldCharType="separate"/>
            </w:r>
            <w:r>
              <w:rPr>
                <w:noProof/>
                <w:webHidden/>
              </w:rPr>
              <w:t>4</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293" w:history="1">
            <w:r w:rsidRPr="00377E72">
              <w:rPr>
                <w:rStyle w:val="Hyperlink"/>
                <w:noProof/>
              </w:rPr>
              <w:t>2.1.2</w:t>
            </w:r>
            <w:r>
              <w:rPr>
                <w:rFonts w:eastAsiaTheme="minorEastAsia"/>
                <w:noProof/>
                <w:lang w:eastAsia="en-GB"/>
              </w:rPr>
              <w:tab/>
            </w:r>
            <w:r w:rsidRPr="00377E72">
              <w:rPr>
                <w:rStyle w:val="Hyperlink"/>
                <w:noProof/>
              </w:rPr>
              <w:t>Rationale for selection</w:t>
            </w:r>
            <w:r>
              <w:rPr>
                <w:noProof/>
                <w:webHidden/>
              </w:rPr>
              <w:tab/>
            </w:r>
            <w:r>
              <w:rPr>
                <w:noProof/>
                <w:webHidden/>
              </w:rPr>
              <w:fldChar w:fldCharType="begin"/>
            </w:r>
            <w:r>
              <w:rPr>
                <w:noProof/>
                <w:webHidden/>
              </w:rPr>
              <w:instrText xml:space="preserve"> PAGEREF _Toc535606293 \h </w:instrText>
            </w:r>
            <w:r>
              <w:rPr>
                <w:noProof/>
                <w:webHidden/>
              </w:rPr>
            </w:r>
            <w:r>
              <w:rPr>
                <w:noProof/>
                <w:webHidden/>
              </w:rPr>
              <w:fldChar w:fldCharType="separate"/>
            </w:r>
            <w:r>
              <w:rPr>
                <w:noProof/>
                <w:webHidden/>
              </w:rPr>
              <w:t>4</w:t>
            </w:r>
            <w:r>
              <w:rPr>
                <w:noProof/>
                <w:webHidden/>
              </w:rPr>
              <w:fldChar w:fldCharType="end"/>
            </w:r>
          </w:hyperlink>
        </w:p>
        <w:p w:rsidR="00CD76BC" w:rsidRDefault="00CD76BC">
          <w:pPr>
            <w:pStyle w:val="TOC1"/>
            <w:tabs>
              <w:tab w:val="left" w:pos="440"/>
              <w:tab w:val="right" w:leader="dot" w:pos="9016"/>
            </w:tabs>
            <w:rPr>
              <w:rFonts w:eastAsiaTheme="minorEastAsia"/>
              <w:noProof/>
              <w:lang w:eastAsia="en-GB"/>
            </w:rPr>
          </w:pPr>
          <w:hyperlink w:anchor="_Toc535606294" w:history="1">
            <w:r w:rsidRPr="00377E72">
              <w:rPr>
                <w:rStyle w:val="Hyperlink"/>
                <w:noProof/>
              </w:rPr>
              <w:t>3</w:t>
            </w:r>
            <w:r>
              <w:rPr>
                <w:rFonts w:eastAsiaTheme="minorEastAsia"/>
                <w:noProof/>
                <w:lang w:eastAsia="en-GB"/>
              </w:rPr>
              <w:tab/>
            </w:r>
            <w:r w:rsidRPr="00377E72">
              <w:rPr>
                <w:rStyle w:val="Hyperlink"/>
                <w:noProof/>
              </w:rPr>
              <w:t>Financials</w:t>
            </w:r>
            <w:r>
              <w:rPr>
                <w:noProof/>
                <w:webHidden/>
              </w:rPr>
              <w:tab/>
            </w:r>
            <w:r>
              <w:rPr>
                <w:noProof/>
                <w:webHidden/>
              </w:rPr>
              <w:fldChar w:fldCharType="begin"/>
            </w:r>
            <w:r>
              <w:rPr>
                <w:noProof/>
                <w:webHidden/>
              </w:rPr>
              <w:instrText xml:space="preserve"> PAGEREF _Toc535606294 \h </w:instrText>
            </w:r>
            <w:r>
              <w:rPr>
                <w:noProof/>
                <w:webHidden/>
              </w:rPr>
            </w:r>
            <w:r>
              <w:rPr>
                <w:noProof/>
                <w:webHidden/>
              </w:rPr>
              <w:fldChar w:fldCharType="separate"/>
            </w:r>
            <w:r>
              <w:rPr>
                <w:noProof/>
                <w:webHidden/>
              </w:rPr>
              <w:t>5</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295" w:history="1">
            <w:r w:rsidRPr="00377E72">
              <w:rPr>
                <w:rStyle w:val="Hyperlink"/>
                <w:noProof/>
              </w:rPr>
              <w:t>3.1</w:t>
            </w:r>
            <w:r>
              <w:rPr>
                <w:rFonts w:eastAsiaTheme="minorEastAsia"/>
                <w:noProof/>
                <w:lang w:eastAsia="en-GB"/>
              </w:rPr>
              <w:tab/>
            </w:r>
            <w:r w:rsidRPr="00377E72">
              <w:rPr>
                <w:rStyle w:val="Hyperlink"/>
                <w:noProof/>
              </w:rPr>
              <w:t>HL financials v Sector performance</w:t>
            </w:r>
            <w:r>
              <w:rPr>
                <w:noProof/>
                <w:webHidden/>
              </w:rPr>
              <w:tab/>
            </w:r>
            <w:r>
              <w:rPr>
                <w:noProof/>
                <w:webHidden/>
              </w:rPr>
              <w:fldChar w:fldCharType="begin"/>
            </w:r>
            <w:r>
              <w:rPr>
                <w:noProof/>
                <w:webHidden/>
              </w:rPr>
              <w:instrText xml:space="preserve"> PAGEREF _Toc535606295 \h </w:instrText>
            </w:r>
            <w:r>
              <w:rPr>
                <w:noProof/>
                <w:webHidden/>
              </w:rPr>
            </w:r>
            <w:r>
              <w:rPr>
                <w:noProof/>
                <w:webHidden/>
              </w:rPr>
              <w:fldChar w:fldCharType="separate"/>
            </w:r>
            <w:r>
              <w:rPr>
                <w:noProof/>
                <w:webHidden/>
              </w:rPr>
              <w:t>5</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296" w:history="1">
            <w:r w:rsidRPr="00377E72">
              <w:rPr>
                <w:rStyle w:val="Hyperlink"/>
                <w:noProof/>
              </w:rPr>
              <w:t>3.1.1</w:t>
            </w:r>
            <w:r>
              <w:rPr>
                <w:rFonts w:eastAsiaTheme="minorEastAsia"/>
                <w:noProof/>
                <w:lang w:eastAsia="en-GB"/>
              </w:rPr>
              <w:tab/>
            </w:r>
            <w:r w:rsidRPr="00377E72">
              <w:rPr>
                <w:rStyle w:val="Hyperlink"/>
                <w:noProof/>
              </w:rPr>
              <w:t>Profitability</w:t>
            </w:r>
            <w:r>
              <w:rPr>
                <w:noProof/>
                <w:webHidden/>
              </w:rPr>
              <w:tab/>
            </w:r>
            <w:r>
              <w:rPr>
                <w:noProof/>
                <w:webHidden/>
              </w:rPr>
              <w:fldChar w:fldCharType="begin"/>
            </w:r>
            <w:r>
              <w:rPr>
                <w:noProof/>
                <w:webHidden/>
              </w:rPr>
              <w:instrText xml:space="preserve"> PAGEREF _Toc535606296 \h </w:instrText>
            </w:r>
            <w:r>
              <w:rPr>
                <w:noProof/>
                <w:webHidden/>
              </w:rPr>
            </w:r>
            <w:r>
              <w:rPr>
                <w:noProof/>
                <w:webHidden/>
              </w:rPr>
              <w:fldChar w:fldCharType="separate"/>
            </w:r>
            <w:r>
              <w:rPr>
                <w:noProof/>
                <w:webHidden/>
              </w:rPr>
              <w:t>5</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297" w:history="1">
            <w:r w:rsidRPr="00377E72">
              <w:rPr>
                <w:rStyle w:val="Hyperlink"/>
                <w:noProof/>
              </w:rPr>
              <w:t>3.1.2</w:t>
            </w:r>
            <w:r>
              <w:rPr>
                <w:rFonts w:eastAsiaTheme="minorEastAsia"/>
                <w:noProof/>
                <w:lang w:eastAsia="en-GB"/>
              </w:rPr>
              <w:tab/>
            </w:r>
            <w:r w:rsidRPr="00377E72">
              <w:rPr>
                <w:rStyle w:val="Hyperlink"/>
                <w:noProof/>
              </w:rPr>
              <w:t>Liquidity</w:t>
            </w:r>
            <w:r>
              <w:rPr>
                <w:noProof/>
                <w:webHidden/>
              </w:rPr>
              <w:tab/>
            </w:r>
            <w:r>
              <w:rPr>
                <w:noProof/>
                <w:webHidden/>
              </w:rPr>
              <w:fldChar w:fldCharType="begin"/>
            </w:r>
            <w:r>
              <w:rPr>
                <w:noProof/>
                <w:webHidden/>
              </w:rPr>
              <w:instrText xml:space="preserve"> PAGEREF _Toc535606297 \h </w:instrText>
            </w:r>
            <w:r>
              <w:rPr>
                <w:noProof/>
                <w:webHidden/>
              </w:rPr>
            </w:r>
            <w:r>
              <w:rPr>
                <w:noProof/>
                <w:webHidden/>
              </w:rPr>
              <w:fldChar w:fldCharType="separate"/>
            </w:r>
            <w:r>
              <w:rPr>
                <w:noProof/>
                <w:webHidden/>
              </w:rPr>
              <w:t>6</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298" w:history="1">
            <w:r w:rsidRPr="00377E72">
              <w:rPr>
                <w:rStyle w:val="Hyperlink"/>
                <w:noProof/>
              </w:rPr>
              <w:t>3.1.3</w:t>
            </w:r>
            <w:r>
              <w:rPr>
                <w:rFonts w:eastAsiaTheme="minorEastAsia"/>
                <w:noProof/>
                <w:lang w:eastAsia="en-GB"/>
              </w:rPr>
              <w:tab/>
            </w:r>
            <w:r w:rsidRPr="00377E72">
              <w:rPr>
                <w:rStyle w:val="Hyperlink"/>
                <w:noProof/>
              </w:rPr>
              <w:t>Gearing</w:t>
            </w:r>
            <w:r>
              <w:rPr>
                <w:noProof/>
                <w:webHidden/>
              </w:rPr>
              <w:tab/>
            </w:r>
            <w:r>
              <w:rPr>
                <w:noProof/>
                <w:webHidden/>
              </w:rPr>
              <w:fldChar w:fldCharType="begin"/>
            </w:r>
            <w:r>
              <w:rPr>
                <w:noProof/>
                <w:webHidden/>
              </w:rPr>
              <w:instrText xml:space="preserve"> PAGEREF _Toc535606298 \h </w:instrText>
            </w:r>
            <w:r>
              <w:rPr>
                <w:noProof/>
                <w:webHidden/>
              </w:rPr>
            </w:r>
            <w:r>
              <w:rPr>
                <w:noProof/>
                <w:webHidden/>
              </w:rPr>
              <w:fldChar w:fldCharType="separate"/>
            </w:r>
            <w:r>
              <w:rPr>
                <w:noProof/>
                <w:webHidden/>
              </w:rPr>
              <w:t>6</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299" w:history="1">
            <w:r w:rsidRPr="00377E72">
              <w:rPr>
                <w:rStyle w:val="Hyperlink"/>
                <w:noProof/>
              </w:rPr>
              <w:t>3.1.4</w:t>
            </w:r>
            <w:r>
              <w:rPr>
                <w:rFonts w:eastAsiaTheme="minorEastAsia"/>
                <w:noProof/>
                <w:lang w:eastAsia="en-GB"/>
              </w:rPr>
              <w:tab/>
            </w:r>
            <w:r w:rsidRPr="00377E72">
              <w:rPr>
                <w:rStyle w:val="Hyperlink"/>
                <w:noProof/>
              </w:rPr>
              <w:t>Efficiency Ratios</w:t>
            </w:r>
            <w:r>
              <w:rPr>
                <w:noProof/>
                <w:webHidden/>
              </w:rPr>
              <w:tab/>
            </w:r>
            <w:r>
              <w:rPr>
                <w:noProof/>
                <w:webHidden/>
              </w:rPr>
              <w:fldChar w:fldCharType="begin"/>
            </w:r>
            <w:r>
              <w:rPr>
                <w:noProof/>
                <w:webHidden/>
              </w:rPr>
              <w:instrText xml:space="preserve"> PAGEREF _Toc535606299 \h </w:instrText>
            </w:r>
            <w:r>
              <w:rPr>
                <w:noProof/>
                <w:webHidden/>
              </w:rPr>
            </w:r>
            <w:r>
              <w:rPr>
                <w:noProof/>
                <w:webHidden/>
              </w:rPr>
              <w:fldChar w:fldCharType="separate"/>
            </w:r>
            <w:r>
              <w:rPr>
                <w:noProof/>
                <w:webHidden/>
              </w:rPr>
              <w:t>7</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00" w:history="1">
            <w:r w:rsidRPr="00377E72">
              <w:rPr>
                <w:rStyle w:val="Hyperlink"/>
                <w:noProof/>
              </w:rPr>
              <w:t>3.1.5</w:t>
            </w:r>
            <w:r>
              <w:rPr>
                <w:rFonts w:eastAsiaTheme="minorEastAsia"/>
                <w:noProof/>
                <w:lang w:eastAsia="en-GB"/>
              </w:rPr>
              <w:tab/>
            </w:r>
            <w:r w:rsidRPr="00377E72">
              <w:rPr>
                <w:rStyle w:val="Hyperlink"/>
                <w:noProof/>
              </w:rPr>
              <w:t>Investor Ratios</w:t>
            </w:r>
            <w:r>
              <w:rPr>
                <w:noProof/>
                <w:webHidden/>
              </w:rPr>
              <w:tab/>
            </w:r>
            <w:r>
              <w:rPr>
                <w:noProof/>
                <w:webHidden/>
              </w:rPr>
              <w:fldChar w:fldCharType="begin"/>
            </w:r>
            <w:r>
              <w:rPr>
                <w:noProof/>
                <w:webHidden/>
              </w:rPr>
              <w:instrText xml:space="preserve"> PAGEREF _Toc535606300 \h </w:instrText>
            </w:r>
            <w:r>
              <w:rPr>
                <w:noProof/>
                <w:webHidden/>
              </w:rPr>
            </w:r>
            <w:r>
              <w:rPr>
                <w:noProof/>
                <w:webHidden/>
              </w:rPr>
              <w:fldChar w:fldCharType="separate"/>
            </w:r>
            <w:r>
              <w:rPr>
                <w:noProof/>
                <w:webHidden/>
              </w:rPr>
              <w:t>8</w:t>
            </w:r>
            <w:r>
              <w:rPr>
                <w:noProof/>
                <w:webHidden/>
              </w:rPr>
              <w:fldChar w:fldCharType="end"/>
            </w:r>
          </w:hyperlink>
        </w:p>
        <w:p w:rsidR="00CD76BC" w:rsidRDefault="00CD76BC">
          <w:pPr>
            <w:pStyle w:val="TOC1"/>
            <w:tabs>
              <w:tab w:val="left" w:pos="440"/>
              <w:tab w:val="right" w:leader="dot" w:pos="9016"/>
            </w:tabs>
            <w:rPr>
              <w:rFonts w:eastAsiaTheme="minorEastAsia"/>
              <w:noProof/>
              <w:lang w:eastAsia="en-GB"/>
            </w:rPr>
          </w:pPr>
          <w:hyperlink w:anchor="_Toc535606301" w:history="1">
            <w:r w:rsidRPr="00377E72">
              <w:rPr>
                <w:rStyle w:val="Hyperlink"/>
                <w:noProof/>
              </w:rPr>
              <w:t>4</w:t>
            </w:r>
            <w:r>
              <w:rPr>
                <w:rFonts w:eastAsiaTheme="minorEastAsia"/>
                <w:noProof/>
                <w:lang w:eastAsia="en-GB"/>
              </w:rPr>
              <w:tab/>
            </w:r>
            <w:r w:rsidRPr="00377E72">
              <w:rPr>
                <w:rStyle w:val="Hyperlink"/>
                <w:noProof/>
              </w:rPr>
              <w:t>Conclusions and Recommendations</w:t>
            </w:r>
            <w:r>
              <w:rPr>
                <w:noProof/>
                <w:webHidden/>
              </w:rPr>
              <w:tab/>
            </w:r>
            <w:r>
              <w:rPr>
                <w:noProof/>
                <w:webHidden/>
              </w:rPr>
              <w:fldChar w:fldCharType="begin"/>
            </w:r>
            <w:r>
              <w:rPr>
                <w:noProof/>
                <w:webHidden/>
              </w:rPr>
              <w:instrText xml:space="preserve"> PAGEREF _Toc535606301 \h </w:instrText>
            </w:r>
            <w:r>
              <w:rPr>
                <w:noProof/>
                <w:webHidden/>
              </w:rPr>
            </w:r>
            <w:r>
              <w:rPr>
                <w:noProof/>
                <w:webHidden/>
              </w:rPr>
              <w:fldChar w:fldCharType="separate"/>
            </w:r>
            <w:r>
              <w:rPr>
                <w:noProof/>
                <w:webHidden/>
              </w:rPr>
              <w:t>8</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02" w:history="1">
            <w:r w:rsidRPr="00377E72">
              <w:rPr>
                <w:rStyle w:val="Hyperlink"/>
                <w:noProof/>
              </w:rPr>
              <w:t>4.1.1</w:t>
            </w:r>
            <w:r>
              <w:rPr>
                <w:rFonts w:eastAsiaTheme="minorEastAsia"/>
                <w:noProof/>
                <w:lang w:eastAsia="en-GB"/>
              </w:rPr>
              <w:tab/>
            </w:r>
            <w:r w:rsidRPr="00377E72">
              <w:rPr>
                <w:rStyle w:val="Hyperlink"/>
                <w:noProof/>
              </w:rPr>
              <w:t>Limitations</w:t>
            </w:r>
            <w:r>
              <w:rPr>
                <w:noProof/>
                <w:webHidden/>
              </w:rPr>
              <w:tab/>
            </w:r>
            <w:r>
              <w:rPr>
                <w:noProof/>
                <w:webHidden/>
              </w:rPr>
              <w:fldChar w:fldCharType="begin"/>
            </w:r>
            <w:r>
              <w:rPr>
                <w:noProof/>
                <w:webHidden/>
              </w:rPr>
              <w:instrText xml:space="preserve"> PAGEREF _Toc535606302 \h </w:instrText>
            </w:r>
            <w:r>
              <w:rPr>
                <w:noProof/>
                <w:webHidden/>
              </w:rPr>
            </w:r>
            <w:r>
              <w:rPr>
                <w:noProof/>
                <w:webHidden/>
              </w:rPr>
              <w:fldChar w:fldCharType="separate"/>
            </w:r>
            <w:r>
              <w:rPr>
                <w:noProof/>
                <w:webHidden/>
              </w:rPr>
              <w:t>9</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03" w:history="1">
            <w:r w:rsidRPr="00377E72">
              <w:rPr>
                <w:rStyle w:val="Hyperlink"/>
                <w:noProof/>
              </w:rPr>
              <w:t>4.1.2</w:t>
            </w:r>
            <w:r>
              <w:rPr>
                <w:rFonts w:eastAsiaTheme="minorEastAsia"/>
                <w:noProof/>
                <w:lang w:eastAsia="en-GB"/>
              </w:rPr>
              <w:tab/>
            </w:r>
            <w:r w:rsidRPr="00377E72">
              <w:rPr>
                <w:rStyle w:val="Hyperlink"/>
                <w:noProof/>
              </w:rPr>
              <w:t>Opportunities</w:t>
            </w:r>
            <w:r>
              <w:rPr>
                <w:noProof/>
                <w:webHidden/>
              </w:rPr>
              <w:tab/>
            </w:r>
            <w:r>
              <w:rPr>
                <w:noProof/>
                <w:webHidden/>
              </w:rPr>
              <w:fldChar w:fldCharType="begin"/>
            </w:r>
            <w:r>
              <w:rPr>
                <w:noProof/>
                <w:webHidden/>
              </w:rPr>
              <w:instrText xml:space="preserve"> PAGEREF _Toc535606303 \h </w:instrText>
            </w:r>
            <w:r>
              <w:rPr>
                <w:noProof/>
                <w:webHidden/>
              </w:rPr>
            </w:r>
            <w:r>
              <w:rPr>
                <w:noProof/>
                <w:webHidden/>
              </w:rPr>
              <w:fldChar w:fldCharType="separate"/>
            </w:r>
            <w:r>
              <w:rPr>
                <w:noProof/>
                <w:webHidden/>
              </w:rPr>
              <w:t>9</w:t>
            </w:r>
            <w:r>
              <w:rPr>
                <w:noProof/>
                <w:webHidden/>
              </w:rPr>
              <w:fldChar w:fldCharType="end"/>
            </w:r>
          </w:hyperlink>
        </w:p>
        <w:p w:rsidR="00CD76BC" w:rsidRDefault="00CD76BC">
          <w:pPr>
            <w:pStyle w:val="TOC1"/>
            <w:tabs>
              <w:tab w:val="left" w:pos="440"/>
              <w:tab w:val="right" w:leader="dot" w:pos="9016"/>
            </w:tabs>
            <w:rPr>
              <w:rFonts w:eastAsiaTheme="minorEastAsia"/>
              <w:noProof/>
              <w:lang w:eastAsia="en-GB"/>
            </w:rPr>
          </w:pPr>
          <w:hyperlink w:anchor="_Toc535606304" w:history="1">
            <w:r w:rsidRPr="00377E72">
              <w:rPr>
                <w:rStyle w:val="Hyperlink"/>
                <w:noProof/>
              </w:rPr>
              <w:t>5</w:t>
            </w:r>
            <w:r>
              <w:rPr>
                <w:rFonts w:eastAsiaTheme="minorEastAsia"/>
                <w:noProof/>
                <w:lang w:eastAsia="en-GB"/>
              </w:rPr>
              <w:tab/>
            </w:r>
            <w:r w:rsidRPr="00377E72">
              <w:rPr>
                <w:rStyle w:val="Hyperlink"/>
                <w:noProof/>
              </w:rPr>
              <w:t>Part 2 – James Plc</w:t>
            </w:r>
            <w:r>
              <w:rPr>
                <w:noProof/>
                <w:webHidden/>
              </w:rPr>
              <w:tab/>
            </w:r>
            <w:r>
              <w:rPr>
                <w:noProof/>
                <w:webHidden/>
              </w:rPr>
              <w:fldChar w:fldCharType="begin"/>
            </w:r>
            <w:r>
              <w:rPr>
                <w:noProof/>
                <w:webHidden/>
              </w:rPr>
              <w:instrText xml:space="preserve"> PAGEREF _Toc535606304 \h </w:instrText>
            </w:r>
            <w:r>
              <w:rPr>
                <w:noProof/>
                <w:webHidden/>
              </w:rPr>
            </w:r>
            <w:r>
              <w:rPr>
                <w:noProof/>
                <w:webHidden/>
              </w:rPr>
              <w:fldChar w:fldCharType="separate"/>
            </w:r>
            <w:r>
              <w:rPr>
                <w:noProof/>
                <w:webHidden/>
              </w:rPr>
              <w:t>10</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305" w:history="1">
            <w:r w:rsidRPr="00377E72">
              <w:rPr>
                <w:rStyle w:val="Hyperlink"/>
                <w:noProof/>
              </w:rPr>
              <w:t>5.1</w:t>
            </w:r>
            <w:r>
              <w:rPr>
                <w:rFonts w:eastAsiaTheme="minorEastAsia"/>
                <w:noProof/>
                <w:lang w:eastAsia="en-GB"/>
              </w:rPr>
              <w:tab/>
            </w:r>
            <w:r w:rsidRPr="00377E72">
              <w:rPr>
                <w:rStyle w:val="Hyperlink"/>
                <w:noProof/>
              </w:rPr>
              <w:t>Introduction</w:t>
            </w:r>
            <w:r>
              <w:rPr>
                <w:noProof/>
                <w:webHidden/>
              </w:rPr>
              <w:tab/>
            </w:r>
            <w:r>
              <w:rPr>
                <w:noProof/>
                <w:webHidden/>
              </w:rPr>
              <w:fldChar w:fldCharType="begin"/>
            </w:r>
            <w:r>
              <w:rPr>
                <w:noProof/>
                <w:webHidden/>
              </w:rPr>
              <w:instrText xml:space="preserve"> PAGEREF _Toc535606305 \h </w:instrText>
            </w:r>
            <w:r>
              <w:rPr>
                <w:noProof/>
                <w:webHidden/>
              </w:rPr>
            </w:r>
            <w:r>
              <w:rPr>
                <w:noProof/>
                <w:webHidden/>
              </w:rPr>
              <w:fldChar w:fldCharType="separate"/>
            </w:r>
            <w:r>
              <w:rPr>
                <w:noProof/>
                <w:webHidden/>
              </w:rPr>
              <w:t>10</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06" w:history="1">
            <w:r w:rsidRPr="00377E72">
              <w:rPr>
                <w:rStyle w:val="Hyperlink"/>
                <w:noProof/>
              </w:rPr>
              <w:t>5.1.1</w:t>
            </w:r>
            <w:r>
              <w:rPr>
                <w:rFonts w:eastAsiaTheme="minorEastAsia"/>
                <w:noProof/>
                <w:lang w:eastAsia="en-GB"/>
              </w:rPr>
              <w:tab/>
            </w:r>
            <w:r w:rsidRPr="00377E72">
              <w:rPr>
                <w:rStyle w:val="Hyperlink"/>
                <w:noProof/>
              </w:rPr>
              <w:t>James Plc</w:t>
            </w:r>
            <w:r>
              <w:rPr>
                <w:noProof/>
                <w:webHidden/>
              </w:rPr>
              <w:tab/>
            </w:r>
            <w:r>
              <w:rPr>
                <w:noProof/>
                <w:webHidden/>
              </w:rPr>
              <w:fldChar w:fldCharType="begin"/>
            </w:r>
            <w:r>
              <w:rPr>
                <w:noProof/>
                <w:webHidden/>
              </w:rPr>
              <w:instrText xml:space="preserve"> PAGEREF _Toc535606306 \h </w:instrText>
            </w:r>
            <w:r>
              <w:rPr>
                <w:noProof/>
                <w:webHidden/>
              </w:rPr>
            </w:r>
            <w:r>
              <w:rPr>
                <w:noProof/>
                <w:webHidden/>
              </w:rPr>
              <w:fldChar w:fldCharType="separate"/>
            </w:r>
            <w:r>
              <w:rPr>
                <w:noProof/>
                <w:webHidden/>
              </w:rPr>
              <w:t>10</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307" w:history="1">
            <w:r w:rsidRPr="00377E72">
              <w:rPr>
                <w:rStyle w:val="Hyperlink"/>
                <w:noProof/>
              </w:rPr>
              <w:t>5.2</w:t>
            </w:r>
            <w:r>
              <w:rPr>
                <w:rFonts w:eastAsiaTheme="minorEastAsia"/>
                <w:noProof/>
                <w:lang w:eastAsia="en-GB"/>
              </w:rPr>
              <w:tab/>
            </w:r>
            <w:r w:rsidRPr="00377E72">
              <w:rPr>
                <w:rStyle w:val="Hyperlink"/>
                <w:noProof/>
              </w:rPr>
              <w:t>Options Appraisal</w:t>
            </w:r>
            <w:r>
              <w:rPr>
                <w:noProof/>
                <w:webHidden/>
              </w:rPr>
              <w:tab/>
            </w:r>
            <w:r>
              <w:rPr>
                <w:noProof/>
                <w:webHidden/>
              </w:rPr>
              <w:fldChar w:fldCharType="begin"/>
            </w:r>
            <w:r>
              <w:rPr>
                <w:noProof/>
                <w:webHidden/>
              </w:rPr>
              <w:instrText xml:space="preserve"> PAGEREF _Toc535606307 \h </w:instrText>
            </w:r>
            <w:r>
              <w:rPr>
                <w:noProof/>
                <w:webHidden/>
              </w:rPr>
            </w:r>
            <w:r>
              <w:rPr>
                <w:noProof/>
                <w:webHidden/>
              </w:rPr>
              <w:fldChar w:fldCharType="separate"/>
            </w:r>
            <w:r>
              <w:rPr>
                <w:noProof/>
                <w:webHidden/>
              </w:rPr>
              <w:t>10</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08" w:history="1">
            <w:r w:rsidRPr="00377E72">
              <w:rPr>
                <w:rStyle w:val="Hyperlink"/>
                <w:noProof/>
              </w:rPr>
              <w:t>5.2.1</w:t>
            </w:r>
            <w:r>
              <w:rPr>
                <w:rFonts w:eastAsiaTheme="minorEastAsia"/>
                <w:noProof/>
                <w:lang w:eastAsia="en-GB"/>
              </w:rPr>
              <w:tab/>
            </w:r>
            <w:r w:rsidRPr="00377E72">
              <w:rPr>
                <w:rStyle w:val="Hyperlink"/>
                <w:noProof/>
              </w:rPr>
              <w:t>Investment?</w:t>
            </w:r>
            <w:r>
              <w:rPr>
                <w:noProof/>
                <w:webHidden/>
              </w:rPr>
              <w:tab/>
            </w:r>
            <w:r>
              <w:rPr>
                <w:noProof/>
                <w:webHidden/>
              </w:rPr>
              <w:fldChar w:fldCharType="begin"/>
            </w:r>
            <w:r>
              <w:rPr>
                <w:noProof/>
                <w:webHidden/>
              </w:rPr>
              <w:instrText xml:space="preserve"> PAGEREF _Toc535606308 \h </w:instrText>
            </w:r>
            <w:r>
              <w:rPr>
                <w:noProof/>
                <w:webHidden/>
              </w:rPr>
            </w:r>
            <w:r>
              <w:rPr>
                <w:noProof/>
                <w:webHidden/>
              </w:rPr>
              <w:fldChar w:fldCharType="separate"/>
            </w:r>
            <w:r>
              <w:rPr>
                <w:noProof/>
                <w:webHidden/>
              </w:rPr>
              <w:t>10</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09" w:history="1">
            <w:r w:rsidRPr="00377E72">
              <w:rPr>
                <w:rStyle w:val="Hyperlink"/>
                <w:noProof/>
              </w:rPr>
              <w:t>5.2.2</w:t>
            </w:r>
            <w:r>
              <w:rPr>
                <w:rFonts w:eastAsiaTheme="minorEastAsia"/>
                <w:noProof/>
                <w:lang w:eastAsia="en-GB"/>
              </w:rPr>
              <w:tab/>
            </w:r>
            <w:r w:rsidRPr="00377E72">
              <w:rPr>
                <w:rStyle w:val="Hyperlink"/>
                <w:noProof/>
              </w:rPr>
              <w:t>Assumptions</w:t>
            </w:r>
            <w:r>
              <w:rPr>
                <w:noProof/>
                <w:webHidden/>
              </w:rPr>
              <w:tab/>
            </w:r>
            <w:r>
              <w:rPr>
                <w:noProof/>
                <w:webHidden/>
              </w:rPr>
              <w:fldChar w:fldCharType="begin"/>
            </w:r>
            <w:r>
              <w:rPr>
                <w:noProof/>
                <w:webHidden/>
              </w:rPr>
              <w:instrText xml:space="preserve"> PAGEREF _Toc535606309 \h </w:instrText>
            </w:r>
            <w:r>
              <w:rPr>
                <w:noProof/>
                <w:webHidden/>
              </w:rPr>
            </w:r>
            <w:r>
              <w:rPr>
                <w:noProof/>
                <w:webHidden/>
              </w:rPr>
              <w:fldChar w:fldCharType="separate"/>
            </w:r>
            <w:r>
              <w:rPr>
                <w:noProof/>
                <w:webHidden/>
              </w:rPr>
              <w:t>10</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10" w:history="1">
            <w:r w:rsidRPr="00377E72">
              <w:rPr>
                <w:rStyle w:val="Hyperlink"/>
                <w:noProof/>
              </w:rPr>
              <w:t>5.2.3</w:t>
            </w:r>
            <w:r>
              <w:rPr>
                <w:rFonts w:eastAsiaTheme="minorEastAsia"/>
                <w:noProof/>
                <w:lang w:eastAsia="en-GB"/>
              </w:rPr>
              <w:tab/>
            </w:r>
            <w:r w:rsidRPr="00377E72">
              <w:rPr>
                <w:rStyle w:val="Hyperlink"/>
                <w:noProof/>
              </w:rPr>
              <w:t>Non-discounting methods of Investment Appraisal</w:t>
            </w:r>
            <w:r>
              <w:rPr>
                <w:noProof/>
                <w:webHidden/>
              </w:rPr>
              <w:tab/>
            </w:r>
            <w:r>
              <w:rPr>
                <w:noProof/>
                <w:webHidden/>
              </w:rPr>
              <w:fldChar w:fldCharType="begin"/>
            </w:r>
            <w:r>
              <w:rPr>
                <w:noProof/>
                <w:webHidden/>
              </w:rPr>
              <w:instrText xml:space="preserve"> PAGEREF _Toc535606310 \h </w:instrText>
            </w:r>
            <w:r>
              <w:rPr>
                <w:noProof/>
                <w:webHidden/>
              </w:rPr>
            </w:r>
            <w:r>
              <w:rPr>
                <w:noProof/>
                <w:webHidden/>
              </w:rPr>
              <w:fldChar w:fldCharType="separate"/>
            </w:r>
            <w:r>
              <w:rPr>
                <w:noProof/>
                <w:webHidden/>
              </w:rPr>
              <w:t>11</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311" w:history="1">
            <w:r w:rsidRPr="00377E72">
              <w:rPr>
                <w:rStyle w:val="Hyperlink"/>
                <w:noProof/>
              </w:rPr>
              <w:t>5.3</w:t>
            </w:r>
            <w:r>
              <w:rPr>
                <w:rFonts w:eastAsiaTheme="minorEastAsia"/>
                <w:noProof/>
                <w:lang w:eastAsia="en-GB"/>
              </w:rPr>
              <w:tab/>
            </w:r>
            <w:r w:rsidRPr="00377E72">
              <w:rPr>
                <w:rStyle w:val="Hyperlink"/>
                <w:noProof/>
              </w:rPr>
              <w:t>Net Present Value (NPV)</w:t>
            </w:r>
            <w:r>
              <w:rPr>
                <w:noProof/>
                <w:webHidden/>
              </w:rPr>
              <w:tab/>
            </w:r>
            <w:r>
              <w:rPr>
                <w:noProof/>
                <w:webHidden/>
              </w:rPr>
              <w:fldChar w:fldCharType="begin"/>
            </w:r>
            <w:r>
              <w:rPr>
                <w:noProof/>
                <w:webHidden/>
              </w:rPr>
              <w:instrText xml:space="preserve"> PAGEREF _Toc535606311 \h </w:instrText>
            </w:r>
            <w:r>
              <w:rPr>
                <w:noProof/>
                <w:webHidden/>
              </w:rPr>
            </w:r>
            <w:r>
              <w:rPr>
                <w:noProof/>
                <w:webHidden/>
              </w:rPr>
              <w:fldChar w:fldCharType="separate"/>
            </w:r>
            <w:r>
              <w:rPr>
                <w:noProof/>
                <w:webHidden/>
              </w:rPr>
              <w:t>11</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12" w:history="1">
            <w:r w:rsidRPr="00377E72">
              <w:rPr>
                <w:rStyle w:val="Hyperlink"/>
                <w:noProof/>
              </w:rPr>
              <w:t>5.3.1</w:t>
            </w:r>
            <w:r>
              <w:rPr>
                <w:rFonts w:eastAsiaTheme="minorEastAsia"/>
                <w:noProof/>
                <w:lang w:eastAsia="en-GB"/>
              </w:rPr>
              <w:tab/>
            </w:r>
            <w:r w:rsidRPr="00377E72">
              <w:rPr>
                <w:rStyle w:val="Hyperlink"/>
                <w:noProof/>
              </w:rPr>
              <w:t>Option (a)</w:t>
            </w:r>
            <w:r>
              <w:rPr>
                <w:noProof/>
                <w:webHidden/>
              </w:rPr>
              <w:tab/>
            </w:r>
            <w:r>
              <w:rPr>
                <w:noProof/>
                <w:webHidden/>
              </w:rPr>
              <w:fldChar w:fldCharType="begin"/>
            </w:r>
            <w:r>
              <w:rPr>
                <w:noProof/>
                <w:webHidden/>
              </w:rPr>
              <w:instrText xml:space="preserve"> PAGEREF _Toc535606312 \h </w:instrText>
            </w:r>
            <w:r>
              <w:rPr>
                <w:noProof/>
                <w:webHidden/>
              </w:rPr>
            </w:r>
            <w:r>
              <w:rPr>
                <w:noProof/>
                <w:webHidden/>
              </w:rPr>
              <w:fldChar w:fldCharType="separate"/>
            </w:r>
            <w:r>
              <w:rPr>
                <w:noProof/>
                <w:webHidden/>
              </w:rPr>
              <w:t>11</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13" w:history="1">
            <w:r w:rsidRPr="00377E72">
              <w:rPr>
                <w:rStyle w:val="Hyperlink"/>
                <w:noProof/>
              </w:rPr>
              <w:t>5.3.2</w:t>
            </w:r>
            <w:r>
              <w:rPr>
                <w:rFonts w:eastAsiaTheme="minorEastAsia"/>
                <w:noProof/>
                <w:lang w:eastAsia="en-GB"/>
              </w:rPr>
              <w:tab/>
            </w:r>
            <w:r w:rsidRPr="00377E72">
              <w:rPr>
                <w:rStyle w:val="Hyperlink"/>
                <w:noProof/>
              </w:rPr>
              <w:t>Option (b)</w:t>
            </w:r>
            <w:r>
              <w:rPr>
                <w:noProof/>
                <w:webHidden/>
              </w:rPr>
              <w:tab/>
            </w:r>
            <w:r>
              <w:rPr>
                <w:noProof/>
                <w:webHidden/>
              </w:rPr>
              <w:fldChar w:fldCharType="begin"/>
            </w:r>
            <w:r>
              <w:rPr>
                <w:noProof/>
                <w:webHidden/>
              </w:rPr>
              <w:instrText xml:space="preserve"> PAGEREF _Toc535606313 \h </w:instrText>
            </w:r>
            <w:r>
              <w:rPr>
                <w:noProof/>
                <w:webHidden/>
              </w:rPr>
            </w:r>
            <w:r>
              <w:rPr>
                <w:noProof/>
                <w:webHidden/>
              </w:rPr>
              <w:fldChar w:fldCharType="separate"/>
            </w:r>
            <w:r>
              <w:rPr>
                <w:noProof/>
                <w:webHidden/>
              </w:rPr>
              <w:t>11</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14" w:history="1">
            <w:r w:rsidRPr="00377E72">
              <w:rPr>
                <w:rStyle w:val="Hyperlink"/>
                <w:noProof/>
              </w:rPr>
              <w:t>5.3.3</w:t>
            </w:r>
            <w:r>
              <w:rPr>
                <w:rFonts w:eastAsiaTheme="minorEastAsia"/>
                <w:noProof/>
                <w:lang w:eastAsia="en-GB"/>
              </w:rPr>
              <w:tab/>
            </w:r>
            <w:r w:rsidRPr="00377E72">
              <w:rPr>
                <w:rStyle w:val="Hyperlink"/>
                <w:noProof/>
              </w:rPr>
              <w:t>Option (c)</w:t>
            </w:r>
            <w:r>
              <w:rPr>
                <w:noProof/>
                <w:webHidden/>
              </w:rPr>
              <w:tab/>
            </w:r>
            <w:r>
              <w:rPr>
                <w:noProof/>
                <w:webHidden/>
              </w:rPr>
              <w:fldChar w:fldCharType="begin"/>
            </w:r>
            <w:r>
              <w:rPr>
                <w:noProof/>
                <w:webHidden/>
              </w:rPr>
              <w:instrText xml:space="preserve"> PAGEREF _Toc535606314 \h </w:instrText>
            </w:r>
            <w:r>
              <w:rPr>
                <w:noProof/>
                <w:webHidden/>
              </w:rPr>
            </w:r>
            <w:r>
              <w:rPr>
                <w:noProof/>
                <w:webHidden/>
              </w:rPr>
              <w:fldChar w:fldCharType="separate"/>
            </w:r>
            <w:r>
              <w:rPr>
                <w:noProof/>
                <w:webHidden/>
              </w:rPr>
              <w:t>12</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315" w:history="1">
            <w:r w:rsidRPr="00377E72">
              <w:rPr>
                <w:rStyle w:val="Hyperlink"/>
                <w:noProof/>
              </w:rPr>
              <w:t>5.4</w:t>
            </w:r>
            <w:r>
              <w:rPr>
                <w:rFonts w:eastAsiaTheme="minorEastAsia"/>
                <w:noProof/>
                <w:lang w:eastAsia="en-GB"/>
              </w:rPr>
              <w:tab/>
            </w:r>
            <w:r w:rsidRPr="00377E72">
              <w:rPr>
                <w:rStyle w:val="Hyperlink"/>
                <w:noProof/>
              </w:rPr>
              <w:t>Internal Rate of Return (IRR)</w:t>
            </w:r>
            <w:r>
              <w:rPr>
                <w:noProof/>
                <w:webHidden/>
              </w:rPr>
              <w:tab/>
            </w:r>
            <w:r>
              <w:rPr>
                <w:noProof/>
                <w:webHidden/>
              </w:rPr>
              <w:fldChar w:fldCharType="begin"/>
            </w:r>
            <w:r>
              <w:rPr>
                <w:noProof/>
                <w:webHidden/>
              </w:rPr>
              <w:instrText xml:space="preserve"> PAGEREF _Toc535606315 \h </w:instrText>
            </w:r>
            <w:r>
              <w:rPr>
                <w:noProof/>
                <w:webHidden/>
              </w:rPr>
            </w:r>
            <w:r>
              <w:rPr>
                <w:noProof/>
                <w:webHidden/>
              </w:rPr>
              <w:fldChar w:fldCharType="separate"/>
            </w:r>
            <w:r>
              <w:rPr>
                <w:noProof/>
                <w:webHidden/>
              </w:rPr>
              <w:t>12</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316" w:history="1">
            <w:r w:rsidRPr="00377E72">
              <w:rPr>
                <w:rStyle w:val="Hyperlink"/>
                <w:noProof/>
              </w:rPr>
              <w:t>5.5</w:t>
            </w:r>
            <w:r>
              <w:rPr>
                <w:rFonts w:eastAsiaTheme="minorEastAsia"/>
                <w:noProof/>
                <w:lang w:eastAsia="en-GB"/>
              </w:rPr>
              <w:tab/>
            </w:r>
            <w:r w:rsidRPr="00377E72">
              <w:rPr>
                <w:rStyle w:val="Hyperlink"/>
                <w:noProof/>
              </w:rPr>
              <w:t>Fundamentals</w:t>
            </w:r>
            <w:r>
              <w:rPr>
                <w:noProof/>
                <w:webHidden/>
              </w:rPr>
              <w:tab/>
            </w:r>
            <w:r>
              <w:rPr>
                <w:noProof/>
                <w:webHidden/>
              </w:rPr>
              <w:fldChar w:fldCharType="begin"/>
            </w:r>
            <w:r>
              <w:rPr>
                <w:noProof/>
                <w:webHidden/>
              </w:rPr>
              <w:instrText xml:space="preserve"> PAGEREF _Toc535606316 \h </w:instrText>
            </w:r>
            <w:r>
              <w:rPr>
                <w:noProof/>
                <w:webHidden/>
              </w:rPr>
            </w:r>
            <w:r>
              <w:rPr>
                <w:noProof/>
                <w:webHidden/>
              </w:rPr>
              <w:fldChar w:fldCharType="separate"/>
            </w:r>
            <w:r>
              <w:rPr>
                <w:noProof/>
                <w:webHidden/>
              </w:rPr>
              <w:t>13</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17" w:history="1">
            <w:r w:rsidRPr="00377E72">
              <w:rPr>
                <w:rStyle w:val="Hyperlink"/>
                <w:noProof/>
              </w:rPr>
              <w:t>5.5.1</w:t>
            </w:r>
            <w:r>
              <w:rPr>
                <w:rFonts w:eastAsiaTheme="minorEastAsia"/>
                <w:noProof/>
                <w:lang w:eastAsia="en-GB"/>
              </w:rPr>
              <w:tab/>
            </w:r>
            <w:r w:rsidRPr="00377E72">
              <w:rPr>
                <w:rStyle w:val="Hyperlink"/>
                <w:noProof/>
              </w:rPr>
              <w:t>Profitability</w:t>
            </w:r>
            <w:r>
              <w:rPr>
                <w:noProof/>
                <w:webHidden/>
              </w:rPr>
              <w:tab/>
            </w:r>
            <w:r>
              <w:rPr>
                <w:noProof/>
                <w:webHidden/>
              </w:rPr>
              <w:fldChar w:fldCharType="begin"/>
            </w:r>
            <w:r>
              <w:rPr>
                <w:noProof/>
                <w:webHidden/>
              </w:rPr>
              <w:instrText xml:space="preserve"> PAGEREF _Toc535606317 \h </w:instrText>
            </w:r>
            <w:r>
              <w:rPr>
                <w:noProof/>
                <w:webHidden/>
              </w:rPr>
            </w:r>
            <w:r>
              <w:rPr>
                <w:noProof/>
                <w:webHidden/>
              </w:rPr>
              <w:fldChar w:fldCharType="separate"/>
            </w:r>
            <w:r>
              <w:rPr>
                <w:noProof/>
                <w:webHidden/>
              </w:rPr>
              <w:t>13</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318" w:history="1">
            <w:r w:rsidRPr="00377E72">
              <w:rPr>
                <w:rStyle w:val="Hyperlink"/>
                <w:noProof/>
              </w:rPr>
              <w:t>5.6</w:t>
            </w:r>
            <w:r>
              <w:rPr>
                <w:rFonts w:eastAsiaTheme="minorEastAsia"/>
                <w:noProof/>
                <w:lang w:eastAsia="en-GB"/>
              </w:rPr>
              <w:tab/>
            </w:r>
            <w:r w:rsidRPr="00377E72">
              <w:rPr>
                <w:rStyle w:val="Hyperlink"/>
                <w:noProof/>
              </w:rPr>
              <w:t>Investment considerations</w:t>
            </w:r>
            <w:r>
              <w:rPr>
                <w:noProof/>
                <w:webHidden/>
              </w:rPr>
              <w:tab/>
            </w:r>
            <w:r>
              <w:rPr>
                <w:noProof/>
                <w:webHidden/>
              </w:rPr>
              <w:fldChar w:fldCharType="begin"/>
            </w:r>
            <w:r>
              <w:rPr>
                <w:noProof/>
                <w:webHidden/>
              </w:rPr>
              <w:instrText xml:space="preserve"> PAGEREF _Toc535606318 \h </w:instrText>
            </w:r>
            <w:r>
              <w:rPr>
                <w:noProof/>
                <w:webHidden/>
              </w:rPr>
            </w:r>
            <w:r>
              <w:rPr>
                <w:noProof/>
                <w:webHidden/>
              </w:rPr>
              <w:fldChar w:fldCharType="separate"/>
            </w:r>
            <w:r>
              <w:rPr>
                <w:noProof/>
                <w:webHidden/>
              </w:rPr>
              <w:t>14</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319" w:history="1">
            <w:r w:rsidRPr="00377E72">
              <w:rPr>
                <w:rStyle w:val="Hyperlink"/>
                <w:noProof/>
              </w:rPr>
              <w:t>5.7</w:t>
            </w:r>
            <w:r>
              <w:rPr>
                <w:rFonts w:eastAsiaTheme="minorEastAsia"/>
                <w:noProof/>
                <w:lang w:eastAsia="en-GB"/>
              </w:rPr>
              <w:tab/>
            </w:r>
            <w:r w:rsidRPr="00377E72">
              <w:rPr>
                <w:rStyle w:val="Hyperlink"/>
                <w:noProof/>
              </w:rPr>
              <w:t>Investment Recommendation to the Board</w:t>
            </w:r>
            <w:r>
              <w:rPr>
                <w:noProof/>
                <w:webHidden/>
              </w:rPr>
              <w:tab/>
            </w:r>
            <w:r>
              <w:rPr>
                <w:noProof/>
                <w:webHidden/>
              </w:rPr>
              <w:fldChar w:fldCharType="begin"/>
            </w:r>
            <w:r>
              <w:rPr>
                <w:noProof/>
                <w:webHidden/>
              </w:rPr>
              <w:instrText xml:space="preserve"> PAGEREF _Toc535606319 \h </w:instrText>
            </w:r>
            <w:r>
              <w:rPr>
                <w:noProof/>
                <w:webHidden/>
              </w:rPr>
            </w:r>
            <w:r>
              <w:rPr>
                <w:noProof/>
                <w:webHidden/>
              </w:rPr>
              <w:fldChar w:fldCharType="separate"/>
            </w:r>
            <w:r>
              <w:rPr>
                <w:noProof/>
                <w:webHidden/>
              </w:rPr>
              <w:t>15</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20" w:history="1">
            <w:r w:rsidRPr="00377E72">
              <w:rPr>
                <w:rStyle w:val="Hyperlink"/>
                <w:noProof/>
              </w:rPr>
              <w:t>5.7.1</w:t>
            </w:r>
            <w:r>
              <w:rPr>
                <w:rFonts w:eastAsiaTheme="minorEastAsia"/>
                <w:noProof/>
                <w:lang w:eastAsia="en-GB"/>
              </w:rPr>
              <w:tab/>
            </w:r>
            <w:r w:rsidRPr="00377E72">
              <w:rPr>
                <w:rStyle w:val="Hyperlink"/>
                <w:noProof/>
              </w:rPr>
              <w:t>Preferred Option:</w:t>
            </w:r>
            <w:r>
              <w:rPr>
                <w:noProof/>
                <w:webHidden/>
              </w:rPr>
              <w:tab/>
            </w:r>
            <w:r>
              <w:rPr>
                <w:noProof/>
                <w:webHidden/>
              </w:rPr>
              <w:fldChar w:fldCharType="begin"/>
            </w:r>
            <w:r>
              <w:rPr>
                <w:noProof/>
                <w:webHidden/>
              </w:rPr>
              <w:instrText xml:space="preserve"> PAGEREF _Toc535606320 \h </w:instrText>
            </w:r>
            <w:r>
              <w:rPr>
                <w:noProof/>
                <w:webHidden/>
              </w:rPr>
            </w:r>
            <w:r>
              <w:rPr>
                <w:noProof/>
                <w:webHidden/>
              </w:rPr>
              <w:fldChar w:fldCharType="separate"/>
            </w:r>
            <w:r>
              <w:rPr>
                <w:noProof/>
                <w:webHidden/>
              </w:rPr>
              <w:t>16</w:t>
            </w:r>
            <w:r>
              <w:rPr>
                <w:noProof/>
                <w:webHidden/>
              </w:rPr>
              <w:fldChar w:fldCharType="end"/>
            </w:r>
          </w:hyperlink>
        </w:p>
        <w:p w:rsidR="00CD76BC" w:rsidRDefault="00CD76BC">
          <w:pPr>
            <w:pStyle w:val="TOC1"/>
            <w:tabs>
              <w:tab w:val="left" w:pos="440"/>
              <w:tab w:val="right" w:leader="dot" w:pos="9016"/>
            </w:tabs>
            <w:rPr>
              <w:rFonts w:eastAsiaTheme="minorEastAsia"/>
              <w:noProof/>
              <w:lang w:eastAsia="en-GB"/>
            </w:rPr>
          </w:pPr>
          <w:hyperlink w:anchor="_Toc535606321" w:history="1">
            <w:r w:rsidRPr="00377E72">
              <w:rPr>
                <w:rStyle w:val="Hyperlink"/>
                <w:noProof/>
              </w:rPr>
              <w:t>6</w:t>
            </w:r>
            <w:r>
              <w:rPr>
                <w:rFonts w:eastAsiaTheme="minorEastAsia"/>
                <w:noProof/>
                <w:lang w:eastAsia="en-GB"/>
              </w:rPr>
              <w:tab/>
            </w:r>
            <w:r w:rsidRPr="00377E72">
              <w:rPr>
                <w:rStyle w:val="Hyperlink"/>
                <w:noProof/>
              </w:rPr>
              <w:t>References</w:t>
            </w:r>
            <w:r>
              <w:rPr>
                <w:noProof/>
                <w:webHidden/>
              </w:rPr>
              <w:tab/>
            </w:r>
            <w:r>
              <w:rPr>
                <w:noProof/>
                <w:webHidden/>
              </w:rPr>
              <w:fldChar w:fldCharType="begin"/>
            </w:r>
            <w:r>
              <w:rPr>
                <w:noProof/>
                <w:webHidden/>
              </w:rPr>
              <w:instrText xml:space="preserve"> PAGEREF _Toc535606321 \h </w:instrText>
            </w:r>
            <w:r>
              <w:rPr>
                <w:noProof/>
                <w:webHidden/>
              </w:rPr>
            </w:r>
            <w:r>
              <w:rPr>
                <w:noProof/>
                <w:webHidden/>
              </w:rPr>
              <w:fldChar w:fldCharType="separate"/>
            </w:r>
            <w:r>
              <w:rPr>
                <w:noProof/>
                <w:webHidden/>
              </w:rPr>
              <w:t>17</w:t>
            </w:r>
            <w:r>
              <w:rPr>
                <w:noProof/>
                <w:webHidden/>
              </w:rPr>
              <w:fldChar w:fldCharType="end"/>
            </w:r>
          </w:hyperlink>
        </w:p>
        <w:p w:rsidR="00CD76BC" w:rsidRDefault="00CD76BC">
          <w:pPr>
            <w:pStyle w:val="TOC1"/>
            <w:tabs>
              <w:tab w:val="left" w:pos="440"/>
              <w:tab w:val="right" w:leader="dot" w:pos="9016"/>
            </w:tabs>
            <w:rPr>
              <w:rFonts w:eastAsiaTheme="minorEastAsia"/>
              <w:noProof/>
              <w:lang w:eastAsia="en-GB"/>
            </w:rPr>
          </w:pPr>
          <w:hyperlink w:anchor="_Toc535606322" w:history="1">
            <w:r w:rsidRPr="00377E72">
              <w:rPr>
                <w:rStyle w:val="Hyperlink"/>
                <w:noProof/>
              </w:rPr>
              <w:t>7</w:t>
            </w:r>
            <w:r>
              <w:rPr>
                <w:rFonts w:eastAsiaTheme="minorEastAsia"/>
                <w:noProof/>
                <w:lang w:eastAsia="en-GB"/>
              </w:rPr>
              <w:tab/>
            </w:r>
            <w:r w:rsidRPr="00377E72">
              <w:rPr>
                <w:rStyle w:val="Hyperlink"/>
                <w:noProof/>
              </w:rPr>
              <w:t>Appendices</w:t>
            </w:r>
            <w:r>
              <w:rPr>
                <w:noProof/>
                <w:webHidden/>
              </w:rPr>
              <w:tab/>
            </w:r>
            <w:r>
              <w:rPr>
                <w:noProof/>
                <w:webHidden/>
              </w:rPr>
              <w:fldChar w:fldCharType="begin"/>
            </w:r>
            <w:r>
              <w:rPr>
                <w:noProof/>
                <w:webHidden/>
              </w:rPr>
              <w:instrText xml:space="preserve"> PAGEREF _Toc535606322 \h </w:instrText>
            </w:r>
            <w:r>
              <w:rPr>
                <w:noProof/>
                <w:webHidden/>
              </w:rPr>
            </w:r>
            <w:r>
              <w:rPr>
                <w:noProof/>
                <w:webHidden/>
              </w:rPr>
              <w:fldChar w:fldCharType="separate"/>
            </w:r>
            <w:r>
              <w:rPr>
                <w:noProof/>
                <w:webHidden/>
              </w:rPr>
              <w:t>20</w:t>
            </w:r>
            <w:r>
              <w:rPr>
                <w:noProof/>
                <w:webHidden/>
              </w:rPr>
              <w:fldChar w:fldCharType="end"/>
            </w:r>
          </w:hyperlink>
        </w:p>
        <w:p w:rsidR="00CD76BC" w:rsidRDefault="00CD76BC">
          <w:pPr>
            <w:pStyle w:val="TOC2"/>
            <w:tabs>
              <w:tab w:val="left" w:pos="880"/>
              <w:tab w:val="right" w:leader="dot" w:pos="9016"/>
            </w:tabs>
            <w:rPr>
              <w:rFonts w:eastAsiaTheme="minorEastAsia"/>
              <w:noProof/>
              <w:lang w:eastAsia="en-GB"/>
            </w:rPr>
          </w:pPr>
          <w:hyperlink w:anchor="_Toc535606323" w:history="1">
            <w:r w:rsidRPr="00377E72">
              <w:rPr>
                <w:rStyle w:val="Hyperlink"/>
                <w:noProof/>
              </w:rPr>
              <w:t>7.1</w:t>
            </w:r>
            <w:r>
              <w:rPr>
                <w:rFonts w:eastAsiaTheme="minorEastAsia"/>
                <w:noProof/>
                <w:lang w:eastAsia="en-GB"/>
              </w:rPr>
              <w:tab/>
            </w:r>
            <w:r w:rsidRPr="00377E72">
              <w:rPr>
                <w:rStyle w:val="Hyperlink"/>
                <w:noProof/>
              </w:rPr>
              <w:t>Hargreaves Lansdown Financial Statements</w:t>
            </w:r>
            <w:r>
              <w:rPr>
                <w:noProof/>
                <w:webHidden/>
              </w:rPr>
              <w:tab/>
            </w:r>
            <w:r>
              <w:rPr>
                <w:noProof/>
                <w:webHidden/>
              </w:rPr>
              <w:fldChar w:fldCharType="begin"/>
            </w:r>
            <w:r>
              <w:rPr>
                <w:noProof/>
                <w:webHidden/>
              </w:rPr>
              <w:instrText xml:space="preserve"> PAGEREF _Toc535606323 \h </w:instrText>
            </w:r>
            <w:r>
              <w:rPr>
                <w:noProof/>
                <w:webHidden/>
              </w:rPr>
            </w:r>
            <w:r>
              <w:rPr>
                <w:noProof/>
                <w:webHidden/>
              </w:rPr>
              <w:fldChar w:fldCharType="separate"/>
            </w:r>
            <w:r>
              <w:rPr>
                <w:noProof/>
                <w:webHidden/>
              </w:rPr>
              <w:t>20</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24" w:history="1">
            <w:r w:rsidRPr="00377E72">
              <w:rPr>
                <w:rStyle w:val="Hyperlink"/>
                <w:noProof/>
              </w:rPr>
              <w:t>7.1.1</w:t>
            </w:r>
            <w:r>
              <w:rPr>
                <w:rFonts w:eastAsiaTheme="minorEastAsia"/>
                <w:noProof/>
                <w:lang w:eastAsia="en-GB"/>
              </w:rPr>
              <w:tab/>
            </w:r>
            <w:r w:rsidRPr="00377E72">
              <w:rPr>
                <w:rStyle w:val="Hyperlink"/>
                <w:noProof/>
              </w:rPr>
              <w:t>Income Statement</w:t>
            </w:r>
            <w:r>
              <w:rPr>
                <w:noProof/>
                <w:webHidden/>
              </w:rPr>
              <w:tab/>
            </w:r>
            <w:r>
              <w:rPr>
                <w:noProof/>
                <w:webHidden/>
              </w:rPr>
              <w:fldChar w:fldCharType="begin"/>
            </w:r>
            <w:r>
              <w:rPr>
                <w:noProof/>
                <w:webHidden/>
              </w:rPr>
              <w:instrText xml:space="preserve"> PAGEREF _Toc535606324 \h </w:instrText>
            </w:r>
            <w:r>
              <w:rPr>
                <w:noProof/>
                <w:webHidden/>
              </w:rPr>
            </w:r>
            <w:r>
              <w:rPr>
                <w:noProof/>
                <w:webHidden/>
              </w:rPr>
              <w:fldChar w:fldCharType="separate"/>
            </w:r>
            <w:r>
              <w:rPr>
                <w:noProof/>
                <w:webHidden/>
              </w:rPr>
              <w:t>20</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25" w:history="1">
            <w:r w:rsidRPr="00377E72">
              <w:rPr>
                <w:rStyle w:val="Hyperlink"/>
                <w:noProof/>
              </w:rPr>
              <w:t>7.1.2</w:t>
            </w:r>
            <w:r>
              <w:rPr>
                <w:rFonts w:eastAsiaTheme="minorEastAsia"/>
                <w:noProof/>
                <w:lang w:eastAsia="en-GB"/>
              </w:rPr>
              <w:tab/>
            </w:r>
            <w:r w:rsidRPr="00377E72">
              <w:rPr>
                <w:rStyle w:val="Hyperlink"/>
                <w:noProof/>
              </w:rPr>
              <w:t>Balance Sheet</w:t>
            </w:r>
            <w:r>
              <w:rPr>
                <w:noProof/>
                <w:webHidden/>
              </w:rPr>
              <w:tab/>
            </w:r>
            <w:r>
              <w:rPr>
                <w:noProof/>
                <w:webHidden/>
              </w:rPr>
              <w:fldChar w:fldCharType="begin"/>
            </w:r>
            <w:r>
              <w:rPr>
                <w:noProof/>
                <w:webHidden/>
              </w:rPr>
              <w:instrText xml:space="preserve"> PAGEREF _Toc535606325 \h </w:instrText>
            </w:r>
            <w:r>
              <w:rPr>
                <w:noProof/>
                <w:webHidden/>
              </w:rPr>
            </w:r>
            <w:r>
              <w:rPr>
                <w:noProof/>
                <w:webHidden/>
              </w:rPr>
              <w:fldChar w:fldCharType="separate"/>
            </w:r>
            <w:r>
              <w:rPr>
                <w:noProof/>
                <w:webHidden/>
              </w:rPr>
              <w:t>21</w:t>
            </w:r>
            <w:r>
              <w:rPr>
                <w:noProof/>
                <w:webHidden/>
              </w:rPr>
              <w:fldChar w:fldCharType="end"/>
            </w:r>
          </w:hyperlink>
        </w:p>
        <w:p w:rsidR="00CD76BC" w:rsidRDefault="00CD76BC">
          <w:pPr>
            <w:pStyle w:val="TOC3"/>
            <w:tabs>
              <w:tab w:val="left" w:pos="1320"/>
              <w:tab w:val="right" w:leader="dot" w:pos="9016"/>
            </w:tabs>
            <w:rPr>
              <w:rFonts w:eastAsiaTheme="minorEastAsia"/>
              <w:noProof/>
              <w:lang w:eastAsia="en-GB"/>
            </w:rPr>
          </w:pPr>
          <w:hyperlink w:anchor="_Toc535606326" w:history="1">
            <w:r w:rsidRPr="00377E72">
              <w:rPr>
                <w:rStyle w:val="Hyperlink"/>
                <w:noProof/>
              </w:rPr>
              <w:t>7.1.3</w:t>
            </w:r>
            <w:r>
              <w:rPr>
                <w:rFonts w:eastAsiaTheme="minorEastAsia"/>
                <w:noProof/>
                <w:lang w:eastAsia="en-GB"/>
              </w:rPr>
              <w:tab/>
            </w:r>
            <w:r w:rsidRPr="00377E72">
              <w:rPr>
                <w:rStyle w:val="Hyperlink"/>
                <w:noProof/>
              </w:rPr>
              <w:t>Cashflow Statement</w:t>
            </w:r>
            <w:r>
              <w:rPr>
                <w:noProof/>
                <w:webHidden/>
              </w:rPr>
              <w:tab/>
            </w:r>
            <w:r>
              <w:rPr>
                <w:noProof/>
                <w:webHidden/>
              </w:rPr>
              <w:fldChar w:fldCharType="begin"/>
            </w:r>
            <w:r>
              <w:rPr>
                <w:noProof/>
                <w:webHidden/>
              </w:rPr>
              <w:instrText xml:space="preserve"> PAGEREF _Toc535606326 \h </w:instrText>
            </w:r>
            <w:r>
              <w:rPr>
                <w:noProof/>
                <w:webHidden/>
              </w:rPr>
            </w:r>
            <w:r>
              <w:rPr>
                <w:noProof/>
                <w:webHidden/>
              </w:rPr>
              <w:fldChar w:fldCharType="separate"/>
            </w:r>
            <w:r>
              <w:rPr>
                <w:noProof/>
                <w:webHidden/>
              </w:rPr>
              <w:t>23</w:t>
            </w:r>
            <w:r>
              <w:rPr>
                <w:noProof/>
                <w:webHidden/>
              </w:rPr>
              <w:fldChar w:fldCharType="end"/>
            </w:r>
          </w:hyperlink>
        </w:p>
        <w:p w:rsidR="00DF4CA7" w:rsidRDefault="00DF4CA7">
          <w:r>
            <w:rPr>
              <w:b/>
              <w:bCs/>
              <w:noProof/>
            </w:rPr>
            <w:fldChar w:fldCharType="end"/>
          </w:r>
        </w:p>
      </w:sdtContent>
    </w:sdt>
    <w:p w:rsidR="001A790D" w:rsidRDefault="001A790D" w:rsidP="001A790D">
      <w:pPr>
        <w:pStyle w:val="Heading1"/>
        <w:numPr>
          <w:ilvl w:val="0"/>
          <w:numId w:val="0"/>
        </w:numPr>
        <w:ind w:left="432"/>
      </w:pPr>
    </w:p>
    <w:p w:rsidR="0020743A" w:rsidRDefault="0020743A">
      <w:pPr>
        <w:pStyle w:val="TableofFigures"/>
        <w:tabs>
          <w:tab w:val="right" w:leader="dot" w:pos="9016"/>
        </w:tabs>
        <w:rPr>
          <w:noProof/>
        </w:rPr>
      </w:pPr>
      <w:r>
        <w:fldChar w:fldCharType="begin"/>
      </w:r>
      <w:r>
        <w:instrText xml:space="preserve"> TOC \h \z \c "Table" </w:instrText>
      </w:r>
      <w:r>
        <w:fldChar w:fldCharType="separate"/>
      </w:r>
      <w:hyperlink w:anchor="_Toc535605998" w:history="1">
        <w:r w:rsidRPr="004C2FF4">
          <w:rPr>
            <w:rStyle w:val="Hyperlink"/>
            <w:noProof/>
          </w:rPr>
          <w:t>Table 1 - Profitability: HL v Sector TTM</w:t>
        </w:r>
        <w:r>
          <w:rPr>
            <w:noProof/>
            <w:webHidden/>
          </w:rPr>
          <w:tab/>
        </w:r>
        <w:r>
          <w:rPr>
            <w:noProof/>
            <w:webHidden/>
          </w:rPr>
          <w:fldChar w:fldCharType="begin"/>
        </w:r>
        <w:r>
          <w:rPr>
            <w:noProof/>
            <w:webHidden/>
          </w:rPr>
          <w:instrText xml:space="preserve"> PAGEREF _Toc535605998 \h </w:instrText>
        </w:r>
        <w:r>
          <w:rPr>
            <w:noProof/>
            <w:webHidden/>
          </w:rPr>
        </w:r>
        <w:r>
          <w:rPr>
            <w:noProof/>
            <w:webHidden/>
          </w:rPr>
          <w:fldChar w:fldCharType="separate"/>
        </w:r>
        <w:r>
          <w:rPr>
            <w:noProof/>
            <w:webHidden/>
          </w:rPr>
          <w:t>5</w:t>
        </w:r>
        <w:r>
          <w:rPr>
            <w:noProof/>
            <w:webHidden/>
          </w:rPr>
          <w:fldChar w:fldCharType="end"/>
        </w:r>
      </w:hyperlink>
    </w:p>
    <w:p w:rsidR="0020743A" w:rsidRDefault="0020743A">
      <w:pPr>
        <w:pStyle w:val="TableofFigures"/>
        <w:tabs>
          <w:tab w:val="right" w:leader="dot" w:pos="9016"/>
        </w:tabs>
        <w:rPr>
          <w:noProof/>
        </w:rPr>
      </w:pPr>
      <w:hyperlink w:anchor="_Toc535605999" w:history="1">
        <w:r w:rsidRPr="004C2FF4">
          <w:rPr>
            <w:rStyle w:val="Hyperlink"/>
            <w:noProof/>
          </w:rPr>
          <w:t>Table 2 - Profitability: HL v Sector 5ya</w:t>
        </w:r>
        <w:r>
          <w:rPr>
            <w:noProof/>
            <w:webHidden/>
          </w:rPr>
          <w:tab/>
        </w:r>
        <w:r>
          <w:rPr>
            <w:noProof/>
            <w:webHidden/>
          </w:rPr>
          <w:fldChar w:fldCharType="begin"/>
        </w:r>
        <w:r>
          <w:rPr>
            <w:noProof/>
            <w:webHidden/>
          </w:rPr>
          <w:instrText xml:space="preserve"> PAGEREF _Toc535605999 \h </w:instrText>
        </w:r>
        <w:r>
          <w:rPr>
            <w:noProof/>
            <w:webHidden/>
          </w:rPr>
        </w:r>
        <w:r>
          <w:rPr>
            <w:noProof/>
            <w:webHidden/>
          </w:rPr>
          <w:fldChar w:fldCharType="separate"/>
        </w:r>
        <w:r>
          <w:rPr>
            <w:noProof/>
            <w:webHidden/>
          </w:rPr>
          <w:t>6</w:t>
        </w:r>
        <w:r>
          <w:rPr>
            <w:noProof/>
            <w:webHidden/>
          </w:rPr>
          <w:fldChar w:fldCharType="end"/>
        </w:r>
      </w:hyperlink>
    </w:p>
    <w:p w:rsidR="0020743A" w:rsidRDefault="0020743A">
      <w:pPr>
        <w:pStyle w:val="TableofFigures"/>
        <w:tabs>
          <w:tab w:val="right" w:leader="dot" w:pos="9016"/>
        </w:tabs>
        <w:rPr>
          <w:noProof/>
        </w:rPr>
      </w:pPr>
      <w:hyperlink w:anchor="_Toc535606000" w:history="1">
        <w:r w:rsidRPr="004C2FF4">
          <w:rPr>
            <w:rStyle w:val="Hyperlink"/>
            <w:noProof/>
          </w:rPr>
          <w:t>Table 3 - HL Profitability Margin &amp; ROCE</w:t>
        </w:r>
        <w:r>
          <w:rPr>
            <w:noProof/>
            <w:webHidden/>
          </w:rPr>
          <w:tab/>
        </w:r>
        <w:r>
          <w:rPr>
            <w:noProof/>
            <w:webHidden/>
          </w:rPr>
          <w:fldChar w:fldCharType="begin"/>
        </w:r>
        <w:r>
          <w:rPr>
            <w:noProof/>
            <w:webHidden/>
          </w:rPr>
          <w:instrText xml:space="preserve"> PAGEREF _Toc535606000 \h </w:instrText>
        </w:r>
        <w:r>
          <w:rPr>
            <w:noProof/>
            <w:webHidden/>
          </w:rPr>
        </w:r>
        <w:r>
          <w:rPr>
            <w:noProof/>
            <w:webHidden/>
          </w:rPr>
          <w:fldChar w:fldCharType="separate"/>
        </w:r>
        <w:r>
          <w:rPr>
            <w:noProof/>
            <w:webHidden/>
          </w:rPr>
          <w:t>6</w:t>
        </w:r>
        <w:r>
          <w:rPr>
            <w:noProof/>
            <w:webHidden/>
          </w:rPr>
          <w:fldChar w:fldCharType="end"/>
        </w:r>
      </w:hyperlink>
    </w:p>
    <w:p w:rsidR="0020743A" w:rsidRDefault="0020743A">
      <w:pPr>
        <w:pStyle w:val="TableofFigures"/>
        <w:tabs>
          <w:tab w:val="right" w:leader="dot" w:pos="9016"/>
        </w:tabs>
        <w:rPr>
          <w:noProof/>
        </w:rPr>
      </w:pPr>
      <w:hyperlink w:anchor="_Toc535606001" w:history="1">
        <w:r w:rsidRPr="004C2FF4">
          <w:rPr>
            <w:rStyle w:val="Hyperlink"/>
            <w:noProof/>
          </w:rPr>
          <w:t>Table 4 - ROCE comparison HL v SLA</w:t>
        </w:r>
        <w:r>
          <w:rPr>
            <w:noProof/>
            <w:webHidden/>
          </w:rPr>
          <w:tab/>
        </w:r>
        <w:r>
          <w:rPr>
            <w:noProof/>
            <w:webHidden/>
          </w:rPr>
          <w:fldChar w:fldCharType="begin"/>
        </w:r>
        <w:r>
          <w:rPr>
            <w:noProof/>
            <w:webHidden/>
          </w:rPr>
          <w:instrText xml:space="preserve"> PAGEREF _Toc535606001 \h </w:instrText>
        </w:r>
        <w:r>
          <w:rPr>
            <w:noProof/>
            <w:webHidden/>
          </w:rPr>
        </w:r>
        <w:r>
          <w:rPr>
            <w:noProof/>
            <w:webHidden/>
          </w:rPr>
          <w:fldChar w:fldCharType="separate"/>
        </w:r>
        <w:r>
          <w:rPr>
            <w:noProof/>
            <w:webHidden/>
          </w:rPr>
          <w:t>6</w:t>
        </w:r>
        <w:r>
          <w:rPr>
            <w:noProof/>
            <w:webHidden/>
          </w:rPr>
          <w:fldChar w:fldCharType="end"/>
        </w:r>
      </w:hyperlink>
    </w:p>
    <w:p w:rsidR="0020743A" w:rsidRDefault="0020743A">
      <w:pPr>
        <w:pStyle w:val="TableofFigures"/>
        <w:tabs>
          <w:tab w:val="right" w:leader="dot" w:pos="9016"/>
        </w:tabs>
        <w:rPr>
          <w:noProof/>
        </w:rPr>
      </w:pPr>
      <w:hyperlink w:anchor="_Toc535606002" w:history="1">
        <w:r w:rsidRPr="004C2FF4">
          <w:rPr>
            <w:rStyle w:val="Hyperlink"/>
            <w:noProof/>
          </w:rPr>
          <w:t>Table 5 - Liquidity Ratios HL</w:t>
        </w:r>
        <w:r>
          <w:rPr>
            <w:noProof/>
            <w:webHidden/>
          </w:rPr>
          <w:tab/>
        </w:r>
        <w:r>
          <w:rPr>
            <w:noProof/>
            <w:webHidden/>
          </w:rPr>
          <w:fldChar w:fldCharType="begin"/>
        </w:r>
        <w:r>
          <w:rPr>
            <w:noProof/>
            <w:webHidden/>
          </w:rPr>
          <w:instrText xml:space="preserve"> PAGEREF _Toc535606002 \h </w:instrText>
        </w:r>
        <w:r>
          <w:rPr>
            <w:noProof/>
            <w:webHidden/>
          </w:rPr>
        </w:r>
        <w:r>
          <w:rPr>
            <w:noProof/>
            <w:webHidden/>
          </w:rPr>
          <w:fldChar w:fldCharType="separate"/>
        </w:r>
        <w:r>
          <w:rPr>
            <w:noProof/>
            <w:webHidden/>
          </w:rPr>
          <w:t>6</w:t>
        </w:r>
        <w:r>
          <w:rPr>
            <w:noProof/>
            <w:webHidden/>
          </w:rPr>
          <w:fldChar w:fldCharType="end"/>
        </w:r>
      </w:hyperlink>
    </w:p>
    <w:p w:rsidR="0020743A" w:rsidRDefault="0020743A">
      <w:pPr>
        <w:pStyle w:val="TableofFigures"/>
        <w:tabs>
          <w:tab w:val="right" w:leader="dot" w:pos="9016"/>
        </w:tabs>
        <w:rPr>
          <w:noProof/>
        </w:rPr>
      </w:pPr>
      <w:hyperlink w:anchor="_Toc535606003" w:history="1">
        <w:r w:rsidRPr="004C2FF4">
          <w:rPr>
            <w:rStyle w:val="Hyperlink"/>
            <w:noProof/>
          </w:rPr>
          <w:t>Table 6 - Gearing Ratios HL</w:t>
        </w:r>
        <w:r>
          <w:rPr>
            <w:noProof/>
            <w:webHidden/>
          </w:rPr>
          <w:tab/>
        </w:r>
        <w:r>
          <w:rPr>
            <w:noProof/>
            <w:webHidden/>
          </w:rPr>
          <w:fldChar w:fldCharType="begin"/>
        </w:r>
        <w:r>
          <w:rPr>
            <w:noProof/>
            <w:webHidden/>
          </w:rPr>
          <w:instrText xml:space="preserve"> PAGEREF _Toc535606003 \h </w:instrText>
        </w:r>
        <w:r>
          <w:rPr>
            <w:noProof/>
            <w:webHidden/>
          </w:rPr>
        </w:r>
        <w:r>
          <w:rPr>
            <w:noProof/>
            <w:webHidden/>
          </w:rPr>
          <w:fldChar w:fldCharType="separate"/>
        </w:r>
        <w:r>
          <w:rPr>
            <w:noProof/>
            <w:webHidden/>
          </w:rPr>
          <w:t>7</w:t>
        </w:r>
        <w:r>
          <w:rPr>
            <w:noProof/>
            <w:webHidden/>
          </w:rPr>
          <w:fldChar w:fldCharType="end"/>
        </w:r>
      </w:hyperlink>
    </w:p>
    <w:p w:rsidR="0020743A" w:rsidRDefault="0020743A">
      <w:pPr>
        <w:pStyle w:val="TableofFigures"/>
        <w:tabs>
          <w:tab w:val="right" w:leader="dot" w:pos="9016"/>
        </w:tabs>
        <w:rPr>
          <w:noProof/>
        </w:rPr>
      </w:pPr>
      <w:hyperlink w:anchor="_Toc535606004" w:history="1">
        <w:r w:rsidRPr="004C2FF4">
          <w:rPr>
            <w:rStyle w:val="Hyperlink"/>
            <w:noProof/>
          </w:rPr>
          <w:t>Table 7 - Efficiency: HL v Sector ave TTM</w:t>
        </w:r>
        <w:r>
          <w:rPr>
            <w:noProof/>
            <w:webHidden/>
          </w:rPr>
          <w:tab/>
        </w:r>
        <w:r>
          <w:rPr>
            <w:noProof/>
            <w:webHidden/>
          </w:rPr>
          <w:fldChar w:fldCharType="begin"/>
        </w:r>
        <w:r>
          <w:rPr>
            <w:noProof/>
            <w:webHidden/>
          </w:rPr>
          <w:instrText xml:space="preserve"> PAGEREF _Toc535606004 \h </w:instrText>
        </w:r>
        <w:r>
          <w:rPr>
            <w:noProof/>
            <w:webHidden/>
          </w:rPr>
        </w:r>
        <w:r>
          <w:rPr>
            <w:noProof/>
            <w:webHidden/>
          </w:rPr>
          <w:fldChar w:fldCharType="separate"/>
        </w:r>
        <w:r>
          <w:rPr>
            <w:noProof/>
            <w:webHidden/>
          </w:rPr>
          <w:t>8</w:t>
        </w:r>
        <w:r>
          <w:rPr>
            <w:noProof/>
            <w:webHidden/>
          </w:rPr>
          <w:fldChar w:fldCharType="end"/>
        </w:r>
      </w:hyperlink>
    </w:p>
    <w:p w:rsidR="0020743A" w:rsidRDefault="0020743A">
      <w:pPr>
        <w:pStyle w:val="TableofFigures"/>
        <w:tabs>
          <w:tab w:val="right" w:leader="dot" w:pos="9016"/>
        </w:tabs>
        <w:rPr>
          <w:noProof/>
        </w:rPr>
      </w:pPr>
      <w:hyperlink w:anchor="_Toc535606005" w:history="1">
        <w:r w:rsidRPr="004C2FF4">
          <w:rPr>
            <w:rStyle w:val="Hyperlink"/>
            <w:noProof/>
          </w:rPr>
          <w:t>Table 8 - Efficiency Ratios HL</w:t>
        </w:r>
        <w:r>
          <w:rPr>
            <w:noProof/>
            <w:webHidden/>
          </w:rPr>
          <w:tab/>
        </w:r>
        <w:r>
          <w:rPr>
            <w:noProof/>
            <w:webHidden/>
          </w:rPr>
          <w:fldChar w:fldCharType="begin"/>
        </w:r>
        <w:r>
          <w:rPr>
            <w:noProof/>
            <w:webHidden/>
          </w:rPr>
          <w:instrText xml:space="preserve"> PAGEREF _Toc535606005 \h </w:instrText>
        </w:r>
        <w:r>
          <w:rPr>
            <w:noProof/>
            <w:webHidden/>
          </w:rPr>
        </w:r>
        <w:r>
          <w:rPr>
            <w:noProof/>
            <w:webHidden/>
          </w:rPr>
          <w:fldChar w:fldCharType="separate"/>
        </w:r>
        <w:r>
          <w:rPr>
            <w:noProof/>
            <w:webHidden/>
          </w:rPr>
          <w:t>8</w:t>
        </w:r>
        <w:r>
          <w:rPr>
            <w:noProof/>
            <w:webHidden/>
          </w:rPr>
          <w:fldChar w:fldCharType="end"/>
        </w:r>
      </w:hyperlink>
    </w:p>
    <w:p w:rsidR="0020743A" w:rsidRDefault="0020743A">
      <w:pPr>
        <w:pStyle w:val="TableofFigures"/>
        <w:tabs>
          <w:tab w:val="right" w:leader="dot" w:pos="9016"/>
        </w:tabs>
        <w:rPr>
          <w:noProof/>
        </w:rPr>
      </w:pPr>
      <w:hyperlink w:anchor="_Toc535606006" w:history="1">
        <w:r w:rsidRPr="004C2FF4">
          <w:rPr>
            <w:rStyle w:val="Hyperlink"/>
            <w:noProof/>
          </w:rPr>
          <w:t>Table 9 - HL Investor Ratios</w:t>
        </w:r>
        <w:r>
          <w:rPr>
            <w:noProof/>
            <w:webHidden/>
          </w:rPr>
          <w:tab/>
        </w:r>
        <w:r>
          <w:rPr>
            <w:noProof/>
            <w:webHidden/>
          </w:rPr>
          <w:fldChar w:fldCharType="begin"/>
        </w:r>
        <w:r>
          <w:rPr>
            <w:noProof/>
            <w:webHidden/>
          </w:rPr>
          <w:instrText xml:space="preserve"> PAGEREF _Toc535606006 \h </w:instrText>
        </w:r>
        <w:r>
          <w:rPr>
            <w:noProof/>
            <w:webHidden/>
          </w:rPr>
        </w:r>
        <w:r>
          <w:rPr>
            <w:noProof/>
            <w:webHidden/>
          </w:rPr>
          <w:fldChar w:fldCharType="separate"/>
        </w:r>
        <w:r>
          <w:rPr>
            <w:noProof/>
            <w:webHidden/>
          </w:rPr>
          <w:t>8</w:t>
        </w:r>
        <w:r>
          <w:rPr>
            <w:noProof/>
            <w:webHidden/>
          </w:rPr>
          <w:fldChar w:fldCharType="end"/>
        </w:r>
      </w:hyperlink>
    </w:p>
    <w:p w:rsidR="0020743A" w:rsidRDefault="0020743A">
      <w:pPr>
        <w:pStyle w:val="TableofFigures"/>
        <w:tabs>
          <w:tab w:val="right" w:leader="dot" w:pos="9016"/>
        </w:tabs>
        <w:rPr>
          <w:noProof/>
        </w:rPr>
      </w:pPr>
      <w:hyperlink w:anchor="_Toc535606007" w:history="1">
        <w:r w:rsidRPr="004C2FF4">
          <w:rPr>
            <w:rStyle w:val="Hyperlink"/>
            <w:noProof/>
          </w:rPr>
          <w:t>Table 10 - Option (a) NPV</w:t>
        </w:r>
        <w:r>
          <w:rPr>
            <w:noProof/>
            <w:webHidden/>
          </w:rPr>
          <w:tab/>
        </w:r>
        <w:r>
          <w:rPr>
            <w:noProof/>
            <w:webHidden/>
          </w:rPr>
          <w:fldChar w:fldCharType="begin"/>
        </w:r>
        <w:r>
          <w:rPr>
            <w:noProof/>
            <w:webHidden/>
          </w:rPr>
          <w:instrText xml:space="preserve"> PAGEREF _Toc535606007 \h </w:instrText>
        </w:r>
        <w:r>
          <w:rPr>
            <w:noProof/>
            <w:webHidden/>
          </w:rPr>
        </w:r>
        <w:r>
          <w:rPr>
            <w:noProof/>
            <w:webHidden/>
          </w:rPr>
          <w:fldChar w:fldCharType="separate"/>
        </w:r>
        <w:r>
          <w:rPr>
            <w:noProof/>
            <w:webHidden/>
          </w:rPr>
          <w:t>11</w:t>
        </w:r>
        <w:r>
          <w:rPr>
            <w:noProof/>
            <w:webHidden/>
          </w:rPr>
          <w:fldChar w:fldCharType="end"/>
        </w:r>
      </w:hyperlink>
    </w:p>
    <w:p w:rsidR="0020743A" w:rsidRDefault="0020743A">
      <w:pPr>
        <w:pStyle w:val="TableofFigures"/>
        <w:tabs>
          <w:tab w:val="right" w:leader="dot" w:pos="9016"/>
        </w:tabs>
        <w:rPr>
          <w:noProof/>
        </w:rPr>
      </w:pPr>
      <w:hyperlink w:anchor="_Toc535606008" w:history="1">
        <w:r w:rsidRPr="004C2FF4">
          <w:rPr>
            <w:rStyle w:val="Hyperlink"/>
            <w:noProof/>
          </w:rPr>
          <w:t>Table 11 - Option (b) NPV</w:t>
        </w:r>
        <w:r>
          <w:rPr>
            <w:noProof/>
            <w:webHidden/>
          </w:rPr>
          <w:tab/>
        </w:r>
        <w:r>
          <w:rPr>
            <w:noProof/>
            <w:webHidden/>
          </w:rPr>
          <w:fldChar w:fldCharType="begin"/>
        </w:r>
        <w:r>
          <w:rPr>
            <w:noProof/>
            <w:webHidden/>
          </w:rPr>
          <w:instrText xml:space="preserve"> PAGEREF _Toc535606008 \h </w:instrText>
        </w:r>
        <w:r>
          <w:rPr>
            <w:noProof/>
            <w:webHidden/>
          </w:rPr>
        </w:r>
        <w:r>
          <w:rPr>
            <w:noProof/>
            <w:webHidden/>
          </w:rPr>
          <w:fldChar w:fldCharType="separate"/>
        </w:r>
        <w:r>
          <w:rPr>
            <w:noProof/>
            <w:webHidden/>
          </w:rPr>
          <w:t>12</w:t>
        </w:r>
        <w:r>
          <w:rPr>
            <w:noProof/>
            <w:webHidden/>
          </w:rPr>
          <w:fldChar w:fldCharType="end"/>
        </w:r>
      </w:hyperlink>
    </w:p>
    <w:p w:rsidR="0020743A" w:rsidRDefault="0020743A">
      <w:pPr>
        <w:pStyle w:val="TableofFigures"/>
        <w:tabs>
          <w:tab w:val="right" w:leader="dot" w:pos="9016"/>
        </w:tabs>
        <w:rPr>
          <w:noProof/>
        </w:rPr>
      </w:pPr>
      <w:hyperlink w:anchor="_Toc535606009" w:history="1">
        <w:r w:rsidRPr="004C2FF4">
          <w:rPr>
            <w:rStyle w:val="Hyperlink"/>
            <w:noProof/>
          </w:rPr>
          <w:t>Table 12 - Option (c) NPV</w:t>
        </w:r>
        <w:r>
          <w:rPr>
            <w:noProof/>
            <w:webHidden/>
          </w:rPr>
          <w:tab/>
        </w:r>
        <w:r>
          <w:rPr>
            <w:noProof/>
            <w:webHidden/>
          </w:rPr>
          <w:fldChar w:fldCharType="begin"/>
        </w:r>
        <w:r>
          <w:rPr>
            <w:noProof/>
            <w:webHidden/>
          </w:rPr>
          <w:instrText xml:space="preserve"> PAGEREF _Toc535606009 \h </w:instrText>
        </w:r>
        <w:r>
          <w:rPr>
            <w:noProof/>
            <w:webHidden/>
          </w:rPr>
        </w:r>
        <w:r>
          <w:rPr>
            <w:noProof/>
            <w:webHidden/>
          </w:rPr>
          <w:fldChar w:fldCharType="separate"/>
        </w:r>
        <w:r>
          <w:rPr>
            <w:noProof/>
            <w:webHidden/>
          </w:rPr>
          <w:t>12</w:t>
        </w:r>
        <w:r>
          <w:rPr>
            <w:noProof/>
            <w:webHidden/>
          </w:rPr>
          <w:fldChar w:fldCharType="end"/>
        </w:r>
      </w:hyperlink>
    </w:p>
    <w:p w:rsidR="0020743A" w:rsidRDefault="0020743A">
      <w:pPr>
        <w:pStyle w:val="TableofFigures"/>
        <w:tabs>
          <w:tab w:val="right" w:leader="dot" w:pos="9016"/>
        </w:tabs>
        <w:rPr>
          <w:noProof/>
        </w:rPr>
      </w:pPr>
      <w:hyperlink w:anchor="_Toc535606010" w:history="1">
        <w:r w:rsidRPr="004C2FF4">
          <w:rPr>
            <w:rStyle w:val="Hyperlink"/>
            <w:noProof/>
          </w:rPr>
          <w:t>Table 13 - Investment options summary</w:t>
        </w:r>
        <w:r>
          <w:rPr>
            <w:noProof/>
            <w:webHidden/>
          </w:rPr>
          <w:tab/>
        </w:r>
        <w:r>
          <w:rPr>
            <w:noProof/>
            <w:webHidden/>
          </w:rPr>
          <w:fldChar w:fldCharType="begin"/>
        </w:r>
        <w:r>
          <w:rPr>
            <w:noProof/>
            <w:webHidden/>
          </w:rPr>
          <w:instrText xml:space="preserve"> PAGEREF _Toc535606010 \h </w:instrText>
        </w:r>
        <w:r>
          <w:rPr>
            <w:noProof/>
            <w:webHidden/>
          </w:rPr>
        </w:r>
        <w:r>
          <w:rPr>
            <w:noProof/>
            <w:webHidden/>
          </w:rPr>
          <w:fldChar w:fldCharType="separate"/>
        </w:r>
        <w:r>
          <w:rPr>
            <w:noProof/>
            <w:webHidden/>
          </w:rPr>
          <w:t>13</w:t>
        </w:r>
        <w:r>
          <w:rPr>
            <w:noProof/>
            <w:webHidden/>
          </w:rPr>
          <w:fldChar w:fldCharType="end"/>
        </w:r>
      </w:hyperlink>
    </w:p>
    <w:p w:rsidR="0020743A" w:rsidRDefault="0020743A">
      <w:pPr>
        <w:pStyle w:val="TableofFigures"/>
        <w:tabs>
          <w:tab w:val="right" w:leader="dot" w:pos="9016"/>
        </w:tabs>
        <w:rPr>
          <w:noProof/>
        </w:rPr>
      </w:pPr>
      <w:hyperlink w:anchor="_Toc535606011" w:history="1">
        <w:r w:rsidRPr="004C2FF4">
          <w:rPr>
            <w:rStyle w:val="Hyperlink"/>
            <w:noProof/>
          </w:rPr>
          <w:t>Table 14 - Option (a) IRR calculations</w:t>
        </w:r>
        <w:r>
          <w:rPr>
            <w:noProof/>
            <w:webHidden/>
          </w:rPr>
          <w:tab/>
        </w:r>
        <w:r>
          <w:rPr>
            <w:noProof/>
            <w:webHidden/>
          </w:rPr>
          <w:fldChar w:fldCharType="begin"/>
        </w:r>
        <w:r>
          <w:rPr>
            <w:noProof/>
            <w:webHidden/>
          </w:rPr>
          <w:instrText xml:space="preserve"> PAGEREF _Toc535606011 \h </w:instrText>
        </w:r>
        <w:r>
          <w:rPr>
            <w:noProof/>
            <w:webHidden/>
          </w:rPr>
        </w:r>
        <w:r>
          <w:rPr>
            <w:noProof/>
            <w:webHidden/>
          </w:rPr>
          <w:fldChar w:fldCharType="separate"/>
        </w:r>
        <w:r>
          <w:rPr>
            <w:noProof/>
            <w:webHidden/>
          </w:rPr>
          <w:t>13</w:t>
        </w:r>
        <w:r>
          <w:rPr>
            <w:noProof/>
            <w:webHidden/>
          </w:rPr>
          <w:fldChar w:fldCharType="end"/>
        </w:r>
      </w:hyperlink>
    </w:p>
    <w:p w:rsidR="0020743A" w:rsidRDefault="0020743A">
      <w:pPr>
        <w:pStyle w:val="TableofFigures"/>
        <w:tabs>
          <w:tab w:val="right" w:leader="dot" w:pos="9016"/>
        </w:tabs>
        <w:rPr>
          <w:noProof/>
        </w:rPr>
      </w:pPr>
      <w:hyperlink w:anchor="_Toc535606012" w:history="1">
        <w:r w:rsidRPr="004C2FF4">
          <w:rPr>
            <w:rStyle w:val="Hyperlink"/>
            <w:noProof/>
          </w:rPr>
          <w:t>Table 15 - Option (b) IRR calculations</w:t>
        </w:r>
        <w:r>
          <w:rPr>
            <w:noProof/>
            <w:webHidden/>
          </w:rPr>
          <w:tab/>
        </w:r>
        <w:r>
          <w:rPr>
            <w:noProof/>
            <w:webHidden/>
          </w:rPr>
          <w:fldChar w:fldCharType="begin"/>
        </w:r>
        <w:r>
          <w:rPr>
            <w:noProof/>
            <w:webHidden/>
          </w:rPr>
          <w:instrText xml:space="preserve"> PAGEREF _Toc535606012 \h </w:instrText>
        </w:r>
        <w:r>
          <w:rPr>
            <w:noProof/>
            <w:webHidden/>
          </w:rPr>
        </w:r>
        <w:r>
          <w:rPr>
            <w:noProof/>
            <w:webHidden/>
          </w:rPr>
          <w:fldChar w:fldCharType="separate"/>
        </w:r>
        <w:r>
          <w:rPr>
            <w:noProof/>
            <w:webHidden/>
          </w:rPr>
          <w:t>13</w:t>
        </w:r>
        <w:r>
          <w:rPr>
            <w:noProof/>
            <w:webHidden/>
          </w:rPr>
          <w:fldChar w:fldCharType="end"/>
        </w:r>
      </w:hyperlink>
    </w:p>
    <w:p w:rsidR="0020743A" w:rsidRDefault="0020743A">
      <w:pPr>
        <w:pStyle w:val="TableofFigures"/>
        <w:tabs>
          <w:tab w:val="right" w:leader="dot" w:pos="9016"/>
        </w:tabs>
        <w:rPr>
          <w:noProof/>
        </w:rPr>
      </w:pPr>
      <w:hyperlink w:anchor="_Toc535606013" w:history="1">
        <w:r w:rsidRPr="004C2FF4">
          <w:rPr>
            <w:rStyle w:val="Hyperlink"/>
            <w:noProof/>
          </w:rPr>
          <w:t>Table 16 - Option (c) IRR calculations</w:t>
        </w:r>
        <w:r>
          <w:rPr>
            <w:noProof/>
            <w:webHidden/>
          </w:rPr>
          <w:tab/>
        </w:r>
        <w:r>
          <w:rPr>
            <w:noProof/>
            <w:webHidden/>
          </w:rPr>
          <w:fldChar w:fldCharType="begin"/>
        </w:r>
        <w:r>
          <w:rPr>
            <w:noProof/>
            <w:webHidden/>
          </w:rPr>
          <w:instrText xml:space="preserve"> PAGEREF _Toc535606013 \h </w:instrText>
        </w:r>
        <w:r>
          <w:rPr>
            <w:noProof/>
            <w:webHidden/>
          </w:rPr>
        </w:r>
        <w:r>
          <w:rPr>
            <w:noProof/>
            <w:webHidden/>
          </w:rPr>
          <w:fldChar w:fldCharType="separate"/>
        </w:r>
        <w:r>
          <w:rPr>
            <w:noProof/>
            <w:webHidden/>
          </w:rPr>
          <w:t>13</w:t>
        </w:r>
        <w:r>
          <w:rPr>
            <w:noProof/>
            <w:webHidden/>
          </w:rPr>
          <w:fldChar w:fldCharType="end"/>
        </w:r>
      </w:hyperlink>
    </w:p>
    <w:p w:rsidR="0020743A" w:rsidRDefault="0020743A">
      <w:pPr>
        <w:pStyle w:val="TableofFigures"/>
        <w:tabs>
          <w:tab w:val="right" w:leader="dot" w:pos="9016"/>
        </w:tabs>
        <w:rPr>
          <w:noProof/>
        </w:rPr>
      </w:pPr>
      <w:hyperlink w:anchor="_Toc535606014" w:history="1">
        <w:r w:rsidRPr="004C2FF4">
          <w:rPr>
            <w:rStyle w:val="Hyperlink"/>
            <w:noProof/>
          </w:rPr>
          <w:t>Table 17 - Profit appraisal</w:t>
        </w:r>
        <w:r>
          <w:rPr>
            <w:noProof/>
            <w:webHidden/>
          </w:rPr>
          <w:tab/>
        </w:r>
        <w:r>
          <w:rPr>
            <w:noProof/>
            <w:webHidden/>
          </w:rPr>
          <w:fldChar w:fldCharType="begin"/>
        </w:r>
        <w:r>
          <w:rPr>
            <w:noProof/>
            <w:webHidden/>
          </w:rPr>
          <w:instrText xml:space="preserve"> PAGEREF _Toc535606014 \h </w:instrText>
        </w:r>
        <w:r>
          <w:rPr>
            <w:noProof/>
            <w:webHidden/>
          </w:rPr>
        </w:r>
        <w:r>
          <w:rPr>
            <w:noProof/>
            <w:webHidden/>
          </w:rPr>
          <w:fldChar w:fldCharType="separate"/>
        </w:r>
        <w:r>
          <w:rPr>
            <w:noProof/>
            <w:webHidden/>
          </w:rPr>
          <w:t>14</w:t>
        </w:r>
        <w:r>
          <w:rPr>
            <w:noProof/>
            <w:webHidden/>
          </w:rPr>
          <w:fldChar w:fldCharType="end"/>
        </w:r>
      </w:hyperlink>
    </w:p>
    <w:p w:rsidR="0020743A" w:rsidRDefault="0020743A">
      <w:pPr>
        <w:pStyle w:val="TableofFigures"/>
        <w:tabs>
          <w:tab w:val="right" w:leader="dot" w:pos="9016"/>
        </w:tabs>
        <w:rPr>
          <w:noProof/>
        </w:rPr>
      </w:pPr>
      <w:hyperlink w:anchor="_Toc535606015" w:history="1">
        <w:r w:rsidRPr="004C2FF4">
          <w:rPr>
            <w:rStyle w:val="Hyperlink"/>
            <w:noProof/>
          </w:rPr>
          <w:t>Table 18 - Investment options summary</w:t>
        </w:r>
        <w:r>
          <w:rPr>
            <w:noProof/>
            <w:webHidden/>
          </w:rPr>
          <w:tab/>
        </w:r>
        <w:r>
          <w:rPr>
            <w:noProof/>
            <w:webHidden/>
          </w:rPr>
          <w:fldChar w:fldCharType="begin"/>
        </w:r>
        <w:r>
          <w:rPr>
            <w:noProof/>
            <w:webHidden/>
          </w:rPr>
          <w:instrText xml:space="preserve"> PAGEREF _Toc535606015 \h </w:instrText>
        </w:r>
        <w:r>
          <w:rPr>
            <w:noProof/>
            <w:webHidden/>
          </w:rPr>
        </w:r>
        <w:r>
          <w:rPr>
            <w:noProof/>
            <w:webHidden/>
          </w:rPr>
          <w:fldChar w:fldCharType="separate"/>
        </w:r>
        <w:r>
          <w:rPr>
            <w:noProof/>
            <w:webHidden/>
          </w:rPr>
          <w:t>17</w:t>
        </w:r>
        <w:r>
          <w:rPr>
            <w:noProof/>
            <w:webHidden/>
          </w:rPr>
          <w:fldChar w:fldCharType="end"/>
        </w:r>
      </w:hyperlink>
    </w:p>
    <w:p w:rsidR="001A790D" w:rsidRDefault="0020743A" w:rsidP="001A790D">
      <w:r>
        <w:fldChar w:fldCharType="end"/>
      </w:r>
    </w:p>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1A790D" w:rsidRDefault="001A790D" w:rsidP="001A790D"/>
    <w:p w:rsidR="003A3FE9" w:rsidRPr="003A3FE9" w:rsidRDefault="003A3FE9" w:rsidP="000A4895">
      <w:pPr>
        <w:pStyle w:val="Heading1"/>
      </w:pPr>
      <w:bookmarkStart w:id="1" w:name="_Toc535606289"/>
      <w:r>
        <w:lastRenderedPageBreak/>
        <w:t>Part 1 – FTSE 100 listed company report</w:t>
      </w:r>
      <w:bookmarkEnd w:id="1"/>
    </w:p>
    <w:p w:rsidR="008C6A21" w:rsidRDefault="008C6A21" w:rsidP="008C6A21">
      <w:pPr>
        <w:pStyle w:val="Heading1"/>
      </w:pPr>
      <w:bookmarkStart w:id="2" w:name="_Toc535606290"/>
      <w:r>
        <w:t>Introduction</w:t>
      </w:r>
      <w:bookmarkEnd w:id="2"/>
    </w:p>
    <w:p w:rsidR="008C6A21" w:rsidRDefault="008C6A21" w:rsidP="008C6A21">
      <w:pPr>
        <w:pStyle w:val="Heading2"/>
      </w:pPr>
      <w:bookmarkStart w:id="3" w:name="_Toc535606291"/>
      <w:r>
        <w:t>FTSE 100 companies</w:t>
      </w:r>
      <w:bookmarkEnd w:id="3"/>
    </w:p>
    <w:p w:rsidR="00302DA0" w:rsidRPr="00302DA0" w:rsidRDefault="00302DA0" w:rsidP="00302DA0">
      <w:r w:rsidRPr="007E1403">
        <w:t>Launched</w:t>
      </w:r>
      <w:r w:rsidR="00AE6C2F" w:rsidRPr="007E1403">
        <w:t xml:space="preserve"> in 1984 as a </w:t>
      </w:r>
      <w:r w:rsidRPr="007E1403">
        <w:t xml:space="preserve">partnership between the Financial Times and </w:t>
      </w:r>
      <w:r w:rsidR="00AE6C2F" w:rsidRPr="007E1403">
        <w:t xml:space="preserve">London Stock Exchange with a base </w:t>
      </w:r>
      <w:r w:rsidR="003762E3">
        <w:t xml:space="preserve">listing of </w:t>
      </w:r>
      <w:r w:rsidR="00AE6C2F" w:rsidRPr="007E1403">
        <w:t>1000</w:t>
      </w:r>
      <w:r w:rsidR="006809F1">
        <w:t>;</w:t>
      </w:r>
      <w:r w:rsidR="00AE6C2F" w:rsidRPr="007E1403">
        <w:t xml:space="preserve"> the FTSE</w:t>
      </w:r>
      <w:r w:rsidR="006809F1">
        <w:t xml:space="preserve"> 100</w:t>
      </w:r>
      <w:r w:rsidR="00AE6C2F" w:rsidRPr="007E1403">
        <w:t xml:space="preserve"> lists the stocks of the 100 largest </w:t>
      </w:r>
      <w:r w:rsidR="00FE6570" w:rsidRPr="007E1403">
        <w:t>eligible</w:t>
      </w:r>
      <w:r w:rsidR="00FE6570" w:rsidRPr="007E1403">
        <w:rPr>
          <w:rStyle w:val="FootnoteReference"/>
        </w:rPr>
        <w:footnoteReference w:id="1"/>
      </w:r>
      <w:r w:rsidR="00FE6570" w:rsidRPr="007E1403">
        <w:t xml:space="preserve"> </w:t>
      </w:r>
      <w:r w:rsidR="00AE6C2F" w:rsidRPr="007E1403">
        <w:t xml:space="preserve">companies by market capital to trade on the </w:t>
      </w:r>
      <w:r w:rsidR="006809F1">
        <w:t>London Stock E</w:t>
      </w:r>
      <w:r w:rsidR="00AE6C2F" w:rsidRPr="007E1403">
        <w:t xml:space="preserve">xchange </w:t>
      </w:r>
      <w:sdt>
        <w:sdtPr>
          <w:id w:val="-764994389"/>
          <w:citation/>
        </w:sdtPr>
        <w:sdtContent>
          <w:r w:rsidR="007E1403" w:rsidRPr="007E1403">
            <w:fldChar w:fldCharType="begin"/>
          </w:r>
          <w:r w:rsidR="007E1403" w:rsidRPr="007E1403">
            <w:instrText xml:space="preserve"> CITATION LSE181 \l 2057 </w:instrText>
          </w:r>
          <w:r w:rsidR="007E1403" w:rsidRPr="007E1403">
            <w:fldChar w:fldCharType="separate"/>
          </w:r>
          <w:r w:rsidR="00A90D87" w:rsidRPr="00A90D87">
            <w:rPr>
              <w:noProof/>
            </w:rPr>
            <w:t>(LSEG, 2018)</w:t>
          </w:r>
          <w:r w:rsidR="007E1403" w:rsidRPr="007E1403">
            <w:fldChar w:fldCharType="end"/>
          </w:r>
        </w:sdtContent>
      </w:sdt>
      <w:r w:rsidR="007E1403" w:rsidRPr="007E1403">
        <w:t xml:space="preserve">. </w:t>
      </w:r>
      <w:r w:rsidR="00AE6C2F" w:rsidRPr="007E1403">
        <w:t xml:space="preserve">Market </w:t>
      </w:r>
      <w:r w:rsidR="006809F1" w:rsidRPr="007E1403">
        <w:t>Capital</w:t>
      </w:r>
      <w:r w:rsidR="006809F1">
        <w:t>isation</w:t>
      </w:r>
      <w:r w:rsidR="00AE6C2F" w:rsidRPr="007E1403">
        <w:t xml:space="preserve"> (total value of shares in the listing) of the FTSE </w:t>
      </w:r>
      <w:r w:rsidR="0093136D">
        <w:t xml:space="preserve">100 </w:t>
      </w:r>
      <w:r w:rsidR="00AE6C2F" w:rsidRPr="007E1403">
        <w:t>as of February 2018 was just over £2trillion</w:t>
      </w:r>
      <w:r w:rsidR="00FE6570" w:rsidRPr="007E1403">
        <w:t>, with Financials, Oil and Gas, and Consumer Goods companies representing around half of Market Capital as of February 2018</w:t>
      </w:r>
      <w:r w:rsidR="00AE6C2F" w:rsidRPr="007E1403">
        <w:t xml:space="preserve"> </w:t>
      </w:r>
      <w:sdt>
        <w:sdtPr>
          <w:id w:val="1954666560"/>
          <w:citation/>
        </w:sdtPr>
        <w:sdtContent>
          <w:r w:rsidR="00AE6C2F" w:rsidRPr="007E1403">
            <w:fldChar w:fldCharType="begin"/>
          </w:r>
          <w:r w:rsidR="00AE6C2F" w:rsidRPr="007E1403">
            <w:instrText xml:space="preserve"> CITATION LSE18 \l 2057 </w:instrText>
          </w:r>
          <w:r w:rsidR="00AE6C2F" w:rsidRPr="007E1403">
            <w:fldChar w:fldCharType="separate"/>
          </w:r>
          <w:r w:rsidR="00A90D87" w:rsidRPr="00A90D87">
            <w:rPr>
              <w:noProof/>
            </w:rPr>
            <w:t>(LSE, 2018)</w:t>
          </w:r>
          <w:r w:rsidR="00AE6C2F" w:rsidRPr="007E1403">
            <w:fldChar w:fldCharType="end"/>
          </w:r>
        </w:sdtContent>
      </w:sdt>
      <w:r w:rsidR="00FE6570" w:rsidRPr="007E1403">
        <w:t>.</w:t>
      </w:r>
    </w:p>
    <w:p w:rsidR="00C11B19" w:rsidRDefault="00B05775" w:rsidP="008C6A21">
      <w:pPr>
        <w:pStyle w:val="Heading3"/>
      </w:pPr>
      <w:bookmarkStart w:id="4" w:name="_Toc535606292"/>
      <w:r>
        <w:t>Hargreaves Lansdown</w:t>
      </w:r>
      <w:bookmarkEnd w:id="4"/>
    </w:p>
    <w:p w:rsidR="005D73C8" w:rsidRDefault="00D862D8" w:rsidP="005D73C8">
      <w:r>
        <w:t>Founded in 1981 by Peter Hargreaves, and Steve Lansdown</w:t>
      </w:r>
      <w:r w:rsidR="006809F1">
        <w:t>,</w:t>
      </w:r>
      <w:r>
        <w:t xml:space="preserve"> Hargreaves Lansdown</w:t>
      </w:r>
      <w:r>
        <w:rPr>
          <w:rStyle w:val="FootnoteReference"/>
        </w:rPr>
        <w:footnoteReference w:id="2"/>
      </w:r>
      <w:r>
        <w:t xml:space="preserve"> </w:t>
      </w:r>
      <w:r w:rsidR="003F0332">
        <w:t xml:space="preserve">(HL) </w:t>
      </w:r>
      <w:r>
        <w:t xml:space="preserve">is a </w:t>
      </w:r>
      <w:r w:rsidR="009D5AFE">
        <w:t xml:space="preserve">publicly traded </w:t>
      </w:r>
      <w:r w:rsidR="008F2F81">
        <w:t xml:space="preserve">Financial Services </w:t>
      </w:r>
      <w:r w:rsidR="009D5AFE">
        <w:t xml:space="preserve">company listed in the </w:t>
      </w:r>
      <w:r>
        <w:t xml:space="preserve">FTSE 100 </w:t>
      </w:r>
      <w:sdt>
        <w:sdtPr>
          <w:id w:val="-1607033619"/>
          <w:citation/>
        </w:sdtPr>
        <w:sdtContent>
          <w:r>
            <w:fldChar w:fldCharType="begin"/>
          </w:r>
          <w:r>
            <w:instrText xml:space="preserve"> CITATION LSE19 \l 2057 </w:instrText>
          </w:r>
          <w:r>
            <w:fldChar w:fldCharType="separate"/>
          </w:r>
          <w:r w:rsidR="00A90D87" w:rsidRPr="00A90D87">
            <w:rPr>
              <w:noProof/>
            </w:rPr>
            <w:t>(LSE, 2019)</w:t>
          </w:r>
          <w:r>
            <w:fldChar w:fldCharType="end"/>
          </w:r>
        </w:sdtContent>
      </w:sdt>
      <w:r>
        <w:t xml:space="preserve">. </w:t>
      </w:r>
      <w:r w:rsidR="003F0332">
        <w:t>HL have close to 1.1million active clients and manage approximately £85 billion of investments; making it the UKs largest direct investment service</w:t>
      </w:r>
      <w:r w:rsidR="00894783">
        <w:t xml:space="preserve"> </w:t>
      </w:r>
      <w:sdt>
        <w:sdtPr>
          <w:id w:val="-1363512939"/>
          <w:citation/>
        </w:sdtPr>
        <w:sdtContent>
          <w:r w:rsidR="00894783">
            <w:fldChar w:fldCharType="begin"/>
          </w:r>
          <w:r w:rsidR="00894783">
            <w:instrText xml:space="preserve"> CITATION Har19 \l 2057 </w:instrText>
          </w:r>
          <w:r w:rsidR="00894783">
            <w:fldChar w:fldCharType="separate"/>
          </w:r>
          <w:r w:rsidR="00A90D87" w:rsidRPr="00A90D87">
            <w:rPr>
              <w:noProof/>
            </w:rPr>
            <w:t>(Hargreaves Lansdown, 2019)</w:t>
          </w:r>
          <w:r w:rsidR="00894783">
            <w:fldChar w:fldCharType="end"/>
          </w:r>
        </w:sdtContent>
      </w:sdt>
      <w:r w:rsidR="003F0332">
        <w:t>.</w:t>
      </w:r>
    </w:p>
    <w:p w:rsidR="00B60123" w:rsidRDefault="00C96FF9" w:rsidP="005D73C8">
      <w:r>
        <w:t xml:space="preserve">HL has strong performance in direct investment markets, considered by the company to be due to its industry leading IT platform, customer interface, and commitment to simplicity </w:t>
      </w:r>
      <w:sdt>
        <w:sdtPr>
          <w:id w:val="617258655"/>
          <w:citation/>
        </w:sdtPr>
        <w:sdtContent>
          <w:r w:rsidR="00894783">
            <w:fldChar w:fldCharType="begin"/>
          </w:r>
          <w:r w:rsidR="00894783">
            <w:instrText xml:space="preserve"> CITATION Har18 \l 2057 </w:instrText>
          </w:r>
          <w:r w:rsidR="00894783">
            <w:fldChar w:fldCharType="separate"/>
          </w:r>
          <w:r w:rsidR="00A90D87" w:rsidRPr="00A90D87">
            <w:rPr>
              <w:noProof/>
            </w:rPr>
            <w:t>(Hargreaves Lansdown, 2018)</w:t>
          </w:r>
          <w:r w:rsidR="00894783">
            <w:fldChar w:fldCharType="end"/>
          </w:r>
        </w:sdtContent>
      </w:sdt>
      <w:r w:rsidR="00B60123">
        <w:t xml:space="preserve">. This dominant market position is potentially also </w:t>
      </w:r>
      <w:r>
        <w:t xml:space="preserve">aided by the failure of competitors to attract </w:t>
      </w:r>
      <w:r w:rsidR="00B60123">
        <w:t xml:space="preserve">a </w:t>
      </w:r>
      <w:r>
        <w:t>significant portion of the c£200billion invested by DIY investor</w:t>
      </w:r>
      <w:r w:rsidR="00B60123">
        <w:t>s. In recent times this is</w:t>
      </w:r>
      <w:r>
        <w:t xml:space="preserve"> in part driven by issues with some of </w:t>
      </w:r>
      <w:r w:rsidR="00B60123">
        <w:t xml:space="preserve">HL </w:t>
      </w:r>
      <w:proofErr w:type="gramStart"/>
      <w:r w:rsidR="00B60123">
        <w:t>competitors</w:t>
      </w:r>
      <w:proofErr w:type="gramEnd"/>
      <w:r>
        <w:t xml:space="preserve"> IT systems and investor platforms </w:t>
      </w:r>
      <w:sdt>
        <w:sdtPr>
          <w:id w:val="369883173"/>
          <w:citation/>
        </w:sdtPr>
        <w:sdtContent>
          <w:r>
            <w:fldChar w:fldCharType="begin"/>
          </w:r>
          <w:r>
            <w:instrText xml:space="preserve">CITATION FT18 \l 2057 </w:instrText>
          </w:r>
          <w:r>
            <w:fldChar w:fldCharType="separate"/>
          </w:r>
          <w:r w:rsidR="00A90D87" w:rsidRPr="00A90D87">
            <w:rPr>
              <w:noProof/>
            </w:rPr>
            <w:t>(Financial Times, 2018)</w:t>
          </w:r>
          <w:r>
            <w:fldChar w:fldCharType="end"/>
          </w:r>
        </w:sdtContent>
      </w:sdt>
      <w:r w:rsidR="003229AF">
        <w:t>.</w:t>
      </w:r>
      <w:r>
        <w:t xml:space="preserve"> </w:t>
      </w:r>
    </w:p>
    <w:p w:rsidR="002905CD" w:rsidRDefault="00C96FF9" w:rsidP="005D73C8">
      <w:r>
        <w:t xml:space="preserve">The strong position in DIY investment and </w:t>
      </w:r>
      <w:r w:rsidR="006752F3">
        <w:t>HL</w:t>
      </w:r>
      <w:r w:rsidR="002905CD">
        <w:t>’s board</w:t>
      </w:r>
      <w:r w:rsidR="00E17D21">
        <w:t>s’</w:t>
      </w:r>
      <w:r w:rsidR="002905CD">
        <w:t xml:space="preserve"> belief </w:t>
      </w:r>
      <w:r>
        <w:t xml:space="preserve">in </w:t>
      </w:r>
      <w:r w:rsidR="00B60123">
        <w:t xml:space="preserve">their </w:t>
      </w:r>
      <w:r>
        <w:t xml:space="preserve">internal systems and investor platform has given confidence to the organisation to </w:t>
      </w:r>
      <w:r w:rsidR="006C02AC">
        <w:t>expand</w:t>
      </w:r>
      <w:r w:rsidR="003229AF">
        <w:t xml:space="preserve">. </w:t>
      </w:r>
      <w:r w:rsidR="006C02AC">
        <w:t xml:space="preserve"> </w:t>
      </w:r>
      <w:r w:rsidR="003229AF">
        <w:t xml:space="preserve">The UK </w:t>
      </w:r>
      <w:r w:rsidR="006C02AC">
        <w:t>cash savings market</w:t>
      </w:r>
      <w:r w:rsidR="003229AF">
        <w:t xml:space="preserve"> is competitive, but potentially lucrative with</w:t>
      </w:r>
      <w:r w:rsidR="006C02AC">
        <w:t xml:space="preserve"> estimate</w:t>
      </w:r>
      <w:r w:rsidR="003229AF">
        <w:t>d</w:t>
      </w:r>
      <w:r w:rsidR="006C02AC">
        <w:t xml:space="preserve"> worth </w:t>
      </w:r>
      <w:r w:rsidR="003229AF">
        <w:t>of around</w:t>
      </w:r>
      <w:r w:rsidR="006C02AC">
        <w:t xml:space="preserve"> £700billion in the UK </w:t>
      </w:r>
      <w:sdt>
        <w:sdtPr>
          <w:id w:val="1995682339"/>
          <w:citation/>
        </w:sdtPr>
        <w:sdtContent>
          <w:r w:rsidR="006C02AC">
            <w:fldChar w:fldCharType="begin"/>
          </w:r>
          <w:r w:rsidR="006C02AC">
            <w:instrText xml:space="preserve"> CITATION FCA15 \l 2057 </w:instrText>
          </w:r>
          <w:r w:rsidR="006C02AC">
            <w:fldChar w:fldCharType="separate"/>
          </w:r>
          <w:r w:rsidR="00A90D87" w:rsidRPr="00A90D87">
            <w:rPr>
              <w:noProof/>
            </w:rPr>
            <w:t>(FCA, 2015)</w:t>
          </w:r>
          <w:r w:rsidR="006C02AC">
            <w:fldChar w:fldCharType="end"/>
          </w:r>
        </w:sdtContent>
      </w:sdt>
      <w:r w:rsidR="003229AF">
        <w:t xml:space="preserve">, although HL analysis considers </w:t>
      </w:r>
      <w:r w:rsidR="00C82F40">
        <w:t xml:space="preserve">a further </w:t>
      </w:r>
      <w:r w:rsidR="003229AF">
        <w:t xml:space="preserve">£1.1trillion as “addressable” </w:t>
      </w:r>
      <w:sdt>
        <w:sdtPr>
          <w:id w:val="-834911671"/>
          <w:citation/>
        </w:sdtPr>
        <w:sdtContent>
          <w:r w:rsidR="003229AF">
            <w:fldChar w:fldCharType="begin"/>
          </w:r>
          <w:r w:rsidR="003229AF">
            <w:instrText xml:space="preserve">CITATION Har18 \p 10 \l 2057 </w:instrText>
          </w:r>
          <w:r w:rsidR="003229AF">
            <w:fldChar w:fldCharType="separate"/>
          </w:r>
          <w:r w:rsidR="00A90D87" w:rsidRPr="00A90D87">
            <w:rPr>
              <w:noProof/>
            </w:rPr>
            <w:t>(Hargreaves Lansdown, 2018, p. 10)</w:t>
          </w:r>
          <w:r w:rsidR="003229AF">
            <w:fldChar w:fldCharType="end"/>
          </w:r>
        </w:sdtContent>
      </w:sdt>
      <w:r w:rsidR="003229AF">
        <w:t>. The opportunity for growth in the UK market is therefore significant.</w:t>
      </w:r>
    </w:p>
    <w:p w:rsidR="002905CD" w:rsidRDefault="002905CD" w:rsidP="005D73C8">
      <w:r>
        <w:t>Whilst the position appears to be relatively positive, this report will analyse and critique company performance in respect of its financial fundamentals reviewing data including at least the last 2 years of financial reports. Ratio analysis for p</w:t>
      </w:r>
      <w:r w:rsidRPr="002905CD">
        <w:t xml:space="preserve">rofitability, liquidity, gearing, </w:t>
      </w:r>
      <w:r>
        <w:t xml:space="preserve">and </w:t>
      </w:r>
      <w:r w:rsidRPr="002905CD">
        <w:t xml:space="preserve">efficiency </w:t>
      </w:r>
      <w:r>
        <w:t>will be conducted, with the report concluding with a set of recommendations to the board for how any opportunities to optimise the company’s financial performance can be realised.</w:t>
      </w:r>
    </w:p>
    <w:p w:rsidR="00992C63" w:rsidRDefault="00992C63" w:rsidP="002905CD">
      <w:pPr>
        <w:pStyle w:val="Heading3"/>
      </w:pPr>
      <w:bookmarkStart w:id="5" w:name="_Toc535606293"/>
      <w:r>
        <w:t>Rationale for selection</w:t>
      </w:r>
      <w:bookmarkEnd w:id="5"/>
    </w:p>
    <w:p w:rsidR="000B1287" w:rsidRDefault="000B1287" w:rsidP="000B1287">
      <w:r>
        <w:t xml:space="preserve">Criteria for this report required selection of a FTSE 100 listed company and </w:t>
      </w:r>
      <w:r w:rsidR="00112BAA">
        <w:t xml:space="preserve">subsequent </w:t>
      </w:r>
      <w:r>
        <w:t xml:space="preserve">analysis of </w:t>
      </w:r>
      <w:r w:rsidR="00112BAA">
        <w:t xml:space="preserve">their </w:t>
      </w:r>
      <w:r>
        <w:t xml:space="preserve">financial </w:t>
      </w:r>
      <w:r w:rsidR="00112BAA">
        <w:t>statements. Statements of several FTSE 100 companies were reviewed, with HL being selected for further analysis in this report. Financials are the largest sector listed on the index (by Market Capitalisation)</w:t>
      </w:r>
      <w:r w:rsidR="0030099A">
        <w:t xml:space="preserve"> and the UK market is </w:t>
      </w:r>
      <w:r w:rsidR="00316775">
        <w:t xml:space="preserve">currently </w:t>
      </w:r>
      <w:r w:rsidR="0030099A">
        <w:t>the second largest financial centre in the world</w:t>
      </w:r>
      <w:sdt>
        <w:sdtPr>
          <w:id w:val="-1525776670"/>
          <w:citation/>
        </w:sdtPr>
        <w:sdtContent>
          <w:r w:rsidR="00316775">
            <w:fldChar w:fldCharType="begin"/>
          </w:r>
          <w:r w:rsidR="00316775">
            <w:instrText xml:space="preserve"> CITATION FT181 \l 2057 </w:instrText>
          </w:r>
          <w:r w:rsidR="00316775">
            <w:fldChar w:fldCharType="separate"/>
          </w:r>
          <w:r w:rsidR="00A90D87">
            <w:rPr>
              <w:noProof/>
            </w:rPr>
            <w:t xml:space="preserve"> </w:t>
          </w:r>
          <w:r w:rsidR="00A90D87" w:rsidRPr="00A90D87">
            <w:rPr>
              <w:noProof/>
            </w:rPr>
            <w:t>(FT, 2018)</w:t>
          </w:r>
          <w:r w:rsidR="00316775">
            <w:fldChar w:fldCharType="end"/>
          </w:r>
        </w:sdtContent>
      </w:sdt>
      <w:r w:rsidR="0030099A">
        <w:t xml:space="preserve">. This </w:t>
      </w:r>
      <w:r w:rsidR="00316775">
        <w:t>high-profile sector therefore represents a key component of the UK economy and</w:t>
      </w:r>
      <w:r w:rsidR="0030099A">
        <w:t xml:space="preserve"> makes an interesting </w:t>
      </w:r>
      <w:r w:rsidR="000623AA">
        <w:t xml:space="preserve">area of </w:t>
      </w:r>
      <w:r w:rsidR="0030099A">
        <w:t>study for further review.</w:t>
      </w:r>
    </w:p>
    <w:p w:rsidR="00316775" w:rsidRDefault="00316775" w:rsidP="000B1287">
      <w:r>
        <w:t xml:space="preserve">HL was founded in Bristol and represents a business of </w:t>
      </w:r>
      <w:r w:rsidR="001340BD">
        <w:t xml:space="preserve">keen </w:t>
      </w:r>
      <w:r>
        <w:t>local interest</w:t>
      </w:r>
      <w:r w:rsidR="000623AA">
        <w:t>, being recognised</w:t>
      </w:r>
      <w:r w:rsidR="001340BD">
        <w:t xml:space="preserve"> in the top 50 companies in the South West by a regional enterprise network </w:t>
      </w:r>
      <w:sdt>
        <w:sdtPr>
          <w:id w:val="-582675763"/>
          <w:citation/>
        </w:sdtPr>
        <w:sdtContent>
          <w:r w:rsidR="001340BD">
            <w:fldChar w:fldCharType="begin"/>
          </w:r>
          <w:r w:rsidR="001340BD">
            <w:instrText xml:space="preserve"> CITATION Sou18 \l 2057 </w:instrText>
          </w:r>
          <w:r w:rsidR="001340BD">
            <w:fldChar w:fldCharType="separate"/>
          </w:r>
          <w:r w:rsidR="00A90D87" w:rsidRPr="00A90D87">
            <w:rPr>
              <w:noProof/>
            </w:rPr>
            <w:t>(South West Business, 2018)</w:t>
          </w:r>
          <w:r w:rsidR="001340BD">
            <w:fldChar w:fldCharType="end"/>
          </w:r>
        </w:sdtContent>
      </w:sdt>
      <w:r w:rsidR="00681B1A">
        <w:t xml:space="preserve">. </w:t>
      </w:r>
      <w:r w:rsidR="00681B1A">
        <w:lastRenderedPageBreak/>
        <w:t xml:space="preserve">As a significant player in the UK’s leading </w:t>
      </w:r>
      <w:r w:rsidR="000623AA">
        <w:t xml:space="preserve">economic sector and with </w:t>
      </w:r>
      <w:r w:rsidR="006809F1">
        <w:t>relative</w:t>
      </w:r>
      <w:r w:rsidR="000623AA">
        <w:t xml:space="preserve"> uncertainty across the economy driven primarily due to Brexit, it is felt that an appraisal of this important local company is both timely and apt.</w:t>
      </w:r>
    </w:p>
    <w:p w:rsidR="00E17D21" w:rsidRDefault="00A73850" w:rsidP="00A73850">
      <w:pPr>
        <w:pStyle w:val="Heading1"/>
      </w:pPr>
      <w:bookmarkStart w:id="6" w:name="_Toc535606294"/>
      <w:r>
        <w:t>Financials</w:t>
      </w:r>
      <w:bookmarkEnd w:id="6"/>
    </w:p>
    <w:p w:rsidR="00A73850" w:rsidRDefault="002D78B0" w:rsidP="00A73850">
      <w:r>
        <w:t>The ability to raise finance is a key component of successful enterprise, and i</w:t>
      </w:r>
      <w:r w:rsidR="00847EEE">
        <w:t xml:space="preserve">t is commonly accepted that there are 2 broad streams for </w:t>
      </w:r>
      <w:r w:rsidR="0089399C">
        <w:t xml:space="preserve">companies in terms of raising finance: </w:t>
      </w:r>
      <w:r w:rsidR="002F6409">
        <w:t>Investment, and debt</w:t>
      </w:r>
      <w:r>
        <w:t xml:space="preserve">. Although there are recent developments in the avenues open to organisations, such as crowdfunding etc, capital raised </w:t>
      </w:r>
      <w:r w:rsidR="007B4B51">
        <w:t xml:space="preserve">is </w:t>
      </w:r>
      <w:r>
        <w:t xml:space="preserve">broadly be classified into investments, or debt </w:t>
      </w:r>
      <w:sdt>
        <w:sdtPr>
          <w:id w:val="1952819571"/>
          <w:citation/>
        </w:sdtPr>
        <w:sdtContent>
          <w:r>
            <w:fldChar w:fldCharType="begin"/>
          </w:r>
          <w:r>
            <w:instrText xml:space="preserve"> CITATION Ros14 \l 2057 </w:instrText>
          </w:r>
          <w:r>
            <w:fldChar w:fldCharType="separate"/>
          </w:r>
          <w:r w:rsidR="00A90D87" w:rsidRPr="00A90D87">
            <w:rPr>
              <w:noProof/>
            </w:rPr>
            <w:t>(Rossi, 2014)</w:t>
          </w:r>
          <w:r>
            <w:fldChar w:fldCharType="end"/>
          </w:r>
        </w:sdtContent>
      </w:sdt>
      <w:r>
        <w:t xml:space="preserve">. </w:t>
      </w:r>
    </w:p>
    <w:p w:rsidR="002D78B0" w:rsidRDefault="002D78B0" w:rsidP="00A73850">
      <w:r>
        <w:t xml:space="preserve">Either avenue requires </w:t>
      </w:r>
      <w:r w:rsidR="007B4B51">
        <w:t xml:space="preserve">the assessment in terms of whether finance invested, or loaned, represents value, or a likely safe return. Therefore, analysis of financial ratios is helpful to investors and potential creditors in understanding the financial health of a business in relatively simple terms </w:t>
      </w:r>
      <w:sdt>
        <w:sdtPr>
          <w:id w:val="1289081302"/>
          <w:citation/>
        </w:sdtPr>
        <w:sdtContent>
          <w:r w:rsidR="007B4B51">
            <w:fldChar w:fldCharType="begin"/>
          </w:r>
          <w:r w:rsidR="007B4B51">
            <w:instrText xml:space="preserve"> CITATION Atr09 \l 2057 </w:instrText>
          </w:r>
          <w:r w:rsidR="007B4B51">
            <w:fldChar w:fldCharType="separate"/>
          </w:r>
          <w:r w:rsidR="00A90D87" w:rsidRPr="00A90D87">
            <w:rPr>
              <w:noProof/>
            </w:rPr>
            <w:t>(Atrill, 2009)</w:t>
          </w:r>
          <w:r w:rsidR="007B4B51">
            <w:fldChar w:fldCharType="end"/>
          </w:r>
        </w:sdtContent>
      </w:sdt>
      <w:r w:rsidR="007B4B51">
        <w:t>. Although financial ratio analysis can provide useful data and be done relatively quickly, by itself this would represent only a shallow critique of a business strengths and weaknesses.</w:t>
      </w:r>
    </w:p>
    <w:p w:rsidR="007B4B51" w:rsidRDefault="007B4B51" w:rsidP="00A73850">
      <w:pPr>
        <w:rPr>
          <w:noProof/>
        </w:rPr>
      </w:pPr>
      <w:r>
        <w:t xml:space="preserve">Deeper analysis is required to understand why performance is weak or strong, and what factors may have influenced change. </w:t>
      </w:r>
      <w:r w:rsidRPr="007B4B51">
        <w:rPr>
          <w:noProof/>
        </w:rPr>
        <w:t>Atrill</w:t>
      </w:r>
      <w:r>
        <w:rPr>
          <w:noProof/>
        </w:rPr>
        <w:t xml:space="preserve"> describes the usefulness of ratios as best – “enabling us to know which questions to ask, rather than providing the answers.”</w:t>
      </w:r>
      <w:sdt>
        <w:sdtPr>
          <w:rPr>
            <w:noProof/>
          </w:rPr>
          <w:id w:val="702063077"/>
          <w:citation/>
        </w:sdtPr>
        <w:sdtContent>
          <w:r>
            <w:rPr>
              <w:noProof/>
            </w:rPr>
            <w:fldChar w:fldCharType="begin"/>
          </w:r>
          <w:r>
            <w:rPr>
              <w:noProof/>
            </w:rPr>
            <w:instrText xml:space="preserve">CITATION Atr09 \p 68 \n  \l 2057 </w:instrText>
          </w:r>
          <w:r>
            <w:rPr>
              <w:noProof/>
            </w:rPr>
            <w:fldChar w:fldCharType="separate"/>
          </w:r>
          <w:r w:rsidR="00A90D87">
            <w:rPr>
              <w:noProof/>
            </w:rPr>
            <w:t xml:space="preserve"> </w:t>
          </w:r>
          <w:r w:rsidR="00A90D87" w:rsidRPr="00A90D87">
            <w:rPr>
              <w:noProof/>
            </w:rPr>
            <w:t>(2009, p. 68)</w:t>
          </w:r>
          <w:r>
            <w:rPr>
              <w:noProof/>
            </w:rPr>
            <w:fldChar w:fldCharType="end"/>
          </w:r>
        </w:sdtContent>
      </w:sdt>
      <w:r>
        <w:rPr>
          <w:noProof/>
        </w:rPr>
        <w:t>.</w:t>
      </w:r>
      <w:r w:rsidR="00C415FC">
        <w:rPr>
          <w:noProof/>
        </w:rPr>
        <w:t xml:space="preserve"> Therefore this report will describe some of the key ratios for HL, then attempt to explain contributing factors influencing performance, concluding with some recommendations for optimising performance. </w:t>
      </w:r>
    </w:p>
    <w:p w:rsidR="00DA1508" w:rsidRDefault="003730E0" w:rsidP="00DA1508">
      <w:pPr>
        <w:pStyle w:val="Heading2"/>
      </w:pPr>
      <w:bookmarkStart w:id="7" w:name="_Toc535606295"/>
      <w:r>
        <w:t>HL financials</w:t>
      </w:r>
      <w:r w:rsidR="00F47ABA">
        <w:t xml:space="preserve"> v </w:t>
      </w:r>
      <w:r w:rsidR="00DA1508">
        <w:t>Sector performance</w:t>
      </w:r>
      <w:bookmarkEnd w:id="7"/>
    </w:p>
    <w:p w:rsidR="00DA1508" w:rsidRDefault="00A4313E" w:rsidP="00DA1508">
      <w:r>
        <w:t>In the section below we review some key</w:t>
      </w:r>
      <w:r w:rsidR="00282D66">
        <w:t xml:space="preserve"> financial</w:t>
      </w:r>
      <w:r>
        <w:t xml:space="preserve"> data in comparison to the sector performance for 2 periods</w:t>
      </w:r>
      <w:r w:rsidR="00FD3BB6">
        <w:t>:</w:t>
      </w:r>
      <w:r>
        <w:t xml:space="preserve"> a 5 year average</w:t>
      </w:r>
      <w:r w:rsidR="00FD3BB6">
        <w:t xml:space="preserve"> (5ya)</w:t>
      </w:r>
      <w:r>
        <w:t>, and trailing twelve months (TTM)</w:t>
      </w:r>
      <w:r w:rsidR="00EB59FC">
        <w:t xml:space="preserve">, using data available from a global finance portal </w:t>
      </w:r>
      <w:sdt>
        <w:sdtPr>
          <w:id w:val="-859042717"/>
          <w:citation/>
        </w:sdtPr>
        <w:sdtContent>
          <w:r w:rsidR="00EB59FC">
            <w:fldChar w:fldCharType="begin"/>
          </w:r>
          <w:r w:rsidR="00EB59FC">
            <w:instrText xml:space="preserve"> CITATION Inv19 \l 2057 </w:instrText>
          </w:r>
          <w:r w:rsidR="00EB59FC">
            <w:fldChar w:fldCharType="separate"/>
          </w:r>
          <w:r w:rsidR="00A90D87" w:rsidRPr="00A90D87">
            <w:rPr>
              <w:noProof/>
            </w:rPr>
            <w:t>(Investing.com, 2019)</w:t>
          </w:r>
          <w:r w:rsidR="00EB59FC">
            <w:fldChar w:fldCharType="end"/>
          </w:r>
        </w:sdtContent>
      </w:sdt>
      <w:r w:rsidR="00EC521E">
        <w:t xml:space="preserve">, as well as </w:t>
      </w:r>
      <w:r w:rsidR="00BF23A3">
        <w:t xml:space="preserve">financial statements from the year end annual report </w:t>
      </w:r>
      <w:sdt>
        <w:sdtPr>
          <w:id w:val="-1487013353"/>
          <w:citation/>
        </w:sdtPr>
        <w:sdtContent>
          <w:r w:rsidR="00BF23A3">
            <w:fldChar w:fldCharType="begin"/>
          </w:r>
          <w:r w:rsidR="00BF23A3">
            <w:instrText xml:space="preserve"> CITATION Har18 \l 2057 </w:instrText>
          </w:r>
          <w:r w:rsidR="00BF23A3">
            <w:fldChar w:fldCharType="separate"/>
          </w:r>
          <w:r w:rsidR="00A90D87" w:rsidRPr="00A90D87">
            <w:rPr>
              <w:noProof/>
            </w:rPr>
            <w:t>(Hargreaves Lansdown, 2018)</w:t>
          </w:r>
          <w:r w:rsidR="00BF23A3">
            <w:fldChar w:fldCharType="end"/>
          </w:r>
        </w:sdtContent>
      </w:sdt>
      <w:r w:rsidR="00BF23A3">
        <w:t>.</w:t>
      </w:r>
    </w:p>
    <w:p w:rsidR="00A4313E" w:rsidRDefault="00EB59FC" w:rsidP="00EB59FC">
      <w:pPr>
        <w:pStyle w:val="Heading3"/>
      </w:pPr>
      <w:bookmarkStart w:id="8" w:name="_Toc535606296"/>
      <w:r>
        <w:t>Profitability</w:t>
      </w:r>
      <w:bookmarkEnd w:id="8"/>
    </w:p>
    <w:p w:rsidR="00EB59FC" w:rsidRPr="00EB59FC" w:rsidRDefault="00FD3BB6" w:rsidP="00EB59FC">
      <w:r>
        <w:t xml:space="preserve">HL is outperforming the sector average in 3 measures of profitability in both TTM and 5ya. All measures performance </w:t>
      </w:r>
      <w:r w:rsidR="001F6186">
        <w:t xml:space="preserve">in TTM </w:t>
      </w:r>
      <w:r>
        <w:t>broadly in favour by factor o</w:t>
      </w:r>
      <w:r w:rsidR="00BE550D">
        <w:t>f</w:t>
      </w:r>
      <w:r>
        <w:t xml:space="preserve"> 2 times across all 3 margins (195%-211% range).</w:t>
      </w:r>
      <w:r w:rsidR="001F6186">
        <w:t xml:space="preserve"> This is mirrored in 5ya (215%-310% range), all be it with slightly increased operating margin performance against sector average for 5ya (factor of 3 times)</w:t>
      </w:r>
    </w:p>
    <w:p w:rsidR="00282D66" w:rsidRDefault="00282D66" w:rsidP="00282D66">
      <w:pPr>
        <w:pStyle w:val="Caption"/>
        <w:keepNext/>
      </w:pPr>
      <w:bookmarkStart w:id="9" w:name="_Toc535605998"/>
      <w:r>
        <w:t xml:space="preserve">Table </w:t>
      </w:r>
      <w:r>
        <w:fldChar w:fldCharType="begin"/>
      </w:r>
      <w:r>
        <w:instrText xml:space="preserve"> SEQ Table \* ARABIC </w:instrText>
      </w:r>
      <w:r>
        <w:fldChar w:fldCharType="separate"/>
      </w:r>
      <w:r w:rsidR="0020743A">
        <w:rPr>
          <w:noProof/>
        </w:rPr>
        <w:t>1</w:t>
      </w:r>
      <w:r>
        <w:fldChar w:fldCharType="end"/>
      </w:r>
      <w:r>
        <w:t xml:space="preserve"> - Profitability: HL v Sector TTM</w:t>
      </w:r>
      <w:bookmarkEnd w:id="9"/>
    </w:p>
    <w:tbl>
      <w:tblPr>
        <w:tblStyle w:val="TableGrid"/>
        <w:tblW w:w="0" w:type="auto"/>
        <w:tblLook w:val="04A0" w:firstRow="1" w:lastRow="0" w:firstColumn="1" w:lastColumn="0" w:noHBand="0" w:noVBand="1"/>
      </w:tblPr>
      <w:tblGrid>
        <w:gridCol w:w="3005"/>
        <w:gridCol w:w="2235"/>
        <w:gridCol w:w="1985"/>
      </w:tblGrid>
      <w:tr w:rsidR="00A4313E" w:rsidTr="00A4313E">
        <w:tc>
          <w:tcPr>
            <w:tcW w:w="3005" w:type="dxa"/>
          </w:tcPr>
          <w:p w:rsidR="00A4313E" w:rsidRPr="00A4313E" w:rsidRDefault="00A4313E" w:rsidP="00DA1508">
            <w:pPr>
              <w:rPr>
                <w:b/>
              </w:rPr>
            </w:pPr>
            <w:r w:rsidRPr="00A4313E">
              <w:rPr>
                <w:b/>
              </w:rPr>
              <w:t>TTM</w:t>
            </w:r>
          </w:p>
        </w:tc>
        <w:tc>
          <w:tcPr>
            <w:tcW w:w="2235" w:type="dxa"/>
          </w:tcPr>
          <w:p w:rsidR="00A4313E" w:rsidRPr="00A4313E" w:rsidRDefault="00A4313E" w:rsidP="00A4313E">
            <w:pPr>
              <w:jc w:val="center"/>
              <w:rPr>
                <w:b/>
              </w:rPr>
            </w:pPr>
            <w:r w:rsidRPr="00A4313E">
              <w:rPr>
                <w:b/>
              </w:rPr>
              <w:t>HL</w:t>
            </w:r>
          </w:p>
        </w:tc>
        <w:tc>
          <w:tcPr>
            <w:tcW w:w="1985" w:type="dxa"/>
          </w:tcPr>
          <w:p w:rsidR="00A4313E" w:rsidRPr="00A4313E" w:rsidRDefault="00A4313E" w:rsidP="00A4313E">
            <w:pPr>
              <w:jc w:val="center"/>
              <w:rPr>
                <w:b/>
              </w:rPr>
            </w:pPr>
            <w:r w:rsidRPr="00A4313E">
              <w:rPr>
                <w:b/>
              </w:rPr>
              <w:t>Sector</w:t>
            </w:r>
          </w:p>
        </w:tc>
      </w:tr>
      <w:tr w:rsidR="00A4313E" w:rsidRPr="00DA1508" w:rsidTr="00A4313E">
        <w:trPr>
          <w:trHeight w:val="259"/>
        </w:trPr>
        <w:tc>
          <w:tcPr>
            <w:tcW w:w="3005" w:type="dxa"/>
            <w:hideMark/>
          </w:tcPr>
          <w:p w:rsidR="00A4313E" w:rsidRPr="00DA1508" w:rsidRDefault="00A4313E" w:rsidP="00EB6F30">
            <w:pPr>
              <w:rPr>
                <w:rFonts w:eastAsia="Times New Roman" w:cstheme="minorHAnsi"/>
                <w:lang w:eastAsia="en-GB"/>
              </w:rPr>
            </w:pPr>
            <w:r w:rsidRPr="00DA1508">
              <w:rPr>
                <w:rFonts w:eastAsia="Times New Roman" w:cstheme="minorHAnsi"/>
                <w:bdr w:val="none" w:sz="0" w:space="0" w:color="auto" w:frame="1"/>
                <w:lang w:eastAsia="en-GB"/>
              </w:rPr>
              <w:t>Operating margin</w:t>
            </w:r>
          </w:p>
        </w:tc>
        <w:tc>
          <w:tcPr>
            <w:tcW w:w="2235" w:type="dxa"/>
            <w:hideMark/>
          </w:tcPr>
          <w:p w:rsidR="00A4313E" w:rsidRPr="00DA1508" w:rsidRDefault="00A4313E" w:rsidP="00A4313E">
            <w:pPr>
              <w:jc w:val="center"/>
              <w:rPr>
                <w:rFonts w:eastAsia="Times New Roman" w:cstheme="minorHAnsi"/>
                <w:lang w:eastAsia="en-GB"/>
              </w:rPr>
            </w:pPr>
            <w:r w:rsidRPr="00DA1508">
              <w:rPr>
                <w:rFonts w:eastAsia="Times New Roman" w:cstheme="minorHAnsi"/>
                <w:lang w:eastAsia="en-GB"/>
              </w:rPr>
              <w:t>65.04%</w:t>
            </w:r>
          </w:p>
        </w:tc>
        <w:tc>
          <w:tcPr>
            <w:tcW w:w="1985" w:type="dxa"/>
            <w:hideMark/>
          </w:tcPr>
          <w:p w:rsidR="00A4313E" w:rsidRPr="00DA1508" w:rsidRDefault="00A4313E" w:rsidP="00A4313E">
            <w:pPr>
              <w:jc w:val="center"/>
              <w:rPr>
                <w:rFonts w:eastAsia="Times New Roman" w:cstheme="minorHAnsi"/>
                <w:lang w:eastAsia="en-GB"/>
              </w:rPr>
            </w:pPr>
            <w:r w:rsidRPr="00DA1508">
              <w:rPr>
                <w:rFonts w:eastAsia="Times New Roman" w:cstheme="minorHAnsi"/>
                <w:lang w:eastAsia="en-GB"/>
              </w:rPr>
              <w:t>31.91%</w:t>
            </w:r>
          </w:p>
        </w:tc>
      </w:tr>
      <w:tr w:rsidR="00A4313E" w:rsidRPr="00DA1508" w:rsidTr="00A4313E">
        <w:trPr>
          <w:trHeight w:val="259"/>
        </w:trPr>
        <w:tc>
          <w:tcPr>
            <w:tcW w:w="3005" w:type="dxa"/>
            <w:hideMark/>
          </w:tcPr>
          <w:p w:rsidR="00A4313E" w:rsidRPr="00DA1508" w:rsidRDefault="00A4313E" w:rsidP="00EB6F30">
            <w:pPr>
              <w:rPr>
                <w:rFonts w:eastAsia="Times New Roman" w:cstheme="minorHAnsi"/>
                <w:lang w:eastAsia="en-GB"/>
              </w:rPr>
            </w:pPr>
            <w:r w:rsidRPr="00DA1508">
              <w:rPr>
                <w:rFonts w:eastAsia="Times New Roman" w:cstheme="minorHAnsi"/>
                <w:bdr w:val="none" w:sz="0" w:space="0" w:color="auto" w:frame="1"/>
                <w:lang w:eastAsia="en-GB"/>
              </w:rPr>
              <w:t>Pre</w:t>
            </w:r>
            <w:r>
              <w:rPr>
                <w:rFonts w:eastAsia="Times New Roman" w:cstheme="minorHAnsi"/>
                <w:bdr w:val="none" w:sz="0" w:space="0" w:color="auto" w:frame="1"/>
                <w:lang w:eastAsia="en-GB"/>
              </w:rPr>
              <w:t>-</w:t>
            </w:r>
            <w:r w:rsidRPr="00DA1508">
              <w:rPr>
                <w:rFonts w:eastAsia="Times New Roman" w:cstheme="minorHAnsi"/>
                <w:bdr w:val="none" w:sz="0" w:space="0" w:color="auto" w:frame="1"/>
                <w:lang w:eastAsia="en-GB"/>
              </w:rPr>
              <w:t>tax margin</w:t>
            </w:r>
          </w:p>
        </w:tc>
        <w:tc>
          <w:tcPr>
            <w:tcW w:w="2235" w:type="dxa"/>
            <w:hideMark/>
          </w:tcPr>
          <w:p w:rsidR="00A4313E" w:rsidRPr="00DA1508" w:rsidRDefault="00A4313E" w:rsidP="00A4313E">
            <w:pPr>
              <w:jc w:val="center"/>
              <w:rPr>
                <w:rFonts w:eastAsia="Times New Roman" w:cstheme="minorHAnsi"/>
                <w:lang w:eastAsia="en-GB"/>
              </w:rPr>
            </w:pPr>
            <w:r w:rsidRPr="00DA1508">
              <w:rPr>
                <w:rFonts w:eastAsia="Times New Roman" w:cstheme="minorHAnsi"/>
                <w:lang w:eastAsia="en-GB"/>
              </w:rPr>
              <w:t>65.33%</w:t>
            </w:r>
          </w:p>
        </w:tc>
        <w:tc>
          <w:tcPr>
            <w:tcW w:w="1985" w:type="dxa"/>
            <w:hideMark/>
          </w:tcPr>
          <w:p w:rsidR="00A4313E" w:rsidRPr="00DA1508" w:rsidRDefault="00A4313E" w:rsidP="00A4313E">
            <w:pPr>
              <w:jc w:val="center"/>
              <w:rPr>
                <w:rFonts w:eastAsia="Times New Roman" w:cstheme="minorHAnsi"/>
                <w:lang w:eastAsia="en-GB"/>
              </w:rPr>
            </w:pPr>
            <w:r w:rsidRPr="00DA1508">
              <w:rPr>
                <w:rFonts w:eastAsia="Times New Roman" w:cstheme="minorHAnsi"/>
                <w:lang w:eastAsia="en-GB"/>
              </w:rPr>
              <w:t>31.03%</w:t>
            </w:r>
          </w:p>
        </w:tc>
      </w:tr>
      <w:tr w:rsidR="00A4313E" w:rsidRPr="00DA1508" w:rsidTr="00A4313E">
        <w:trPr>
          <w:trHeight w:val="259"/>
        </w:trPr>
        <w:tc>
          <w:tcPr>
            <w:tcW w:w="3005" w:type="dxa"/>
            <w:hideMark/>
          </w:tcPr>
          <w:p w:rsidR="00A4313E" w:rsidRPr="00DA1508" w:rsidRDefault="00A4313E" w:rsidP="00EB6F30">
            <w:pPr>
              <w:rPr>
                <w:rFonts w:eastAsia="Times New Roman" w:cstheme="minorHAnsi"/>
                <w:lang w:eastAsia="en-GB"/>
              </w:rPr>
            </w:pPr>
            <w:r w:rsidRPr="00DA1508">
              <w:rPr>
                <w:rFonts w:eastAsia="Times New Roman" w:cstheme="minorHAnsi"/>
                <w:bdr w:val="none" w:sz="0" w:space="0" w:color="auto" w:frame="1"/>
                <w:lang w:eastAsia="en-GB"/>
              </w:rPr>
              <w:t>Net Profit margin</w:t>
            </w:r>
          </w:p>
        </w:tc>
        <w:tc>
          <w:tcPr>
            <w:tcW w:w="2235" w:type="dxa"/>
            <w:hideMark/>
          </w:tcPr>
          <w:p w:rsidR="00A4313E" w:rsidRPr="00DA1508" w:rsidRDefault="00A4313E" w:rsidP="00A4313E">
            <w:pPr>
              <w:jc w:val="center"/>
              <w:rPr>
                <w:rFonts w:eastAsia="Times New Roman" w:cstheme="minorHAnsi"/>
                <w:lang w:eastAsia="en-GB"/>
              </w:rPr>
            </w:pPr>
            <w:r w:rsidRPr="00DA1508">
              <w:rPr>
                <w:rFonts w:eastAsia="Times New Roman" w:cstheme="minorHAnsi"/>
                <w:lang w:eastAsia="en-GB"/>
              </w:rPr>
              <w:t>52.88%</w:t>
            </w:r>
          </w:p>
        </w:tc>
        <w:tc>
          <w:tcPr>
            <w:tcW w:w="1985" w:type="dxa"/>
            <w:hideMark/>
          </w:tcPr>
          <w:p w:rsidR="00A4313E" w:rsidRPr="00DA1508" w:rsidRDefault="00A4313E" w:rsidP="00A4313E">
            <w:pPr>
              <w:jc w:val="center"/>
              <w:rPr>
                <w:rFonts w:eastAsia="Times New Roman" w:cstheme="minorHAnsi"/>
                <w:lang w:eastAsia="en-GB"/>
              </w:rPr>
            </w:pPr>
            <w:r w:rsidRPr="00DA1508">
              <w:rPr>
                <w:rFonts w:eastAsia="Times New Roman" w:cstheme="minorHAnsi"/>
                <w:lang w:eastAsia="en-GB"/>
              </w:rPr>
              <w:t>27.15%</w:t>
            </w:r>
          </w:p>
        </w:tc>
      </w:tr>
    </w:tbl>
    <w:p w:rsidR="00A4313E" w:rsidRDefault="00A4313E" w:rsidP="00DA1508"/>
    <w:p w:rsidR="00282D66" w:rsidRDefault="00282D66" w:rsidP="00282D66">
      <w:pPr>
        <w:pStyle w:val="Caption"/>
        <w:keepNext/>
      </w:pPr>
      <w:bookmarkStart w:id="10" w:name="_Toc535605999"/>
      <w:r>
        <w:t xml:space="preserve">Table </w:t>
      </w:r>
      <w:r>
        <w:fldChar w:fldCharType="begin"/>
      </w:r>
      <w:r>
        <w:instrText xml:space="preserve"> SEQ Table \* ARABIC </w:instrText>
      </w:r>
      <w:r>
        <w:fldChar w:fldCharType="separate"/>
      </w:r>
      <w:r w:rsidR="0020743A">
        <w:rPr>
          <w:noProof/>
        </w:rPr>
        <w:t>2</w:t>
      </w:r>
      <w:r>
        <w:fldChar w:fldCharType="end"/>
      </w:r>
      <w:r>
        <w:t xml:space="preserve"> - </w:t>
      </w:r>
      <w:r w:rsidRPr="008E1C61">
        <w:t xml:space="preserve">Profitability: HL v Sector </w:t>
      </w:r>
      <w:r>
        <w:t>5ya</w:t>
      </w:r>
      <w:bookmarkEnd w:id="10"/>
    </w:p>
    <w:tbl>
      <w:tblPr>
        <w:tblStyle w:val="TableGrid"/>
        <w:tblW w:w="0" w:type="auto"/>
        <w:tblLook w:val="04A0" w:firstRow="1" w:lastRow="0" w:firstColumn="1" w:lastColumn="0" w:noHBand="0" w:noVBand="1"/>
      </w:tblPr>
      <w:tblGrid>
        <w:gridCol w:w="3005"/>
        <w:gridCol w:w="2235"/>
        <w:gridCol w:w="1985"/>
      </w:tblGrid>
      <w:tr w:rsidR="00A4313E" w:rsidTr="00EB6F30">
        <w:tc>
          <w:tcPr>
            <w:tcW w:w="3005" w:type="dxa"/>
          </w:tcPr>
          <w:p w:rsidR="00A4313E" w:rsidRPr="00A4313E" w:rsidRDefault="00A4313E" w:rsidP="00EB6F30">
            <w:pPr>
              <w:rPr>
                <w:b/>
              </w:rPr>
            </w:pPr>
            <w:r>
              <w:rPr>
                <w:b/>
              </w:rPr>
              <w:t>5</w:t>
            </w:r>
            <w:r w:rsidR="00FD3BB6">
              <w:rPr>
                <w:b/>
              </w:rPr>
              <w:t>ya</w:t>
            </w:r>
          </w:p>
        </w:tc>
        <w:tc>
          <w:tcPr>
            <w:tcW w:w="2235" w:type="dxa"/>
          </w:tcPr>
          <w:p w:rsidR="00A4313E" w:rsidRPr="00A4313E" w:rsidRDefault="00A4313E" w:rsidP="00EB6F30">
            <w:pPr>
              <w:jc w:val="center"/>
              <w:rPr>
                <w:b/>
              </w:rPr>
            </w:pPr>
            <w:r w:rsidRPr="00A4313E">
              <w:rPr>
                <w:b/>
              </w:rPr>
              <w:t>HL</w:t>
            </w:r>
          </w:p>
        </w:tc>
        <w:tc>
          <w:tcPr>
            <w:tcW w:w="1985" w:type="dxa"/>
          </w:tcPr>
          <w:p w:rsidR="00A4313E" w:rsidRPr="00A4313E" w:rsidRDefault="00A4313E" w:rsidP="00EB6F30">
            <w:pPr>
              <w:jc w:val="center"/>
              <w:rPr>
                <w:b/>
              </w:rPr>
            </w:pPr>
            <w:r w:rsidRPr="00A4313E">
              <w:rPr>
                <w:b/>
              </w:rPr>
              <w:t>Sector</w:t>
            </w:r>
          </w:p>
        </w:tc>
      </w:tr>
      <w:tr w:rsidR="00A4313E" w:rsidRPr="00DA1508" w:rsidTr="00EB6F30">
        <w:trPr>
          <w:trHeight w:val="259"/>
        </w:trPr>
        <w:tc>
          <w:tcPr>
            <w:tcW w:w="3005" w:type="dxa"/>
            <w:hideMark/>
          </w:tcPr>
          <w:p w:rsidR="00A4313E" w:rsidRPr="00DA1508" w:rsidRDefault="00A4313E" w:rsidP="00A4313E">
            <w:pPr>
              <w:rPr>
                <w:rFonts w:eastAsia="Times New Roman" w:cstheme="minorHAnsi"/>
                <w:lang w:eastAsia="en-GB"/>
              </w:rPr>
            </w:pPr>
            <w:r w:rsidRPr="00DA1508">
              <w:rPr>
                <w:rFonts w:eastAsia="Times New Roman" w:cstheme="minorHAnsi"/>
                <w:bdr w:val="none" w:sz="0" w:space="0" w:color="auto" w:frame="1"/>
                <w:lang w:eastAsia="en-GB"/>
              </w:rPr>
              <w:t>Operating margin</w:t>
            </w:r>
          </w:p>
        </w:tc>
        <w:tc>
          <w:tcPr>
            <w:tcW w:w="2235" w:type="dxa"/>
            <w:hideMark/>
          </w:tcPr>
          <w:p w:rsidR="00A4313E" w:rsidRPr="00631479" w:rsidRDefault="00A4313E" w:rsidP="00A4313E">
            <w:pPr>
              <w:jc w:val="center"/>
            </w:pPr>
            <w:r w:rsidRPr="00631479">
              <w:t>59.61%</w:t>
            </w:r>
          </w:p>
        </w:tc>
        <w:tc>
          <w:tcPr>
            <w:tcW w:w="1985" w:type="dxa"/>
            <w:hideMark/>
          </w:tcPr>
          <w:p w:rsidR="00A4313E" w:rsidRPr="00631479" w:rsidRDefault="00A4313E" w:rsidP="00A4313E">
            <w:pPr>
              <w:jc w:val="center"/>
            </w:pPr>
            <w:r w:rsidRPr="00631479">
              <w:t>19.21%</w:t>
            </w:r>
          </w:p>
        </w:tc>
      </w:tr>
      <w:tr w:rsidR="00A4313E" w:rsidRPr="00DA1508" w:rsidTr="00EB6F30">
        <w:trPr>
          <w:trHeight w:val="259"/>
        </w:trPr>
        <w:tc>
          <w:tcPr>
            <w:tcW w:w="3005" w:type="dxa"/>
            <w:hideMark/>
          </w:tcPr>
          <w:p w:rsidR="00A4313E" w:rsidRPr="00DA1508" w:rsidRDefault="00A4313E" w:rsidP="00A4313E">
            <w:pPr>
              <w:rPr>
                <w:rFonts w:eastAsia="Times New Roman" w:cstheme="minorHAnsi"/>
                <w:lang w:eastAsia="en-GB"/>
              </w:rPr>
            </w:pPr>
            <w:r w:rsidRPr="00DA1508">
              <w:rPr>
                <w:rFonts w:eastAsia="Times New Roman" w:cstheme="minorHAnsi"/>
                <w:bdr w:val="none" w:sz="0" w:space="0" w:color="auto" w:frame="1"/>
                <w:lang w:eastAsia="en-GB"/>
              </w:rPr>
              <w:t>Pre</w:t>
            </w:r>
            <w:r>
              <w:rPr>
                <w:rFonts w:eastAsia="Times New Roman" w:cstheme="minorHAnsi"/>
                <w:bdr w:val="none" w:sz="0" w:space="0" w:color="auto" w:frame="1"/>
                <w:lang w:eastAsia="en-GB"/>
              </w:rPr>
              <w:t>-</w:t>
            </w:r>
            <w:r w:rsidRPr="00DA1508">
              <w:rPr>
                <w:rFonts w:eastAsia="Times New Roman" w:cstheme="minorHAnsi"/>
                <w:bdr w:val="none" w:sz="0" w:space="0" w:color="auto" w:frame="1"/>
                <w:lang w:eastAsia="en-GB"/>
              </w:rPr>
              <w:t>tax margin</w:t>
            </w:r>
          </w:p>
        </w:tc>
        <w:tc>
          <w:tcPr>
            <w:tcW w:w="2235" w:type="dxa"/>
            <w:hideMark/>
          </w:tcPr>
          <w:p w:rsidR="00A4313E" w:rsidRPr="00631479" w:rsidRDefault="00A4313E" w:rsidP="00A4313E">
            <w:pPr>
              <w:jc w:val="center"/>
            </w:pPr>
            <w:r w:rsidRPr="00631479">
              <w:t>60.04%</w:t>
            </w:r>
          </w:p>
        </w:tc>
        <w:tc>
          <w:tcPr>
            <w:tcW w:w="1985" w:type="dxa"/>
            <w:hideMark/>
          </w:tcPr>
          <w:p w:rsidR="00A4313E" w:rsidRPr="00631479" w:rsidRDefault="00A4313E" w:rsidP="00A4313E">
            <w:pPr>
              <w:jc w:val="center"/>
            </w:pPr>
            <w:r w:rsidRPr="00631479">
              <w:t>27.18%</w:t>
            </w:r>
          </w:p>
        </w:tc>
      </w:tr>
      <w:tr w:rsidR="00A4313E" w:rsidRPr="00DA1508" w:rsidTr="00EB6F30">
        <w:trPr>
          <w:trHeight w:val="259"/>
        </w:trPr>
        <w:tc>
          <w:tcPr>
            <w:tcW w:w="3005" w:type="dxa"/>
            <w:hideMark/>
          </w:tcPr>
          <w:p w:rsidR="00A4313E" w:rsidRPr="00DA1508" w:rsidRDefault="00A4313E" w:rsidP="00A4313E">
            <w:pPr>
              <w:rPr>
                <w:rFonts w:eastAsia="Times New Roman" w:cstheme="minorHAnsi"/>
                <w:lang w:eastAsia="en-GB"/>
              </w:rPr>
            </w:pPr>
            <w:r w:rsidRPr="00DA1508">
              <w:rPr>
                <w:rFonts w:eastAsia="Times New Roman" w:cstheme="minorHAnsi"/>
                <w:bdr w:val="none" w:sz="0" w:space="0" w:color="auto" w:frame="1"/>
                <w:lang w:eastAsia="en-GB"/>
              </w:rPr>
              <w:t>Net Profit margin</w:t>
            </w:r>
          </w:p>
        </w:tc>
        <w:tc>
          <w:tcPr>
            <w:tcW w:w="2235" w:type="dxa"/>
            <w:hideMark/>
          </w:tcPr>
          <w:p w:rsidR="00A4313E" w:rsidRPr="00631479" w:rsidRDefault="00A4313E" w:rsidP="00A4313E">
            <w:pPr>
              <w:jc w:val="center"/>
            </w:pPr>
            <w:r w:rsidRPr="00631479">
              <w:t>47.89%</w:t>
            </w:r>
          </w:p>
        </w:tc>
        <w:tc>
          <w:tcPr>
            <w:tcW w:w="1985" w:type="dxa"/>
            <w:hideMark/>
          </w:tcPr>
          <w:p w:rsidR="00A4313E" w:rsidRDefault="00A4313E" w:rsidP="00A4313E">
            <w:pPr>
              <w:jc w:val="center"/>
            </w:pPr>
            <w:r w:rsidRPr="00631479">
              <w:t>22.26%</w:t>
            </w:r>
          </w:p>
        </w:tc>
      </w:tr>
    </w:tbl>
    <w:p w:rsidR="00A4313E" w:rsidRDefault="00A4313E" w:rsidP="00DA1508"/>
    <w:p w:rsidR="00B4493D" w:rsidRDefault="00B4493D" w:rsidP="00B4493D">
      <w:pPr>
        <w:pStyle w:val="Heading4"/>
      </w:pPr>
      <w:r>
        <w:lastRenderedPageBreak/>
        <w:t>Profitability – Trend Analysis</w:t>
      </w:r>
    </w:p>
    <w:p w:rsidR="00B4493D" w:rsidRDefault="00B4493D" w:rsidP="00B4493D">
      <w:r>
        <w:t xml:space="preserve">Analysing HL performance between 2014 and 2018 we can see steady growth in Operating Margin of around 12%, with significant uplift in margin between 2015 and 2017 of around 35%. This tells us that </w:t>
      </w:r>
      <w:r w:rsidR="0098169B">
        <w:t>HL are achieving better value for their sales since 2017 despite significant investment in their infrastructure. HL attributes this to the scalability of their operating model delivering efficiencies and driving margins up to an “industry leading” 65.04%</w:t>
      </w:r>
      <w:sdt>
        <w:sdtPr>
          <w:id w:val="-1068721594"/>
          <w:citation/>
        </w:sdtPr>
        <w:sdtContent>
          <w:r w:rsidR="0098169B">
            <w:fldChar w:fldCharType="begin"/>
          </w:r>
          <w:r w:rsidR="0098169B">
            <w:instrText xml:space="preserve">CITATION Har18 \p 15 \l 2057 </w:instrText>
          </w:r>
          <w:r w:rsidR="0098169B">
            <w:fldChar w:fldCharType="separate"/>
          </w:r>
          <w:r w:rsidR="00A90D87">
            <w:rPr>
              <w:noProof/>
            </w:rPr>
            <w:t xml:space="preserve"> </w:t>
          </w:r>
          <w:r w:rsidR="00A90D87" w:rsidRPr="00A90D87">
            <w:rPr>
              <w:noProof/>
            </w:rPr>
            <w:t>(Hargreaves Lansdown, 2018, p. 15)</w:t>
          </w:r>
          <w:r w:rsidR="0098169B">
            <w:fldChar w:fldCharType="end"/>
          </w:r>
        </w:sdtContent>
      </w:sdt>
      <w:r w:rsidR="0098169B">
        <w:t>.</w:t>
      </w:r>
    </w:p>
    <w:p w:rsidR="00E1304C" w:rsidRPr="005800D0" w:rsidRDefault="00B80D10" w:rsidP="00B4493D">
      <w:r w:rsidRPr="005800D0">
        <w:t>HL are effective at profit generation and perform at over 80% ROCE in each of the last 5 years</w:t>
      </w:r>
      <w:r w:rsidR="00E1304C" w:rsidRPr="005800D0">
        <w:t>.</w:t>
      </w:r>
      <w:r w:rsidR="000E19E8" w:rsidRPr="005800D0">
        <w:t xml:space="preserve"> (</w:t>
      </w:r>
      <w:r w:rsidR="006012E5" w:rsidRPr="005800D0">
        <w:t>ROCE (Return on Capital Employed) describes how effectively HL is generating profits from its Capital</w:t>
      </w:r>
      <w:r w:rsidR="000E19E8" w:rsidRPr="005800D0">
        <w:t>)</w:t>
      </w:r>
      <w:r w:rsidR="006012E5" w:rsidRPr="005800D0">
        <w:t xml:space="preserve">. </w:t>
      </w:r>
      <w:r w:rsidR="00E1304C" w:rsidRPr="005800D0">
        <w:t xml:space="preserve">The average ROCE for UK based companies in 2018 is around 12.7%, with Servicing and Manufacturing companies being slightly higher at around 17% &amp; 15% respectively </w:t>
      </w:r>
      <w:sdt>
        <w:sdtPr>
          <w:id w:val="949055196"/>
          <w:citation/>
        </w:sdtPr>
        <w:sdtContent>
          <w:r w:rsidR="00E1304C" w:rsidRPr="005800D0">
            <w:fldChar w:fldCharType="begin"/>
          </w:r>
          <w:r w:rsidR="00E1304C" w:rsidRPr="005800D0">
            <w:instrText xml:space="preserve"> CITATION ONS18 \l 2057 </w:instrText>
          </w:r>
          <w:r w:rsidR="00E1304C" w:rsidRPr="005800D0">
            <w:fldChar w:fldCharType="separate"/>
          </w:r>
          <w:r w:rsidR="00A90D87" w:rsidRPr="00A90D87">
            <w:rPr>
              <w:noProof/>
            </w:rPr>
            <w:t>(ONS, 2018)</w:t>
          </w:r>
          <w:r w:rsidR="00E1304C" w:rsidRPr="005800D0">
            <w:fldChar w:fldCharType="end"/>
          </w:r>
        </w:sdtContent>
      </w:sdt>
      <w:r w:rsidR="00E1304C" w:rsidRPr="005800D0">
        <w:t xml:space="preserve">. </w:t>
      </w:r>
      <w:r w:rsidR="000E19E8" w:rsidRPr="005800D0">
        <w:t xml:space="preserve">Identifying </w:t>
      </w:r>
      <w:r w:rsidR="00C20589">
        <w:t xml:space="preserve">ROCE </w:t>
      </w:r>
      <w:r w:rsidR="000E19E8" w:rsidRPr="005800D0">
        <w:t xml:space="preserve">data for financial institutions is slightly more challenging as this ratio is not widely reported, however comparison with a leading FTSE 100 listed competitor – Standard Life Aberdeen (SLA) demonstrates HL significantly </w:t>
      </w:r>
      <w:r w:rsidR="005800D0" w:rsidRPr="005800D0">
        <w:t>stronger performance in ROCE analysis for each year between 2014 &amp; 2017.</w:t>
      </w:r>
      <w:r w:rsidR="00A716A4">
        <w:t xml:space="preserve"> HL are therefore able to generate significant revenues with relatively little capital required.</w:t>
      </w:r>
    </w:p>
    <w:p w:rsidR="00282D66" w:rsidRDefault="00282D66" w:rsidP="00282D66">
      <w:pPr>
        <w:pStyle w:val="Caption"/>
        <w:keepNext/>
      </w:pPr>
      <w:bookmarkStart w:id="11" w:name="_Toc535606000"/>
      <w:r>
        <w:t xml:space="preserve">Table </w:t>
      </w:r>
      <w:r>
        <w:fldChar w:fldCharType="begin"/>
      </w:r>
      <w:r>
        <w:instrText xml:space="preserve"> SEQ Table \* ARABIC </w:instrText>
      </w:r>
      <w:r>
        <w:fldChar w:fldCharType="separate"/>
      </w:r>
      <w:r w:rsidR="0020743A">
        <w:rPr>
          <w:noProof/>
        </w:rPr>
        <w:t>3</w:t>
      </w:r>
      <w:r>
        <w:fldChar w:fldCharType="end"/>
      </w:r>
      <w:r>
        <w:t xml:space="preserve"> - HL Profitability Margin &amp; ROCE</w:t>
      </w:r>
      <w:bookmarkEnd w:id="11"/>
    </w:p>
    <w:tbl>
      <w:tblPr>
        <w:tblW w:w="8364" w:type="dxa"/>
        <w:tblInd w:w="-15" w:type="dxa"/>
        <w:tblLook w:val="04A0" w:firstRow="1" w:lastRow="0" w:firstColumn="1" w:lastColumn="0" w:noHBand="0" w:noVBand="1"/>
      </w:tblPr>
      <w:tblGrid>
        <w:gridCol w:w="1985"/>
        <w:gridCol w:w="1134"/>
        <w:gridCol w:w="1276"/>
        <w:gridCol w:w="1275"/>
        <w:gridCol w:w="1276"/>
        <w:gridCol w:w="1418"/>
      </w:tblGrid>
      <w:tr w:rsidR="00B4493D" w:rsidRPr="005800D0" w:rsidTr="00B4493D">
        <w:trPr>
          <w:trHeight w:val="263"/>
        </w:trPr>
        <w:tc>
          <w:tcPr>
            <w:tcW w:w="1985" w:type="dxa"/>
            <w:tcBorders>
              <w:top w:val="nil"/>
              <w:left w:val="single" w:sz="12" w:space="0" w:color="FFFFFF"/>
              <w:bottom w:val="nil"/>
              <w:right w:val="nil"/>
            </w:tcBorders>
            <w:shd w:val="clear" w:color="auto" w:fill="auto"/>
            <w:vAlign w:val="bottom"/>
            <w:hideMark/>
          </w:tcPr>
          <w:p w:rsidR="00B4493D" w:rsidRPr="005800D0" w:rsidRDefault="00B4493D" w:rsidP="00B4493D">
            <w:pPr>
              <w:spacing w:after="0" w:line="240" w:lineRule="auto"/>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 </w:t>
            </w:r>
          </w:p>
        </w:tc>
        <w:tc>
          <w:tcPr>
            <w:tcW w:w="1134" w:type="dxa"/>
            <w:tcBorders>
              <w:top w:val="single" w:sz="8" w:space="0" w:color="auto"/>
              <w:left w:val="single" w:sz="8" w:space="0" w:color="auto"/>
              <w:bottom w:val="nil"/>
              <w:right w:val="single" w:sz="4" w:space="0" w:color="auto"/>
            </w:tcBorders>
            <w:shd w:val="clear" w:color="auto" w:fill="auto"/>
            <w:vAlign w:val="bottom"/>
            <w:hideMark/>
          </w:tcPr>
          <w:p w:rsidR="00B4493D" w:rsidRPr="005800D0" w:rsidRDefault="00B4493D" w:rsidP="00B4493D">
            <w:pPr>
              <w:spacing w:after="0" w:line="240" w:lineRule="auto"/>
              <w:jc w:val="center"/>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2014</w:t>
            </w:r>
          </w:p>
        </w:tc>
        <w:tc>
          <w:tcPr>
            <w:tcW w:w="1276" w:type="dxa"/>
            <w:tcBorders>
              <w:top w:val="single" w:sz="8" w:space="0" w:color="auto"/>
              <w:left w:val="nil"/>
              <w:bottom w:val="nil"/>
              <w:right w:val="single" w:sz="4" w:space="0" w:color="auto"/>
            </w:tcBorders>
            <w:shd w:val="clear" w:color="auto" w:fill="auto"/>
            <w:vAlign w:val="bottom"/>
            <w:hideMark/>
          </w:tcPr>
          <w:p w:rsidR="00B4493D" w:rsidRPr="005800D0" w:rsidRDefault="00B4493D" w:rsidP="00B4493D">
            <w:pPr>
              <w:spacing w:after="0" w:line="240" w:lineRule="auto"/>
              <w:jc w:val="center"/>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2015</w:t>
            </w:r>
          </w:p>
        </w:tc>
        <w:tc>
          <w:tcPr>
            <w:tcW w:w="1275" w:type="dxa"/>
            <w:tcBorders>
              <w:top w:val="single" w:sz="8" w:space="0" w:color="auto"/>
              <w:left w:val="nil"/>
              <w:bottom w:val="nil"/>
              <w:right w:val="single" w:sz="4" w:space="0" w:color="auto"/>
            </w:tcBorders>
            <w:shd w:val="clear" w:color="auto" w:fill="auto"/>
            <w:vAlign w:val="bottom"/>
            <w:hideMark/>
          </w:tcPr>
          <w:p w:rsidR="00B4493D" w:rsidRPr="005800D0" w:rsidRDefault="00B4493D" w:rsidP="00B4493D">
            <w:pPr>
              <w:spacing w:after="0" w:line="240" w:lineRule="auto"/>
              <w:jc w:val="center"/>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2016</w:t>
            </w:r>
          </w:p>
        </w:tc>
        <w:tc>
          <w:tcPr>
            <w:tcW w:w="1276" w:type="dxa"/>
            <w:tcBorders>
              <w:top w:val="single" w:sz="8" w:space="0" w:color="auto"/>
              <w:left w:val="nil"/>
              <w:bottom w:val="nil"/>
              <w:right w:val="single" w:sz="4" w:space="0" w:color="auto"/>
            </w:tcBorders>
            <w:shd w:val="clear" w:color="auto" w:fill="auto"/>
            <w:vAlign w:val="bottom"/>
            <w:hideMark/>
          </w:tcPr>
          <w:p w:rsidR="00B4493D" w:rsidRPr="005800D0" w:rsidRDefault="00B4493D" w:rsidP="00B4493D">
            <w:pPr>
              <w:spacing w:after="0" w:line="240" w:lineRule="auto"/>
              <w:jc w:val="center"/>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2017</w:t>
            </w:r>
          </w:p>
        </w:tc>
        <w:tc>
          <w:tcPr>
            <w:tcW w:w="1418" w:type="dxa"/>
            <w:tcBorders>
              <w:top w:val="single" w:sz="8" w:space="0" w:color="auto"/>
              <w:left w:val="nil"/>
              <w:bottom w:val="nil"/>
              <w:right w:val="single" w:sz="8" w:space="0" w:color="auto"/>
            </w:tcBorders>
            <w:shd w:val="clear" w:color="auto" w:fill="auto"/>
            <w:vAlign w:val="bottom"/>
            <w:hideMark/>
          </w:tcPr>
          <w:p w:rsidR="00B4493D" w:rsidRPr="005800D0" w:rsidRDefault="00B4493D" w:rsidP="00B4493D">
            <w:pPr>
              <w:spacing w:after="0" w:line="240" w:lineRule="auto"/>
              <w:jc w:val="center"/>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2018</w:t>
            </w:r>
          </w:p>
        </w:tc>
      </w:tr>
      <w:tr w:rsidR="00B4493D" w:rsidRPr="005800D0" w:rsidTr="00B4493D">
        <w:trPr>
          <w:trHeight w:val="241"/>
        </w:trPr>
        <w:tc>
          <w:tcPr>
            <w:tcW w:w="1985" w:type="dxa"/>
            <w:tcBorders>
              <w:top w:val="single" w:sz="8" w:space="0" w:color="auto"/>
              <w:left w:val="single" w:sz="8" w:space="0" w:color="auto"/>
              <w:bottom w:val="single" w:sz="4" w:space="0" w:color="auto"/>
              <w:right w:val="nil"/>
            </w:tcBorders>
            <w:shd w:val="clear" w:color="auto" w:fill="auto"/>
            <w:vAlign w:val="center"/>
            <w:hideMark/>
          </w:tcPr>
          <w:p w:rsidR="00B4493D" w:rsidRPr="005800D0" w:rsidRDefault="00B4493D" w:rsidP="00B4493D">
            <w:pPr>
              <w:spacing w:after="0" w:line="240" w:lineRule="auto"/>
              <w:rPr>
                <w:rFonts w:ascii="Calibri" w:eastAsia="Times New Roman" w:hAnsi="Calibri" w:cs="Calibri"/>
                <w:color w:val="000000"/>
                <w:lang w:eastAsia="en-GB"/>
              </w:rPr>
            </w:pPr>
            <w:r w:rsidRPr="005800D0">
              <w:rPr>
                <w:rFonts w:ascii="Calibri" w:eastAsia="Times New Roman" w:hAnsi="Calibri" w:cs="Calibri"/>
                <w:color w:val="000000"/>
                <w:lang w:eastAsia="en-GB"/>
              </w:rPr>
              <w:t>Operating Margin </w:t>
            </w:r>
          </w:p>
        </w:tc>
        <w:tc>
          <w:tcPr>
            <w:tcW w:w="113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58.04%</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50.12%</w:t>
            </w:r>
          </w:p>
        </w:tc>
        <w:tc>
          <w:tcPr>
            <w:tcW w:w="1275" w:type="dxa"/>
            <w:tcBorders>
              <w:top w:val="single" w:sz="8" w:space="0" w:color="auto"/>
              <w:left w:val="nil"/>
              <w:bottom w:val="single" w:sz="4" w:space="0" w:color="auto"/>
              <w:right w:val="single" w:sz="4"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56.20%</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67.70%</w:t>
            </w:r>
          </w:p>
        </w:tc>
        <w:tc>
          <w:tcPr>
            <w:tcW w:w="1418" w:type="dxa"/>
            <w:tcBorders>
              <w:top w:val="single" w:sz="8" w:space="0" w:color="auto"/>
              <w:left w:val="nil"/>
              <w:bottom w:val="single" w:sz="4" w:space="0" w:color="auto"/>
              <w:right w:val="single" w:sz="8"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65.04%</w:t>
            </w:r>
          </w:p>
        </w:tc>
      </w:tr>
      <w:tr w:rsidR="00B4493D" w:rsidRPr="005800D0" w:rsidTr="00B4493D">
        <w:trPr>
          <w:trHeight w:val="263"/>
        </w:trPr>
        <w:tc>
          <w:tcPr>
            <w:tcW w:w="1985" w:type="dxa"/>
            <w:tcBorders>
              <w:top w:val="nil"/>
              <w:left w:val="single" w:sz="8" w:space="0" w:color="auto"/>
              <w:bottom w:val="single" w:sz="8" w:space="0" w:color="auto"/>
              <w:right w:val="nil"/>
            </w:tcBorders>
            <w:shd w:val="clear" w:color="auto" w:fill="auto"/>
            <w:vAlign w:val="center"/>
            <w:hideMark/>
          </w:tcPr>
          <w:p w:rsidR="00B4493D" w:rsidRPr="005800D0" w:rsidRDefault="00B4493D" w:rsidP="00B4493D">
            <w:pPr>
              <w:spacing w:after="0" w:line="240" w:lineRule="auto"/>
              <w:rPr>
                <w:rFonts w:ascii="Calibri" w:eastAsia="Times New Roman" w:hAnsi="Calibri" w:cs="Calibri"/>
                <w:color w:val="000000"/>
                <w:lang w:eastAsia="en-GB"/>
              </w:rPr>
            </w:pPr>
            <w:r w:rsidRPr="005800D0">
              <w:rPr>
                <w:rFonts w:ascii="Calibri" w:eastAsia="Times New Roman" w:hAnsi="Calibri" w:cs="Calibri"/>
                <w:color w:val="000000"/>
                <w:lang w:eastAsia="en-GB"/>
              </w:rPr>
              <w:t>ROCE</w:t>
            </w:r>
          </w:p>
        </w:tc>
        <w:tc>
          <w:tcPr>
            <w:tcW w:w="1134" w:type="dxa"/>
            <w:tcBorders>
              <w:top w:val="nil"/>
              <w:left w:val="single" w:sz="8" w:space="0" w:color="auto"/>
              <w:bottom w:val="single" w:sz="8" w:space="0" w:color="auto"/>
              <w:right w:val="single" w:sz="4"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98.04%</w:t>
            </w:r>
          </w:p>
        </w:tc>
        <w:tc>
          <w:tcPr>
            <w:tcW w:w="1276" w:type="dxa"/>
            <w:tcBorders>
              <w:top w:val="nil"/>
              <w:left w:val="nil"/>
              <w:bottom w:val="single" w:sz="8" w:space="0" w:color="auto"/>
              <w:right w:val="single" w:sz="4"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85.31%</w:t>
            </w:r>
          </w:p>
        </w:tc>
        <w:tc>
          <w:tcPr>
            <w:tcW w:w="1275" w:type="dxa"/>
            <w:tcBorders>
              <w:top w:val="nil"/>
              <w:left w:val="nil"/>
              <w:bottom w:val="single" w:sz="8" w:space="0" w:color="auto"/>
              <w:right w:val="single" w:sz="4"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88.79%</w:t>
            </w:r>
          </w:p>
        </w:tc>
        <w:tc>
          <w:tcPr>
            <w:tcW w:w="1276" w:type="dxa"/>
            <w:tcBorders>
              <w:top w:val="nil"/>
              <w:left w:val="nil"/>
              <w:bottom w:val="single" w:sz="8" w:space="0" w:color="auto"/>
              <w:right w:val="single" w:sz="4"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93.15%</w:t>
            </w:r>
          </w:p>
        </w:tc>
        <w:tc>
          <w:tcPr>
            <w:tcW w:w="1418" w:type="dxa"/>
            <w:tcBorders>
              <w:top w:val="nil"/>
              <w:left w:val="nil"/>
              <w:bottom w:val="single" w:sz="8" w:space="0" w:color="auto"/>
              <w:right w:val="single" w:sz="8" w:space="0" w:color="auto"/>
            </w:tcBorders>
            <w:shd w:val="clear" w:color="auto" w:fill="auto"/>
            <w:vAlign w:val="center"/>
            <w:hideMark/>
          </w:tcPr>
          <w:p w:rsidR="00B4493D" w:rsidRPr="005800D0" w:rsidRDefault="00B4493D" w:rsidP="00B4493D">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81.90%</w:t>
            </w:r>
          </w:p>
        </w:tc>
      </w:tr>
    </w:tbl>
    <w:p w:rsidR="00867DAA" w:rsidRPr="005800D0" w:rsidRDefault="00867DAA" w:rsidP="00DA1508"/>
    <w:p w:rsidR="00282D66" w:rsidRDefault="00282D66" w:rsidP="00282D66">
      <w:pPr>
        <w:pStyle w:val="Caption"/>
        <w:keepNext/>
      </w:pPr>
      <w:bookmarkStart w:id="12" w:name="_Toc535606001"/>
      <w:r>
        <w:t xml:space="preserve">Table </w:t>
      </w:r>
      <w:r>
        <w:fldChar w:fldCharType="begin"/>
      </w:r>
      <w:r>
        <w:instrText xml:space="preserve"> SEQ Table \* ARABIC </w:instrText>
      </w:r>
      <w:r>
        <w:fldChar w:fldCharType="separate"/>
      </w:r>
      <w:r w:rsidR="0020743A">
        <w:rPr>
          <w:noProof/>
        </w:rPr>
        <w:t>4</w:t>
      </w:r>
      <w:r>
        <w:fldChar w:fldCharType="end"/>
      </w:r>
      <w:r>
        <w:t xml:space="preserve"> - ROCE comparison HL v SLA</w:t>
      </w:r>
      <w:bookmarkEnd w:id="12"/>
    </w:p>
    <w:tbl>
      <w:tblPr>
        <w:tblW w:w="8366" w:type="dxa"/>
        <w:tblLook w:val="04A0" w:firstRow="1" w:lastRow="0" w:firstColumn="1" w:lastColumn="0" w:noHBand="0" w:noVBand="1"/>
      </w:tblPr>
      <w:tblGrid>
        <w:gridCol w:w="1698"/>
        <w:gridCol w:w="1667"/>
        <w:gridCol w:w="1667"/>
        <w:gridCol w:w="1667"/>
        <w:gridCol w:w="1667"/>
      </w:tblGrid>
      <w:tr w:rsidR="000E19E8" w:rsidRPr="005800D0" w:rsidTr="00FD175B">
        <w:trPr>
          <w:trHeight w:val="92"/>
        </w:trPr>
        <w:tc>
          <w:tcPr>
            <w:tcW w:w="1698" w:type="dxa"/>
            <w:tcBorders>
              <w:top w:val="nil"/>
              <w:left w:val="nil"/>
              <w:bottom w:val="nil"/>
              <w:right w:val="nil"/>
            </w:tcBorders>
            <w:shd w:val="clear" w:color="auto" w:fill="auto"/>
            <w:noWrap/>
            <w:vAlign w:val="bottom"/>
            <w:hideMark/>
          </w:tcPr>
          <w:p w:rsidR="000E19E8" w:rsidRPr="005800D0" w:rsidRDefault="000E19E8" w:rsidP="000E19E8">
            <w:pPr>
              <w:spacing w:after="0" w:line="240" w:lineRule="auto"/>
              <w:rPr>
                <w:rFonts w:ascii="Times New Roman" w:eastAsia="Times New Roman" w:hAnsi="Times New Roman" w:cs="Times New Roman"/>
                <w:sz w:val="24"/>
                <w:szCs w:val="24"/>
                <w:lang w:eastAsia="en-GB"/>
              </w:rPr>
            </w:pPr>
          </w:p>
        </w:tc>
        <w:tc>
          <w:tcPr>
            <w:tcW w:w="1667" w:type="dxa"/>
            <w:tcBorders>
              <w:top w:val="single" w:sz="8" w:space="0" w:color="auto"/>
              <w:left w:val="single" w:sz="8" w:space="0" w:color="auto"/>
              <w:bottom w:val="nil"/>
              <w:right w:val="single" w:sz="4" w:space="0" w:color="auto"/>
            </w:tcBorders>
            <w:shd w:val="clear" w:color="auto" w:fill="auto"/>
            <w:vAlign w:val="bottom"/>
            <w:hideMark/>
          </w:tcPr>
          <w:p w:rsidR="000E19E8" w:rsidRPr="005800D0" w:rsidRDefault="000E19E8" w:rsidP="000E19E8">
            <w:pPr>
              <w:spacing w:after="0" w:line="240" w:lineRule="auto"/>
              <w:jc w:val="center"/>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2014</w:t>
            </w:r>
          </w:p>
        </w:tc>
        <w:tc>
          <w:tcPr>
            <w:tcW w:w="1667" w:type="dxa"/>
            <w:tcBorders>
              <w:top w:val="single" w:sz="8" w:space="0" w:color="auto"/>
              <w:left w:val="nil"/>
              <w:bottom w:val="nil"/>
              <w:right w:val="single" w:sz="4" w:space="0" w:color="auto"/>
            </w:tcBorders>
            <w:shd w:val="clear" w:color="auto" w:fill="auto"/>
            <w:vAlign w:val="bottom"/>
            <w:hideMark/>
          </w:tcPr>
          <w:p w:rsidR="000E19E8" w:rsidRPr="005800D0" w:rsidRDefault="000E19E8" w:rsidP="000E19E8">
            <w:pPr>
              <w:spacing w:after="0" w:line="240" w:lineRule="auto"/>
              <w:jc w:val="center"/>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2015</w:t>
            </w:r>
          </w:p>
        </w:tc>
        <w:tc>
          <w:tcPr>
            <w:tcW w:w="1667" w:type="dxa"/>
            <w:tcBorders>
              <w:top w:val="single" w:sz="8" w:space="0" w:color="auto"/>
              <w:left w:val="nil"/>
              <w:bottom w:val="nil"/>
              <w:right w:val="single" w:sz="4" w:space="0" w:color="auto"/>
            </w:tcBorders>
            <w:shd w:val="clear" w:color="auto" w:fill="auto"/>
            <w:vAlign w:val="bottom"/>
            <w:hideMark/>
          </w:tcPr>
          <w:p w:rsidR="000E19E8" w:rsidRPr="005800D0" w:rsidRDefault="000E19E8" w:rsidP="000E19E8">
            <w:pPr>
              <w:spacing w:after="0" w:line="240" w:lineRule="auto"/>
              <w:jc w:val="center"/>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2016</w:t>
            </w:r>
          </w:p>
        </w:tc>
        <w:tc>
          <w:tcPr>
            <w:tcW w:w="1667" w:type="dxa"/>
            <w:tcBorders>
              <w:top w:val="single" w:sz="8" w:space="0" w:color="auto"/>
              <w:left w:val="nil"/>
              <w:bottom w:val="nil"/>
              <w:right w:val="single" w:sz="8" w:space="0" w:color="auto"/>
            </w:tcBorders>
            <w:shd w:val="clear" w:color="auto" w:fill="auto"/>
            <w:vAlign w:val="bottom"/>
            <w:hideMark/>
          </w:tcPr>
          <w:p w:rsidR="000E19E8" w:rsidRPr="005800D0" w:rsidRDefault="000E19E8" w:rsidP="000E19E8">
            <w:pPr>
              <w:spacing w:after="0" w:line="240" w:lineRule="auto"/>
              <w:jc w:val="center"/>
              <w:rPr>
                <w:rFonts w:ascii="Calibri" w:eastAsia="Times New Roman" w:hAnsi="Calibri" w:cs="Calibri"/>
                <w:b/>
                <w:bCs/>
                <w:color w:val="000000"/>
                <w:lang w:eastAsia="en-GB"/>
              </w:rPr>
            </w:pPr>
            <w:r w:rsidRPr="005800D0">
              <w:rPr>
                <w:rFonts w:ascii="Calibri" w:eastAsia="Times New Roman" w:hAnsi="Calibri" w:cs="Calibri"/>
                <w:b/>
                <w:bCs/>
                <w:color w:val="000000"/>
                <w:lang w:eastAsia="en-GB"/>
              </w:rPr>
              <w:t>2017</w:t>
            </w:r>
          </w:p>
        </w:tc>
      </w:tr>
      <w:tr w:rsidR="000E19E8" w:rsidRPr="005800D0" w:rsidTr="00FD175B">
        <w:trPr>
          <w:trHeight w:val="359"/>
        </w:trPr>
        <w:tc>
          <w:tcPr>
            <w:tcW w:w="1698" w:type="dxa"/>
            <w:tcBorders>
              <w:top w:val="single" w:sz="8" w:space="0" w:color="auto"/>
              <w:left w:val="single" w:sz="8" w:space="0" w:color="auto"/>
              <w:bottom w:val="single" w:sz="4" w:space="0" w:color="auto"/>
              <w:right w:val="nil"/>
            </w:tcBorders>
            <w:shd w:val="clear" w:color="auto" w:fill="auto"/>
            <w:vAlign w:val="center"/>
            <w:hideMark/>
          </w:tcPr>
          <w:p w:rsidR="000E19E8" w:rsidRPr="005800D0" w:rsidRDefault="000E19E8" w:rsidP="000E19E8">
            <w:pPr>
              <w:spacing w:after="0" w:line="240" w:lineRule="auto"/>
              <w:rPr>
                <w:rFonts w:ascii="Calibri" w:eastAsia="Times New Roman" w:hAnsi="Calibri" w:cs="Calibri"/>
                <w:color w:val="000000"/>
                <w:lang w:eastAsia="en-GB"/>
              </w:rPr>
            </w:pPr>
            <w:r w:rsidRPr="005800D0">
              <w:rPr>
                <w:rFonts w:ascii="Calibri" w:eastAsia="Times New Roman" w:hAnsi="Calibri" w:cs="Calibri"/>
                <w:color w:val="000000"/>
                <w:lang w:eastAsia="en-GB"/>
              </w:rPr>
              <w:t xml:space="preserve">SLA </w:t>
            </w:r>
          </w:p>
        </w:tc>
        <w:tc>
          <w:tcPr>
            <w:tcW w:w="1667"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0E19E8" w:rsidRPr="005800D0" w:rsidRDefault="000E19E8" w:rsidP="000E19E8">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16.50%</w:t>
            </w:r>
          </w:p>
        </w:tc>
        <w:tc>
          <w:tcPr>
            <w:tcW w:w="1667" w:type="dxa"/>
            <w:tcBorders>
              <w:top w:val="single" w:sz="8" w:space="0" w:color="auto"/>
              <w:left w:val="nil"/>
              <w:bottom w:val="single" w:sz="4" w:space="0" w:color="auto"/>
              <w:right w:val="single" w:sz="4" w:space="0" w:color="auto"/>
            </w:tcBorders>
            <w:shd w:val="clear" w:color="auto" w:fill="auto"/>
            <w:vAlign w:val="center"/>
            <w:hideMark/>
          </w:tcPr>
          <w:p w:rsidR="000E19E8" w:rsidRPr="005800D0" w:rsidRDefault="000E19E8" w:rsidP="000E19E8">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13.58%</w:t>
            </w:r>
          </w:p>
        </w:tc>
        <w:tc>
          <w:tcPr>
            <w:tcW w:w="1667" w:type="dxa"/>
            <w:tcBorders>
              <w:top w:val="single" w:sz="8" w:space="0" w:color="auto"/>
              <w:left w:val="nil"/>
              <w:bottom w:val="single" w:sz="4" w:space="0" w:color="auto"/>
              <w:right w:val="single" w:sz="4" w:space="0" w:color="auto"/>
            </w:tcBorders>
            <w:shd w:val="clear" w:color="auto" w:fill="auto"/>
            <w:vAlign w:val="center"/>
            <w:hideMark/>
          </w:tcPr>
          <w:p w:rsidR="000E19E8" w:rsidRPr="005800D0" w:rsidRDefault="000E19E8" w:rsidP="000E19E8">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19.30%</w:t>
            </w:r>
          </w:p>
        </w:tc>
        <w:tc>
          <w:tcPr>
            <w:tcW w:w="1667" w:type="dxa"/>
            <w:tcBorders>
              <w:top w:val="single" w:sz="8" w:space="0" w:color="auto"/>
              <w:left w:val="nil"/>
              <w:bottom w:val="single" w:sz="4" w:space="0" w:color="auto"/>
              <w:right w:val="single" w:sz="8" w:space="0" w:color="auto"/>
            </w:tcBorders>
            <w:shd w:val="clear" w:color="auto" w:fill="auto"/>
            <w:vAlign w:val="center"/>
            <w:hideMark/>
          </w:tcPr>
          <w:p w:rsidR="000E19E8" w:rsidRPr="005800D0" w:rsidRDefault="000E19E8" w:rsidP="000E19E8">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15.55%</w:t>
            </w:r>
          </w:p>
        </w:tc>
      </w:tr>
      <w:tr w:rsidR="000E19E8" w:rsidRPr="000E19E8" w:rsidTr="00FD175B">
        <w:trPr>
          <w:trHeight w:val="92"/>
        </w:trPr>
        <w:tc>
          <w:tcPr>
            <w:tcW w:w="1698" w:type="dxa"/>
            <w:tcBorders>
              <w:top w:val="nil"/>
              <w:left w:val="single" w:sz="8" w:space="0" w:color="auto"/>
              <w:bottom w:val="single" w:sz="8" w:space="0" w:color="auto"/>
              <w:right w:val="nil"/>
            </w:tcBorders>
            <w:shd w:val="clear" w:color="auto" w:fill="auto"/>
            <w:noWrap/>
            <w:vAlign w:val="bottom"/>
            <w:hideMark/>
          </w:tcPr>
          <w:p w:rsidR="000E19E8" w:rsidRPr="005800D0" w:rsidRDefault="000E19E8" w:rsidP="000E19E8">
            <w:pPr>
              <w:spacing w:after="0" w:line="240" w:lineRule="auto"/>
              <w:rPr>
                <w:rFonts w:ascii="Calibri" w:eastAsia="Times New Roman" w:hAnsi="Calibri" w:cs="Calibri"/>
                <w:color w:val="000000"/>
                <w:lang w:eastAsia="en-GB"/>
              </w:rPr>
            </w:pPr>
            <w:r w:rsidRPr="005800D0">
              <w:rPr>
                <w:rFonts w:ascii="Calibri" w:eastAsia="Times New Roman" w:hAnsi="Calibri" w:cs="Calibri"/>
                <w:color w:val="000000"/>
                <w:lang w:eastAsia="en-GB"/>
              </w:rPr>
              <w:t>HL</w:t>
            </w:r>
          </w:p>
        </w:tc>
        <w:tc>
          <w:tcPr>
            <w:tcW w:w="1667" w:type="dxa"/>
            <w:tcBorders>
              <w:top w:val="nil"/>
              <w:left w:val="single" w:sz="8" w:space="0" w:color="auto"/>
              <w:bottom w:val="single" w:sz="8" w:space="0" w:color="auto"/>
              <w:right w:val="single" w:sz="4" w:space="0" w:color="auto"/>
            </w:tcBorders>
            <w:shd w:val="clear" w:color="auto" w:fill="auto"/>
            <w:vAlign w:val="center"/>
            <w:hideMark/>
          </w:tcPr>
          <w:p w:rsidR="000E19E8" w:rsidRPr="005800D0" w:rsidRDefault="000E19E8" w:rsidP="000E19E8">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98.04%</w:t>
            </w:r>
          </w:p>
        </w:tc>
        <w:tc>
          <w:tcPr>
            <w:tcW w:w="1667" w:type="dxa"/>
            <w:tcBorders>
              <w:top w:val="nil"/>
              <w:left w:val="nil"/>
              <w:bottom w:val="single" w:sz="8" w:space="0" w:color="auto"/>
              <w:right w:val="single" w:sz="4" w:space="0" w:color="auto"/>
            </w:tcBorders>
            <w:shd w:val="clear" w:color="auto" w:fill="auto"/>
            <w:vAlign w:val="center"/>
            <w:hideMark/>
          </w:tcPr>
          <w:p w:rsidR="000E19E8" w:rsidRPr="005800D0" w:rsidRDefault="000E19E8" w:rsidP="000E19E8">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85.31%</w:t>
            </w:r>
          </w:p>
        </w:tc>
        <w:tc>
          <w:tcPr>
            <w:tcW w:w="1667" w:type="dxa"/>
            <w:tcBorders>
              <w:top w:val="nil"/>
              <w:left w:val="nil"/>
              <w:bottom w:val="single" w:sz="8" w:space="0" w:color="auto"/>
              <w:right w:val="single" w:sz="4" w:space="0" w:color="auto"/>
            </w:tcBorders>
            <w:shd w:val="clear" w:color="auto" w:fill="auto"/>
            <w:vAlign w:val="center"/>
            <w:hideMark/>
          </w:tcPr>
          <w:p w:rsidR="000E19E8" w:rsidRPr="005800D0" w:rsidRDefault="000E19E8" w:rsidP="000E19E8">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88.79%</w:t>
            </w:r>
          </w:p>
        </w:tc>
        <w:tc>
          <w:tcPr>
            <w:tcW w:w="1667" w:type="dxa"/>
            <w:tcBorders>
              <w:top w:val="nil"/>
              <w:left w:val="nil"/>
              <w:bottom w:val="single" w:sz="8" w:space="0" w:color="auto"/>
              <w:right w:val="single" w:sz="8" w:space="0" w:color="auto"/>
            </w:tcBorders>
            <w:shd w:val="clear" w:color="auto" w:fill="auto"/>
            <w:vAlign w:val="center"/>
            <w:hideMark/>
          </w:tcPr>
          <w:p w:rsidR="000E19E8" w:rsidRPr="000E19E8" w:rsidRDefault="000E19E8" w:rsidP="000E19E8">
            <w:pPr>
              <w:spacing w:after="0" w:line="240" w:lineRule="auto"/>
              <w:jc w:val="center"/>
              <w:rPr>
                <w:rFonts w:ascii="Calibri" w:eastAsia="Times New Roman" w:hAnsi="Calibri" w:cs="Calibri"/>
                <w:color w:val="000000"/>
                <w:lang w:eastAsia="en-GB"/>
              </w:rPr>
            </w:pPr>
            <w:r w:rsidRPr="005800D0">
              <w:rPr>
                <w:rFonts w:ascii="Calibri" w:eastAsia="Times New Roman" w:hAnsi="Calibri" w:cs="Calibri"/>
                <w:color w:val="000000"/>
                <w:lang w:eastAsia="en-GB"/>
              </w:rPr>
              <w:t>93.15%</w:t>
            </w:r>
          </w:p>
        </w:tc>
      </w:tr>
    </w:tbl>
    <w:p w:rsidR="00B4493D" w:rsidRDefault="00B4493D" w:rsidP="00DA1508"/>
    <w:p w:rsidR="0027004D" w:rsidRDefault="0027004D" w:rsidP="0027004D">
      <w:pPr>
        <w:pStyle w:val="Heading3"/>
      </w:pPr>
      <w:bookmarkStart w:id="13" w:name="_Toc535606297"/>
      <w:r>
        <w:t>Liquidity</w:t>
      </w:r>
      <w:bookmarkEnd w:id="13"/>
    </w:p>
    <w:p w:rsidR="00F76C2A" w:rsidRPr="00F76C2A" w:rsidRDefault="00F76C2A" w:rsidP="00F76C2A">
      <w:r>
        <w:t xml:space="preserve">HL report </w:t>
      </w:r>
      <w:r w:rsidR="008A1526">
        <w:t>a current ratio climbing close to 2:1. Stable growth from 2016 onwards and improvement from the 2015 position demonstrates HL is in a stable position and able to meet its liabilities with relative comfort. A current ratio of around 2 is seen to demonstrate a decent balance between a company effectively managing its assets in a productive manner</w:t>
      </w:r>
      <w:r w:rsidR="0032329E">
        <w:t xml:space="preserve">, and </w:t>
      </w:r>
      <w:r w:rsidR="0043723C">
        <w:t xml:space="preserve">one who can meet its liabilities with relative comfort </w:t>
      </w:r>
      <w:sdt>
        <w:sdtPr>
          <w:id w:val="2124258571"/>
          <w:citation/>
        </w:sdtPr>
        <w:sdtContent>
          <w:r w:rsidR="0043723C">
            <w:fldChar w:fldCharType="begin"/>
          </w:r>
          <w:r w:rsidR="0043723C">
            <w:instrText xml:space="preserve"> CITATION Atr09 \l 2057 </w:instrText>
          </w:r>
          <w:r w:rsidR="0043723C">
            <w:fldChar w:fldCharType="separate"/>
          </w:r>
          <w:r w:rsidR="00A90D87" w:rsidRPr="00A90D87">
            <w:rPr>
              <w:noProof/>
            </w:rPr>
            <w:t>(Atrill, 2009)</w:t>
          </w:r>
          <w:r w:rsidR="0043723C">
            <w:fldChar w:fldCharType="end"/>
          </w:r>
        </w:sdtContent>
      </w:sdt>
      <w:r w:rsidR="0043723C">
        <w:t>,</w:t>
      </w:r>
      <w:sdt>
        <w:sdtPr>
          <w:id w:val="1349067844"/>
          <w:citation/>
        </w:sdtPr>
        <w:sdtContent>
          <w:r w:rsidR="0043723C">
            <w:fldChar w:fldCharType="begin"/>
          </w:r>
          <w:r w:rsidR="0043723C">
            <w:instrText xml:space="preserve"> CITATION Sal11 \l 2057 </w:instrText>
          </w:r>
          <w:r w:rsidR="0043723C">
            <w:fldChar w:fldCharType="separate"/>
          </w:r>
          <w:r w:rsidR="00A90D87">
            <w:rPr>
              <w:noProof/>
            </w:rPr>
            <w:t xml:space="preserve"> </w:t>
          </w:r>
          <w:r w:rsidR="00A90D87" w:rsidRPr="00A90D87">
            <w:rPr>
              <w:noProof/>
            </w:rPr>
            <w:t>(Saleem &amp; Rehman, 2011)</w:t>
          </w:r>
          <w:r w:rsidR="0043723C">
            <w:fldChar w:fldCharType="end"/>
          </w:r>
        </w:sdtContent>
      </w:sdt>
      <w:r w:rsidR="0043723C">
        <w:t>.</w:t>
      </w:r>
    </w:p>
    <w:p w:rsidR="00C30750" w:rsidRDefault="00C30750" w:rsidP="00C30750">
      <w:pPr>
        <w:pStyle w:val="Caption"/>
        <w:keepNext/>
      </w:pPr>
      <w:bookmarkStart w:id="14" w:name="_Toc535606002"/>
      <w:r>
        <w:t xml:space="preserve">Table </w:t>
      </w:r>
      <w:r>
        <w:fldChar w:fldCharType="begin"/>
      </w:r>
      <w:r>
        <w:instrText xml:space="preserve"> SEQ Table \* ARABIC </w:instrText>
      </w:r>
      <w:r>
        <w:fldChar w:fldCharType="separate"/>
      </w:r>
      <w:r w:rsidR="0020743A">
        <w:rPr>
          <w:noProof/>
        </w:rPr>
        <w:t>5</w:t>
      </w:r>
      <w:r>
        <w:fldChar w:fldCharType="end"/>
      </w:r>
      <w:r>
        <w:t xml:space="preserve"> - Liquidity Ratios HL</w:t>
      </w:r>
      <w:bookmarkEnd w:id="14"/>
    </w:p>
    <w:tbl>
      <w:tblPr>
        <w:tblW w:w="6804" w:type="dxa"/>
        <w:tblLook w:val="04A0" w:firstRow="1" w:lastRow="0" w:firstColumn="1" w:lastColumn="0" w:noHBand="0" w:noVBand="1"/>
      </w:tblPr>
      <w:tblGrid>
        <w:gridCol w:w="1701"/>
        <w:gridCol w:w="993"/>
        <w:gridCol w:w="906"/>
        <w:gridCol w:w="1120"/>
        <w:gridCol w:w="950"/>
        <w:gridCol w:w="1134"/>
      </w:tblGrid>
      <w:tr w:rsidR="00D2338C" w:rsidRPr="00D2338C" w:rsidTr="00D2338C">
        <w:trPr>
          <w:trHeight w:val="300"/>
        </w:trPr>
        <w:tc>
          <w:tcPr>
            <w:tcW w:w="1701" w:type="dxa"/>
            <w:tcBorders>
              <w:top w:val="nil"/>
              <w:left w:val="nil"/>
              <w:bottom w:val="nil"/>
              <w:right w:val="nil"/>
            </w:tcBorders>
            <w:shd w:val="clear" w:color="auto" w:fill="auto"/>
            <w:noWrap/>
            <w:vAlign w:val="bottom"/>
            <w:hideMark/>
          </w:tcPr>
          <w:p w:rsidR="00D2338C" w:rsidRPr="00D2338C" w:rsidRDefault="00D2338C" w:rsidP="00D2338C">
            <w:pPr>
              <w:spacing w:after="0" w:line="240" w:lineRule="auto"/>
              <w:rPr>
                <w:rFonts w:ascii="Times New Roman" w:eastAsia="Times New Roman" w:hAnsi="Times New Roman" w:cs="Times New Roman"/>
                <w:sz w:val="24"/>
                <w:szCs w:val="24"/>
                <w:lang w:eastAsia="en-GB"/>
              </w:rPr>
            </w:pPr>
          </w:p>
        </w:tc>
        <w:tc>
          <w:tcPr>
            <w:tcW w:w="993" w:type="dxa"/>
            <w:tcBorders>
              <w:top w:val="single" w:sz="8" w:space="0" w:color="auto"/>
              <w:left w:val="single" w:sz="8" w:space="0" w:color="auto"/>
              <w:bottom w:val="nil"/>
              <w:right w:val="single" w:sz="4" w:space="0" w:color="auto"/>
            </w:tcBorders>
            <w:shd w:val="clear" w:color="000000" w:fill="FFFFFF"/>
            <w:vAlign w:val="bottom"/>
            <w:hideMark/>
          </w:tcPr>
          <w:p w:rsidR="00D2338C" w:rsidRPr="00D2338C" w:rsidRDefault="00D2338C" w:rsidP="00D2338C">
            <w:pPr>
              <w:spacing w:after="0" w:line="240" w:lineRule="auto"/>
              <w:jc w:val="center"/>
              <w:rPr>
                <w:rFonts w:ascii="Calibri" w:eastAsia="Times New Roman" w:hAnsi="Calibri" w:cs="Calibri"/>
                <w:b/>
                <w:bCs/>
                <w:color w:val="000000"/>
                <w:lang w:eastAsia="en-GB"/>
              </w:rPr>
            </w:pPr>
            <w:r w:rsidRPr="00D2338C">
              <w:rPr>
                <w:rFonts w:ascii="Calibri" w:eastAsia="Times New Roman" w:hAnsi="Calibri" w:cs="Calibri"/>
                <w:b/>
                <w:bCs/>
                <w:color w:val="000000"/>
                <w:lang w:eastAsia="en-GB"/>
              </w:rPr>
              <w:t>2014</w:t>
            </w:r>
          </w:p>
        </w:tc>
        <w:tc>
          <w:tcPr>
            <w:tcW w:w="906" w:type="dxa"/>
            <w:tcBorders>
              <w:top w:val="single" w:sz="8" w:space="0" w:color="auto"/>
              <w:left w:val="nil"/>
              <w:bottom w:val="nil"/>
              <w:right w:val="single" w:sz="4" w:space="0" w:color="auto"/>
            </w:tcBorders>
            <w:shd w:val="clear" w:color="000000" w:fill="FFFFFF"/>
            <w:vAlign w:val="bottom"/>
            <w:hideMark/>
          </w:tcPr>
          <w:p w:rsidR="00D2338C" w:rsidRPr="00D2338C" w:rsidRDefault="00D2338C" w:rsidP="00D2338C">
            <w:pPr>
              <w:spacing w:after="0" w:line="240" w:lineRule="auto"/>
              <w:jc w:val="center"/>
              <w:rPr>
                <w:rFonts w:ascii="Calibri" w:eastAsia="Times New Roman" w:hAnsi="Calibri" w:cs="Calibri"/>
                <w:b/>
                <w:bCs/>
                <w:color w:val="000000"/>
                <w:lang w:eastAsia="en-GB"/>
              </w:rPr>
            </w:pPr>
            <w:r w:rsidRPr="00D2338C">
              <w:rPr>
                <w:rFonts w:ascii="Calibri" w:eastAsia="Times New Roman" w:hAnsi="Calibri" w:cs="Calibri"/>
                <w:b/>
                <w:bCs/>
                <w:color w:val="000000"/>
                <w:lang w:eastAsia="en-GB"/>
              </w:rPr>
              <w:t>2015</w:t>
            </w:r>
          </w:p>
        </w:tc>
        <w:tc>
          <w:tcPr>
            <w:tcW w:w="1120" w:type="dxa"/>
            <w:tcBorders>
              <w:top w:val="single" w:sz="8" w:space="0" w:color="auto"/>
              <w:left w:val="nil"/>
              <w:bottom w:val="nil"/>
              <w:right w:val="single" w:sz="4" w:space="0" w:color="auto"/>
            </w:tcBorders>
            <w:shd w:val="clear" w:color="000000" w:fill="FFFFFF"/>
            <w:vAlign w:val="bottom"/>
            <w:hideMark/>
          </w:tcPr>
          <w:p w:rsidR="00D2338C" w:rsidRPr="00D2338C" w:rsidRDefault="00D2338C" w:rsidP="00D2338C">
            <w:pPr>
              <w:spacing w:after="0" w:line="240" w:lineRule="auto"/>
              <w:jc w:val="center"/>
              <w:rPr>
                <w:rFonts w:ascii="Calibri" w:eastAsia="Times New Roman" w:hAnsi="Calibri" w:cs="Calibri"/>
                <w:b/>
                <w:bCs/>
                <w:color w:val="000000"/>
                <w:lang w:eastAsia="en-GB"/>
              </w:rPr>
            </w:pPr>
            <w:r w:rsidRPr="00D2338C">
              <w:rPr>
                <w:rFonts w:ascii="Calibri" w:eastAsia="Times New Roman" w:hAnsi="Calibri" w:cs="Calibri"/>
                <w:b/>
                <w:bCs/>
                <w:color w:val="000000"/>
                <w:lang w:eastAsia="en-GB"/>
              </w:rPr>
              <w:t>2016</w:t>
            </w:r>
          </w:p>
        </w:tc>
        <w:tc>
          <w:tcPr>
            <w:tcW w:w="950" w:type="dxa"/>
            <w:tcBorders>
              <w:top w:val="single" w:sz="8" w:space="0" w:color="auto"/>
              <w:left w:val="nil"/>
              <w:bottom w:val="nil"/>
              <w:right w:val="single" w:sz="4" w:space="0" w:color="auto"/>
            </w:tcBorders>
            <w:shd w:val="clear" w:color="000000" w:fill="FFFFFF"/>
            <w:vAlign w:val="bottom"/>
            <w:hideMark/>
          </w:tcPr>
          <w:p w:rsidR="00D2338C" w:rsidRPr="00D2338C" w:rsidRDefault="00D2338C" w:rsidP="00D2338C">
            <w:pPr>
              <w:spacing w:after="0" w:line="240" w:lineRule="auto"/>
              <w:jc w:val="center"/>
              <w:rPr>
                <w:rFonts w:ascii="Calibri" w:eastAsia="Times New Roman" w:hAnsi="Calibri" w:cs="Calibri"/>
                <w:b/>
                <w:bCs/>
                <w:color w:val="000000"/>
                <w:lang w:eastAsia="en-GB"/>
              </w:rPr>
            </w:pPr>
            <w:r w:rsidRPr="00D2338C">
              <w:rPr>
                <w:rFonts w:ascii="Calibri" w:eastAsia="Times New Roman" w:hAnsi="Calibri" w:cs="Calibri"/>
                <w:b/>
                <w:bCs/>
                <w:color w:val="000000"/>
                <w:lang w:eastAsia="en-GB"/>
              </w:rPr>
              <w:t>2017</w:t>
            </w:r>
          </w:p>
        </w:tc>
        <w:tc>
          <w:tcPr>
            <w:tcW w:w="1134" w:type="dxa"/>
            <w:tcBorders>
              <w:top w:val="single" w:sz="8" w:space="0" w:color="auto"/>
              <w:left w:val="nil"/>
              <w:bottom w:val="nil"/>
              <w:right w:val="single" w:sz="8" w:space="0" w:color="auto"/>
            </w:tcBorders>
            <w:shd w:val="clear" w:color="000000" w:fill="FFFFFF"/>
            <w:vAlign w:val="bottom"/>
            <w:hideMark/>
          </w:tcPr>
          <w:p w:rsidR="00D2338C" w:rsidRPr="00D2338C" w:rsidRDefault="00D2338C" w:rsidP="00D2338C">
            <w:pPr>
              <w:spacing w:after="0" w:line="240" w:lineRule="auto"/>
              <w:jc w:val="center"/>
              <w:rPr>
                <w:rFonts w:ascii="Calibri" w:eastAsia="Times New Roman" w:hAnsi="Calibri" w:cs="Calibri"/>
                <w:b/>
                <w:bCs/>
                <w:color w:val="000000"/>
                <w:lang w:eastAsia="en-GB"/>
              </w:rPr>
            </w:pPr>
            <w:r w:rsidRPr="00D2338C">
              <w:rPr>
                <w:rFonts w:ascii="Calibri" w:eastAsia="Times New Roman" w:hAnsi="Calibri" w:cs="Calibri"/>
                <w:b/>
                <w:bCs/>
                <w:color w:val="000000"/>
                <w:lang w:eastAsia="en-GB"/>
              </w:rPr>
              <w:t>2018</w:t>
            </w:r>
          </w:p>
        </w:tc>
      </w:tr>
      <w:tr w:rsidR="00D2338C" w:rsidRPr="00D2338C" w:rsidTr="00D2338C">
        <w:trPr>
          <w:trHeight w:val="290"/>
        </w:trPr>
        <w:tc>
          <w:tcPr>
            <w:tcW w:w="1701" w:type="dxa"/>
            <w:tcBorders>
              <w:top w:val="single" w:sz="8" w:space="0" w:color="auto"/>
              <w:left w:val="single" w:sz="8" w:space="0" w:color="auto"/>
              <w:bottom w:val="single" w:sz="4" w:space="0" w:color="auto"/>
              <w:right w:val="nil"/>
            </w:tcBorders>
            <w:shd w:val="clear" w:color="auto" w:fill="auto"/>
            <w:noWrap/>
            <w:vAlign w:val="bottom"/>
            <w:hideMark/>
          </w:tcPr>
          <w:p w:rsidR="00D2338C" w:rsidRPr="00D2338C" w:rsidRDefault="00D2338C" w:rsidP="00D2338C">
            <w:pPr>
              <w:spacing w:after="0" w:line="240" w:lineRule="auto"/>
              <w:rPr>
                <w:rFonts w:ascii="Calibri" w:eastAsia="Times New Roman" w:hAnsi="Calibri" w:cs="Calibri"/>
                <w:color w:val="000000"/>
                <w:lang w:eastAsia="en-GB"/>
              </w:rPr>
            </w:pPr>
            <w:r w:rsidRPr="00D2338C">
              <w:rPr>
                <w:rFonts w:ascii="Calibri" w:eastAsia="Times New Roman" w:hAnsi="Calibri" w:cs="Calibri"/>
                <w:color w:val="000000"/>
                <w:lang w:eastAsia="en-GB"/>
              </w:rPr>
              <w:t>Current ratio</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1.68</w:t>
            </w:r>
          </w:p>
        </w:tc>
        <w:tc>
          <w:tcPr>
            <w:tcW w:w="906" w:type="dxa"/>
            <w:tcBorders>
              <w:top w:val="single" w:sz="8" w:space="0" w:color="auto"/>
              <w:left w:val="nil"/>
              <w:bottom w:val="single" w:sz="4" w:space="0" w:color="auto"/>
              <w:right w:val="single" w:sz="4"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1.51</w:t>
            </w:r>
          </w:p>
        </w:tc>
        <w:tc>
          <w:tcPr>
            <w:tcW w:w="1120" w:type="dxa"/>
            <w:tcBorders>
              <w:top w:val="single" w:sz="8" w:space="0" w:color="auto"/>
              <w:left w:val="nil"/>
              <w:bottom w:val="single" w:sz="4" w:space="0" w:color="auto"/>
              <w:right w:val="single" w:sz="4"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1.39</w:t>
            </w:r>
          </w:p>
        </w:tc>
        <w:tc>
          <w:tcPr>
            <w:tcW w:w="950" w:type="dxa"/>
            <w:tcBorders>
              <w:top w:val="single" w:sz="8" w:space="0" w:color="auto"/>
              <w:left w:val="nil"/>
              <w:bottom w:val="single" w:sz="4" w:space="0" w:color="auto"/>
              <w:right w:val="single" w:sz="4"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1.65</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1.96</w:t>
            </w:r>
          </w:p>
        </w:tc>
      </w:tr>
      <w:tr w:rsidR="00D2338C" w:rsidRPr="00D2338C" w:rsidTr="00D2338C">
        <w:trPr>
          <w:trHeight w:val="300"/>
        </w:trPr>
        <w:tc>
          <w:tcPr>
            <w:tcW w:w="1701" w:type="dxa"/>
            <w:tcBorders>
              <w:top w:val="nil"/>
              <w:left w:val="single" w:sz="8" w:space="0" w:color="auto"/>
              <w:bottom w:val="single" w:sz="8" w:space="0" w:color="auto"/>
              <w:right w:val="nil"/>
            </w:tcBorders>
            <w:shd w:val="clear" w:color="auto" w:fill="auto"/>
            <w:noWrap/>
            <w:vAlign w:val="bottom"/>
            <w:hideMark/>
          </w:tcPr>
          <w:p w:rsidR="00D2338C" w:rsidRPr="00D2338C" w:rsidRDefault="00D2338C" w:rsidP="00D2338C">
            <w:pPr>
              <w:spacing w:after="0" w:line="240" w:lineRule="auto"/>
              <w:rPr>
                <w:rFonts w:ascii="Calibri" w:eastAsia="Times New Roman" w:hAnsi="Calibri" w:cs="Calibri"/>
                <w:color w:val="000000"/>
                <w:lang w:eastAsia="en-GB"/>
              </w:rPr>
            </w:pPr>
            <w:r w:rsidRPr="00D2338C">
              <w:rPr>
                <w:rFonts w:ascii="Calibri" w:eastAsia="Times New Roman" w:hAnsi="Calibri" w:cs="Calibri"/>
                <w:color w:val="000000"/>
                <w:lang w:eastAsia="en-GB"/>
              </w:rPr>
              <w:t>Acid test ratio</w:t>
            </w:r>
          </w:p>
        </w:tc>
        <w:tc>
          <w:tcPr>
            <w:tcW w:w="993" w:type="dxa"/>
            <w:tcBorders>
              <w:top w:val="nil"/>
              <w:left w:val="single" w:sz="8" w:space="0" w:color="auto"/>
              <w:bottom w:val="single" w:sz="8" w:space="0" w:color="auto"/>
              <w:right w:val="single" w:sz="4"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1.68</w:t>
            </w:r>
          </w:p>
        </w:tc>
        <w:tc>
          <w:tcPr>
            <w:tcW w:w="906" w:type="dxa"/>
            <w:tcBorders>
              <w:top w:val="nil"/>
              <w:left w:val="nil"/>
              <w:bottom w:val="single" w:sz="8" w:space="0" w:color="auto"/>
              <w:right w:val="single" w:sz="4"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1.51</w:t>
            </w:r>
          </w:p>
        </w:tc>
        <w:tc>
          <w:tcPr>
            <w:tcW w:w="1120" w:type="dxa"/>
            <w:tcBorders>
              <w:top w:val="nil"/>
              <w:left w:val="nil"/>
              <w:bottom w:val="single" w:sz="8" w:space="0" w:color="auto"/>
              <w:right w:val="single" w:sz="4"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1.39</w:t>
            </w:r>
          </w:p>
        </w:tc>
        <w:tc>
          <w:tcPr>
            <w:tcW w:w="950" w:type="dxa"/>
            <w:tcBorders>
              <w:top w:val="nil"/>
              <w:left w:val="nil"/>
              <w:bottom w:val="single" w:sz="8" w:space="0" w:color="auto"/>
              <w:right w:val="single" w:sz="4"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1.65</w:t>
            </w:r>
          </w:p>
        </w:tc>
        <w:tc>
          <w:tcPr>
            <w:tcW w:w="1134" w:type="dxa"/>
            <w:tcBorders>
              <w:top w:val="nil"/>
              <w:left w:val="nil"/>
              <w:bottom w:val="single" w:sz="8" w:space="0" w:color="auto"/>
              <w:right w:val="single" w:sz="8" w:space="0" w:color="auto"/>
            </w:tcBorders>
            <w:shd w:val="clear" w:color="auto" w:fill="auto"/>
            <w:noWrap/>
            <w:vAlign w:val="bottom"/>
            <w:hideMark/>
          </w:tcPr>
          <w:p w:rsidR="00D2338C" w:rsidRPr="00D2338C" w:rsidRDefault="00D2338C" w:rsidP="00D2338C">
            <w:pPr>
              <w:spacing w:after="0" w:line="240" w:lineRule="auto"/>
              <w:jc w:val="center"/>
              <w:rPr>
                <w:rFonts w:ascii="Calibri" w:eastAsia="Times New Roman" w:hAnsi="Calibri" w:cs="Calibri"/>
                <w:color w:val="000000"/>
                <w:lang w:eastAsia="en-GB"/>
              </w:rPr>
            </w:pPr>
            <w:r w:rsidRPr="00D2338C">
              <w:rPr>
                <w:rFonts w:ascii="Calibri" w:eastAsia="Times New Roman" w:hAnsi="Calibri" w:cs="Calibri"/>
                <w:color w:val="000000"/>
                <w:lang w:eastAsia="en-GB"/>
              </w:rPr>
              <w:t>1.96</w:t>
            </w:r>
          </w:p>
        </w:tc>
      </w:tr>
    </w:tbl>
    <w:p w:rsidR="0027004D" w:rsidRPr="0027004D" w:rsidRDefault="0027004D" w:rsidP="0027004D"/>
    <w:p w:rsidR="00A4313E" w:rsidRDefault="0043723C" w:rsidP="0043723C">
      <w:pPr>
        <w:pStyle w:val="Heading3"/>
      </w:pPr>
      <w:bookmarkStart w:id="15" w:name="_Toc535606298"/>
      <w:r>
        <w:t>Gearing</w:t>
      </w:r>
      <w:bookmarkEnd w:id="15"/>
    </w:p>
    <w:p w:rsidR="00BA1521" w:rsidRDefault="00B51FBF" w:rsidP="0043723C">
      <w:r>
        <w:t>Described as</w:t>
      </w:r>
      <w:r w:rsidR="0043723C">
        <w:t xml:space="preserve"> “The existence of fixed-payment-bearing securities (i.e. loans</w:t>
      </w:r>
      <w:r w:rsidR="001E6273">
        <w:t>)</w:t>
      </w:r>
      <w:r w:rsidR="0043723C">
        <w:t xml:space="preserve"> in the capital structure of a business” </w:t>
      </w:r>
      <w:sdt>
        <w:sdtPr>
          <w:id w:val="524832294"/>
          <w:citation/>
        </w:sdtPr>
        <w:sdtContent>
          <w:r>
            <w:fldChar w:fldCharType="begin"/>
          </w:r>
          <w:r>
            <w:instrText xml:space="preserve">CITATION Atr09 \p 577 \l 2057 </w:instrText>
          </w:r>
          <w:r>
            <w:fldChar w:fldCharType="separate"/>
          </w:r>
          <w:r w:rsidR="00A90D87" w:rsidRPr="00A90D87">
            <w:rPr>
              <w:noProof/>
            </w:rPr>
            <w:t>(Atrill, 2009, p. 577)</w:t>
          </w:r>
          <w:r>
            <w:fldChar w:fldCharType="end"/>
          </w:r>
        </w:sdtContent>
      </w:sdt>
      <w:r>
        <w:t>, gearing o</w:t>
      </w:r>
      <w:r w:rsidR="0043723C">
        <w:t xml:space="preserve">ccurs when a business is </w:t>
      </w:r>
      <w:r>
        <w:t>financed</w:t>
      </w:r>
      <w:r w:rsidR="0043723C">
        <w:t xml:space="preserve"> by </w:t>
      </w:r>
      <w:r w:rsidR="0090707D">
        <w:t>borrowing</w:t>
      </w:r>
      <w:r w:rsidR="0043723C">
        <w:t xml:space="preserve"> rather than owner finance</w:t>
      </w:r>
      <w:r>
        <w:t>, or put another way</w:t>
      </w:r>
      <w:r w:rsidR="001E6273">
        <w:t xml:space="preserve"> “the extent to which a company’s operations are funded by lenders versus shareholders.” </w:t>
      </w:r>
      <w:sdt>
        <w:sdtPr>
          <w:id w:val="914827539"/>
          <w:citation/>
        </w:sdtPr>
        <w:sdtContent>
          <w:r w:rsidR="001E6273">
            <w:fldChar w:fldCharType="begin"/>
          </w:r>
          <w:r w:rsidR="001E6273">
            <w:instrText xml:space="preserve"> CITATION Inv18 \l 2057 </w:instrText>
          </w:r>
          <w:r w:rsidR="001E6273">
            <w:fldChar w:fldCharType="separate"/>
          </w:r>
          <w:r w:rsidR="00A90D87" w:rsidRPr="00A90D87">
            <w:rPr>
              <w:noProof/>
            </w:rPr>
            <w:t>(Investopedia, 2018)</w:t>
          </w:r>
          <w:r w:rsidR="001E6273">
            <w:fldChar w:fldCharType="end"/>
          </w:r>
        </w:sdtContent>
      </w:sdt>
      <w:r w:rsidR="001E6273">
        <w:t xml:space="preserve">. The extent to which a company is ‘geared’ is an important factor in assessing risk. </w:t>
      </w:r>
      <w:proofErr w:type="gramStart"/>
      <w:r w:rsidR="001E6273">
        <w:t>Also</w:t>
      </w:r>
      <w:proofErr w:type="gramEnd"/>
      <w:r w:rsidR="001E6273">
        <w:t xml:space="preserve"> of note, companies </w:t>
      </w:r>
      <w:r w:rsidR="00EB6F30">
        <w:t>financed</w:t>
      </w:r>
      <w:r w:rsidR="001E6273">
        <w:t xml:space="preserve"> in this way are exposed to associated costs of finance, such as interest payments, therefore will have to find ways to offset </w:t>
      </w:r>
      <w:r w:rsidR="001E6273">
        <w:lastRenderedPageBreak/>
        <w:t>these costs compared to competitors with lower reliance on gearing.</w:t>
      </w:r>
      <w:r w:rsidR="001426F4">
        <w:t xml:space="preserve"> Gearing</w:t>
      </w:r>
      <w:r w:rsidR="00BA1521">
        <w:t xml:space="preserve"> is therefore a measure of risk, and companies potentially exposed to increased market risks should be consciously looking to have a low Gearing ratio.</w:t>
      </w:r>
    </w:p>
    <w:p w:rsidR="00B51FBF" w:rsidRDefault="0017088C" w:rsidP="0043723C">
      <w:r>
        <w:t xml:space="preserve">Gearing ratios can be thought of in terms of 2 distinct parts, the Gearing Ratio, and the Interest Cover Ratio. </w:t>
      </w:r>
      <w:r w:rsidRPr="0017088C">
        <w:rPr>
          <w:noProof/>
        </w:rPr>
        <w:t>Atrill</w:t>
      </w:r>
      <w:r>
        <w:rPr>
          <w:noProof/>
        </w:rPr>
        <w:t xml:space="preserve">, </w:t>
      </w:r>
      <w:sdt>
        <w:sdtPr>
          <w:rPr>
            <w:noProof/>
          </w:rPr>
          <w:id w:val="1535767483"/>
          <w:citation/>
        </w:sdtPr>
        <w:sdtContent>
          <w:r>
            <w:rPr>
              <w:noProof/>
            </w:rPr>
            <w:fldChar w:fldCharType="begin"/>
          </w:r>
          <w:r>
            <w:rPr>
              <w:noProof/>
            </w:rPr>
            <w:instrText xml:space="preserve">CITATION Atr09 \n  \l 2057 </w:instrText>
          </w:r>
          <w:r>
            <w:rPr>
              <w:noProof/>
            </w:rPr>
            <w:fldChar w:fldCharType="separate"/>
          </w:r>
          <w:r w:rsidR="00A90D87" w:rsidRPr="00A90D87">
            <w:rPr>
              <w:noProof/>
            </w:rPr>
            <w:t>(2009)</w:t>
          </w:r>
          <w:r>
            <w:rPr>
              <w:noProof/>
            </w:rPr>
            <w:fldChar w:fldCharType="end"/>
          </w:r>
        </w:sdtContent>
      </w:sdt>
      <w:r>
        <w:rPr>
          <w:noProof/>
        </w:rPr>
        <w:t xml:space="preserve"> describes each ratio thusly: </w:t>
      </w:r>
      <w:r>
        <w:t xml:space="preserve">What is the contribution of long-term lenders to the capital structure of the business? What available operating profit is there to cover any interest payable? </w:t>
      </w:r>
      <w:sdt>
        <w:sdtPr>
          <w:id w:val="1979192843"/>
          <w:citation/>
        </w:sdtPr>
        <w:sdtContent>
          <w:r>
            <w:fldChar w:fldCharType="begin"/>
          </w:r>
          <w:r>
            <w:instrText xml:space="preserve">CITATION Atr09 \p 89 \n  \y  \l 2057 </w:instrText>
          </w:r>
          <w:r>
            <w:fldChar w:fldCharType="separate"/>
          </w:r>
          <w:r w:rsidR="00A90D87" w:rsidRPr="00A90D87">
            <w:rPr>
              <w:noProof/>
            </w:rPr>
            <w:t>(p. 89)</w:t>
          </w:r>
          <w:r>
            <w:fldChar w:fldCharType="end"/>
          </w:r>
        </w:sdtContent>
      </w:sdt>
      <w:r>
        <w:t xml:space="preserve">. </w:t>
      </w:r>
    </w:p>
    <w:p w:rsidR="00C30750" w:rsidRDefault="00C30750" w:rsidP="00C30750">
      <w:pPr>
        <w:pStyle w:val="Caption"/>
        <w:keepNext/>
      </w:pPr>
      <w:bookmarkStart w:id="16" w:name="_Toc535606003"/>
      <w:r>
        <w:t xml:space="preserve">Table </w:t>
      </w:r>
      <w:r>
        <w:fldChar w:fldCharType="begin"/>
      </w:r>
      <w:r>
        <w:instrText xml:space="preserve"> SEQ Table \* ARABIC </w:instrText>
      </w:r>
      <w:r>
        <w:fldChar w:fldCharType="separate"/>
      </w:r>
      <w:r w:rsidR="0020743A">
        <w:rPr>
          <w:noProof/>
        </w:rPr>
        <w:t>6</w:t>
      </w:r>
      <w:r>
        <w:fldChar w:fldCharType="end"/>
      </w:r>
      <w:r>
        <w:t xml:space="preserve"> - Gearing Ratios HL</w:t>
      </w:r>
      <w:bookmarkEnd w:id="16"/>
    </w:p>
    <w:tbl>
      <w:tblPr>
        <w:tblW w:w="8561" w:type="dxa"/>
        <w:tblLook w:val="04A0" w:firstRow="1" w:lastRow="0" w:firstColumn="1" w:lastColumn="0" w:noHBand="0" w:noVBand="1"/>
      </w:tblPr>
      <w:tblGrid>
        <w:gridCol w:w="2268"/>
        <w:gridCol w:w="1276"/>
        <w:gridCol w:w="1134"/>
        <w:gridCol w:w="1276"/>
        <w:gridCol w:w="1417"/>
        <w:gridCol w:w="1190"/>
      </w:tblGrid>
      <w:tr w:rsidR="00EB526F" w:rsidRPr="00DF4CA7" w:rsidTr="00EB526F">
        <w:trPr>
          <w:trHeight w:val="165"/>
        </w:trPr>
        <w:tc>
          <w:tcPr>
            <w:tcW w:w="2268" w:type="dxa"/>
            <w:tcBorders>
              <w:top w:val="nil"/>
              <w:left w:val="nil"/>
              <w:bottom w:val="nil"/>
              <w:right w:val="nil"/>
            </w:tcBorders>
            <w:shd w:val="clear" w:color="auto" w:fill="auto"/>
            <w:noWrap/>
            <w:vAlign w:val="bottom"/>
            <w:hideMark/>
          </w:tcPr>
          <w:p w:rsidR="00DF4CA7" w:rsidRPr="00DF4CA7" w:rsidRDefault="00DF4CA7" w:rsidP="00DF4CA7">
            <w:pPr>
              <w:spacing w:after="0" w:line="240" w:lineRule="auto"/>
              <w:rPr>
                <w:rFonts w:ascii="Times New Roman" w:eastAsia="Times New Roman" w:hAnsi="Times New Roman" w:cs="Times New Roman"/>
                <w:sz w:val="24"/>
                <w:szCs w:val="24"/>
                <w:lang w:eastAsia="en-GB"/>
              </w:rPr>
            </w:pPr>
          </w:p>
        </w:tc>
        <w:tc>
          <w:tcPr>
            <w:tcW w:w="1276" w:type="dxa"/>
            <w:tcBorders>
              <w:top w:val="single" w:sz="8" w:space="0" w:color="auto"/>
              <w:left w:val="single" w:sz="8" w:space="0" w:color="auto"/>
              <w:bottom w:val="nil"/>
              <w:right w:val="single" w:sz="4" w:space="0" w:color="auto"/>
            </w:tcBorders>
            <w:shd w:val="clear" w:color="000000" w:fill="FFFFFF"/>
            <w:vAlign w:val="bottom"/>
            <w:hideMark/>
          </w:tcPr>
          <w:p w:rsidR="00DF4CA7" w:rsidRPr="00DF4CA7" w:rsidRDefault="00DF4CA7" w:rsidP="00DF4CA7">
            <w:pPr>
              <w:spacing w:after="0" w:line="240" w:lineRule="auto"/>
              <w:jc w:val="center"/>
              <w:rPr>
                <w:rFonts w:ascii="Calibri" w:eastAsia="Times New Roman" w:hAnsi="Calibri" w:cs="Calibri"/>
                <w:b/>
                <w:bCs/>
                <w:color w:val="000000"/>
                <w:lang w:eastAsia="en-GB"/>
              </w:rPr>
            </w:pPr>
            <w:r w:rsidRPr="00DF4CA7">
              <w:rPr>
                <w:rFonts w:ascii="Calibri" w:eastAsia="Times New Roman" w:hAnsi="Calibri" w:cs="Calibri"/>
                <w:b/>
                <w:bCs/>
                <w:color w:val="000000"/>
                <w:lang w:eastAsia="en-GB"/>
              </w:rPr>
              <w:t>2014</w:t>
            </w:r>
          </w:p>
        </w:tc>
        <w:tc>
          <w:tcPr>
            <w:tcW w:w="1134" w:type="dxa"/>
            <w:tcBorders>
              <w:top w:val="single" w:sz="8" w:space="0" w:color="auto"/>
              <w:left w:val="nil"/>
              <w:bottom w:val="nil"/>
              <w:right w:val="single" w:sz="4" w:space="0" w:color="auto"/>
            </w:tcBorders>
            <w:shd w:val="clear" w:color="000000" w:fill="FFFFFF"/>
            <w:vAlign w:val="bottom"/>
            <w:hideMark/>
          </w:tcPr>
          <w:p w:rsidR="00DF4CA7" w:rsidRPr="00DF4CA7" w:rsidRDefault="00DF4CA7" w:rsidP="00DF4CA7">
            <w:pPr>
              <w:spacing w:after="0" w:line="240" w:lineRule="auto"/>
              <w:jc w:val="center"/>
              <w:rPr>
                <w:rFonts w:ascii="Calibri" w:eastAsia="Times New Roman" w:hAnsi="Calibri" w:cs="Calibri"/>
                <w:b/>
                <w:bCs/>
                <w:color w:val="000000"/>
                <w:lang w:eastAsia="en-GB"/>
              </w:rPr>
            </w:pPr>
            <w:r w:rsidRPr="00DF4CA7">
              <w:rPr>
                <w:rFonts w:ascii="Calibri" w:eastAsia="Times New Roman" w:hAnsi="Calibri" w:cs="Calibri"/>
                <w:b/>
                <w:bCs/>
                <w:color w:val="000000"/>
                <w:lang w:eastAsia="en-GB"/>
              </w:rPr>
              <w:t>2015</w:t>
            </w:r>
          </w:p>
        </w:tc>
        <w:tc>
          <w:tcPr>
            <w:tcW w:w="1276" w:type="dxa"/>
            <w:tcBorders>
              <w:top w:val="single" w:sz="8" w:space="0" w:color="auto"/>
              <w:left w:val="nil"/>
              <w:bottom w:val="nil"/>
              <w:right w:val="single" w:sz="4" w:space="0" w:color="auto"/>
            </w:tcBorders>
            <w:shd w:val="clear" w:color="000000" w:fill="FFFFFF"/>
            <w:vAlign w:val="bottom"/>
            <w:hideMark/>
          </w:tcPr>
          <w:p w:rsidR="00DF4CA7" w:rsidRPr="00DF4CA7" w:rsidRDefault="00DF4CA7" w:rsidP="00DF4CA7">
            <w:pPr>
              <w:spacing w:after="0" w:line="240" w:lineRule="auto"/>
              <w:jc w:val="center"/>
              <w:rPr>
                <w:rFonts w:ascii="Calibri" w:eastAsia="Times New Roman" w:hAnsi="Calibri" w:cs="Calibri"/>
                <w:b/>
                <w:bCs/>
                <w:color w:val="000000"/>
                <w:lang w:eastAsia="en-GB"/>
              </w:rPr>
            </w:pPr>
            <w:r w:rsidRPr="00DF4CA7">
              <w:rPr>
                <w:rFonts w:ascii="Calibri" w:eastAsia="Times New Roman" w:hAnsi="Calibri" w:cs="Calibri"/>
                <w:b/>
                <w:bCs/>
                <w:color w:val="000000"/>
                <w:lang w:eastAsia="en-GB"/>
              </w:rPr>
              <w:t>2016</w:t>
            </w:r>
          </w:p>
        </w:tc>
        <w:tc>
          <w:tcPr>
            <w:tcW w:w="1417" w:type="dxa"/>
            <w:tcBorders>
              <w:top w:val="single" w:sz="8" w:space="0" w:color="auto"/>
              <w:left w:val="nil"/>
              <w:bottom w:val="nil"/>
              <w:right w:val="single" w:sz="4" w:space="0" w:color="auto"/>
            </w:tcBorders>
            <w:shd w:val="clear" w:color="000000" w:fill="FFFFFF"/>
            <w:vAlign w:val="bottom"/>
            <w:hideMark/>
          </w:tcPr>
          <w:p w:rsidR="00DF4CA7" w:rsidRPr="00DF4CA7" w:rsidRDefault="00DF4CA7" w:rsidP="00DF4CA7">
            <w:pPr>
              <w:spacing w:after="0" w:line="240" w:lineRule="auto"/>
              <w:jc w:val="center"/>
              <w:rPr>
                <w:rFonts w:ascii="Calibri" w:eastAsia="Times New Roman" w:hAnsi="Calibri" w:cs="Calibri"/>
                <w:b/>
                <w:bCs/>
                <w:color w:val="000000"/>
                <w:lang w:eastAsia="en-GB"/>
              </w:rPr>
            </w:pPr>
            <w:r w:rsidRPr="00DF4CA7">
              <w:rPr>
                <w:rFonts w:ascii="Calibri" w:eastAsia="Times New Roman" w:hAnsi="Calibri" w:cs="Calibri"/>
                <w:b/>
                <w:bCs/>
                <w:color w:val="000000"/>
                <w:lang w:eastAsia="en-GB"/>
              </w:rPr>
              <w:t>2017</w:t>
            </w:r>
          </w:p>
        </w:tc>
        <w:tc>
          <w:tcPr>
            <w:tcW w:w="1190" w:type="dxa"/>
            <w:tcBorders>
              <w:top w:val="single" w:sz="8" w:space="0" w:color="auto"/>
              <w:left w:val="nil"/>
              <w:bottom w:val="nil"/>
              <w:right w:val="single" w:sz="8" w:space="0" w:color="auto"/>
            </w:tcBorders>
            <w:shd w:val="clear" w:color="000000" w:fill="FFFFFF"/>
            <w:vAlign w:val="bottom"/>
            <w:hideMark/>
          </w:tcPr>
          <w:p w:rsidR="00DF4CA7" w:rsidRPr="00DF4CA7" w:rsidRDefault="00DF4CA7" w:rsidP="00DF4CA7">
            <w:pPr>
              <w:spacing w:after="0" w:line="240" w:lineRule="auto"/>
              <w:jc w:val="center"/>
              <w:rPr>
                <w:rFonts w:ascii="Calibri" w:eastAsia="Times New Roman" w:hAnsi="Calibri" w:cs="Calibri"/>
                <w:b/>
                <w:bCs/>
                <w:color w:val="000000"/>
                <w:lang w:eastAsia="en-GB"/>
              </w:rPr>
            </w:pPr>
            <w:r w:rsidRPr="00DF4CA7">
              <w:rPr>
                <w:rFonts w:ascii="Calibri" w:eastAsia="Times New Roman" w:hAnsi="Calibri" w:cs="Calibri"/>
                <w:b/>
                <w:bCs/>
                <w:color w:val="000000"/>
                <w:lang w:eastAsia="en-GB"/>
              </w:rPr>
              <w:t>2018</w:t>
            </w:r>
          </w:p>
        </w:tc>
      </w:tr>
      <w:tr w:rsidR="00EB526F" w:rsidRPr="00DF4CA7" w:rsidTr="00EB526F">
        <w:trPr>
          <w:trHeight w:val="159"/>
        </w:trPr>
        <w:tc>
          <w:tcPr>
            <w:tcW w:w="2268" w:type="dxa"/>
            <w:tcBorders>
              <w:top w:val="single" w:sz="8" w:space="0" w:color="auto"/>
              <w:left w:val="single" w:sz="8" w:space="0" w:color="auto"/>
              <w:bottom w:val="single" w:sz="4" w:space="0" w:color="auto"/>
              <w:right w:val="nil"/>
            </w:tcBorders>
            <w:shd w:val="clear" w:color="auto" w:fill="auto"/>
            <w:noWrap/>
            <w:vAlign w:val="bottom"/>
            <w:hideMark/>
          </w:tcPr>
          <w:p w:rsidR="00DF4CA7" w:rsidRPr="00DF4CA7" w:rsidRDefault="00DF4CA7" w:rsidP="00DF4CA7">
            <w:pPr>
              <w:spacing w:after="0" w:line="240" w:lineRule="auto"/>
              <w:rPr>
                <w:rFonts w:ascii="Calibri" w:eastAsia="Times New Roman" w:hAnsi="Calibri" w:cs="Calibri"/>
                <w:color w:val="000000"/>
                <w:lang w:eastAsia="en-GB"/>
              </w:rPr>
            </w:pPr>
            <w:r w:rsidRPr="00DF4CA7">
              <w:rPr>
                <w:rFonts w:ascii="Calibri" w:eastAsia="Times New Roman" w:hAnsi="Calibri" w:cs="Calibri"/>
                <w:color w:val="000000"/>
                <w:lang w:eastAsia="en-GB"/>
              </w:rPr>
              <w:t>Gearing Ratio</w:t>
            </w:r>
          </w:p>
        </w:tc>
        <w:tc>
          <w:tcPr>
            <w:tcW w:w="127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0.4%</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0.3%</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0.4%</w:t>
            </w:r>
          </w:p>
        </w:tc>
        <w:tc>
          <w:tcPr>
            <w:tcW w:w="1417" w:type="dxa"/>
            <w:tcBorders>
              <w:top w:val="single" w:sz="8" w:space="0" w:color="auto"/>
              <w:left w:val="nil"/>
              <w:bottom w:val="single" w:sz="4" w:space="0" w:color="auto"/>
              <w:right w:val="single" w:sz="4"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0.5%</w:t>
            </w:r>
          </w:p>
        </w:tc>
        <w:tc>
          <w:tcPr>
            <w:tcW w:w="1190" w:type="dxa"/>
            <w:tcBorders>
              <w:top w:val="single" w:sz="8" w:space="0" w:color="auto"/>
              <w:left w:val="nil"/>
              <w:bottom w:val="single" w:sz="4" w:space="0" w:color="auto"/>
              <w:right w:val="single" w:sz="8"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0.5%</w:t>
            </w:r>
          </w:p>
        </w:tc>
      </w:tr>
      <w:tr w:rsidR="00EB526F" w:rsidRPr="00DF4CA7" w:rsidTr="00EB526F">
        <w:trPr>
          <w:trHeight w:val="325"/>
        </w:trPr>
        <w:tc>
          <w:tcPr>
            <w:tcW w:w="2268" w:type="dxa"/>
            <w:tcBorders>
              <w:top w:val="nil"/>
              <w:left w:val="single" w:sz="8" w:space="0" w:color="auto"/>
              <w:bottom w:val="single" w:sz="8" w:space="0" w:color="auto"/>
              <w:right w:val="nil"/>
            </w:tcBorders>
            <w:shd w:val="clear" w:color="auto" w:fill="auto"/>
            <w:vAlign w:val="bottom"/>
            <w:hideMark/>
          </w:tcPr>
          <w:p w:rsidR="00DF4CA7" w:rsidRPr="00DF4CA7" w:rsidRDefault="00DF4CA7" w:rsidP="00DF4CA7">
            <w:pPr>
              <w:spacing w:after="0" w:line="240" w:lineRule="auto"/>
              <w:rPr>
                <w:rFonts w:ascii="Calibri" w:eastAsia="Times New Roman" w:hAnsi="Calibri" w:cs="Calibri"/>
                <w:color w:val="000000"/>
                <w:lang w:eastAsia="en-GB"/>
              </w:rPr>
            </w:pPr>
            <w:r w:rsidRPr="00DF4CA7">
              <w:rPr>
                <w:rFonts w:ascii="Calibri" w:eastAsia="Times New Roman" w:hAnsi="Calibri" w:cs="Calibri"/>
                <w:color w:val="000000"/>
                <w:lang w:eastAsia="en-GB"/>
              </w:rPr>
              <w:t>Interest Cover Ratio</w:t>
            </w:r>
            <w:r>
              <w:rPr>
                <w:rFonts w:ascii="Calibri" w:eastAsia="Times New Roman" w:hAnsi="Calibri" w:cs="Calibri"/>
                <w:color w:val="000000"/>
                <w:lang w:eastAsia="en-GB"/>
              </w:rPr>
              <w:t xml:space="preserve"> </w:t>
            </w:r>
            <w:r>
              <w:rPr>
                <w:rStyle w:val="FootnoteReference"/>
                <w:rFonts w:ascii="Calibri" w:eastAsia="Times New Roman" w:hAnsi="Calibri" w:cs="Calibri"/>
                <w:color w:val="000000"/>
                <w:lang w:eastAsia="en-GB"/>
              </w:rPr>
              <w:footnoteReference w:id="3"/>
            </w:r>
          </w:p>
        </w:tc>
        <w:tc>
          <w:tcPr>
            <w:tcW w:w="1276" w:type="dxa"/>
            <w:tcBorders>
              <w:top w:val="nil"/>
              <w:left w:val="single" w:sz="8" w:space="0" w:color="auto"/>
              <w:bottom w:val="single" w:sz="8" w:space="0" w:color="auto"/>
              <w:right w:val="single" w:sz="4"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8255</w:t>
            </w:r>
          </w:p>
        </w:tc>
        <w:tc>
          <w:tcPr>
            <w:tcW w:w="1134" w:type="dxa"/>
            <w:tcBorders>
              <w:top w:val="nil"/>
              <w:left w:val="nil"/>
              <w:bottom w:val="single" w:sz="8" w:space="0" w:color="auto"/>
              <w:right w:val="single" w:sz="4"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8921</w:t>
            </w:r>
          </w:p>
        </w:tc>
        <w:tc>
          <w:tcPr>
            <w:tcW w:w="1276" w:type="dxa"/>
            <w:tcBorders>
              <w:top w:val="nil"/>
              <w:left w:val="nil"/>
              <w:bottom w:val="single" w:sz="8" w:space="0" w:color="auto"/>
              <w:right w:val="single" w:sz="4"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7658</w:t>
            </w:r>
          </w:p>
        </w:tc>
        <w:tc>
          <w:tcPr>
            <w:tcW w:w="1417" w:type="dxa"/>
            <w:tcBorders>
              <w:top w:val="nil"/>
              <w:left w:val="nil"/>
              <w:bottom w:val="single" w:sz="8" w:space="0" w:color="auto"/>
              <w:right w:val="single" w:sz="4"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6217</w:t>
            </w:r>
          </w:p>
        </w:tc>
        <w:tc>
          <w:tcPr>
            <w:tcW w:w="1190" w:type="dxa"/>
            <w:tcBorders>
              <w:top w:val="nil"/>
              <w:left w:val="nil"/>
              <w:bottom w:val="single" w:sz="8" w:space="0" w:color="auto"/>
              <w:right w:val="single" w:sz="8" w:space="0" w:color="auto"/>
            </w:tcBorders>
            <w:shd w:val="clear" w:color="auto" w:fill="auto"/>
            <w:noWrap/>
            <w:vAlign w:val="bottom"/>
            <w:hideMark/>
          </w:tcPr>
          <w:p w:rsidR="00DF4CA7" w:rsidRPr="00DF4CA7" w:rsidRDefault="00DF4CA7" w:rsidP="00DF4CA7">
            <w:pPr>
              <w:spacing w:after="0" w:line="240" w:lineRule="auto"/>
              <w:jc w:val="center"/>
              <w:rPr>
                <w:rFonts w:ascii="Calibri" w:eastAsia="Times New Roman" w:hAnsi="Calibri" w:cs="Calibri"/>
                <w:color w:val="000000"/>
                <w:lang w:eastAsia="en-GB"/>
              </w:rPr>
            </w:pPr>
            <w:r w:rsidRPr="00DF4CA7">
              <w:rPr>
                <w:rFonts w:ascii="Calibri" w:eastAsia="Times New Roman" w:hAnsi="Calibri" w:cs="Calibri"/>
                <w:color w:val="000000"/>
                <w:lang w:eastAsia="en-GB"/>
              </w:rPr>
              <w:t>5107</w:t>
            </w:r>
          </w:p>
        </w:tc>
      </w:tr>
    </w:tbl>
    <w:p w:rsidR="00E82FFA" w:rsidRDefault="00E82FFA" w:rsidP="0043723C"/>
    <w:p w:rsidR="00DF4CA7" w:rsidRDefault="00DF4CA7" w:rsidP="0043723C">
      <w:r>
        <w:t xml:space="preserve">HL does not report significant non-current liabilities; </w:t>
      </w:r>
      <w:r w:rsidR="000E4319">
        <w:t>therefore,</w:t>
      </w:r>
      <w:r>
        <w:t xml:space="preserve"> it is reasonable to describe the company as primarily financed via its Equities and Revenue. Gearing of less than 1% is reported for each of the last 5 financial years, with only notional changes year on year, which are relatively insignificant with a company of this size (in terms of financial operations). HL would cover its Interest with comfort as the operating profit is well above 5000 times any interest payable.</w:t>
      </w:r>
    </w:p>
    <w:p w:rsidR="000E4319" w:rsidRDefault="000E4319" w:rsidP="000E4319">
      <w:pPr>
        <w:pStyle w:val="Heading3"/>
      </w:pPr>
      <w:bookmarkStart w:id="17" w:name="_Toc535606299"/>
      <w:r>
        <w:t>E</w:t>
      </w:r>
      <w:r w:rsidRPr="00C35C37">
        <w:t>fficienc</w:t>
      </w:r>
      <w:r>
        <w:t>y Ratios</w:t>
      </w:r>
      <w:bookmarkEnd w:id="17"/>
    </w:p>
    <w:p w:rsidR="000E4319" w:rsidRDefault="00A82C42" w:rsidP="000E4319">
      <w:r w:rsidRPr="00DB3001">
        <w:t>Efficiency Ratios help us to understand the management of resources within a company</w:t>
      </w:r>
      <w:r w:rsidR="00DB3001">
        <w:t>, for example how well</w:t>
      </w:r>
      <w:r w:rsidR="00A527E0">
        <w:t>-</w:t>
      </w:r>
      <w:r w:rsidR="00DB3001">
        <w:t>used assets may be, and the effective management of a company’s liabilities</w:t>
      </w:r>
      <w:r w:rsidRPr="00DB3001">
        <w:t xml:space="preserve">. </w:t>
      </w:r>
      <w:r w:rsidR="00A24DDE" w:rsidRPr="00DB3001">
        <w:t>Relationships positively corr</w:t>
      </w:r>
      <w:r w:rsidR="00D96AB8" w:rsidRPr="00DB3001">
        <w:t>elating</w:t>
      </w:r>
      <w:r w:rsidR="00A24DDE" w:rsidRPr="00DB3001">
        <w:t xml:space="preserve"> Efficiency with higher </w:t>
      </w:r>
      <w:r w:rsidR="009F1938" w:rsidRPr="00DB3001">
        <w:t>Profitability</w:t>
      </w:r>
      <w:r w:rsidR="00A24DDE" w:rsidRPr="00DB3001">
        <w:t xml:space="preserve"> </w:t>
      </w:r>
      <w:r w:rsidR="009F1938" w:rsidRPr="00DB3001">
        <w:t>in Financial sec</w:t>
      </w:r>
      <w:r w:rsidR="00D96AB8" w:rsidRPr="00DB3001">
        <w:t>tor organisations</w:t>
      </w:r>
      <w:r w:rsidR="00A24DDE" w:rsidRPr="00DB3001">
        <w:t xml:space="preserve"> </w:t>
      </w:r>
      <w:r w:rsidR="00DB3001" w:rsidRPr="00DB3001">
        <w:t xml:space="preserve">are relatively widely reported </w:t>
      </w:r>
      <w:sdt>
        <w:sdtPr>
          <w:id w:val="-1289811787"/>
          <w:citation/>
        </w:sdtPr>
        <w:sdtContent>
          <w:r w:rsidR="009F1938" w:rsidRPr="00DB3001">
            <w:fldChar w:fldCharType="begin"/>
          </w:r>
          <w:r w:rsidR="009F1938" w:rsidRPr="00DB3001">
            <w:instrText xml:space="preserve"> CITATION Ora90 \l 2057 </w:instrText>
          </w:r>
          <w:r w:rsidR="009F1938" w:rsidRPr="00DB3001">
            <w:fldChar w:fldCharType="separate"/>
          </w:r>
          <w:r w:rsidR="00A90D87" w:rsidRPr="00A90D87">
            <w:rPr>
              <w:noProof/>
            </w:rPr>
            <w:t>(Oral &amp; Yolalan, 1990)</w:t>
          </w:r>
          <w:r w:rsidR="009F1938" w:rsidRPr="00DB3001">
            <w:fldChar w:fldCharType="end"/>
          </w:r>
        </w:sdtContent>
      </w:sdt>
      <w:r w:rsidR="00DB3001">
        <w:t xml:space="preserve">, </w:t>
      </w:r>
      <w:sdt>
        <w:sdtPr>
          <w:id w:val="-777558261"/>
          <w:citation/>
        </w:sdtPr>
        <w:sdtContent>
          <w:r w:rsidR="009F1938" w:rsidRPr="00DB3001">
            <w:fldChar w:fldCharType="begin"/>
          </w:r>
          <w:r w:rsidR="009F1938" w:rsidRPr="00DB3001">
            <w:instrText xml:space="preserve"> CITATION Hal04 \l 2057 </w:instrText>
          </w:r>
          <w:r w:rsidR="009F1938" w:rsidRPr="00DB3001">
            <w:fldChar w:fldCharType="separate"/>
          </w:r>
          <w:r w:rsidR="00A90D87" w:rsidRPr="00A90D87">
            <w:rPr>
              <w:noProof/>
            </w:rPr>
            <w:t>(Halkos &amp; Salamouris, 2004)</w:t>
          </w:r>
          <w:r w:rsidR="009F1938" w:rsidRPr="00DB3001">
            <w:fldChar w:fldCharType="end"/>
          </w:r>
        </w:sdtContent>
      </w:sdt>
      <w:r w:rsidR="009F1938" w:rsidRPr="00DB3001">
        <w:t xml:space="preserve">, </w:t>
      </w:r>
      <w:sdt>
        <w:sdtPr>
          <w:id w:val="-579522005"/>
          <w:citation/>
        </w:sdtPr>
        <w:sdtContent>
          <w:r w:rsidR="009F1938" w:rsidRPr="00DB3001">
            <w:fldChar w:fldCharType="begin"/>
          </w:r>
          <w:r w:rsidR="009F1938" w:rsidRPr="00DB3001">
            <w:instrText xml:space="preserve"> CITATION Hay09 \l 2057 </w:instrText>
          </w:r>
          <w:r w:rsidR="009F1938" w:rsidRPr="00DB3001">
            <w:fldChar w:fldCharType="separate"/>
          </w:r>
          <w:r w:rsidR="00A90D87" w:rsidRPr="00A90D87">
            <w:rPr>
              <w:noProof/>
            </w:rPr>
            <w:t>(Hays, et al., 2009)</w:t>
          </w:r>
          <w:r w:rsidR="009F1938" w:rsidRPr="00DB3001">
            <w:fldChar w:fldCharType="end"/>
          </w:r>
        </w:sdtContent>
      </w:sdt>
      <w:r w:rsidR="00DB3001" w:rsidRPr="00DB3001">
        <w:t xml:space="preserve">, </w:t>
      </w:r>
      <w:r w:rsidR="009F1938" w:rsidRPr="00DB3001">
        <w:t xml:space="preserve">and so </w:t>
      </w:r>
      <w:r w:rsidR="00DB3001" w:rsidRPr="00DB3001">
        <w:t xml:space="preserve">therefore </w:t>
      </w:r>
      <w:r w:rsidR="009F1938" w:rsidRPr="00DB3001">
        <w:t xml:space="preserve">Efficiency Ratios represent an area of </w:t>
      </w:r>
      <w:r w:rsidR="00DB3001" w:rsidRPr="00DB3001">
        <w:t>interest</w:t>
      </w:r>
      <w:r w:rsidR="009F1938" w:rsidRPr="00DB3001">
        <w:t xml:space="preserve"> for </w:t>
      </w:r>
      <w:r w:rsidR="00DB3001">
        <w:t xml:space="preserve">a broad range of spectators including </w:t>
      </w:r>
      <w:r w:rsidR="009F1938" w:rsidRPr="00DB3001">
        <w:t>Investors and managers</w:t>
      </w:r>
      <w:r w:rsidR="00DB3001" w:rsidRPr="00DB3001">
        <w:t>.</w:t>
      </w:r>
    </w:p>
    <w:p w:rsidR="00CD2138" w:rsidRDefault="00CD2138" w:rsidP="000E4319">
      <w:r>
        <w:t>Reviewing revenue per employee, and net income per employee for the previous TTM and comparing to industry average, we can see that HL performance in under that reported for industry average in previous TTM</w:t>
      </w:r>
      <w:r w:rsidR="00E2457E">
        <w:t xml:space="preserve">. Whilst HL ratios for efficiency </w:t>
      </w:r>
      <w:r w:rsidR="0024593A">
        <w:t>are below that of industry average, the</w:t>
      </w:r>
      <w:r w:rsidR="00BD5816">
        <w:t>y should not be considered in isolation.</w:t>
      </w:r>
    </w:p>
    <w:p w:rsidR="00BD5816" w:rsidRDefault="00BD5816" w:rsidP="000E4319">
      <w:r>
        <w:t>HL has invested significantly in staffing and technology development, with a 34% uplift in people from 2017 to 2018. HL recognise this investment and consider this a positive response to growing client numbers and associated levels of activity. By reinvesting in the servicing functions HL believe they reinforce their scalability and project future productivity gains and associated growth:</w:t>
      </w:r>
    </w:p>
    <w:p w:rsidR="00BD5816" w:rsidRDefault="00BD5816" w:rsidP="000E4319">
      <w:r>
        <w:t xml:space="preserve">“We consciously and significantly increased our investment in people, digital marketing and technology during the 2017 financial year. We believe the Group’s focus on client service is core to our success and necessary to capture the structural growth opportunity in the UK savings and investments market” </w:t>
      </w:r>
      <w:sdt>
        <w:sdtPr>
          <w:id w:val="1651403706"/>
          <w:citation/>
        </w:sdtPr>
        <w:sdtContent>
          <w:r>
            <w:fldChar w:fldCharType="begin"/>
          </w:r>
          <w:r>
            <w:instrText xml:space="preserve">CITATION Har18 \p 36 \l 2057 </w:instrText>
          </w:r>
          <w:r>
            <w:fldChar w:fldCharType="separate"/>
          </w:r>
          <w:r w:rsidR="00A90D87" w:rsidRPr="00A90D87">
            <w:rPr>
              <w:noProof/>
            </w:rPr>
            <w:t>(Hargreaves Lansdown, 2018, p. 36)</w:t>
          </w:r>
          <w:r>
            <w:fldChar w:fldCharType="end"/>
          </w:r>
        </w:sdtContent>
      </w:sdt>
      <w:r>
        <w:t>.</w:t>
      </w:r>
    </w:p>
    <w:p w:rsidR="004F663B" w:rsidRDefault="004F663B" w:rsidP="000E4319"/>
    <w:p w:rsidR="004F663B" w:rsidRDefault="004F663B" w:rsidP="000E4319"/>
    <w:p w:rsidR="004F663B" w:rsidRDefault="004F663B" w:rsidP="004F663B">
      <w:pPr>
        <w:pStyle w:val="Caption"/>
        <w:keepNext/>
      </w:pPr>
      <w:bookmarkStart w:id="18" w:name="_Toc535606004"/>
      <w:r>
        <w:lastRenderedPageBreak/>
        <w:t xml:space="preserve">Table </w:t>
      </w:r>
      <w:r>
        <w:fldChar w:fldCharType="begin"/>
      </w:r>
      <w:r>
        <w:instrText xml:space="preserve"> SEQ Table \* ARABIC </w:instrText>
      </w:r>
      <w:r>
        <w:fldChar w:fldCharType="separate"/>
      </w:r>
      <w:r w:rsidR="0020743A">
        <w:rPr>
          <w:noProof/>
        </w:rPr>
        <w:t>7</w:t>
      </w:r>
      <w:r>
        <w:fldChar w:fldCharType="end"/>
      </w:r>
      <w:r>
        <w:t xml:space="preserve"> - Efficiency: HL v Sector </w:t>
      </w:r>
      <w:proofErr w:type="spellStart"/>
      <w:r>
        <w:t>ave</w:t>
      </w:r>
      <w:proofErr w:type="spellEnd"/>
      <w:r>
        <w:t xml:space="preserve"> TTM</w:t>
      </w:r>
      <w:bookmarkEnd w:id="18"/>
    </w:p>
    <w:tbl>
      <w:tblPr>
        <w:tblStyle w:val="TableGrid"/>
        <w:tblW w:w="0" w:type="auto"/>
        <w:tblInd w:w="393" w:type="dxa"/>
        <w:tblLook w:val="04A0" w:firstRow="1" w:lastRow="0" w:firstColumn="1" w:lastColumn="0" w:noHBand="0" w:noVBand="1"/>
      </w:tblPr>
      <w:tblGrid>
        <w:gridCol w:w="2738"/>
        <w:gridCol w:w="2738"/>
        <w:gridCol w:w="2739"/>
      </w:tblGrid>
      <w:tr w:rsidR="00BD5816" w:rsidTr="00BD5816">
        <w:trPr>
          <w:trHeight w:val="308"/>
        </w:trPr>
        <w:tc>
          <w:tcPr>
            <w:tcW w:w="2738" w:type="dxa"/>
            <w:tcBorders>
              <w:bottom w:val="single" w:sz="12" w:space="0" w:color="auto"/>
              <w:right w:val="single" w:sz="12" w:space="0" w:color="auto"/>
            </w:tcBorders>
          </w:tcPr>
          <w:p w:rsidR="00BD5816" w:rsidRDefault="00BD5816" w:rsidP="00BD5816">
            <w:pPr>
              <w:jc w:val="center"/>
            </w:pPr>
            <w:r>
              <w:t xml:space="preserve"> TTM</w:t>
            </w:r>
          </w:p>
        </w:tc>
        <w:tc>
          <w:tcPr>
            <w:tcW w:w="2738" w:type="dxa"/>
            <w:tcBorders>
              <w:top w:val="single" w:sz="12" w:space="0" w:color="auto"/>
              <w:left w:val="single" w:sz="12" w:space="0" w:color="auto"/>
              <w:bottom w:val="single" w:sz="12" w:space="0" w:color="auto"/>
            </w:tcBorders>
          </w:tcPr>
          <w:p w:rsidR="00BD5816" w:rsidRPr="00BD5816" w:rsidRDefault="00BD5816" w:rsidP="00CD2138">
            <w:pPr>
              <w:jc w:val="center"/>
              <w:rPr>
                <w:b/>
              </w:rPr>
            </w:pPr>
            <w:r w:rsidRPr="00BD5816">
              <w:rPr>
                <w:b/>
              </w:rPr>
              <w:t>HL</w:t>
            </w:r>
          </w:p>
        </w:tc>
        <w:tc>
          <w:tcPr>
            <w:tcW w:w="2739" w:type="dxa"/>
            <w:tcBorders>
              <w:top w:val="single" w:sz="12" w:space="0" w:color="auto"/>
              <w:bottom w:val="single" w:sz="12" w:space="0" w:color="auto"/>
              <w:right w:val="single" w:sz="12" w:space="0" w:color="auto"/>
            </w:tcBorders>
          </w:tcPr>
          <w:p w:rsidR="00BD5816" w:rsidRPr="00BD5816" w:rsidRDefault="00BD5816" w:rsidP="00CD2138">
            <w:pPr>
              <w:jc w:val="center"/>
              <w:rPr>
                <w:b/>
              </w:rPr>
            </w:pPr>
            <w:r w:rsidRPr="00BD5816">
              <w:rPr>
                <w:b/>
              </w:rPr>
              <w:t>Sector</w:t>
            </w:r>
          </w:p>
        </w:tc>
      </w:tr>
      <w:tr w:rsidR="00CD2138" w:rsidTr="00BD5816">
        <w:trPr>
          <w:trHeight w:val="308"/>
        </w:trPr>
        <w:tc>
          <w:tcPr>
            <w:tcW w:w="2738" w:type="dxa"/>
            <w:tcBorders>
              <w:top w:val="single" w:sz="12" w:space="0" w:color="auto"/>
              <w:left w:val="single" w:sz="12" w:space="0" w:color="auto"/>
              <w:right w:val="single" w:sz="12" w:space="0" w:color="auto"/>
            </w:tcBorders>
          </w:tcPr>
          <w:p w:rsidR="00CD2138" w:rsidRDefault="00CD2138" w:rsidP="000E4319">
            <w:r>
              <w:t>Revenue/Employee</w:t>
            </w:r>
          </w:p>
        </w:tc>
        <w:tc>
          <w:tcPr>
            <w:tcW w:w="2738" w:type="dxa"/>
            <w:tcBorders>
              <w:top w:val="single" w:sz="12" w:space="0" w:color="auto"/>
              <w:left w:val="single" w:sz="12" w:space="0" w:color="auto"/>
            </w:tcBorders>
          </w:tcPr>
          <w:p w:rsidR="00CD2138" w:rsidRDefault="00CD2138" w:rsidP="00CD2138">
            <w:pPr>
              <w:jc w:val="center"/>
            </w:pPr>
            <w:r>
              <w:t>£320,170</w:t>
            </w:r>
          </w:p>
        </w:tc>
        <w:tc>
          <w:tcPr>
            <w:tcW w:w="2739" w:type="dxa"/>
            <w:tcBorders>
              <w:top w:val="single" w:sz="12" w:space="0" w:color="auto"/>
              <w:right w:val="single" w:sz="12" w:space="0" w:color="auto"/>
            </w:tcBorders>
          </w:tcPr>
          <w:p w:rsidR="00CD2138" w:rsidRDefault="00CD2138" w:rsidP="00CD2138">
            <w:pPr>
              <w:jc w:val="center"/>
            </w:pPr>
            <w:r>
              <w:t>£1.05m</w:t>
            </w:r>
          </w:p>
        </w:tc>
      </w:tr>
      <w:tr w:rsidR="00CD2138" w:rsidTr="00BD5816">
        <w:trPr>
          <w:trHeight w:val="308"/>
        </w:trPr>
        <w:tc>
          <w:tcPr>
            <w:tcW w:w="2738" w:type="dxa"/>
            <w:tcBorders>
              <w:left w:val="single" w:sz="12" w:space="0" w:color="auto"/>
              <w:bottom w:val="single" w:sz="12" w:space="0" w:color="auto"/>
              <w:right w:val="single" w:sz="12" w:space="0" w:color="auto"/>
            </w:tcBorders>
          </w:tcPr>
          <w:p w:rsidR="00CD2138" w:rsidRDefault="00CD2138" w:rsidP="000E4319">
            <w:r>
              <w:t>Net Income/Employee</w:t>
            </w:r>
          </w:p>
        </w:tc>
        <w:tc>
          <w:tcPr>
            <w:tcW w:w="2738" w:type="dxa"/>
            <w:tcBorders>
              <w:left w:val="single" w:sz="12" w:space="0" w:color="auto"/>
              <w:bottom w:val="single" w:sz="12" w:space="0" w:color="auto"/>
            </w:tcBorders>
          </w:tcPr>
          <w:p w:rsidR="00CD2138" w:rsidRDefault="00CD2138" w:rsidP="00CD2138">
            <w:pPr>
              <w:jc w:val="center"/>
            </w:pPr>
            <w:r>
              <w:t>£169,310</w:t>
            </w:r>
          </w:p>
        </w:tc>
        <w:tc>
          <w:tcPr>
            <w:tcW w:w="2739" w:type="dxa"/>
            <w:tcBorders>
              <w:bottom w:val="single" w:sz="12" w:space="0" w:color="auto"/>
              <w:right w:val="single" w:sz="12" w:space="0" w:color="auto"/>
            </w:tcBorders>
          </w:tcPr>
          <w:p w:rsidR="00CD2138" w:rsidRDefault="00CD2138" w:rsidP="00CD2138">
            <w:pPr>
              <w:jc w:val="center"/>
            </w:pPr>
            <w:r>
              <w:t>£406,060</w:t>
            </w:r>
          </w:p>
        </w:tc>
      </w:tr>
    </w:tbl>
    <w:p w:rsidR="00CD2138" w:rsidRDefault="00CD2138" w:rsidP="000E4319"/>
    <w:p w:rsidR="004F663B" w:rsidRDefault="004F663B" w:rsidP="004F663B">
      <w:pPr>
        <w:pStyle w:val="Caption"/>
        <w:keepNext/>
      </w:pPr>
      <w:bookmarkStart w:id="19" w:name="_Toc535606005"/>
      <w:r>
        <w:t xml:space="preserve">Table </w:t>
      </w:r>
      <w:r>
        <w:fldChar w:fldCharType="begin"/>
      </w:r>
      <w:r>
        <w:instrText xml:space="preserve"> SEQ Table \* ARABIC </w:instrText>
      </w:r>
      <w:r>
        <w:fldChar w:fldCharType="separate"/>
      </w:r>
      <w:r w:rsidR="0020743A">
        <w:rPr>
          <w:noProof/>
        </w:rPr>
        <w:t>8</w:t>
      </w:r>
      <w:r>
        <w:fldChar w:fldCharType="end"/>
      </w:r>
      <w:r>
        <w:t xml:space="preserve"> - Efficiency Ratios HL</w:t>
      </w:r>
      <w:bookmarkEnd w:id="19"/>
    </w:p>
    <w:tbl>
      <w:tblPr>
        <w:tblW w:w="9052" w:type="dxa"/>
        <w:tblLook w:val="04A0" w:firstRow="1" w:lastRow="0" w:firstColumn="1" w:lastColumn="0" w:noHBand="0" w:noVBand="1"/>
      </w:tblPr>
      <w:tblGrid>
        <w:gridCol w:w="3002"/>
        <w:gridCol w:w="1210"/>
        <w:gridCol w:w="1210"/>
        <w:gridCol w:w="1210"/>
        <w:gridCol w:w="1210"/>
        <w:gridCol w:w="1210"/>
      </w:tblGrid>
      <w:tr w:rsidR="00BD5816" w:rsidRPr="00BD5816" w:rsidTr="00BD5816">
        <w:trPr>
          <w:trHeight w:val="240"/>
        </w:trPr>
        <w:tc>
          <w:tcPr>
            <w:tcW w:w="3002" w:type="dxa"/>
            <w:tcBorders>
              <w:top w:val="nil"/>
              <w:left w:val="nil"/>
              <w:bottom w:val="nil"/>
              <w:right w:val="nil"/>
            </w:tcBorders>
            <w:shd w:val="clear" w:color="auto" w:fill="auto"/>
            <w:noWrap/>
            <w:vAlign w:val="bottom"/>
            <w:hideMark/>
          </w:tcPr>
          <w:p w:rsidR="00BD5816" w:rsidRPr="00BD5816" w:rsidRDefault="00BD5816" w:rsidP="00BD5816">
            <w:pPr>
              <w:spacing w:after="0" w:line="240" w:lineRule="auto"/>
              <w:rPr>
                <w:rFonts w:ascii="Times New Roman" w:eastAsia="Times New Roman" w:hAnsi="Times New Roman" w:cs="Times New Roman"/>
                <w:sz w:val="24"/>
                <w:szCs w:val="24"/>
                <w:lang w:eastAsia="en-GB"/>
              </w:rPr>
            </w:pPr>
          </w:p>
        </w:tc>
        <w:tc>
          <w:tcPr>
            <w:tcW w:w="1210" w:type="dxa"/>
            <w:tcBorders>
              <w:top w:val="single" w:sz="8" w:space="0" w:color="auto"/>
              <w:left w:val="single" w:sz="8" w:space="0" w:color="auto"/>
              <w:bottom w:val="nil"/>
              <w:right w:val="single" w:sz="4" w:space="0" w:color="auto"/>
            </w:tcBorders>
            <w:shd w:val="clear" w:color="000000" w:fill="FFFFFF"/>
            <w:vAlign w:val="bottom"/>
            <w:hideMark/>
          </w:tcPr>
          <w:p w:rsidR="00BD5816" w:rsidRPr="00BD5816" w:rsidRDefault="00BD5816" w:rsidP="00BD5816">
            <w:pPr>
              <w:spacing w:after="0" w:line="240" w:lineRule="auto"/>
              <w:jc w:val="center"/>
              <w:rPr>
                <w:rFonts w:ascii="Calibri" w:eastAsia="Times New Roman" w:hAnsi="Calibri" w:cs="Calibri"/>
                <w:b/>
                <w:bCs/>
                <w:color w:val="000000"/>
                <w:lang w:eastAsia="en-GB"/>
              </w:rPr>
            </w:pPr>
            <w:r w:rsidRPr="00BD5816">
              <w:rPr>
                <w:rFonts w:ascii="Calibri" w:eastAsia="Times New Roman" w:hAnsi="Calibri" w:cs="Calibri"/>
                <w:b/>
                <w:bCs/>
                <w:color w:val="000000"/>
                <w:lang w:eastAsia="en-GB"/>
              </w:rPr>
              <w:t>2014</w:t>
            </w:r>
          </w:p>
        </w:tc>
        <w:tc>
          <w:tcPr>
            <w:tcW w:w="1210" w:type="dxa"/>
            <w:tcBorders>
              <w:top w:val="single" w:sz="8" w:space="0" w:color="auto"/>
              <w:left w:val="nil"/>
              <w:bottom w:val="nil"/>
              <w:right w:val="single" w:sz="4" w:space="0" w:color="auto"/>
            </w:tcBorders>
            <w:shd w:val="clear" w:color="000000" w:fill="FFFFFF"/>
            <w:vAlign w:val="bottom"/>
            <w:hideMark/>
          </w:tcPr>
          <w:p w:rsidR="00BD5816" w:rsidRPr="00BD5816" w:rsidRDefault="00BD5816" w:rsidP="00BD5816">
            <w:pPr>
              <w:spacing w:after="0" w:line="240" w:lineRule="auto"/>
              <w:jc w:val="center"/>
              <w:rPr>
                <w:rFonts w:ascii="Calibri" w:eastAsia="Times New Roman" w:hAnsi="Calibri" w:cs="Calibri"/>
                <w:b/>
                <w:bCs/>
                <w:color w:val="000000"/>
                <w:lang w:eastAsia="en-GB"/>
              </w:rPr>
            </w:pPr>
            <w:r w:rsidRPr="00BD5816">
              <w:rPr>
                <w:rFonts w:ascii="Calibri" w:eastAsia="Times New Roman" w:hAnsi="Calibri" w:cs="Calibri"/>
                <w:b/>
                <w:bCs/>
                <w:color w:val="000000"/>
                <w:lang w:eastAsia="en-GB"/>
              </w:rPr>
              <w:t>2015</w:t>
            </w:r>
          </w:p>
        </w:tc>
        <w:tc>
          <w:tcPr>
            <w:tcW w:w="1210" w:type="dxa"/>
            <w:tcBorders>
              <w:top w:val="single" w:sz="8" w:space="0" w:color="auto"/>
              <w:left w:val="nil"/>
              <w:bottom w:val="nil"/>
              <w:right w:val="single" w:sz="4" w:space="0" w:color="auto"/>
            </w:tcBorders>
            <w:shd w:val="clear" w:color="000000" w:fill="FFFFFF"/>
            <w:vAlign w:val="bottom"/>
            <w:hideMark/>
          </w:tcPr>
          <w:p w:rsidR="00BD5816" w:rsidRPr="00BD5816" w:rsidRDefault="00BD5816" w:rsidP="00BD5816">
            <w:pPr>
              <w:spacing w:after="0" w:line="240" w:lineRule="auto"/>
              <w:jc w:val="center"/>
              <w:rPr>
                <w:rFonts w:ascii="Calibri" w:eastAsia="Times New Roman" w:hAnsi="Calibri" w:cs="Calibri"/>
                <w:b/>
                <w:bCs/>
                <w:color w:val="000000"/>
                <w:lang w:eastAsia="en-GB"/>
              </w:rPr>
            </w:pPr>
            <w:r w:rsidRPr="00BD5816">
              <w:rPr>
                <w:rFonts w:ascii="Calibri" w:eastAsia="Times New Roman" w:hAnsi="Calibri" w:cs="Calibri"/>
                <w:b/>
                <w:bCs/>
                <w:color w:val="000000"/>
                <w:lang w:eastAsia="en-GB"/>
              </w:rPr>
              <w:t>2016</w:t>
            </w:r>
          </w:p>
        </w:tc>
        <w:tc>
          <w:tcPr>
            <w:tcW w:w="1210" w:type="dxa"/>
            <w:tcBorders>
              <w:top w:val="single" w:sz="8" w:space="0" w:color="auto"/>
              <w:left w:val="nil"/>
              <w:bottom w:val="nil"/>
              <w:right w:val="single" w:sz="4" w:space="0" w:color="auto"/>
            </w:tcBorders>
            <w:shd w:val="clear" w:color="000000" w:fill="FFFFFF"/>
            <w:vAlign w:val="bottom"/>
            <w:hideMark/>
          </w:tcPr>
          <w:p w:rsidR="00BD5816" w:rsidRPr="00BD5816" w:rsidRDefault="00BD5816" w:rsidP="00BD5816">
            <w:pPr>
              <w:spacing w:after="0" w:line="240" w:lineRule="auto"/>
              <w:jc w:val="center"/>
              <w:rPr>
                <w:rFonts w:ascii="Calibri" w:eastAsia="Times New Roman" w:hAnsi="Calibri" w:cs="Calibri"/>
                <w:b/>
                <w:bCs/>
                <w:color w:val="000000"/>
                <w:lang w:eastAsia="en-GB"/>
              </w:rPr>
            </w:pPr>
            <w:r w:rsidRPr="00BD5816">
              <w:rPr>
                <w:rFonts w:ascii="Calibri" w:eastAsia="Times New Roman" w:hAnsi="Calibri" w:cs="Calibri"/>
                <w:b/>
                <w:bCs/>
                <w:color w:val="000000"/>
                <w:lang w:eastAsia="en-GB"/>
              </w:rPr>
              <w:t>2017</w:t>
            </w:r>
          </w:p>
        </w:tc>
        <w:tc>
          <w:tcPr>
            <w:tcW w:w="1210" w:type="dxa"/>
            <w:tcBorders>
              <w:top w:val="single" w:sz="8" w:space="0" w:color="auto"/>
              <w:left w:val="nil"/>
              <w:bottom w:val="nil"/>
              <w:right w:val="single" w:sz="8" w:space="0" w:color="auto"/>
            </w:tcBorders>
            <w:shd w:val="clear" w:color="000000" w:fill="FFFFFF"/>
            <w:vAlign w:val="bottom"/>
            <w:hideMark/>
          </w:tcPr>
          <w:p w:rsidR="00BD5816" w:rsidRPr="00BD5816" w:rsidRDefault="00BD5816" w:rsidP="00BD5816">
            <w:pPr>
              <w:spacing w:after="0" w:line="240" w:lineRule="auto"/>
              <w:jc w:val="center"/>
              <w:rPr>
                <w:rFonts w:ascii="Calibri" w:eastAsia="Times New Roman" w:hAnsi="Calibri" w:cs="Calibri"/>
                <w:b/>
                <w:bCs/>
                <w:color w:val="000000"/>
                <w:lang w:eastAsia="en-GB"/>
              </w:rPr>
            </w:pPr>
            <w:r w:rsidRPr="00BD5816">
              <w:rPr>
                <w:rFonts w:ascii="Calibri" w:eastAsia="Times New Roman" w:hAnsi="Calibri" w:cs="Calibri"/>
                <w:b/>
                <w:bCs/>
                <w:color w:val="000000"/>
                <w:lang w:eastAsia="en-GB"/>
              </w:rPr>
              <w:t>2018</w:t>
            </w:r>
          </w:p>
        </w:tc>
      </w:tr>
      <w:tr w:rsidR="00BD5816" w:rsidRPr="00BD5816" w:rsidTr="00BD5816">
        <w:trPr>
          <w:trHeight w:val="232"/>
        </w:trPr>
        <w:tc>
          <w:tcPr>
            <w:tcW w:w="3002" w:type="dxa"/>
            <w:tcBorders>
              <w:top w:val="single" w:sz="8" w:space="0" w:color="auto"/>
              <w:left w:val="single" w:sz="8" w:space="0" w:color="auto"/>
              <w:bottom w:val="single" w:sz="4" w:space="0" w:color="auto"/>
              <w:right w:val="nil"/>
            </w:tcBorders>
            <w:shd w:val="clear" w:color="auto" w:fill="auto"/>
            <w:noWrap/>
            <w:vAlign w:val="bottom"/>
            <w:hideMark/>
          </w:tcPr>
          <w:p w:rsidR="00BD5816" w:rsidRPr="00BD5816" w:rsidRDefault="00BD5816" w:rsidP="00BD5816">
            <w:pPr>
              <w:spacing w:after="0" w:line="240" w:lineRule="auto"/>
              <w:rPr>
                <w:rFonts w:ascii="Calibri" w:eastAsia="Times New Roman" w:hAnsi="Calibri" w:cs="Calibri"/>
                <w:color w:val="000000"/>
                <w:lang w:eastAsia="en-GB"/>
              </w:rPr>
            </w:pPr>
            <w:r w:rsidRPr="00BD5816">
              <w:rPr>
                <w:rFonts w:ascii="Calibri" w:eastAsia="Times New Roman" w:hAnsi="Calibri" w:cs="Calibri"/>
                <w:color w:val="000000"/>
                <w:lang w:eastAsia="en-GB"/>
              </w:rPr>
              <w:t>Revenue (£m)</w:t>
            </w:r>
          </w:p>
        </w:tc>
        <w:tc>
          <w:tcPr>
            <w:tcW w:w="121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358.39</w:t>
            </w:r>
          </w:p>
        </w:tc>
        <w:tc>
          <w:tcPr>
            <w:tcW w:w="1210" w:type="dxa"/>
            <w:tcBorders>
              <w:top w:val="single" w:sz="8" w:space="0" w:color="auto"/>
              <w:left w:val="nil"/>
              <w:bottom w:val="single" w:sz="4"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395.14</w:t>
            </w:r>
          </w:p>
        </w:tc>
        <w:tc>
          <w:tcPr>
            <w:tcW w:w="1210" w:type="dxa"/>
            <w:tcBorders>
              <w:top w:val="single" w:sz="8" w:space="0" w:color="auto"/>
              <w:left w:val="nil"/>
              <w:bottom w:val="single" w:sz="4"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388.33</w:t>
            </w:r>
          </w:p>
        </w:tc>
        <w:tc>
          <w:tcPr>
            <w:tcW w:w="1210" w:type="dxa"/>
            <w:tcBorders>
              <w:top w:val="single" w:sz="8" w:space="0" w:color="auto"/>
              <w:left w:val="nil"/>
              <w:bottom w:val="single" w:sz="4"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385.70</w:t>
            </w:r>
          </w:p>
        </w:tc>
        <w:tc>
          <w:tcPr>
            <w:tcW w:w="1210" w:type="dxa"/>
            <w:tcBorders>
              <w:top w:val="single" w:sz="8" w:space="0" w:color="auto"/>
              <w:left w:val="nil"/>
              <w:bottom w:val="single" w:sz="4" w:space="0" w:color="auto"/>
              <w:right w:val="single" w:sz="8"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447.60</w:t>
            </w:r>
          </w:p>
        </w:tc>
      </w:tr>
      <w:tr w:rsidR="00BD5816" w:rsidRPr="00BD5816" w:rsidTr="00BD5816">
        <w:trPr>
          <w:trHeight w:val="240"/>
        </w:trPr>
        <w:tc>
          <w:tcPr>
            <w:tcW w:w="3002" w:type="dxa"/>
            <w:tcBorders>
              <w:top w:val="nil"/>
              <w:left w:val="single" w:sz="8" w:space="0" w:color="auto"/>
              <w:bottom w:val="single" w:sz="4" w:space="0" w:color="auto"/>
              <w:right w:val="nil"/>
            </w:tcBorders>
            <w:shd w:val="clear" w:color="auto" w:fill="auto"/>
            <w:noWrap/>
            <w:vAlign w:val="bottom"/>
            <w:hideMark/>
          </w:tcPr>
          <w:p w:rsidR="00BD5816" w:rsidRPr="00BD5816" w:rsidRDefault="00BD5816" w:rsidP="00BD5816">
            <w:pPr>
              <w:spacing w:after="0" w:line="240" w:lineRule="auto"/>
              <w:rPr>
                <w:rFonts w:ascii="Calibri" w:eastAsia="Times New Roman" w:hAnsi="Calibri" w:cs="Calibri"/>
                <w:color w:val="000000"/>
                <w:lang w:eastAsia="en-GB"/>
              </w:rPr>
            </w:pPr>
            <w:r w:rsidRPr="00BD5816">
              <w:rPr>
                <w:rFonts w:ascii="Calibri" w:eastAsia="Times New Roman" w:hAnsi="Calibri" w:cs="Calibri"/>
                <w:color w:val="000000"/>
                <w:lang w:eastAsia="en-GB"/>
              </w:rPr>
              <w:t>Employees</w:t>
            </w:r>
          </w:p>
        </w:tc>
        <w:tc>
          <w:tcPr>
            <w:tcW w:w="1210" w:type="dxa"/>
            <w:tcBorders>
              <w:top w:val="nil"/>
              <w:left w:val="single" w:sz="8" w:space="0" w:color="auto"/>
              <w:bottom w:val="single" w:sz="4"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844</w:t>
            </w:r>
          </w:p>
        </w:tc>
        <w:tc>
          <w:tcPr>
            <w:tcW w:w="1210" w:type="dxa"/>
            <w:tcBorders>
              <w:top w:val="nil"/>
              <w:left w:val="nil"/>
              <w:bottom w:val="single" w:sz="4"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970</w:t>
            </w:r>
          </w:p>
        </w:tc>
        <w:tc>
          <w:tcPr>
            <w:tcW w:w="1210" w:type="dxa"/>
            <w:tcBorders>
              <w:top w:val="nil"/>
              <w:left w:val="nil"/>
              <w:bottom w:val="single" w:sz="4"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1043</w:t>
            </w:r>
          </w:p>
        </w:tc>
        <w:tc>
          <w:tcPr>
            <w:tcW w:w="1210" w:type="dxa"/>
            <w:tcBorders>
              <w:top w:val="nil"/>
              <w:left w:val="nil"/>
              <w:bottom w:val="single" w:sz="4"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1185</w:t>
            </w:r>
          </w:p>
        </w:tc>
        <w:tc>
          <w:tcPr>
            <w:tcW w:w="1210" w:type="dxa"/>
            <w:tcBorders>
              <w:top w:val="nil"/>
              <w:left w:val="nil"/>
              <w:bottom w:val="single" w:sz="4" w:space="0" w:color="auto"/>
              <w:right w:val="single" w:sz="8"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1398</w:t>
            </w:r>
          </w:p>
        </w:tc>
      </w:tr>
      <w:tr w:rsidR="00BD5816" w:rsidRPr="00BD5816" w:rsidTr="00BD5816">
        <w:trPr>
          <w:trHeight w:val="240"/>
        </w:trPr>
        <w:tc>
          <w:tcPr>
            <w:tcW w:w="3002" w:type="dxa"/>
            <w:tcBorders>
              <w:top w:val="nil"/>
              <w:left w:val="single" w:sz="8" w:space="0" w:color="auto"/>
              <w:bottom w:val="single" w:sz="8" w:space="0" w:color="auto"/>
              <w:right w:val="nil"/>
            </w:tcBorders>
            <w:shd w:val="clear" w:color="auto" w:fill="auto"/>
            <w:noWrap/>
            <w:vAlign w:val="bottom"/>
            <w:hideMark/>
          </w:tcPr>
          <w:p w:rsidR="00BD5816" w:rsidRPr="00BD5816" w:rsidRDefault="00BD5816" w:rsidP="00BD5816">
            <w:pPr>
              <w:spacing w:after="0" w:line="240" w:lineRule="auto"/>
              <w:rPr>
                <w:rFonts w:ascii="Calibri" w:eastAsia="Times New Roman" w:hAnsi="Calibri" w:cs="Calibri"/>
                <w:color w:val="000000"/>
                <w:lang w:eastAsia="en-GB"/>
              </w:rPr>
            </w:pPr>
            <w:r w:rsidRPr="00BD5816">
              <w:rPr>
                <w:rFonts w:ascii="Calibri" w:eastAsia="Times New Roman" w:hAnsi="Calibri" w:cs="Calibri"/>
                <w:color w:val="000000"/>
                <w:lang w:eastAsia="en-GB"/>
              </w:rPr>
              <w:t>Revenue/Employee (£m)</w:t>
            </w:r>
          </w:p>
        </w:tc>
        <w:tc>
          <w:tcPr>
            <w:tcW w:w="1210" w:type="dxa"/>
            <w:tcBorders>
              <w:top w:val="nil"/>
              <w:left w:val="single" w:sz="8" w:space="0" w:color="auto"/>
              <w:bottom w:val="single" w:sz="8"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0.425</w:t>
            </w:r>
          </w:p>
        </w:tc>
        <w:tc>
          <w:tcPr>
            <w:tcW w:w="1210" w:type="dxa"/>
            <w:tcBorders>
              <w:top w:val="nil"/>
              <w:left w:val="nil"/>
              <w:bottom w:val="single" w:sz="8"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0.407</w:t>
            </w:r>
          </w:p>
        </w:tc>
        <w:tc>
          <w:tcPr>
            <w:tcW w:w="1210" w:type="dxa"/>
            <w:tcBorders>
              <w:top w:val="nil"/>
              <w:left w:val="nil"/>
              <w:bottom w:val="single" w:sz="8"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0.372</w:t>
            </w:r>
          </w:p>
        </w:tc>
        <w:tc>
          <w:tcPr>
            <w:tcW w:w="1210" w:type="dxa"/>
            <w:tcBorders>
              <w:top w:val="nil"/>
              <w:left w:val="nil"/>
              <w:bottom w:val="single" w:sz="8" w:space="0" w:color="auto"/>
              <w:right w:val="single" w:sz="4"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0.325</w:t>
            </w:r>
          </w:p>
        </w:tc>
        <w:tc>
          <w:tcPr>
            <w:tcW w:w="1210" w:type="dxa"/>
            <w:tcBorders>
              <w:top w:val="nil"/>
              <w:left w:val="nil"/>
              <w:bottom w:val="single" w:sz="8" w:space="0" w:color="auto"/>
              <w:right w:val="single" w:sz="8" w:space="0" w:color="auto"/>
            </w:tcBorders>
            <w:shd w:val="clear" w:color="auto" w:fill="auto"/>
            <w:noWrap/>
            <w:vAlign w:val="bottom"/>
            <w:hideMark/>
          </w:tcPr>
          <w:p w:rsidR="00BD5816" w:rsidRPr="00BD5816" w:rsidRDefault="00BD5816" w:rsidP="00BD5816">
            <w:pPr>
              <w:spacing w:after="0" w:line="240" w:lineRule="auto"/>
              <w:jc w:val="center"/>
              <w:rPr>
                <w:rFonts w:ascii="Calibri" w:eastAsia="Times New Roman" w:hAnsi="Calibri" w:cs="Calibri"/>
                <w:color w:val="000000"/>
                <w:lang w:eastAsia="en-GB"/>
              </w:rPr>
            </w:pPr>
            <w:r w:rsidRPr="00BD5816">
              <w:rPr>
                <w:rFonts w:ascii="Calibri" w:eastAsia="Times New Roman" w:hAnsi="Calibri" w:cs="Calibri"/>
                <w:color w:val="000000"/>
                <w:lang w:eastAsia="en-GB"/>
              </w:rPr>
              <w:t>0.320</w:t>
            </w:r>
          </w:p>
        </w:tc>
      </w:tr>
    </w:tbl>
    <w:p w:rsidR="00A716A4" w:rsidRDefault="00A716A4" w:rsidP="00260F47">
      <w:pPr>
        <w:pStyle w:val="Heading3"/>
      </w:pPr>
      <w:bookmarkStart w:id="20" w:name="_Toc535606300"/>
      <w:r>
        <w:t>Investor Ratios</w:t>
      </w:r>
      <w:bookmarkEnd w:id="20"/>
    </w:p>
    <w:p w:rsidR="00A716A4" w:rsidRPr="00A716A4" w:rsidRDefault="00024550" w:rsidP="00A716A4">
      <w:r>
        <w:t>For some investors, d</w:t>
      </w:r>
      <w:r w:rsidR="00651DD2">
        <w:t>ividend</w:t>
      </w:r>
      <w:r>
        <w:t xml:space="preserve">s can represent somewhat of a double-edged sword; on the one hand there is the return of a small </w:t>
      </w:r>
      <w:proofErr w:type="spellStart"/>
      <w:r>
        <w:t>payout</w:t>
      </w:r>
      <w:proofErr w:type="spellEnd"/>
      <w:r>
        <w:t xml:space="preserve"> as a result of investments, however this is financed from the profits of a company and is therefore not available for reinvestment which could potentially add value to the business and increase the return price on shares </w:t>
      </w:r>
      <w:sdt>
        <w:sdtPr>
          <w:id w:val="-1420013965"/>
          <w:citation/>
        </w:sdtPr>
        <w:sdtContent>
          <w:r>
            <w:fldChar w:fldCharType="begin"/>
          </w:r>
          <w:r>
            <w:instrText xml:space="preserve"> CITATION Atr09 \l 2057 </w:instrText>
          </w:r>
          <w:r>
            <w:fldChar w:fldCharType="separate"/>
          </w:r>
          <w:r w:rsidR="00A90D87" w:rsidRPr="00A90D87">
            <w:rPr>
              <w:noProof/>
            </w:rPr>
            <w:t>(Atrill, 2009)</w:t>
          </w:r>
          <w:r>
            <w:fldChar w:fldCharType="end"/>
          </w:r>
        </w:sdtContent>
      </w:sdt>
      <w:r>
        <w:t xml:space="preserve">, </w:t>
      </w:r>
      <w:sdt>
        <w:sdtPr>
          <w:id w:val="285320412"/>
          <w:citation/>
        </w:sdtPr>
        <w:sdtContent>
          <w:r>
            <w:fldChar w:fldCharType="begin"/>
          </w:r>
          <w:r>
            <w:instrText xml:space="preserve"> CITATION Inv181 \l 2057 </w:instrText>
          </w:r>
          <w:r>
            <w:fldChar w:fldCharType="separate"/>
          </w:r>
          <w:r w:rsidR="00A90D87" w:rsidRPr="00A90D87">
            <w:rPr>
              <w:noProof/>
            </w:rPr>
            <w:t>(Investopedia, 2018)</w:t>
          </w:r>
          <w:r>
            <w:fldChar w:fldCharType="end"/>
          </w:r>
        </w:sdtContent>
      </w:sdt>
      <w:r>
        <w:t>.</w:t>
      </w:r>
    </w:p>
    <w:p w:rsidR="007D0F07" w:rsidRDefault="007D0F07" w:rsidP="007D0F07">
      <w:pPr>
        <w:pStyle w:val="Heading4"/>
      </w:pPr>
      <w:r>
        <w:t>Earnings per Share (EPS)</w:t>
      </w:r>
    </w:p>
    <w:p w:rsidR="00C5636F" w:rsidRDefault="007D0F07" w:rsidP="007D0F07">
      <w:r>
        <w:t xml:space="preserve">EPS is considered as a key measure of a share’s performance. It describes the investment potential of a business when viewed over time </w:t>
      </w:r>
      <w:sdt>
        <w:sdtPr>
          <w:id w:val="-967281782"/>
          <w:citation/>
        </w:sdtPr>
        <w:sdtContent>
          <w:r>
            <w:fldChar w:fldCharType="begin"/>
          </w:r>
          <w:r>
            <w:instrText xml:space="preserve"> CITATION Atr09 \l 2057 </w:instrText>
          </w:r>
          <w:r>
            <w:fldChar w:fldCharType="separate"/>
          </w:r>
          <w:r w:rsidR="00A90D87" w:rsidRPr="00A90D87">
            <w:rPr>
              <w:noProof/>
            </w:rPr>
            <w:t>(Atrill, 2009)</w:t>
          </w:r>
          <w:r>
            <w:fldChar w:fldCharType="end"/>
          </w:r>
        </w:sdtContent>
      </w:sdt>
      <w:r>
        <w:t>.</w:t>
      </w:r>
      <w:r w:rsidR="00D04959">
        <w:t xml:space="preserve"> Year on year performance shows 19.5% growth between ‘16/17, and 11.19% ‘17/18, with overall growth of </w:t>
      </w:r>
      <w:r w:rsidR="00C5636F">
        <w:t>44</w:t>
      </w:r>
      <w:r w:rsidR="00D04959">
        <w:t>.</w:t>
      </w:r>
      <w:r w:rsidR="00C5636F">
        <w:t>06</w:t>
      </w:r>
      <w:r w:rsidR="00D04959">
        <w:t>%</w:t>
      </w:r>
      <w:r w:rsidR="00C5636F">
        <w:t xml:space="preserve"> since 2014. </w:t>
      </w:r>
      <w:r w:rsidR="00BB60A0">
        <w:t xml:space="preserve">Growth at this level is considered strong performance and will give </w:t>
      </w:r>
      <w:proofErr w:type="spellStart"/>
      <w:r w:rsidR="00BB60A0">
        <w:t>investors</w:t>
      </w:r>
      <w:proofErr w:type="spellEnd"/>
      <w:r w:rsidR="00BB60A0">
        <w:t xml:space="preserve"> confidence in the future earning power of HL.</w:t>
      </w:r>
    </w:p>
    <w:p w:rsidR="00C5636F" w:rsidRDefault="00C5636F" w:rsidP="00C5636F">
      <w:pPr>
        <w:pStyle w:val="Heading4"/>
      </w:pPr>
      <w:r>
        <w:t>Price/Earnings Ratio</w:t>
      </w:r>
    </w:p>
    <w:p w:rsidR="007D0F07" w:rsidRDefault="00C5636F" w:rsidP="007D0F07">
      <w:r>
        <w:t xml:space="preserve">Analysis of the continued strength of HL P/E ratio seems to indicate that investors share the board’s confidence in the </w:t>
      </w:r>
      <w:proofErr w:type="gramStart"/>
      <w:r>
        <w:t>future prospects</w:t>
      </w:r>
      <w:proofErr w:type="gramEnd"/>
      <w:r>
        <w:t xml:space="preserve"> of HL. Comparing HL performance with FTSE 100 listed companies, HL ranks in at number 7 for companies listing P/E </w:t>
      </w:r>
      <w:proofErr w:type="gramStart"/>
      <w:r>
        <w:t>ratios, and</w:t>
      </w:r>
      <w:proofErr w:type="gramEnd"/>
      <w:r>
        <w:t xml:space="preserve"> is broadly in line with</w:t>
      </w:r>
      <w:r w:rsidR="00BB60A0">
        <w:t xml:space="preserve"> competitors in the financial sector </w:t>
      </w:r>
      <w:sdt>
        <w:sdtPr>
          <w:id w:val="1289320397"/>
          <w:citation/>
        </w:sdtPr>
        <w:sdtContent>
          <w:r w:rsidR="00BB60A0">
            <w:fldChar w:fldCharType="begin"/>
          </w:r>
          <w:r w:rsidR="00BB60A0">
            <w:instrText xml:space="preserve"> CITATION LSE19 \l 2057 </w:instrText>
          </w:r>
          <w:r w:rsidR="00BB60A0">
            <w:fldChar w:fldCharType="separate"/>
          </w:r>
          <w:r w:rsidR="00A90D87" w:rsidRPr="00A90D87">
            <w:rPr>
              <w:noProof/>
            </w:rPr>
            <w:t>(LSE, 2019)</w:t>
          </w:r>
          <w:r w:rsidR="00BB60A0">
            <w:fldChar w:fldCharType="end"/>
          </w:r>
        </w:sdtContent>
      </w:sdt>
      <w:r w:rsidR="00BB60A0">
        <w:t>.</w:t>
      </w:r>
    </w:p>
    <w:p w:rsidR="004F663B" w:rsidRDefault="004F663B" w:rsidP="004F663B">
      <w:pPr>
        <w:pStyle w:val="Caption"/>
        <w:keepNext/>
      </w:pPr>
      <w:bookmarkStart w:id="21" w:name="_Toc535606006"/>
      <w:r>
        <w:t xml:space="preserve">Table </w:t>
      </w:r>
      <w:r>
        <w:fldChar w:fldCharType="begin"/>
      </w:r>
      <w:r>
        <w:instrText xml:space="preserve"> SEQ Table \* ARABIC </w:instrText>
      </w:r>
      <w:r>
        <w:fldChar w:fldCharType="separate"/>
      </w:r>
      <w:r w:rsidR="0020743A">
        <w:rPr>
          <w:noProof/>
        </w:rPr>
        <w:t>9</w:t>
      </w:r>
      <w:r>
        <w:fldChar w:fldCharType="end"/>
      </w:r>
      <w:r>
        <w:t xml:space="preserve"> - HL Investor Ratios</w:t>
      </w:r>
      <w:bookmarkEnd w:id="21"/>
    </w:p>
    <w:tbl>
      <w:tblPr>
        <w:tblW w:w="8799" w:type="dxa"/>
        <w:tblLook w:val="04A0" w:firstRow="1" w:lastRow="0" w:firstColumn="1" w:lastColumn="0" w:noHBand="0" w:noVBand="1"/>
      </w:tblPr>
      <w:tblGrid>
        <w:gridCol w:w="2919"/>
        <w:gridCol w:w="1176"/>
        <w:gridCol w:w="1176"/>
        <w:gridCol w:w="1176"/>
        <w:gridCol w:w="1176"/>
        <w:gridCol w:w="1176"/>
      </w:tblGrid>
      <w:tr w:rsidR="00C5636F" w:rsidRPr="00C5636F" w:rsidTr="00C5636F">
        <w:trPr>
          <w:trHeight w:val="293"/>
        </w:trPr>
        <w:tc>
          <w:tcPr>
            <w:tcW w:w="2919" w:type="dxa"/>
            <w:tcBorders>
              <w:top w:val="nil"/>
              <w:left w:val="nil"/>
              <w:bottom w:val="nil"/>
              <w:right w:val="nil"/>
            </w:tcBorders>
            <w:shd w:val="clear" w:color="auto" w:fill="auto"/>
            <w:noWrap/>
            <w:vAlign w:val="bottom"/>
            <w:hideMark/>
          </w:tcPr>
          <w:p w:rsidR="00C5636F" w:rsidRPr="00C5636F" w:rsidRDefault="00C5636F" w:rsidP="00C5636F">
            <w:pPr>
              <w:spacing w:after="0" w:line="240" w:lineRule="auto"/>
              <w:rPr>
                <w:rFonts w:ascii="Times New Roman" w:eastAsia="Times New Roman" w:hAnsi="Times New Roman" w:cs="Times New Roman"/>
                <w:sz w:val="24"/>
                <w:szCs w:val="24"/>
                <w:lang w:eastAsia="en-GB"/>
              </w:rPr>
            </w:pPr>
          </w:p>
        </w:tc>
        <w:tc>
          <w:tcPr>
            <w:tcW w:w="1176" w:type="dxa"/>
            <w:tcBorders>
              <w:top w:val="single" w:sz="8" w:space="0" w:color="auto"/>
              <w:left w:val="single" w:sz="8" w:space="0" w:color="auto"/>
              <w:bottom w:val="nil"/>
              <w:right w:val="single" w:sz="4" w:space="0" w:color="auto"/>
            </w:tcBorders>
            <w:shd w:val="clear" w:color="000000" w:fill="FFFFFF"/>
            <w:vAlign w:val="bottom"/>
            <w:hideMark/>
          </w:tcPr>
          <w:p w:rsidR="00C5636F" w:rsidRPr="00C5636F" w:rsidRDefault="00C5636F" w:rsidP="00C5636F">
            <w:pPr>
              <w:spacing w:after="0" w:line="240" w:lineRule="auto"/>
              <w:jc w:val="center"/>
              <w:rPr>
                <w:rFonts w:ascii="Calibri" w:eastAsia="Times New Roman" w:hAnsi="Calibri" w:cs="Calibri"/>
                <w:b/>
                <w:bCs/>
                <w:color w:val="000000"/>
                <w:lang w:eastAsia="en-GB"/>
              </w:rPr>
            </w:pPr>
            <w:r w:rsidRPr="00C5636F">
              <w:rPr>
                <w:rFonts w:ascii="Calibri" w:eastAsia="Times New Roman" w:hAnsi="Calibri" w:cs="Calibri"/>
                <w:b/>
                <w:bCs/>
                <w:color w:val="000000"/>
                <w:lang w:eastAsia="en-GB"/>
              </w:rPr>
              <w:t>2014</w:t>
            </w:r>
          </w:p>
        </w:tc>
        <w:tc>
          <w:tcPr>
            <w:tcW w:w="1176" w:type="dxa"/>
            <w:tcBorders>
              <w:top w:val="single" w:sz="8" w:space="0" w:color="auto"/>
              <w:left w:val="nil"/>
              <w:bottom w:val="nil"/>
              <w:right w:val="single" w:sz="4" w:space="0" w:color="auto"/>
            </w:tcBorders>
            <w:shd w:val="clear" w:color="000000" w:fill="FFFFFF"/>
            <w:vAlign w:val="bottom"/>
            <w:hideMark/>
          </w:tcPr>
          <w:p w:rsidR="00C5636F" w:rsidRPr="00C5636F" w:rsidRDefault="00C5636F" w:rsidP="00C5636F">
            <w:pPr>
              <w:spacing w:after="0" w:line="240" w:lineRule="auto"/>
              <w:jc w:val="center"/>
              <w:rPr>
                <w:rFonts w:ascii="Calibri" w:eastAsia="Times New Roman" w:hAnsi="Calibri" w:cs="Calibri"/>
                <w:b/>
                <w:bCs/>
                <w:color w:val="000000"/>
                <w:lang w:eastAsia="en-GB"/>
              </w:rPr>
            </w:pPr>
            <w:r w:rsidRPr="00C5636F">
              <w:rPr>
                <w:rFonts w:ascii="Calibri" w:eastAsia="Times New Roman" w:hAnsi="Calibri" w:cs="Calibri"/>
                <w:b/>
                <w:bCs/>
                <w:color w:val="000000"/>
                <w:lang w:eastAsia="en-GB"/>
              </w:rPr>
              <w:t>2015</w:t>
            </w:r>
          </w:p>
        </w:tc>
        <w:tc>
          <w:tcPr>
            <w:tcW w:w="1176" w:type="dxa"/>
            <w:tcBorders>
              <w:top w:val="single" w:sz="8" w:space="0" w:color="auto"/>
              <w:left w:val="nil"/>
              <w:bottom w:val="nil"/>
              <w:right w:val="single" w:sz="4" w:space="0" w:color="auto"/>
            </w:tcBorders>
            <w:shd w:val="clear" w:color="000000" w:fill="FFFFFF"/>
            <w:vAlign w:val="bottom"/>
            <w:hideMark/>
          </w:tcPr>
          <w:p w:rsidR="00C5636F" w:rsidRPr="00C5636F" w:rsidRDefault="00C5636F" w:rsidP="00C5636F">
            <w:pPr>
              <w:spacing w:after="0" w:line="240" w:lineRule="auto"/>
              <w:jc w:val="center"/>
              <w:rPr>
                <w:rFonts w:ascii="Calibri" w:eastAsia="Times New Roman" w:hAnsi="Calibri" w:cs="Calibri"/>
                <w:b/>
                <w:bCs/>
                <w:color w:val="000000"/>
                <w:lang w:eastAsia="en-GB"/>
              </w:rPr>
            </w:pPr>
            <w:r w:rsidRPr="00C5636F">
              <w:rPr>
                <w:rFonts w:ascii="Calibri" w:eastAsia="Times New Roman" w:hAnsi="Calibri" w:cs="Calibri"/>
                <w:b/>
                <w:bCs/>
                <w:color w:val="000000"/>
                <w:lang w:eastAsia="en-GB"/>
              </w:rPr>
              <w:t>2016</w:t>
            </w:r>
          </w:p>
        </w:tc>
        <w:tc>
          <w:tcPr>
            <w:tcW w:w="1176" w:type="dxa"/>
            <w:tcBorders>
              <w:top w:val="single" w:sz="8" w:space="0" w:color="auto"/>
              <w:left w:val="nil"/>
              <w:bottom w:val="nil"/>
              <w:right w:val="single" w:sz="4" w:space="0" w:color="auto"/>
            </w:tcBorders>
            <w:shd w:val="clear" w:color="000000" w:fill="FFFFFF"/>
            <w:vAlign w:val="bottom"/>
            <w:hideMark/>
          </w:tcPr>
          <w:p w:rsidR="00C5636F" w:rsidRPr="00C5636F" w:rsidRDefault="00C5636F" w:rsidP="00C5636F">
            <w:pPr>
              <w:spacing w:after="0" w:line="240" w:lineRule="auto"/>
              <w:jc w:val="center"/>
              <w:rPr>
                <w:rFonts w:ascii="Calibri" w:eastAsia="Times New Roman" w:hAnsi="Calibri" w:cs="Calibri"/>
                <w:b/>
                <w:bCs/>
                <w:color w:val="000000"/>
                <w:lang w:eastAsia="en-GB"/>
              </w:rPr>
            </w:pPr>
            <w:r w:rsidRPr="00C5636F">
              <w:rPr>
                <w:rFonts w:ascii="Calibri" w:eastAsia="Times New Roman" w:hAnsi="Calibri" w:cs="Calibri"/>
                <w:b/>
                <w:bCs/>
                <w:color w:val="000000"/>
                <w:lang w:eastAsia="en-GB"/>
              </w:rPr>
              <w:t>2017</w:t>
            </w:r>
          </w:p>
        </w:tc>
        <w:tc>
          <w:tcPr>
            <w:tcW w:w="1176" w:type="dxa"/>
            <w:tcBorders>
              <w:top w:val="single" w:sz="8" w:space="0" w:color="auto"/>
              <w:left w:val="nil"/>
              <w:bottom w:val="nil"/>
              <w:right w:val="single" w:sz="8" w:space="0" w:color="auto"/>
            </w:tcBorders>
            <w:shd w:val="clear" w:color="000000" w:fill="FFFFFF"/>
            <w:vAlign w:val="bottom"/>
            <w:hideMark/>
          </w:tcPr>
          <w:p w:rsidR="00C5636F" w:rsidRPr="00C5636F" w:rsidRDefault="00C5636F" w:rsidP="00C5636F">
            <w:pPr>
              <w:spacing w:after="0" w:line="240" w:lineRule="auto"/>
              <w:jc w:val="center"/>
              <w:rPr>
                <w:rFonts w:ascii="Calibri" w:eastAsia="Times New Roman" w:hAnsi="Calibri" w:cs="Calibri"/>
                <w:b/>
                <w:bCs/>
                <w:color w:val="000000"/>
                <w:lang w:eastAsia="en-GB"/>
              </w:rPr>
            </w:pPr>
            <w:r w:rsidRPr="00C5636F">
              <w:rPr>
                <w:rFonts w:ascii="Calibri" w:eastAsia="Times New Roman" w:hAnsi="Calibri" w:cs="Calibri"/>
                <w:b/>
                <w:bCs/>
                <w:color w:val="000000"/>
                <w:lang w:eastAsia="en-GB"/>
              </w:rPr>
              <w:t>2018</w:t>
            </w:r>
          </w:p>
        </w:tc>
      </w:tr>
      <w:tr w:rsidR="00C5636F" w:rsidRPr="00C5636F" w:rsidTr="00C5636F">
        <w:trPr>
          <w:trHeight w:val="283"/>
        </w:trPr>
        <w:tc>
          <w:tcPr>
            <w:tcW w:w="2919" w:type="dxa"/>
            <w:tcBorders>
              <w:top w:val="single" w:sz="8" w:space="0" w:color="auto"/>
              <w:left w:val="single" w:sz="8" w:space="0" w:color="auto"/>
              <w:bottom w:val="single" w:sz="4" w:space="0" w:color="auto"/>
              <w:right w:val="nil"/>
            </w:tcBorders>
            <w:shd w:val="clear" w:color="auto" w:fill="auto"/>
            <w:noWrap/>
            <w:vAlign w:val="bottom"/>
            <w:hideMark/>
          </w:tcPr>
          <w:p w:rsidR="00C5636F" w:rsidRPr="00C5636F" w:rsidRDefault="00C5636F" w:rsidP="00C5636F">
            <w:pPr>
              <w:spacing w:after="0" w:line="240" w:lineRule="auto"/>
              <w:rPr>
                <w:rFonts w:ascii="Calibri" w:eastAsia="Times New Roman" w:hAnsi="Calibri" w:cs="Calibri"/>
                <w:color w:val="000000"/>
                <w:lang w:eastAsia="en-GB"/>
              </w:rPr>
            </w:pPr>
            <w:r w:rsidRPr="00C5636F">
              <w:rPr>
                <w:rFonts w:ascii="Calibri" w:eastAsia="Times New Roman" w:hAnsi="Calibri" w:cs="Calibri"/>
                <w:color w:val="000000"/>
                <w:lang w:eastAsia="en-GB"/>
              </w:rPr>
              <w:t>EPS</w:t>
            </w:r>
          </w:p>
        </w:tc>
        <w:tc>
          <w:tcPr>
            <w:tcW w:w="117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34.5p</w:t>
            </w:r>
          </w:p>
        </w:tc>
        <w:tc>
          <w:tcPr>
            <w:tcW w:w="1176" w:type="dxa"/>
            <w:tcBorders>
              <w:top w:val="single" w:sz="8" w:space="0" w:color="auto"/>
              <w:left w:val="nil"/>
              <w:bottom w:val="single" w:sz="4" w:space="0" w:color="auto"/>
              <w:right w:val="single" w:sz="4" w:space="0" w:color="auto"/>
            </w:tcBorders>
            <w:shd w:val="clear" w:color="auto" w:fill="auto"/>
            <w:noWrap/>
            <w:vAlign w:val="bottom"/>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33.2p</w:t>
            </w:r>
          </w:p>
        </w:tc>
        <w:tc>
          <w:tcPr>
            <w:tcW w:w="1176" w:type="dxa"/>
            <w:tcBorders>
              <w:top w:val="single" w:sz="8" w:space="0" w:color="auto"/>
              <w:left w:val="nil"/>
              <w:bottom w:val="single" w:sz="4" w:space="0" w:color="auto"/>
              <w:right w:val="single" w:sz="4" w:space="0" w:color="auto"/>
            </w:tcBorders>
            <w:shd w:val="clear" w:color="auto" w:fill="auto"/>
            <w:noWrap/>
            <w:vAlign w:val="bottom"/>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37.4p</w:t>
            </w:r>
          </w:p>
        </w:tc>
        <w:tc>
          <w:tcPr>
            <w:tcW w:w="1176" w:type="dxa"/>
            <w:tcBorders>
              <w:top w:val="single" w:sz="8" w:space="0" w:color="auto"/>
              <w:left w:val="nil"/>
              <w:bottom w:val="single" w:sz="4" w:space="0" w:color="auto"/>
              <w:right w:val="single" w:sz="4" w:space="0" w:color="auto"/>
            </w:tcBorders>
            <w:shd w:val="clear" w:color="auto" w:fill="auto"/>
            <w:noWrap/>
            <w:vAlign w:val="bottom"/>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44.7p</w:t>
            </w:r>
          </w:p>
        </w:tc>
        <w:tc>
          <w:tcPr>
            <w:tcW w:w="1176" w:type="dxa"/>
            <w:tcBorders>
              <w:top w:val="single" w:sz="8" w:space="0" w:color="auto"/>
              <w:left w:val="nil"/>
              <w:bottom w:val="single" w:sz="4" w:space="0" w:color="auto"/>
              <w:right w:val="single" w:sz="8" w:space="0" w:color="auto"/>
            </w:tcBorders>
            <w:shd w:val="clear" w:color="auto" w:fill="auto"/>
            <w:noWrap/>
            <w:vAlign w:val="bottom"/>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49.7p</w:t>
            </w:r>
          </w:p>
        </w:tc>
      </w:tr>
      <w:tr w:rsidR="00C5636F" w:rsidRPr="00C5636F" w:rsidTr="00C5636F">
        <w:trPr>
          <w:trHeight w:val="283"/>
        </w:trPr>
        <w:tc>
          <w:tcPr>
            <w:tcW w:w="2919" w:type="dxa"/>
            <w:tcBorders>
              <w:top w:val="nil"/>
              <w:left w:val="single" w:sz="8" w:space="0" w:color="auto"/>
              <w:bottom w:val="single" w:sz="4" w:space="0" w:color="auto"/>
              <w:right w:val="nil"/>
            </w:tcBorders>
            <w:shd w:val="clear" w:color="auto" w:fill="auto"/>
            <w:hideMark/>
          </w:tcPr>
          <w:p w:rsidR="00C5636F" w:rsidRPr="00C5636F" w:rsidRDefault="00C5636F" w:rsidP="00C5636F">
            <w:pPr>
              <w:spacing w:after="0" w:line="240" w:lineRule="auto"/>
              <w:rPr>
                <w:rFonts w:ascii="Calibri" w:eastAsia="Times New Roman" w:hAnsi="Calibri" w:cs="Calibri"/>
                <w:color w:val="000000"/>
                <w:lang w:eastAsia="en-GB"/>
              </w:rPr>
            </w:pPr>
            <w:r w:rsidRPr="00C5636F">
              <w:rPr>
                <w:rFonts w:ascii="Calibri" w:eastAsia="Times New Roman" w:hAnsi="Calibri" w:cs="Calibri"/>
                <w:color w:val="000000"/>
                <w:lang w:eastAsia="en-GB"/>
              </w:rPr>
              <w:t>EPS - %Growth </w:t>
            </w:r>
          </w:p>
        </w:tc>
        <w:tc>
          <w:tcPr>
            <w:tcW w:w="1176" w:type="dxa"/>
            <w:tcBorders>
              <w:top w:val="nil"/>
              <w:left w:val="single" w:sz="8" w:space="0" w:color="auto"/>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8.83%</w:t>
            </w:r>
          </w:p>
        </w:tc>
        <w:tc>
          <w:tcPr>
            <w:tcW w:w="1176" w:type="dxa"/>
            <w:tcBorders>
              <w:top w:val="nil"/>
              <w:left w:val="nil"/>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-3.77%</w:t>
            </w:r>
          </w:p>
        </w:tc>
        <w:tc>
          <w:tcPr>
            <w:tcW w:w="1176" w:type="dxa"/>
            <w:tcBorders>
              <w:top w:val="nil"/>
              <w:left w:val="nil"/>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12.34%</w:t>
            </w:r>
          </w:p>
        </w:tc>
        <w:tc>
          <w:tcPr>
            <w:tcW w:w="1176" w:type="dxa"/>
            <w:tcBorders>
              <w:top w:val="nil"/>
              <w:left w:val="nil"/>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19.85%</w:t>
            </w:r>
          </w:p>
        </w:tc>
        <w:tc>
          <w:tcPr>
            <w:tcW w:w="1176" w:type="dxa"/>
            <w:tcBorders>
              <w:top w:val="nil"/>
              <w:left w:val="nil"/>
              <w:bottom w:val="single" w:sz="4" w:space="0" w:color="auto"/>
              <w:right w:val="single" w:sz="8"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11.19%</w:t>
            </w:r>
          </w:p>
        </w:tc>
      </w:tr>
      <w:tr w:rsidR="00C5636F" w:rsidRPr="00C5636F" w:rsidTr="00C5636F">
        <w:trPr>
          <w:trHeight w:val="352"/>
        </w:trPr>
        <w:tc>
          <w:tcPr>
            <w:tcW w:w="2919" w:type="dxa"/>
            <w:tcBorders>
              <w:top w:val="nil"/>
              <w:left w:val="single" w:sz="8" w:space="0" w:color="auto"/>
              <w:bottom w:val="single" w:sz="4" w:space="0" w:color="auto"/>
              <w:right w:val="nil"/>
            </w:tcBorders>
            <w:shd w:val="clear" w:color="auto" w:fill="auto"/>
            <w:hideMark/>
          </w:tcPr>
          <w:p w:rsidR="00C5636F" w:rsidRPr="00C5636F" w:rsidRDefault="00C5636F" w:rsidP="00C5636F">
            <w:pPr>
              <w:spacing w:after="0" w:line="240" w:lineRule="auto"/>
              <w:rPr>
                <w:rFonts w:ascii="Calibri" w:eastAsia="Times New Roman" w:hAnsi="Calibri" w:cs="Calibri"/>
                <w:color w:val="000000"/>
                <w:lang w:eastAsia="en-GB"/>
              </w:rPr>
            </w:pPr>
            <w:r w:rsidRPr="00C5636F">
              <w:rPr>
                <w:rFonts w:ascii="Calibri" w:eastAsia="Times New Roman" w:hAnsi="Calibri" w:cs="Calibri"/>
                <w:color w:val="000000"/>
                <w:lang w:eastAsia="en-GB"/>
              </w:rPr>
              <w:t>P/E Ratio  </w:t>
            </w:r>
          </w:p>
        </w:tc>
        <w:tc>
          <w:tcPr>
            <w:tcW w:w="1176" w:type="dxa"/>
            <w:tcBorders>
              <w:top w:val="nil"/>
              <w:left w:val="single" w:sz="8" w:space="0" w:color="auto"/>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35.88</w:t>
            </w:r>
          </w:p>
        </w:tc>
        <w:tc>
          <w:tcPr>
            <w:tcW w:w="1176" w:type="dxa"/>
            <w:tcBorders>
              <w:top w:val="nil"/>
              <w:left w:val="nil"/>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34.73</w:t>
            </w:r>
          </w:p>
        </w:tc>
        <w:tc>
          <w:tcPr>
            <w:tcW w:w="1176" w:type="dxa"/>
            <w:tcBorders>
              <w:top w:val="nil"/>
              <w:left w:val="nil"/>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33.24</w:t>
            </w:r>
          </w:p>
        </w:tc>
        <w:tc>
          <w:tcPr>
            <w:tcW w:w="1176" w:type="dxa"/>
            <w:tcBorders>
              <w:top w:val="nil"/>
              <w:left w:val="nil"/>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29.13</w:t>
            </w:r>
          </w:p>
        </w:tc>
        <w:tc>
          <w:tcPr>
            <w:tcW w:w="1176" w:type="dxa"/>
            <w:tcBorders>
              <w:top w:val="nil"/>
              <w:left w:val="nil"/>
              <w:bottom w:val="single" w:sz="4" w:space="0" w:color="auto"/>
              <w:right w:val="single" w:sz="8"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39.67</w:t>
            </w:r>
          </w:p>
        </w:tc>
      </w:tr>
      <w:tr w:rsidR="00C5636F" w:rsidRPr="00C5636F" w:rsidTr="00C5636F">
        <w:trPr>
          <w:trHeight w:val="352"/>
        </w:trPr>
        <w:tc>
          <w:tcPr>
            <w:tcW w:w="2919" w:type="dxa"/>
            <w:tcBorders>
              <w:top w:val="nil"/>
              <w:left w:val="single" w:sz="8" w:space="0" w:color="auto"/>
              <w:bottom w:val="single" w:sz="4" w:space="0" w:color="auto"/>
              <w:right w:val="nil"/>
            </w:tcBorders>
            <w:shd w:val="clear" w:color="auto" w:fill="auto"/>
            <w:hideMark/>
          </w:tcPr>
          <w:p w:rsidR="00C5636F" w:rsidRPr="00C5636F" w:rsidRDefault="00C5636F" w:rsidP="00C5636F">
            <w:pPr>
              <w:spacing w:after="0" w:line="240" w:lineRule="auto"/>
              <w:rPr>
                <w:rFonts w:ascii="Calibri" w:eastAsia="Times New Roman" w:hAnsi="Calibri" w:cs="Calibri"/>
                <w:color w:val="000000"/>
                <w:lang w:eastAsia="en-GB"/>
              </w:rPr>
            </w:pPr>
            <w:r w:rsidRPr="00C5636F">
              <w:rPr>
                <w:rFonts w:ascii="Calibri" w:eastAsia="Times New Roman" w:hAnsi="Calibri" w:cs="Calibri"/>
                <w:color w:val="000000"/>
                <w:lang w:eastAsia="en-GB"/>
              </w:rPr>
              <w:t>Dividend Yield Ratio </w:t>
            </w:r>
          </w:p>
        </w:tc>
        <w:tc>
          <w:tcPr>
            <w:tcW w:w="1176" w:type="dxa"/>
            <w:tcBorders>
              <w:top w:val="nil"/>
              <w:left w:val="single" w:sz="8" w:space="0" w:color="auto"/>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2.58%</w:t>
            </w:r>
          </w:p>
        </w:tc>
        <w:tc>
          <w:tcPr>
            <w:tcW w:w="1176" w:type="dxa"/>
            <w:tcBorders>
              <w:top w:val="nil"/>
              <w:left w:val="nil"/>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2.86%</w:t>
            </w:r>
          </w:p>
        </w:tc>
        <w:tc>
          <w:tcPr>
            <w:tcW w:w="1176" w:type="dxa"/>
            <w:tcBorders>
              <w:top w:val="nil"/>
              <w:left w:val="nil"/>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2.74%</w:t>
            </w:r>
          </w:p>
        </w:tc>
        <w:tc>
          <w:tcPr>
            <w:tcW w:w="1176" w:type="dxa"/>
            <w:tcBorders>
              <w:top w:val="nil"/>
              <w:left w:val="nil"/>
              <w:bottom w:val="single" w:sz="4"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2.01%</w:t>
            </w:r>
          </w:p>
        </w:tc>
        <w:tc>
          <w:tcPr>
            <w:tcW w:w="1176" w:type="dxa"/>
            <w:tcBorders>
              <w:top w:val="nil"/>
              <w:left w:val="nil"/>
              <w:bottom w:val="single" w:sz="4" w:space="0" w:color="auto"/>
              <w:right w:val="single" w:sz="8"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2.03%</w:t>
            </w:r>
          </w:p>
        </w:tc>
      </w:tr>
      <w:tr w:rsidR="00C5636F" w:rsidRPr="00C5636F" w:rsidTr="00C5636F">
        <w:trPr>
          <w:trHeight w:val="361"/>
        </w:trPr>
        <w:tc>
          <w:tcPr>
            <w:tcW w:w="2919" w:type="dxa"/>
            <w:tcBorders>
              <w:top w:val="nil"/>
              <w:left w:val="single" w:sz="8" w:space="0" w:color="auto"/>
              <w:bottom w:val="single" w:sz="8" w:space="0" w:color="auto"/>
              <w:right w:val="nil"/>
            </w:tcBorders>
            <w:shd w:val="clear" w:color="auto" w:fill="auto"/>
            <w:hideMark/>
          </w:tcPr>
          <w:p w:rsidR="00C5636F" w:rsidRPr="00C5636F" w:rsidRDefault="00C5636F" w:rsidP="00C5636F">
            <w:pPr>
              <w:spacing w:after="0" w:line="240" w:lineRule="auto"/>
              <w:rPr>
                <w:rFonts w:ascii="Calibri" w:eastAsia="Times New Roman" w:hAnsi="Calibri" w:cs="Calibri"/>
                <w:color w:val="000000"/>
                <w:lang w:eastAsia="en-GB"/>
              </w:rPr>
            </w:pPr>
            <w:r w:rsidRPr="00C5636F">
              <w:rPr>
                <w:rFonts w:ascii="Calibri" w:eastAsia="Times New Roman" w:hAnsi="Calibri" w:cs="Calibri"/>
                <w:color w:val="000000"/>
                <w:lang w:eastAsia="en-GB"/>
              </w:rPr>
              <w:t>DPS - %Growth </w:t>
            </w:r>
          </w:p>
        </w:tc>
        <w:tc>
          <w:tcPr>
            <w:tcW w:w="1176" w:type="dxa"/>
            <w:tcBorders>
              <w:top w:val="nil"/>
              <w:left w:val="single" w:sz="8" w:space="0" w:color="auto"/>
              <w:bottom w:val="single" w:sz="8"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8.14%</w:t>
            </w:r>
          </w:p>
        </w:tc>
        <w:tc>
          <w:tcPr>
            <w:tcW w:w="1176" w:type="dxa"/>
            <w:tcBorders>
              <w:top w:val="nil"/>
              <w:left w:val="nil"/>
              <w:bottom w:val="single" w:sz="8"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3.12%</w:t>
            </w:r>
          </w:p>
        </w:tc>
        <w:tc>
          <w:tcPr>
            <w:tcW w:w="1176" w:type="dxa"/>
            <w:tcBorders>
              <w:top w:val="nil"/>
              <w:left w:val="nil"/>
              <w:bottom w:val="single" w:sz="8"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2.75%</w:t>
            </w:r>
          </w:p>
        </w:tc>
        <w:tc>
          <w:tcPr>
            <w:tcW w:w="1176" w:type="dxa"/>
            <w:tcBorders>
              <w:top w:val="nil"/>
              <w:left w:val="nil"/>
              <w:bottom w:val="single" w:sz="8" w:space="0" w:color="auto"/>
              <w:right w:val="single" w:sz="4"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-22.73%</w:t>
            </w:r>
          </w:p>
        </w:tc>
        <w:tc>
          <w:tcPr>
            <w:tcW w:w="1176" w:type="dxa"/>
            <w:tcBorders>
              <w:top w:val="nil"/>
              <w:left w:val="nil"/>
              <w:bottom w:val="single" w:sz="8" w:space="0" w:color="auto"/>
              <w:right w:val="single" w:sz="8" w:space="0" w:color="auto"/>
            </w:tcBorders>
            <w:shd w:val="clear" w:color="auto" w:fill="auto"/>
            <w:vAlign w:val="center"/>
            <w:hideMark/>
          </w:tcPr>
          <w:p w:rsidR="00C5636F" w:rsidRPr="00C5636F" w:rsidRDefault="00C5636F" w:rsidP="00C5636F">
            <w:pPr>
              <w:spacing w:after="0" w:line="240" w:lineRule="auto"/>
              <w:jc w:val="center"/>
              <w:rPr>
                <w:rFonts w:ascii="Calibri" w:eastAsia="Times New Roman" w:hAnsi="Calibri" w:cs="Calibri"/>
                <w:color w:val="000000"/>
                <w:lang w:eastAsia="en-GB"/>
              </w:rPr>
            </w:pPr>
            <w:r w:rsidRPr="00C5636F">
              <w:rPr>
                <w:rFonts w:ascii="Calibri" w:eastAsia="Times New Roman" w:hAnsi="Calibri" w:cs="Calibri"/>
                <w:color w:val="000000"/>
                <w:lang w:eastAsia="en-GB"/>
              </w:rPr>
              <w:t>52.67%</w:t>
            </w:r>
          </w:p>
        </w:tc>
      </w:tr>
    </w:tbl>
    <w:p w:rsidR="00336313" w:rsidRPr="007D0F07" w:rsidRDefault="00336313" w:rsidP="007D0F07"/>
    <w:p w:rsidR="00C35C37" w:rsidRDefault="005115E9" w:rsidP="00C35C37">
      <w:pPr>
        <w:pStyle w:val="Heading1"/>
      </w:pPr>
      <w:bookmarkStart w:id="22" w:name="_Toc535606301"/>
      <w:r>
        <w:t>Conclusions and Recommendations</w:t>
      </w:r>
      <w:bookmarkEnd w:id="22"/>
    </w:p>
    <w:p w:rsidR="00F97B98" w:rsidRDefault="00F97B98" w:rsidP="009A0032">
      <w:r>
        <w:t xml:space="preserve">Individual ownership of shares has declined steadily from a peak of 54% of UK population in 1963 to around 12% in 2006, dropping to around 10% during the global financial crisis in 2008 and subsequently rebounding to around 12% since 2014 </w:t>
      </w:r>
      <w:sdt>
        <w:sdtPr>
          <w:id w:val="-1402902065"/>
          <w:citation/>
        </w:sdtPr>
        <w:sdtContent>
          <w:r>
            <w:fldChar w:fldCharType="begin"/>
          </w:r>
          <w:r>
            <w:instrText xml:space="preserve"> CITATION ONS17 \l 2057 </w:instrText>
          </w:r>
          <w:r>
            <w:fldChar w:fldCharType="separate"/>
          </w:r>
          <w:r w:rsidR="00A90D87" w:rsidRPr="00A90D87">
            <w:rPr>
              <w:noProof/>
            </w:rPr>
            <w:t>(ONS, 2017)</w:t>
          </w:r>
          <w:r>
            <w:fldChar w:fldCharType="end"/>
          </w:r>
        </w:sdtContent>
      </w:sdt>
      <w:r>
        <w:t>. Given the low rates of interest offered to savers in cash accounts it is relatively surprising to see stagnation in the levels of share ownership in the UK.</w:t>
      </w:r>
    </w:p>
    <w:p w:rsidR="009A0032" w:rsidRDefault="00F97B98" w:rsidP="009A0032">
      <w:r>
        <w:lastRenderedPageBreak/>
        <w:t>Both HL and the London Stock Exchange Group articulate that public awareness of stocks and the opportunities these afford for wealth creation</w:t>
      </w:r>
      <w:r w:rsidR="00942692">
        <w:t xml:space="preserve"> is “</w:t>
      </w:r>
      <w:r w:rsidR="00942692" w:rsidRPr="00D93637">
        <w:t>at an all-time high</w:t>
      </w:r>
      <w:r w:rsidR="00942692">
        <w:t>”, and therefore markets and individual investment represents “</w:t>
      </w:r>
      <w:r w:rsidR="00942692" w:rsidRPr="00D93637">
        <w:t>a key component of financial market infrastructure</w:t>
      </w:r>
      <w:r w:rsidR="00942692">
        <w:t>”</w:t>
      </w:r>
      <w:r w:rsidR="00942692" w:rsidRPr="00942692">
        <w:t xml:space="preserve"> </w:t>
      </w:r>
      <w:sdt>
        <w:sdtPr>
          <w:id w:val="189271594"/>
          <w:citation/>
        </w:sdtPr>
        <w:sdtContent>
          <w:r w:rsidR="00942692">
            <w:fldChar w:fldCharType="begin"/>
          </w:r>
          <w:r w:rsidR="00942692">
            <w:instrText xml:space="preserve">CITATION LSE181 \p 1 \l 2057 </w:instrText>
          </w:r>
          <w:r w:rsidR="00942692">
            <w:fldChar w:fldCharType="separate"/>
          </w:r>
          <w:r w:rsidR="00A90D87" w:rsidRPr="00A90D87">
            <w:rPr>
              <w:noProof/>
            </w:rPr>
            <w:t>(LSEG, 2018, p. 1)</w:t>
          </w:r>
          <w:r w:rsidR="00942692">
            <w:fldChar w:fldCharType="end"/>
          </w:r>
        </w:sdtContent>
      </w:sdt>
      <w:r w:rsidR="00942692">
        <w:t>. HL argue that DIY financiers are an increasingly important and highly influential group, with huge future market potentials</w:t>
      </w:r>
      <w:r w:rsidR="00942692" w:rsidRPr="00942692">
        <w:t xml:space="preserve"> </w:t>
      </w:r>
      <w:sdt>
        <w:sdtPr>
          <w:id w:val="174395709"/>
          <w:citation/>
        </w:sdtPr>
        <w:sdtContent>
          <w:r w:rsidR="00942692">
            <w:fldChar w:fldCharType="begin"/>
          </w:r>
          <w:r w:rsidR="00942692">
            <w:instrText xml:space="preserve"> CITATION Har18 \l 2057 </w:instrText>
          </w:r>
          <w:r w:rsidR="00942692">
            <w:fldChar w:fldCharType="separate"/>
          </w:r>
          <w:r w:rsidR="00A90D87" w:rsidRPr="00A90D87">
            <w:rPr>
              <w:noProof/>
            </w:rPr>
            <w:t>(Hargreaves Lansdown, 2018)</w:t>
          </w:r>
          <w:r w:rsidR="00942692">
            <w:fldChar w:fldCharType="end"/>
          </w:r>
        </w:sdtContent>
      </w:sdt>
      <w:r w:rsidR="00942692">
        <w:t xml:space="preserve">. It therefore seems vital to future growth that </w:t>
      </w:r>
      <w:r w:rsidR="009A0032">
        <w:t>key that data is accessible and comparable in a meaningful way</w:t>
      </w:r>
      <w:r w:rsidR="00942692">
        <w:t>, and financial literacy is supported</w:t>
      </w:r>
      <w:r w:rsidR="009A0032">
        <w:t xml:space="preserve"> which </w:t>
      </w:r>
      <w:r w:rsidR="00942692">
        <w:t xml:space="preserve">in turn </w:t>
      </w:r>
      <w:r w:rsidR="009A0032">
        <w:t xml:space="preserve">can drive investment. </w:t>
      </w:r>
    </w:p>
    <w:p w:rsidR="009A0032" w:rsidRDefault="001A3FBF" w:rsidP="009A0032">
      <w:r>
        <w:t>Financial Ratios have a key role in helping us to understand organisations</w:t>
      </w:r>
      <w:r w:rsidR="00F738A1">
        <w:t xml:space="preserve"> and their financial performance</w:t>
      </w:r>
      <w:r>
        <w:t xml:space="preserve">, </w:t>
      </w:r>
      <w:r w:rsidR="00F738A1">
        <w:t>as well as</w:t>
      </w:r>
      <w:r>
        <w:t xml:space="preserve"> inform decisions around investment and management of </w:t>
      </w:r>
      <w:r w:rsidR="00BE34B0">
        <w:t>companies</w:t>
      </w:r>
      <w:r w:rsidR="00F738A1">
        <w:t xml:space="preserve"> </w:t>
      </w:r>
      <w:sdt>
        <w:sdtPr>
          <w:id w:val="1318998167"/>
          <w:citation/>
        </w:sdtPr>
        <w:sdtContent>
          <w:r w:rsidR="00F738A1">
            <w:fldChar w:fldCharType="begin"/>
          </w:r>
          <w:r w:rsidR="00F738A1">
            <w:instrText xml:space="preserve"> CITATION Atr09 \l 2057 </w:instrText>
          </w:r>
          <w:r w:rsidR="00F738A1">
            <w:fldChar w:fldCharType="separate"/>
          </w:r>
          <w:r w:rsidR="00A90D87" w:rsidRPr="00A90D87">
            <w:rPr>
              <w:noProof/>
            </w:rPr>
            <w:t>(Atrill, 2009)</w:t>
          </w:r>
          <w:r w:rsidR="00F738A1">
            <w:fldChar w:fldCharType="end"/>
          </w:r>
        </w:sdtContent>
      </w:sdt>
      <w:r w:rsidR="00F738A1">
        <w:t xml:space="preserve">. </w:t>
      </w:r>
      <w:r w:rsidR="005115E9">
        <w:t>Whilst acknowledging</w:t>
      </w:r>
      <w:r w:rsidR="00F738A1">
        <w:t xml:space="preserve"> the value of </w:t>
      </w:r>
      <w:r w:rsidR="005115E9">
        <w:t>financial</w:t>
      </w:r>
      <w:r w:rsidR="00F738A1">
        <w:t xml:space="preserve"> ratios, it is important to understand they also have limitations</w:t>
      </w:r>
      <w:r w:rsidR="005115E9">
        <w:t xml:space="preserve"> both in terms of structure and understanding, but also in application for analysis</w:t>
      </w:r>
      <w:r w:rsidR="005115E9" w:rsidRPr="005115E9">
        <w:t xml:space="preserve"> </w:t>
      </w:r>
      <w:sdt>
        <w:sdtPr>
          <w:id w:val="-2098461622"/>
          <w:citation/>
        </w:sdtPr>
        <w:sdtContent>
          <w:r w:rsidR="005115E9">
            <w:fldChar w:fldCharType="begin"/>
          </w:r>
          <w:r w:rsidR="005115E9">
            <w:instrText xml:space="preserve"> CITATION Fae15 \l 2057 </w:instrText>
          </w:r>
          <w:r w:rsidR="005115E9">
            <w:fldChar w:fldCharType="separate"/>
          </w:r>
          <w:r w:rsidR="00A90D87" w:rsidRPr="00A90D87">
            <w:rPr>
              <w:noProof/>
            </w:rPr>
            <w:t>(Faello, 2015)</w:t>
          </w:r>
          <w:r w:rsidR="005115E9">
            <w:fldChar w:fldCharType="end"/>
          </w:r>
        </w:sdtContent>
      </w:sdt>
      <w:r w:rsidR="005115E9">
        <w:t>.</w:t>
      </w:r>
    </w:p>
    <w:p w:rsidR="009A0032" w:rsidRDefault="005115E9" w:rsidP="005115E9">
      <w:pPr>
        <w:pStyle w:val="Heading3"/>
      </w:pPr>
      <w:bookmarkStart w:id="23" w:name="_Toc535606302"/>
      <w:r>
        <w:t>Limitations</w:t>
      </w:r>
      <w:bookmarkEnd w:id="23"/>
    </w:p>
    <w:p w:rsidR="006846A5" w:rsidRDefault="005115E9" w:rsidP="005115E9">
      <w:r>
        <w:t>Ratios can help us to understand a company’s performance, i.e. company A may report a ROCE of 5%, however what does a ROCE of 5% mean in relation to what should be reasonably expected of a company of similar size, sector, and state? Ratio analysis has value in helping investors compare performance against either benchmarked levels, or an identified competitor</w:t>
      </w:r>
      <w:r w:rsidR="00346B61">
        <w:t xml:space="preserve"> for example. The ability to compare helps us to understand what is good, why is it good, </w:t>
      </w:r>
      <w:proofErr w:type="gramStart"/>
      <w:r w:rsidR="00346B61">
        <w:t>and also</w:t>
      </w:r>
      <w:proofErr w:type="gramEnd"/>
      <w:r w:rsidR="00346B61">
        <w:t xml:space="preserve"> to put these questions into context. </w:t>
      </w:r>
      <w:r w:rsidR="006846A5">
        <w:t xml:space="preserve">Using ROCE comparison (section 2.1.1.1) we can benchmark performance of HL vs a competitor (SLA) which </w:t>
      </w:r>
      <w:r w:rsidR="001D3B21">
        <w:t xml:space="preserve">shows significant </w:t>
      </w:r>
      <w:r w:rsidR="009171FC">
        <w:t xml:space="preserve">advantage to HL over SLA in this measure sustained over </w:t>
      </w:r>
      <w:proofErr w:type="gramStart"/>
      <w:r w:rsidR="009171FC">
        <w:t>5 year</w:t>
      </w:r>
      <w:proofErr w:type="gramEnd"/>
      <w:r w:rsidR="009171FC">
        <w:t xml:space="preserve"> period. This would give </w:t>
      </w:r>
      <w:proofErr w:type="spellStart"/>
      <w:r w:rsidR="009171FC">
        <w:t>investors</w:t>
      </w:r>
      <w:proofErr w:type="spellEnd"/>
      <w:r w:rsidR="009171FC">
        <w:t xml:space="preserve"> confidence in HL profitability in comparison to its peers.</w:t>
      </w:r>
    </w:p>
    <w:p w:rsidR="005115E9" w:rsidRDefault="00346B61" w:rsidP="005115E9">
      <w:r>
        <w:t xml:space="preserve">A challenge in this report has been to identify sector data for some of the key metrics </w:t>
      </w:r>
      <w:r w:rsidR="009171FC">
        <w:t xml:space="preserve">as not all measures are routinely reported, and there is diffusion in some of the accounting and reporting methods used for preparation of financial statements, in spite of significant regulation of listed companies </w:t>
      </w:r>
      <w:sdt>
        <w:sdtPr>
          <w:id w:val="1471101547"/>
          <w:citation/>
        </w:sdtPr>
        <w:sdtContent>
          <w:r w:rsidR="009171FC">
            <w:fldChar w:fldCharType="begin"/>
          </w:r>
          <w:r w:rsidR="009171FC">
            <w:instrText xml:space="preserve"> CITATION Atr09 \l 2057 </w:instrText>
          </w:r>
          <w:r w:rsidR="009171FC">
            <w:fldChar w:fldCharType="separate"/>
          </w:r>
          <w:r w:rsidR="00A90D87" w:rsidRPr="00A90D87">
            <w:rPr>
              <w:noProof/>
            </w:rPr>
            <w:t>(Atrill, 2009)</w:t>
          </w:r>
          <w:r w:rsidR="009171FC">
            <w:fldChar w:fldCharType="end"/>
          </w:r>
        </w:sdtContent>
      </w:sdt>
      <w:r w:rsidR="009171FC">
        <w:t xml:space="preserve">. Whilst some data has been available, it has allowed the viewing of a partial picture, but it is still difficult to fully appraise HL against the market and its sector competitors. </w:t>
      </w:r>
    </w:p>
    <w:p w:rsidR="00C35C37" w:rsidRDefault="009171FC" w:rsidP="005115E9">
      <w:pPr>
        <w:pStyle w:val="Heading3"/>
      </w:pPr>
      <w:bookmarkStart w:id="24" w:name="_Toc535606303"/>
      <w:r>
        <w:t>Opportunities</w:t>
      </w:r>
      <w:bookmarkEnd w:id="24"/>
    </w:p>
    <w:p w:rsidR="003D0A8F" w:rsidRDefault="009171FC" w:rsidP="009171FC">
      <w:r>
        <w:t>HL is a highly performing financial firm, demonstrating low debt, high profitability, reasonable liquidity and efficiencies</w:t>
      </w:r>
      <w:r w:rsidR="003D0A8F">
        <w:t>, and supported confidently in the markets with strongly performing investor ratios. Detailed in the annual report are the strategic growth &amp; investment plans with significant attention to technology &amp; infrastructure, and investment in people resource. HL plans to grow the client base further is planned to attract increasing revenues in line with recent growth (16% for 2017/18).</w:t>
      </w:r>
    </w:p>
    <w:p w:rsidR="009171FC" w:rsidRDefault="003D0A8F" w:rsidP="009171FC">
      <w:r>
        <w:t xml:space="preserve">Efficiency ratios are slightly lower than competitors and therefore HL have opportunities to further expand the efficiencies seen in isolated areas of the business which have reported 15% (helpdesk) &amp; 25% (operations) uplifts in productivity </w:t>
      </w:r>
      <w:sdt>
        <w:sdtPr>
          <w:id w:val="-1978441049"/>
          <w:citation/>
        </w:sdtPr>
        <w:sdtContent>
          <w:r>
            <w:fldChar w:fldCharType="begin"/>
          </w:r>
          <w:r>
            <w:instrText xml:space="preserve"> CITATION Har18 \l 2057 </w:instrText>
          </w:r>
          <w:r>
            <w:fldChar w:fldCharType="separate"/>
          </w:r>
          <w:r w:rsidR="00A90D87" w:rsidRPr="00A90D87">
            <w:rPr>
              <w:noProof/>
            </w:rPr>
            <w:t>(Hargreaves Lansdown, 2018)</w:t>
          </w:r>
          <w:r>
            <w:fldChar w:fldCharType="end"/>
          </w:r>
        </w:sdtContent>
      </w:sdt>
      <w:r>
        <w:t xml:space="preserve">. </w:t>
      </w:r>
      <w:r w:rsidR="0003464D">
        <w:t xml:space="preserve">HL have increased retained earnings year-on-year with growth of 31% between 2017 &amp; 2018. Retained earnings stand at c£399mill in 2018, compared with £228mill in 2014, an uplift of c75%. HL </w:t>
      </w:r>
      <w:proofErr w:type="gramStart"/>
      <w:r w:rsidR="0003464D">
        <w:t>have the opportunity to</w:t>
      </w:r>
      <w:proofErr w:type="gramEnd"/>
      <w:r w:rsidR="0003464D">
        <w:t xml:space="preserve"> employ capital from retained earnings to generate further revenues and business value. </w:t>
      </w:r>
    </w:p>
    <w:p w:rsidR="0003464D" w:rsidRDefault="0003464D" w:rsidP="009171FC">
      <w:r>
        <w:t>HL report profitability favourably against it</w:t>
      </w:r>
      <w:r w:rsidR="00F4692C">
        <w:t>s</w:t>
      </w:r>
      <w:r>
        <w:t xml:space="preserve"> competitors and focus should be clarified on what allows HL to generate returns of c93% compared with c15% reported by SLA for example. </w:t>
      </w:r>
      <w:r w:rsidR="00F4692C">
        <w:t xml:space="preserve">HL are </w:t>
      </w:r>
      <w:proofErr w:type="gramStart"/>
      <w:r w:rsidR="00F4692C">
        <w:t>in a position</w:t>
      </w:r>
      <w:proofErr w:type="gramEnd"/>
      <w:r w:rsidR="00F4692C">
        <w:t xml:space="preserve"> to be relatively ambitious with its financial plans, focussing on growing revenues, increasing capital employed (and deriving returns), and driving efficiencies in line with reported initiatives from its operations.</w:t>
      </w:r>
    </w:p>
    <w:p w:rsidR="00C11B19" w:rsidRDefault="003A3FE9" w:rsidP="000A4895">
      <w:pPr>
        <w:pStyle w:val="Heading1"/>
      </w:pPr>
      <w:bookmarkStart w:id="25" w:name="_Toc535606304"/>
      <w:r>
        <w:lastRenderedPageBreak/>
        <w:t>Part 2 – James Plc</w:t>
      </w:r>
      <w:bookmarkEnd w:id="25"/>
    </w:p>
    <w:p w:rsidR="00881DE4" w:rsidRDefault="001745CA" w:rsidP="001745CA">
      <w:pPr>
        <w:pStyle w:val="Heading2"/>
      </w:pPr>
      <w:bookmarkStart w:id="26" w:name="_Toc535606305"/>
      <w:r>
        <w:t>Introduction</w:t>
      </w:r>
      <w:bookmarkEnd w:id="26"/>
    </w:p>
    <w:p w:rsidR="0098612C" w:rsidRDefault="001745CA" w:rsidP="001745CA">
      <w:r>
        <w:t xml:space="preserve">The idea </w:t>
      </w:r>
      <w:r w:rsidR="008E6C36">
        <w:t xml:space="preserve">of </w:t>
      </w:r>
      <w:r>
        <w:t>investment in business centres around creation of value</w:t>
      </w:r>
      <w:r w:rsidR="008E6C36">
        <w:t xml:space="preserve"> </w:t>
      </w:r>
      <w:sdt>
        <w:sdtPr>
          <w:id w:val="-883565564"/>
          <w:citation/>
        </w:sdtPr>
        <w:sdtContent>
          <w:r w:rsidR="008E6C36">
            <w:fldChar w:fldCharType="begin"/>
          </w:r>
          <w:r w:rsidR="008E6C36">
            <w:instrText xml:space="preserve"> CITATION Atr09 \l 2057 </w:instrText>
          </w:r>
          <w:r w:rsidR="008E6C36">
            <w:fldChar w:fldCharType="separate"/>
          </w:r>
          <w:r w:rsidR="00A90D87" w:rsidRPr="00A90D87">
            <w:rPr>
              <w:noProof/>
            </w:rPr>
            <w:t>(Atrill, 2009)</w:t>
          </w:r>
          <w:r w:rsidR="008E6C36">
            <w:fldChar w:fldCharType="end"/>
          </w:r>
        </w:sdtContent>
      </w:sdt>
      <w:r>
        <w:t>. There is much discussion about the focus</w:t>
      </w:r>
      <w:r w:rsidR="009A1671">
        <w:t xml:space="preserve"> of organisational objectives, with</w:t>
      </w:r>
      <w:r w:rsidR="008E6C36">
        <w:t xml:space="preserve"> interesting and somewhat opposing positions offered by </w:t>
      </w:r>
      <w:sdt>
        <w:sdtPr>
          <w:id w:val="933623674"/>
          <w:citation/>
        </w:sdtPr>
        <w:sdtContent>
          <w:r w:rsidR="008E6C36">
            <w:fldChar w:fldCharType="begin"/>
          </w:r>
          <w:r w:rsidR="008E6C36">
            <w:instrText xml:space="preserve"> CITATION Dru54 \l 2057 </w:instrText>
          </w:r>
          <w:r w:rsidR="008E6C36">
            <w:fldChar w:fldCharType="separate"/>
          </w:r>
          <w:r w:rsidR="00A90D87" w:rsidRPr="00A90D87">
            <w:rPr>
              <w:noProof/>
            </w:rPr>
            <w:t>(Drucker, 1954)</w:t>
          </w:r>
          <w:r w:rsidR="008E6C36">
            <w:fldChar w:fldCharType="end"/>
          </w:r>
        </w:sdtContent>
      </w:sdt>
      <w:r w:rsidR="008E6C36">
        <w:t>,</w:t>
      </w:r>
      <w:r w:rsidR="008E6C36" w:rsidRPr="008E6C36">
        <w:t xml:space="preserve"> </w:t>
      </w:r>
      <w:sdt>
        <w:sdtPr>
          <w:id w:val="1476414428"/>
          <w:citation/>
        </w:sdtPr>
        <w:sdtContent>
          <w:r w:rsidR="008E6C36">
            <w:fldChar w:fldCharType="begin"/>
          </w:r>
          <w:r w:rsidR="008E6C36">
            <w:instrText xml:space="preserve"> CITATION Fri70 \l 2057 </w:instrText>
          </w:r>
          <w:r w:rsidR="008E6C36">
            <w:fldChar w:fldCharType="separate"/>
          </w:r>
          <w:r w:rsidR="00A90D87" w:rsidRPr="00A90D87">
            <w:rPr>
              <w:noProof/>
            </w:rPr>
            <w:t>(Friedman, 1970)</w:t>
          </w:r>
          <w:r w:rsidR="008E6C36">
            <w:fldChar w:fldCharType="end"/>
          </w:r>
        </w:sdtContent>
      </w:sdt>
      <w:r w:rsidR="008E6C36">
        <w:t>, and</w:t>
      </w:r>
      <w:r w:rsidR="008E6C36" w:rsidRPr="008E6C36">
        <w:t xml:space="preserve"> </w:t>
      </w:r>
      <w:sdt>
        <w:sdtPr>
          <w:id w:val="-145823656"/>
          <w:citation/>
        </w:sdtPr>
        <w:sdtContent>
          <w:r w:rsidR="008E6C36">
            <w:fldChar w:fldCharType="begin"/>
          </w:r>
          <w:r w:rsidR="008E6C36">
            <w:instrText xml:space="preserve"> CITATION Den14 \l 2057 </w:instrText>
          </w:r>
          <w:r w:rsidR="008E6C36">
            <w:fldChar w:fldCharType="separate"/>
          </w:r>
          <w:r w:rsidR="00A90D87" w:rsidRPr="00A90D87">
            <w:rPr>
              <w:noProof/>
            </w:rPr>
            <w:t>(Denning, 2014)</w:t>
          </w:r>
          <w:r w:rsidR="008E6C36">
            <w:fldChar w:fldCharType="end"/>
          </w:r>
        </w:sdtContent>
      </w:sdt>
      <w:r w:rsidR="008E6C36">
        <w:t xml:space="preserve"> amongst others as to whether enterprise is about creating customers, maximising profits, or serving customers. </w:t>
      </w:r>
    </w:p>
    <w:p w:rsidR="009A1671" w:rsidRDefault="008E6C36" w:rsidP="001745CA">
      <w:r>
        <w:t>Value can of course be defined in monetary or other terms</w:t>
      </w:r>
      <w:r w:rsidR="000B139D">
        <w:t xml:space="preserve">, </w:t>
      </w:r>
      <w:r>
        <w:t>such as social good</w:t>
      </w:r>
      <w:r w:rsidR="000B139D">
        <w:t xml:space="preserve"> </w:t>
      </w:r>
      <w:sdt>
        <w:sdtPr>
          <w:id w:val="1684480662"/>
          <w:citation/>
        </w:sdtPr>
        <w:sdtContent>
          <w:r w:rsidR="000B139D">
            <w:fldChar w:fldCharType="begin"/>
          </w:r>
          <w:r w:rsidR="000B139D">
            <w:instrText xml:space="preserve"> CITATION Eme03 \l 2057 </w:instrText>
          </w:r>
          <w:r w:rsidR="000B139D">
            <w:fldChar w:fldCharType="separate"/>
          </w:r>
          <w:r w:rsidR="00A90D87" w:rsidRPr="00A90D87">
            <w:rPr>
              <w:noProof/>
            </w:rPr>
            <w:t>(Emerson, 2003)</w:t>
          </w:r>
          <w:r w:rsidR="000B139D">
            <w:fldChar w:fldCharType="end"/>
          </w:r>
        </w:sdtContent>
      </w:sdt>
      <w:r>
        <w:t xml:space="preserve">, and therefore organisational goals and outcomes will vary from company to company, </w:t>
      </w:r>
      <w:r w:rsidR="005A24E5">
        <w:t xml:space="preserve">although </w:t>
      </w:r>
      <w:r>
        <w:t xml:space="preserve">commonly </w:t>
      </w:r>
      <w:r w:rsidR="00883312">
        <w:t xml:space="preserve">linked </w:t>
      </w:r>
      <w:r>
        <w:t xml:space="preserve">by the aim to create value for </w:t>
      </w:r>
      <w:r w:rsidR="00883312">
        <w:t xml:space="preserve">their </w:t>
      </w:r>
      <w:r>
        <w:t>stakeholders</w:t>
      </w:r>
      <w:r w:rsidR="00DE7241">
        <w:t xml:space="preserve"> </w:t>
      </w:r>
      <w:sdt>
        <w:sdtPr>
          <w:id w:val="-662620520"/>
          <w:citation/>
        </w:sdtPr>
        <w:sdtContent>
          <w:r w:rsidR="00DE7241">
            <w:fldChar w:fldCharType="begin"/>
          </w:r>
          <w:r w:rsidR="00DE7241">
            <w:instrText xml:space="preserve"> CITATION Hil01 \l 2057 </w:instrText>
          </w:r>
          <w:r w:rsidR="00DE7241">
            <w:fldChar w:fldCharType="separate"/>
          </w:r>
          <w:r w:rsidR="00A90D87" w:rsidRPr="00A90D87">
            <w:rPr>
              <w:noProof/>
            </w:rPr>
            <w:t>(Hillman &amp; Keim, 2001)</w:t>
          </w:r>
          <w:r w:rsidR="00DE7241">
            <w:fldChar w:fldCharType="end"/>
          </w:r>
        </w:sdtContent>
      </w:sdt>
      <w:r>
        <w:t>.</w:t>
      </w:r>
      <w:r w:rsidR="000B139D">
        <w:t xml:space="preserve"> Monetary value can be explored from a couple of different positions,</w:t>
      </w:r>
      <w:r w:rsidR="00A97B7F">
        <w:t xml:space="preserve"> for example</w:t>
      </w:r>
      <w:r w:rsidR="000B139D">
        <w:t xml:space="preserve"> wealth maximisation, or</w:t>
      </w:r>
      <w:r w:rsidR="00A97B7F">
        <w:t xml:space="preserve"> return on investment </w:t>
      </w:r>
      <w:sdt>
        <w:sdtPr>
          <w:id w:val="-176732113"/>
          <w:citation/>
        </w:sdtPr>
        <w:sdtContent>
          <w:r w:rsidR="00A97B7F">
            <w:fldChar w:fldCharType="begin"/>
          </w:r>
          <w:r w:rsidR="00A97B7F">
            <w:instrText xml:space="preserve"> CITATION Atr09 \l 2057 </w:instrText>
          </w:r>
          <w:r w:rsidR="00A97B7F">
            <w:fldChar w:fldCharType="separate"/>
          </w:r>
          <w:r w:rsidR="00A90D87" w:rsidRPr="00A90D87">
            <w:rPr>
              <w:noProof/>
            </w:rPr>
            <w:t>(Atrill, 2009)</w:t>
          </w:r>
          <w:r w:rsidR="00A97B7F">
            <w:fldChar w:fldCharType="end"/>
          </w:r>
        </w:sdtContent>
      </w:sdt>
      <w:r w:rsidR="000B139D">
        <w:t xml:space="preserve">. </w:t>
      </w:r>
      <w:r w:rsidR="00A97B7F">
        <w:t xml:space="preserve">Each organisation will have their own perspectives on whether making the largest possible amount of </w:t>
      </w:r>
      <w:proofErr w:type="gramStart"/>
      <w:r w:rsidR="00A97B7F">
        <w:t>money, or</w:t>
      </w:r>
      <w:proofErr w:type="gramEnd"/>
      <w:r w:rsidR="00A97B7F">
        <w:t xml:space="preserve"> seeing the highest rate of return against money invested is the most important</w:t>
      </w:r>
      <w:r w:rsidR="005A24E5">
        <w:t>.</w:t>
      </w:r>
    </w:p>
    <w:p w:rsidR="009A1671" w:rsidRDefault="00883312" w:rsidP="00FE755D">
      <w:pPr>
        <w:pStyle w:val="Heading3"/>
      </w:pPr>
      <w:bookmarkStart w:id="27" w:name="_Toc535606306"/>
      <w:r>
        <w:t>James Plc</w:t>
      </w:r>
      <w:bookmarkEnd w:id="27"/>
    </w:p>
    <w:p w:rsidR="009A0CFE" w:rsidRDefault="001E1022" w:rsidP="003A3FE9">
      <w:r>
        <w:t>James Plc are producers of garden ware with a shortlist of 4 investing options for consideration in this report:</w:t>
      </w:r>
    </w:p>
    <w:p w:rsidR="001E1022" w:rsidRDefault="001E1022" w:rsidP="001E1022">
      <w:pPr>
        <w:pStyle w:val="ListParagraph"/>
        <w:numPr>
          <w:ilvl w:val="0"/>
          <w:numId w:val="16"/>
        </w:numPr>
      </w:pPr>
      <w:r>
        <w:t>Invest or Not</w:t>
      </w:r>
    </w:p>
    <w:p w:rsidR="001E1022" w:rsidRDefault="001E1022" w:rsidP="001E1022">
      <w:pPr>
        <w:pStyle w:val="ListParagraph"/>
        <w:numPr>
          <w:ilvl w:val="0"/>
          <w:numId w:val="16"/>
        </w:numPr>
      </w:pPr>
      <w:r>
        <w:t>Investment options:</w:t>
      </w:r>
    </w:p>
    <w:p w:rsidR="001E1022" w:rsidRDefault="001E1022" w:rsidP="001E1022">
      <w:pPr>
        <w:pStyle w:val="ListParagraph"/>
        <w:numPr>
          <w:ilvl w:val="1"/>
          <w:numId w:val="16"/>
        </w:numPr>
      </w:pPr>
      <w:r>
        <w:t>Expand retail operations</w:t>
      </w:r>
      <w:r w:rsidR="000F6E9C">
        <w:t xml:space="preserve"> – cost £750k</w:t>
      </w:r>
    </w:p>
    <w:p w:rsidR="001E1022" w:rsidRDefault="001E1022" w:rsidP="001E1022">
      <w:pPr>
        <w:pStyle w:val="ListParagraph"/>
        <w:numPr>
          <w:ilvl w:val="1"/>
          <w:numId w:val="16"/>
        </w:numPr>
      </w:pPr>
      <w:r>
        <w:t>Web-based operations (internet sales)</w:t>
      </w:r>
      <w:r w:rsidR="000F6E9C">
        <w:t xml:space="preserve"> – cost £1.2mill</w:t>
      </w:r>
      <w:r w:rsidR="00321C13">
        <w:t>ion</w:t>
      </w:r>
    </w:p>
    <w:p w:rsidR="001E1022" w:rsidRDefault="001E1022" w:rsidP="001E1022">
      <w:pPr>
        <w:pStyle w:val="ListParagraph"/>
        <w:numPr>
          <w:ilvl w:val="1"/>
          <w:numId w:val="16"/>
        </w:numPr>
      </w:pPr>
      <w:r>
        <w:t>Diversify product lines (conservatory/greenhouse manufacture)</w:t>
      </w:r>
      <w:r w:rsidR="000F6E9C">
        <w:t xml:space="preserve"> – cost £2mill</w:t>
      </w:r>
      <w:r w:rsidR="00321C13">
        <w:t>ion</w:t>
      </w:r>
    </w:p>
    <w:p w:rsidR="000F6E9C" w:rsidRDefault="000F6E9C" w:rsidP="000F6E9C"/>
    <w:p w:rsidR="00B8434E" w:rsidRDefault="000F6E9C" w:rsidP="009A0CFE">
      <w:r>
        <w:t xml:space="preserve">This report will evaluate investment options using Net Present Value (NPV) with assumed Cost of Capital at </w:t>
      </w:r>
      <w:proofErr w:type="gramStart"/>
      <w:r>
        <w:t>8%, and</w:t>
      </w:r>
      <w:proofErr w:type="gramEnd"/>
      <w:r>
        <w:t xml:space="preserve"> propose a recommendation for </w:t>
      </w:r>
      <w:r w:rsidR="00382BD4">
        <w:t xml:space="preserve">the </w:t>
      </w:r>
      <w:r>
        <w:t>consideration of the Board of Directors which states Internal Rate of Return (IRR)</w:t>
      </w:r>
      <w:r w:rsidR="00382BD4">
        <w:t xml:space="preserve"> on the preferred option</w:t>
      </w:r>
      <w:r>
        <w:t xml:space="preserve">. </w:t>
      </w:r>
    </w:p>
    <w:p w:rsidR="009A0CFE" w:rsidRDefault="002C7257" w:rsidP="002C7257">
      <w:pPr>
        <w:pStyle w:val="Heading2"/>
      </w:pPr>
      <w:bookmarkStart w:id="28" w:name="_Toc535606307"/>
      <w:r>
        <w:t>Options Appraisal</w:t>
      </w:r>
      <w:bookmarkEnd w:id="28"/>
    </w:p>
    <w:p w:rsidR="002C7257" w:rsidRDefault="002C7257" w:rsidP="002C7257">
      <w:pPr>
        <w:pStyle w:val="Heading3"/>
      </w:pPr>
      <w:bookmarkStart w:id="29" w:name="_Toc535606308"/>
      <w:r>
        <w:t>Investment?</w:t>
      </w:r>
      <w:bookmarkEnd w:id="29"/>
    </w:p>
    <w:p w:rsidR="002C7257" w:rsidRPr="002C7257" w:rsidRDefault="002C7257" w:rsidP="002C7257">
      <w:r>
        <w:t>Approaching this task as a binary choice the options boil down to a) not making an investment and recommending status quo, or b) identifying an investment opportunity.</w:t>
      </w:r>
      <w:r w:rsidR="00F60DFE">
        <w:t xml:space="preserve"> All businesses require some investment at some point, and therefore decisions on the potential returns or value for that investment </w:t>
      </w:r>
      <w:r w:rsidR="003F73B9">
        <w:t xml:space="preserve">are important </w:t>
      </w:r>
      <w:sdt>
        <w:sdtPr>
          <w:id w:val="-1219352151"/>
          <w:citation/>
        </w:sdtPr>
        <w:sdtContent>
          <w:r w:rsidR="003F73B9">
            <w:fldChar w:fldCharType="begin"/>
          </w:r>
          <w:r w:rsidR="003F73B9">
            <w:instrText xml:space="preserve"> CITATION Atr09 \l 2057 </w:instrText>
          </w:r>
          <w:r w:rsidR="003F73B9">
            <w:fldChar w:fldCharType="separate"/>
          </w:r>
          <w:r w:rsidR="00A90D87" w:rsidRPr="00A90D87">
            <w:rPr>
              <w:noProof/>
            </w:rPr>
            <w:t>(Atrill, 2009)</w:t>
          </w:r>
          <w:r w:rsidR="003F73B9">
            <w:fldChar w:fldCharType="end"/>
          </w:r>
        </w:sdtContent>
      </w:sdt>
      <w:r w:rsidR="003F73B9">
        <w:t>. Data for current cashflows and operating margin are not presently available, and therefore it is challenging to recommend not investing as the preferred option of this report. It is assumed that revenue growth is a primary aim of the business and therefore options will be appraised on this basis.</w:t>
      </w:r>
      <w:r w:rsidR="00C35718">
        <w:t xml:space="preserve"> </w:t>
      </w:r>
    </w:p>
    <w:p w:rsidR="009A0CFE" w:rsidRDefault="006A65C1" w:rsidP="006A65C1">
      <w:pPr>
        <w:pStyle w:val="Heading3"/>
      </w:pPr>
      <w:bookmarkStart w:id="30" w:name="_Toc535606309"/>
      <w:r>
        <w:t>Assumptions</w:t>
      </w:r>
      <w:bookmarkEnd w:id="30"/>
    </w:p>
    <w:p w:rsidR="006A65C1" w:rsidRDefault="006A65C1" w:rsidP="006A65C1">
      <w:pPr>
        <w:pStyle w:val="Heading4"/>
      </w:pPr>
      <w:r>
        <w:t>Operating Profit Margin</w:t>
      </w:r>
    </w:p>
    <w:p w:rsidR="006A65C1" w:rsidRDefault="006A65C1" w:rsidP="006A65C1">
      <w:r>
        <w:t>Using ONS data an assumed OPM of 15.6% is adopted for</w:t>
      </w:r>
      <w:r w:rsidR="00780ED2">
        <w:t xml:space="preserve"> financial modelling. This figure is based on the average OPM for UK manufacturing corporations Q2 2018 </w:t>
      </w:r>
      <w:sdt>
        <w:sdtPr>
          <w:id w:val="2051334340"/>
          <w:citation/>
        </w:sdtPr>
        <w:sdtContent>
          <w:r w:rsidR="00780ED2">
            <w:fldChar w:fldCharType="begin"/>
          </w:r>
          <w:r w:rsidR="00780ED2">
            <w:instrText xml:space="preserve"> CITATION ONS18 \l 2057 </w:instrText>
          </w:r>
          <w:r w:rsidR="00780ED2">
            <w:fldChar w:fldCharType="separate"/>
          </w:r>
          <w:r w:rsidR="00A90D87" w:rsidRPr="00A90D87">
            <w:rPr>
              <w:noProof/>
            </w:rPr>
            <w:t>(ONS, 2018)</w:t>
          </w:r>
          <w:r w:rsidR="00780ED2">
            <w:fldChar w:fldCharType="end"/>
          </w:r>
        </w:sdtContent>
      </w:sdt>
      <w:r w:rsidR="00780ED2">
        <w:t>.</w:t>
      </w:r>
    </w:p>
    <w:p w:rsidR="00BE19DF" w:rsidRDefault="00BE19DF" w:rsidP="00BE19DF">
      <w:pPr>
        <w:pStyle w:val="Heading4"/>
      </w:pPr>
      <w:r>
        <w:t>Capital Employed</w:t>
      </w:r>
    </w:p>
    <w:p w:rsidR="00AA7282" w:rsidRPr="006A65C1" w:rsidRDefault="00AA7282" w:rsidP="006A65C1">
      <w:r>
        <w:t>Capital Employed as investment cost/project term.</w:t>
      </w:r>
    </w:p>
    <w:p w:rsidR="0065421D" w:rsidRDefault="0065421D" w:rsidP="0065421D">
      <w:pPr>
        <w:pStyle w:val="Heading3"/>
      </w:pPr>
      <w:bookmarkStart w:id="31" w:name="_Toc535606310"/>
      <w:r>
        <w:lastRenderedPageBreak/>
        <w:t>Non-discounting methods of Investment Appraisal</w:t>
      </w:r>
      <w:bookmarkEnd w:id="31"/>
    </w:p>
    <w:p w:rsidR="0065421D" w:rsidRDefault="0065421D" w:rsidP="0065421D">
      <w:r>
        <w:t>4 main methods of capital budget appraisal are commonly used, Accounting Rate of Return (ARR), Payback Period (PP), Net Present Value (NPV), and Internal Rate of Return (IRR). N</w:t>
      </w:r>
      <w:r w:rsidRPr="0065421D">
        <w:t>on-discounting methods</w:t>
      </w:r>
      <w:r>
        <w:t xml:space="preserve"> (as well as non-systematic, ‘intuition-based’</w:t>
      </w:r>
      <w:r w:rsidR="00CB7B5B">
        <w:t xml:space="preserve"> methods) </w:t>
      </w:r>
      <w:r>
        <w:t>of financial appraisal are relatively popular</w:t>
      </w:r>
      <w:r w:rsidR="00CB7B5B">
        <w:t xml:space="preserve">, although limited systems of analysis </w:t>
      </w:r>
      <w:sdt>
        <w:sdtPr>
          <w:id w:val="1500931400"/>
          <w:citation/>
        </w:sdtPr>
        <w:sdtContent>
          <w:r w:rsidR="00CB7B5B">
            <w:fldChar w:fldCharType="begin"/>
          </w:r>
          <w:r w:rsidR="00CB7B5B">
            <w:instrText xml:space="preserve"> CITATION Atr09 \l 2057 </w:instrText>
          </w:r>
          <w:r w:rsidR="00CB7B5B">
            <w:fldChar w:fldCharType="separate"/>
          </w:r>
          <w:r w:rsidR="00A90D87" w:rsidRPr="00A90D87">
            <w:rPr>
              <w:noProof/>
            </w:rPr>
            <w:t>(Atrill, 2009)</w:t>
          </w:r>
          <w:r w:rsidR="00CB7B5B">
            <w:fldChar w:fldCharType="end"/>
          </w:r>
        </w:sdtContent>
      </w:sdt>
      <w:r w:rsidR="00CB7B5B">
        <w:t>.</w:t>
      </w:r>
    </w:p>
    <w:p w:rsidR="00CB7B5B" w:rsidRDefault="00CB7B5B" w:rsidP="0065421D">
      <w:r w:rsidRPr="00E76409">
        <w:t xml:space="preserve">Relatively quick and easy to calculate, </w:t>
      </w:r>
      <w:r w:rsidR="00EE2664" w:rsidRPr="00E76409">
        <w:t>ARR and PP ratios are expressed as percentages and are subsequently popular with managers for their familiar look and feel</w:t>
      </w:r>
      <w:r w:rsidR="00285DB7" w:rsidRPr="00E76409">
        <w:t xml:space="preserve">. </w:t>
      </w:r>
      <w:r w:rsidR="00E76409" w:rsidRPr="00E76409">
        <w:t xml:space="preserve">Discounted Cash-Flow techniques are richer in their projections, but also </w:t>
      </w:r>
      <w:r w:rsidR="00EE4FB2">
        <w:t xml:space="preserve">fuller in their </w:t>
      </w:r>
      <w:r w:rsidR="00E76409" w:rsidRPr="00E76409">
        <w:t>complexities. Managers and decision makers may have limited skills and literacy in the techniques, and therefore rely on more straight forwards and familiar methods in their capital budgeting, thus allowing non-discounting methods to dominate capital budgeting decision making practices</w:t>
      </w:r>
      <w:r w:rsidR="00E76409" w:rsidRPr="00E76409">
        <w:rPr>
          <w:rFonts w:cstheme="minorHAnsi"/>
          <w:color w:val="222222"/>
          <w:shd w:val="clear" w:color="auto" w:fill="FFFFFF"/>
        </w:rPr>
        <w:t xml:space="preserve"> </w:t>
      </w:r>
      <w:sdt>
        <w:sdtPr>
          <w:rPr>
            <w:rFonts w:cstheme="minorHAnsi"/>
          </w:rPr>
          <w:id w:val="1991673333"/>
          <w:citation/>
        </w:sdtPr>
        <w:sdtContent>
          <w:r w:rsidR="00E76409" w:rsidRPr="00E76409">
            <w:rPr>
              <w:rFonts w:cstheme="minorHAnsi"/>
            </w:rPr>
            <w:fldChar w:fldCharType="begin"/>
          </w:r>
          <w:r w:rsidR="00E76409" w:rsidRPr="00E76409">
            <w:rPr>
              <w:rFonts w:cstheme="minorHAnsi"/>
            </w:rPr>
            <w:instrText xml:space="preserve"> CITATION Pik96 \l 2057 </w:instrText>
          </w:r>
          <w:r w:rsidR="00E76409" w:rsidRPr="00E76409">
            <w:rPr>
              <w:rFonts w:cstheme="minorHAnsi"/>
            </w:rPr>
            <w:fldChar w:fldCharType="separate"/>
          </w:r>
          <w:r w:rsidR="00A90D87" w:rsidRPr="00A90D87">
            <w:rPr>
              <w:rFonts w:cstheme="minorHAnsi"/>
              <w:noProof/>
            </w:rPr>
            <w:t>(Pike, 1996)</w:t>
          </w:r>
          <w:r w:rsidR="00E76409" w:rsidRPr="00E76409">
            <w:rPr>
              <w:rFonts w:cstheme="minorHAnsi"/>
            </w:rPr>
            <w:fldChar w:fldCharType="end"/>
          </w:r>
        </w:sdtContent>
      </w:sdt>
      <w:r w:rsidR="00E76409" w:rsidRPr="00E76409">
        <w:rPr>
          <w:rFonts w:cstheme="minorHAnsi"/>
        </w:rPr>
        <w:t xml:space="preserve">, </w:t>
      </w:r>
      <w:sdt>
        <w:sdtPr>
          <w:rPr>
            <w:rFonts w:cstheme="minorHAnsi"/>
            <w:color w:val="222222"/>
            <w:shd w:val="clear" w:color="auto" w:fill="FFFFFF"/>
          </w:rPr>
          <w:id w:val="812757207"/>
          <w:citation/>
        </w:sdtPr>
        <w:sdtContent>
          <w:r w:rsidR="00E76409" w:rsidRPr="00E76409">
            <w:rPr>
              <w:rFonts w:cstheme="minorHAnsi"/>
              <w:color w:val="222222"/>
              <w:shd w:val="clear" w:color="auto" w:fill="FFFFFF"/>
            </w:rPr>
            <w:fldChar w:fldCharType="begin"/>
          </w:r>
          <w:r w:rsidR="00E76409" w:rsidRPr="00E76409">
            <w:rPr>
              <w:rFonts w:cstheme="minorHAnsi"/>
              <w:color w:val="222222"/>
              <w:shd w:val="clear" w:color="auto" w:fill="FFFFFF"/>
            </w:rPr>
            <w:instrText xml:space="preserve"> CITATION Rya02 \l 2057 </w:instrText>
          </w:r>
          <w:r w:rsidR="00E76409" w:rsidRPr="00E76409">
            <w:rPr>
              <w:rFonts w:cstheme="minorHAnsi"/>
              <w:color w:val="222222"/>
              <w:shd w:val="clear" w:color="auto" w:fill="FFFFFF"/>
            </w:rPr>
            <w:fldChar w:fldCharType="separate"/>
          </w:r>
          <w:r w:rsidR="00A90D87" w:rsidRPr="00A90D87">
            <w:rPr>
              <w:rFonts w:cstheme="minorHAnsi"/>
              <w:noProof/>
              <w:color w:val="222222"/>
              <w:shd w:val="clear" w:color="auto" w:fill="FFFFFF"/>
            </w:rPr>
            <w:t>(Ryan &amp; Ryan, 2002)</w:t>
          </w:r>
          <w:r w:rsidR="00E76409" w:rsidRPr="00E76409">
            <w:rPr>
              <w:rFonts w:cstheme="minorHAnsi"/>
              <w:color w:val="222222"/>
              <w:shd w:val="clear" w:color="auto" w:fill="FFFFFF"/>
            </w:rPr>
            <w:fldChar w:fldCharType="end"/>
          </w:r>
        </w:sdtContent>
      </w:sdt>
      <w:r w:rsidR="00E76409" w:rsidRPr="00E76409">
        <w:rPr>
          <w:rFonts w:cstheme="minorHAnsi"/>
          <w:color w:val="222222"/>
          <w:shd w:val="clear" w:color="auto" w:fill="FFFFFF"/>
        </w:rPr>
        <w:t xml:space="preserve">, </w:t>
      </w:r>
      <w:sdt>
        <w:sdtPr>
          <w:rPr>
            <w:rFonts w:cstheme="minorHAnsi"/>
            <w:color w:val="222222"/>
            <w:shd w:val="clear" w:color="auto" w:fill="FFFFFF"/>
          </w:rPr>
          <w:id w:val="-2019683997"/>
          <w:citation/>
        </w:sdtPr>
        <w:sdtContent>
          <w:r w:rsidR="00E76409" w:rsidRPr="00E76409">
            <w:rPr>
              <w:rFonts w:cstheme="minorHAnsi"/>
              <w:color w:val="222222"/>
              <w:shd w:val="clear" w:color="auto" w:fill="FFFFFF"/>
            </w:rPr>
            <w:fldChar w:fldCharType="begin"/>
          </w:r>
          <w:r w:rsidR="00FE755D">
            <w:rPr>
              <w:rFonts w:cstheme="minorHAnsi"/>
              <w:color w:val="222222"/>
              <w:shd w:val="clear" w:color="auto" w:fill="FFFFFF"/>
            </w:rPr>
            <w:instrText xml:space="preserve">CITATION Ros141 \l 2057 </w:instrText>
          </w:r>
          <w:r w:rsidR="00E76409" w:rsidRPr="00E76409">
            <w:rPr>
              <w:rFonts w:cstheme="minorHAnsi"/>
              <w:color w:val="222222"/>
              <w:shd w:val="clear" w:color="auto" w:fill="FFFFFF"/>
            </w:rPr>
            <w:fldChar w:fldCharType="separate"/>
          </w:r>
          <w:r w:rsidR="00A90D87" w:rsidRPr="00A90D87">
            <w:rPr>
              <w:rFonts w:cstheme="minorHAnsi"/>
              <w:noProof/>
              <w:color w:val="222222"/>
              <w:shd w:val="clear" w:color="auto" w:fill="FFFFFF"/>
            </w:rPr>
            <w:t>(Rossi, 2014)</w:t>
          </w:r>
          <w:r w:rsidR="00E76409" w:rsidRPr="00E76409">
            <w:rPr>
              <w:rFonts w:cstheme="minorHAnsi"/>
              <w:color w:val="222222"/>
              <w:shd w:val="clear" w:color="auto" w:fill="FFFFFF"/>
            </w:rPr>
            <w:fldChar w:fldCharType="end"/>
          </w:r>
        </w:sdtContent>
      </w:sdt>
      <w:r w:rsidR="00E76409" w:rsidRPr="00E76409">
        <w:rPr>
          <w:rFonts w:cstheme="minorHAnsi"/>
          <w:color w:val="222222"/>
          <w:shd w:val="clear" w:color="auto" w:fill="FFFFFF"/>
        </w:rPr>
        <w:t>.</w:t>
      </w:r>
    </w:p>
    <w:p w:rsidR="00B8434E" w:rsidRDefault="00B8434E" w:rsidP="00B8434E">
      <w:pPr>
        <w:pStyle w:val="Heading2"/>
      </w:pPr>
      <w:bookmarkStart w:id="32" w:name="_Toc535606311"/>
      <w:r>
        <w:t>Net Present Value (NPV)</w:t>
      </w:r>
      <w:bookmarkEnd w:id="32"/>
    </w:p>
    <w:p w:rsidR="00B8434E" w:rsidRDefault="00B8434E" w:rsidP="00B8434E">
      <w:r>
        <w:t>NPV is viewed as a leading method for appraisal of investment decisions and a stronger option with fewer limitations than either ARR (Accounting Rate of Return), PP (Payback Period), or IRR (Internal Rate of Return)</w:t>
      </w:r>
      <w:r w:rsidR="00FD26EB">
        <w:t xml:space="preserve"> </w:t>
      </w:r>
      <w:sdt>
        <w:sdtPr>
          <w:id w:val="-2057610514"/>
          <w:citation/>
        </w:sdtPr>
        <w:sdtContent>
          <w:r w:rsidR="00FD26EB">
            <w:fldChar w:fldCharType="begin"/>
          </w:r>
          <w:r w:rsidR="00FD26EB">
            <w:instrText xml:space="preserve"> CITATION Dud72 \l 2057 </w:instrText>
          </w:r>
          <w:r w:rsidR="00FD26EB">
            <w:fldChar w:fldCharType="separate"/>
          </w:r>
          <w:r w:rsidR="00A90D87" w:rsidRPr="00A90D87">
            <w:rPr>
              <w:noProof/>
            </w:rPr>
            <w:t>(Dudley Jr, 1972)</w:t>
          </w:r>
          <w:r w:rsidR="00FD26EB">
            <w:fldChar w:fldCharType="end"/>
          </w:r>
        </w:sdtContent>
      </w:sdt>
      <w:r w:rsidR="00FD26EB">
        <w:t>,</w:t>
      </w:r>
      <w:r>
        <w:t xml:space="preserve"> </w:t>
      </w:r>
      <w:sdt>
        <w:sdtPr>
          <w:id w:val="-1701003792"/>
          <w:citation/>
        </w:sdtPr>
        <w:sdtContent>
          <w:r>
            <w:fldChar w:fldCharType="begin"/>
          </w:r>
          <w:r>
            <w:instrText xml:space="preserve"> CITATION Atr09 \l 2057 </w:instrText>
          </w:r>
          <w:r>
            <w:fldChar w:fldCharType="separate"/>
          </w:r>
          <w:r w:rsidR="00A90D87" w:rsidRPr="00A90D87">
            <w:rPr>
              <w:noProof/>
            </w:rPr>
            <w:t>(Atrill, 2009)</w:t>
          </w:r>
          <w:r>
            <w:fldChar w:fldCharType="end"/>
          </w:r>
        </w:sdtContent>
      </w:sdt>
      <w:r>
        <w:t xml:space="preserve">. </w:t>
      </w:r>
      <w:r w:rsidR="00FD26EB">
        <w:t xml:space="preserve">A strength of NPV is the consideration of </w:t>
      </w:r>
      <w:r w:rsidR="00B95445">
        <w:t xml:space="preserve">the role time in realising both costs and benefits of an investment </w:t>
      </w:r>
      <w:sdt>
        <w:sdtPr>
          <w:id w:val="685183360"/>
          <w:citation/>
        </w:sdtPr>
        <w:sdtContent>
          <w:r w:rsidR="00B95445">
            <w:fldChar w:fldCharType="begin"/>
          </w:r>
          <w:r w:rsidR="00B95445">
            <w:instrText xml:space="preserve"> CITATION Sun95 \l 2057 </w:instrText>
          </w:r>
          <w:r w:rsidR="00B95445">
            <w:fldChar w:fldCharType="separate"/>
          </w:r>
          <w:r w:rsidR="00A90D87" w:rsidRPr="00A90D87">
            <w:rPr>
              <w:noProof/>
            </w:rPr>
            <w:t>(Sunde &amp; Lichtenberg, 1995)</w:t>
          </w:r>
          <w:r w:rsidR="00B95445">
            <w:fldChar w:fldCharType="end"/>
          </w:r>
        </w:sdtContent>
      </w:sdt>
      <w:r w:rsidR="00B95445">
        <w:t xml:space="preserve">. More simply described, receipt of £1000 with immediate effect is felt to be more valuable </w:t>
      </w:r>
      <w:proofErr w:type="spellStart"/>
      <w:r w:rsidR="00B95445">
        <w:t>that</w:t>
      </w:r>
      <w:proofErr w:type="spellEnd"/>
      <w:r w:rsidR="00B95445">
        <w:t xml:space="preserve"> £1000 deferred for several months, due in part to missed opportunities for the £1000 to work for the owner, i.e. missed interest, investment, inflation, and risk</w:t>
      </w:r>
      <w:r w:rsidR="00FC2DD4">
        <w:t xml:space="preserve">. Compensation for the increased risk and opportunity loss may be sought in any investment decision, and the NPV </w:t>
      </w:r>
      <w:r w:rsidR="00EE4FB2">
        <w:t xml:space="preserve">method </w:t>
      </w:r>
      <w:r w:rsidR="00FC2DD4">
        <w:t xml:space="preserve">is strongest at sighting decision makers with this information </w:t>
      </w:r>
      <w:sdt>
        <w:sdtPr>
          <w:id w:val="-768540359"/>
          <w:citation/>
        </w:sdtPr>
        <w:sdtContent>
          <w:r w:rsidR="00FC2DD4">
            <w:fldChar w:fldCharType="begin"/>
          </w:r>
          <w:r w:rsidR="00FC2DD4">
            <w:instrText xml:space="preserve"> CITATION Atr09 \l 2057 </w:instrText>
          </w:r>
          <w:r w:rsidR="00FC2DD4">
            <w:fldChar w:fldCharType="separate"/>
          </w:r>
          <w:r w:rsidR="00A90D87" w:rsidRPr="00A90D87">
            <w:rPr>
              <w:noProof/>
            </w:rPr>
            <w:t>(Atrill, 2009)</w:t>
          </w:r>
          <w:r w:rsidR="00FC2DD4">
            <w:fldChar w:fldCharType="end"/>
          </w:r>
        </w:sdtContent>
      </w:sdt>
      <w:r w:rsidR="00FC2DD4">
        <w:t>.</w:t>
      </w:r>
    </w:p>
    <w:p w:rsidR="00B67DD8" w:rsidRDefault="00B67DD8" w:rsidP="00B67DD8">
      <w:pPr>
        <w:pStyle w:val="Heading3"/>
      </w:pPr>
      <w:bookmarkStart w:id="33" w:name="_Toc535606312"/>
      <w:r>
        <w:t xml:space="preserve">Option </w:t>
      </w:r>
      <w:r w:rsidR="004672A5">
        <w:t>(</w:t>
      </w:r>
      <w:r>
        <w:t>a</w:t>
      </w:r>
      <w:r w:rsidR="004672A5">
        <w:t>)</w:t>
      </w:r>
      <w:bookmarkEnd w:id="33"/>
    </w:p>
    <w:p w:rsidR="00B67DD8" w:rsidRPr="00B67DD8" w:rsidRDefault="00050F24" w:rsidP="00B67DD8">
      <w:r>
        <w:t xml:space="preserve">Investment in option </w:t>
      </w:r>
      <w:r w:rsidR="004672A5">
        <w:t>(</w:t>
      </w:r>
      <w:r>
        <w:t xml:space="preserve">a) has </w:t>
      </w:r>
      <w:r w:rsidR="00B66A50">
        <w:t xml:space="preserve">an initial investment price of £750,000. The yield of projected cashflow returns at the end of the accounting period is c£1.9million. </w:t>
      </w:r>
      <w:r w:rsidR="004672A5">
        <w:t>NPV of the investment is £813,000. This means the total future projected cashflows is worth £813,000 immediately, or £1.9million at the end of the accounting period. The NPV value is positive and therefore option (a) should be considered for investment.</w:t>
      </w:r>
    </w:p>
    <w:p w:rsidR="001A790D" w:rsidRDefault="001A790D" w:rsidP="001A790D">
      <w:pPr>
        <w:pStyle w:val="Caption"/>
        <w:keepNext/>
      </w:pPr>
      <w:bookmarkStart w:id="34" w:name="_Toc535606007"/>
      <w:r>
        <w:t xml:space="preserve">Table </w:t>
      </w:r>
      <w:r>
        <w:fldChar w:fldCharType="begin"/>
      </w:r>
      <w:r>
        <w:instrText xml:space="preserve"> SEQ Table \* ARABIC </w:instrText>
      </w:r>
      <w:r>
        <w:fldChar w:fldCharType="separate"/>
      </w:r>
      <w:r w:rsidR="0020743A">
        <w:rPr>
          <w:noProof/>
        </w:rPr>
        <w:t>10</w:t>
      </w:r>
      <w:r>
        <w:fldChar w:fldCharType="end"/>
      </w:r>
      <w:r>
        <w:t xml:space="preserve"> - Option (a) NPV</w:t>
      </w:r>
      <w:bookmarkEnd w:id="34"/>
    </w:p>
    <w:p w:rsidR="00C17008" w:rsidRDefault="00B67DD8" w:rsidP="00B8434E">
      <w:r w:rsidRPr="00B67DD8">
        <w:drawing>
          <wp:inline distT="0" distB="0" distL="0" distR="0">
            <wp:extent cx="5731510" cy="1506716"/>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506716"/>
                    </a:xfrm>
                    <a:prstGeom prst="rect">
                      <a:avLst/>
                    </a:prstGeom>
                    <a:noFill/>
                    <a:ln>
                      <a:noFill/>
                    </a:ln>
                  </pic:spPr>
                </pic:pic>
              </a:graphicData>
            </a:graphic>
          </wp:inline>
        </w:drawing>
      </w:r>
    </w:p>
    <w:p w:rsidR="004672A5" w:rsidRDefault="004672A5" w:rsidP="004E2AD7">
      <w:pPr>
        <w:pStyle w:val="Heading3"/>
      </w:pPr>
      <w:bookmarkStart w:id="35" w:name="_Toc535606313"/>
      <w:r>
        <w:t>Option (b)</w:t>
      </w:r>
      <w:bookmarkEnd w:id="35"/>
    </w:p>
    <w:p w:rsidR="004672A5" w:rsidRPr="00B67DD8" w:rsidRDefault="004672A5" w:rsidP="004672A5">
      <w:r>
        <w:t xml:space="preserve">Investment in option (b) has an initial investment price of £1.2million. The yield of projected cashflow returns at the end of the accounting period is c£2.9million. NPV of the investment is c£1.15million. This means the total future projected cashflows is worth £1.15million immediately, or £2.9million at the end of the accounting period. The NPV value is </w:t>
      </w:r>
      <w:r w:rsidRPr="004672A5">
        <w:t>not</w:t>
      </w:r>
      <w:r>
        <w:t xml:space="preserve"> positive and therefore option (b) should </w:t>
      </w:r>
      <w:r w:rsidRPr="004672A5">
        <w:rPr>
          <w:u w:val="single"/>
        </w:rPr>
        <w:t>not</w:t>
      </w:r>
      <w:r>
        <w:t xml:space="preserve"> be considered for investment.</w:t>
      </w:r>
    </w:p>
    <w:p w:rsidR="001A790D" w:rsidRDefault="001A790D" w:rsidP="001A790D">
      <w:pPr>
        <w:pStyle w:val="Caption"/>
        <w:keepNext/>
      </w:pPr>
      <w:bookmarkStart w:id="36" w:name="_Toc535606008"/>
      <w:r>
        <w:lastRenderedPageBreak/>
        <w:t xml:space="preserve">Table </w:t>
      </w:r>
      <w:r>
        <w:fldChar w:fldCharType="begin"/>
      </w:r>
      <w:r>
        <w:instrText xml:space="preserve"> SEQ Table \* ARABIC </w:instrText>
      </w:r>
      <w:r>
        <w:fldChar w:fldCharType="separate"/>
      </w:r>
      <w:r w:rsidR="0020743A">
        <w:rPr>
          <w:noProof/>
        </w:rPr>
        <w:t>11</w:t>
      </w:r>
      <w:r>
        <w:fldChar w:fldCharType="end"/>
      </w:r>
      <w:r>
        <w:t xml:space="preserve"> - Option (b) NPV</w:t>
      </w:r>
      <w:bookmarkEnd w:id="36"/>
    </w:p>
    <w:p w:rsidR="009A0CFE" w:rsidRDefault="00B67DD8" w:rsidP="009A0CFE">
      <w:r w:rsidRPr="00B67DD8">
        <w:drawing>
          <wp:inline distT="0" distB="0" distL="0" distR="0">
            <wp:extent cx="5731510" cy="150671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506716"/>
                    </a:xfrm>
                    <a:prstGeom prst="rect">
                      <a:avLst/>
                    </a:prstGeom>
                    <a:noFill/>
                    <a:ln>
                      <a:noFill/>
                    </a:ln>
                  </pic:spPr>
                </pic:pic>
              </a:graphicData>
            </a:graphic>
          </wp:inline>
        </w:drawing>
      </w:r>
    </w:p>
    <w:p w:rsidR="004672A5" w:rsidRDefault="004672A5" w:rsidP="004E2AD7">
      <w:pPr>
        <w:pStyle w:val="Heading3"/>
      </w:pPr>
      <w:bookmarkStart w:id="37" w:name="_Toc535606314"/>
      <w:r>
        <w:t>Option (c)</w:t>
      </w:r>
      <w:bookmarkEnd w:id="37"/>
    </w:p>
    <w:p w:rsidR="004672A5" w:rsidRDefault="004672A5" w:rsidP="004672A5">
      <w:r>
        <w:t xml:space="preserve">Investment in option (c) has an initial investment price of £2million. The yield of projected cashflow returns at the end of the accounting period is c£4.5million. NPV of the investment is c£1.64million. This means the total future projected cashflows is worth £1.64million immediately, or £4.5million at the end of the accounting period. The NPV value is </w:t>
      </w:r>
      <w:r w:rsidRPr="004672A5">
        <w:t>not</w:t>
      </w:r>
      <w:r>
        <w:t xml:space="preserve"> positive and therefore option (c) should </w:t>
      </w:r>
      <w:r w:rsidRPr="004672A5">
        <w:rPr>
          <w:u w:val="single"/>
        </w:rPr>
        <w:t>not</w:t>
      </w:r>
      <w:r>
        <w:t xml:space="preserve"> be considered for investment.</w:t>
      </w:r>
    </w:p>
    <w:p w:rsidR="001A790D" w:rsidRDefault="001A790D" w:rsidP="001A790D">
      <w:pPr>
        <w:pStyle w:val="Caption"/>
        <w:keepNext/>
      </w:pPr>
      <w:bookmarkStart w:id="38" w:name="_Toc535606009"/>
      <w:r>
        <w:t xml:space="preserve">Table </w:t>
      </w:r>
      <w:r>
        <w:fldChar w:fldCharType="begin"/>
      </w:r>
      <w:r>
        <w:instrText xml:space="preserve"> SEQ Table \* ARABIC </w:instrText>
      </w:r>
      <w:r>
        <w:fldChar w:fldCharType="separate"/>
      </w:r>
      <w:r w:rsidR="0020743A">
        <w:rPr>
          <w:noProof/>
        </w:rPr>
        <w:t>12</w:t>
      </w:r>
      <w:r>
        <w:fldChar w:fldCharType="end"/>
      </w:r>
      <w:r>
        <w:t xml:space="preserve"> - Option (c) NPV</w:t>
      </w:r>
      <w:bookmarkEnd w:id="38"/>
    </w:p>
    <w:p w:rsidR="00FD26EB" w:rsidRDefault="00B67DD8" w:rsidP="009A0CFE">
      <w:r w:rsidRPr="00B67DD8">
        <w:drawing>
          <wp:inline distT="0" distB="0" distL="0" distR="0">
            <wp:extent cx="5731510" cy="150671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506716"/>
                    </a:xfrm>
                    <a:prstGeom prst="rect">
                      <a:avLst/>
                    </a:prstGeom>
                    <a:noFill/>
                    <a:ln>
                      <a:noFill/>
                    </a:ln>
                  </pic:spPr>
                </pic:pic>
              </a:graphicData>
            </a:graphic>
          </wp:inline>
        </w:drawing>
      </w:r>
    </w:p>
    <w:p w:rsidR="00FD26EB" w:rsidRDefault="00B66A50" w:rsidP="00B66A50">
      <w:pPr>
        <w:pStyle w:val="Heading2"/>
      </w:pPr>
      <w:bookmarkStart w:id="39" w:name="_Toc535606315"/>
      <w:r>
        <w:t>Internal Rate of Return</w:t>
      </w:r>
      <w:r w:rsidR="00927145">
        <w:t xml:space="preserve"> (IRR)</w:t>
      </w:r>
      <w:bookmarkEnd w:id="39"/>
    </w:p>
    <w:p w:rsidR="004672A5" w:rsidRDefault="00927145" w:rsidP="004672A5">
      <w:r>
        <w:t xml:space="preserve">Described as “somewhat laborious” to calculate by hand </w:t>
      </w:r>
      <w:sdt>
        <w:sdtPr>
          <w:id w:val="-1983763109"/>
          <w:citation/>
        </w:sdtPr>
        <w:sdtContent>
          <w:r>
            <w:fldChar w:fldCharType="begin"/>
          </w:r>
          <w:r>
            <w:instrText xml:space="preserve">CITATION Atr09 \p 142 \l 2057 </w:instrText>
          </w:r>
          <w:r>
            <w:fldChar w:fldCharType="separate"/>
          </w:r>
          <w:r w:rsidR="00A90D87" w:rsidRPr="00A90D87">
            <w:rPr>
              <w:noProof/>
            </w:rPr>
            <w:t>(Atrill, 2009, p. 142)</w:t>
          </w:r>
          <w:r>
            <w:fldChar w:fldCharType="end"/>
          </w:r>
        </w:sdtContent>
      </w:sdt>
      <w:r>
        <w:t xml:space="preserve">, IRR is a method of investment appraisal that involves discounting future cashflows that when applied, will show an NPV of 0. </w:t>
      </w:r>
      <w:r w:rsidR="00C5125F">
        <w:t>Harvard Business Review have described IRR as “the rate at which a project break</w:t>
      </w:r>
      <w:r w:rsidR="00073DA3">
        <w:t>s</w:t>
      </w:r>
      <w:r w:rsidR="00C5125F">
        <w:t xml:space="preserve"> even”, and also, “more conceptual than NPV”</w:t>
      </w:r>
      <w:sdt>
        <w:sdtPr>
          <w:id w:val="-692611806"/>
          <w:citation/>
        </w:sdtPr>
        <w:sdtContent>
          <w:r w:rsidR="00C5125F">
            <w:fldChar w:fldCharType="begin"/>
          </w:r>
          <w:r w:rsidR="00C5125F">
            <w:instrText xml:space="preserve"> CITATION Har161 \l 2057 </w:instrText>
          </w:r>
          <w:r w:rsidR="00C5125F">
            <w:fldChar w:fldCharType="separate"/>
          </w:r>
          <w:r w:rsidR="00A90D87">
            <w:rPr>
              <w:noProof/>
            </w:rPr>
            <w:t xml:space="preserve"> </w:t>
          </w:r>
          <w:r w:rsidR="00A90D87" w:rsidRPr="00A90D87">
            <w:rPr>
              <w:noProof/>
            </w:rPr>
            <w:t>(Harvard Business Review, 2016)</w:t>
          </w:r>
          <w:r w:rsidR="00C5125F">
            <w:fldChar w:fldCharType="end"/>
          </w:r>
        </w:sdtContent>
      </w:sdt>
      <w:r w:rsidR="00C5125F">
        <w:t xml:space="preserve">. </w:t>
      </w:r>
      <w:r w:rsidR="00850D94">
        <w:t xml:space="preserve">The process is somewhat </w:t>
      </w:r>
      <w:proofErr w:type="gramStart"/>
      <w:r w:rsidR="00850D94">
        <w:t>iterative</w:t>
      </w:r>
      <w:proofErr w:type="gramEnd"/>
      <w:r w:rsidR="00850D94">
        <w:t xml:space="preserve"> and m</w:t>
      </w:r>
      <w:r w:rsidR="00C5125F">
        <w:t>any financial websites and texts recommend using a financial calculator or a software package for this calculation</w:t>
      </w:r>
      <w:r w:rsidR="000C04D5">
        <w:t xml:space="preserve"> which increases its accessibility, however does not address how users will develop understanding of its underlying mechanics. </w:t>
      </w:r>
    </w:p>
    <w:p w:rsidR="00445C20" w:rsidRDefault="00F16415" w:rsidP="004672A5">
      <w:r>
        <w:t>For calculation of the IRR</w:t>
      </w:r>
      <w:r w:rsidR="00073DA3">
        <w:t>,</w:t>
      </w:r>
      <w:r>
        <w:t xml:space="preserve"> a discounting table </w:t>
      </w:r>
      <w:sdt>
        <w:sdtPr>
          <w:id w:val="-1543444976"/>
          <w:citation/>
        </w:sdtPr>
        <w:sdtContent>
          <w:r>
            <w:fldChar w:fldCharType="begin"/>
          </w:r>
          <w:r>
            <w:instrText xml:space="preserve">CITATION Atr09 \p 527 \l 2057 </w:instrText>
          </w:r>
          <w:r>
            <w:fldChar w:fldCharType="separate"/>
          </w:r>
          <w:r w:rsidR="00A90D87" w:rsidRPr="00A90D87">
            <w:rPr>
              <w:noProof/>
            </w:rPr>
            <w:t>(Atrill, 2009, p. 527)</w:t>
          </w:r>
          <w:r>
            <w:fldChar w:fldCharType="end"/>
          </w:r>
        </w:sdtContent>
      </w:sdt>
      <w:r>
        <w:t xml:space="preserve"> was used</w:t>
      </w:r>
      <w:r w:rsidR="00A35059">
        <w:t xml:space="preserve"> and results summarised below for the NPV and IRR values of the proposed investment options. Hurdle rates are used to assess the value of an investment opportunity, sometimes described as the Minimum Acceptable Rate of Return (MARR) it benchmarks the point at which investors should expect their returns to exceed </w:t>
      </w:r>
      <w:sdt>
        <w:sdtPr>
          <w:id w:val="-746716"/>
          <w:citation/>
        </w:sdtPr>
        <w:sdtContent>
          <w:r w:rsidR="00A35059">
            <w:fldChar w:fldCharType="begin"/>
          </w:r>
          <w:r w:rsidR="00A35059">
            <w:instrText xml:space="preserve"> CITATION CFI15 \l 2057 </w:instrText>
          </w:r>
          <w:r w:rsidR="00A35059">
            <w:fldChar w:fldCharType="separate"/>
          </w:r>
          <w:r w:rsidR="00A90D87" w:rsidRPr="00A90D87">
            <w:rPr>
              <w:noProof/>
            </w:rPr>
            <w:t>(CFI, 2015)</w:t>
          </w:r>
          <w:r w:rsidR="00A35059">
            <w:fldChar w:fldCharType="end"/>
          </w:r>
        </w:sdtContent>
      </w:sdt>
      <w:r w:rsidR="00A35059">
        <w:t>.</w:t>
      </w:r>
      <w:r w:rsidR="00073DA3">
        <w:t xml:space="preserve"> </w:t>
      </w:r>
    </w:p>
    <w:p w:rsidR="00C54737" w:rsidRDefault="00073DA3" w:rsidP="004672A5">
      <w:r>
        <w:t xml:space="preserve">Businesses will set their own benchmarks for Hurdle rates and this may </w:t>
      </w:r>
      <w:r w:rsidR="00445C20">
        <w:t>be</w:t>
      </w:r>
      <w:r>
        <w:t xml:space="preserve"> given some steer from shareholders etc, however a common benchmark of 12% is frequently used due to comparisons with </w:t>
      </w:r>
      <w:proofErr w:type="spellStart"/>
      <w:r>
        <w:t>stockmarket</w:t>
      </w:r>
      <w:proofErr w:type="spellEnd"/>
      <w:r>
        <w:t xml:space="preserve"> returns, although this may be set higher for companies in more volatile markets </w:t>
      </w:r>
      <w:sdt>
        <w:sdtPr>
          <w:id w:val="-1737541297"/>
          <w:citation/>
        </w:sdtPr>
        <w:sdtContent>
          <w:r>
            <w:fldChar w:fldCharType="begin"/>
          </w:r>
          <w:r>
            <w:instrText xml:space="preserve"> CITATION Wik19 \l 2057 </w:instrText>
          </w:r>
          <w:r>
            <w:fldChar w:fldCharType="separate"/>
          </w:r>
          <w:r w:rsidR="00A90D87" w:rsidRPr="00A90D87">
            <w:rPr>
              <w:noProof/>
            </w:rPr>
            <w:t>(Wikipedia, n.d.)</w:t>
          </w:r>
          <w:r>
            <w:fldChar w:fldCharType="end"/>
          </w:r>
        </w:sdtContent>
      </w:sdt>
      <w:r>
        <w:t>. For purposes of this analysis a Hurdle rate of 20% was set</w:t>
      </w:r>
      <w:r w:rsidR="00445C20">
        <w:t xml:space="preserve"> </w:t>
      </w:r>
      <w:proofErr w:type="gramStart"/>
      <w:r w:rsidR="00445C20">
        <w:t>taking into account</w:t>
      </w:r>
      <w:proofErr w:type="gramEnd"/>
      <w:r w:rsidR="00445C20">
        <w:t xml:space="preserve"> 8% Cost of Capital plus allowances for other costs.</w:t>
      </w:r>
    </w:p>
    <w:p w:rsidR="00073DA3" w:rsidRDefault="00445C20" w:rsidP="004672A5">
      <w:r>
        <w:lastRenderedPageBreak/>
        <w:t>Each of the 3 options demonstrated IRR greater than the proposed Hurdle rate of 20% with higher IRR shown against option a and option c showing the smallest IRR. To calculate IRR an excel sheet was created with formulas to extrapolate discount rates beyond 20% as early iterations of option (a) showed that discounting rates of 20% and below would not yield an NPV of 0. Projected cash flows were multiplied by discounting rates to show present value and the total for the project</w:t>
      </w:r>
      <w:r w:rsidR="000A4639">
        <w:t>.</w:t>
      </w:r>
    </w:p>
    <w:p w:rsidR="001A790D" w:rsidRDefault="001A790D" w:rsidP="001A790D">
      <w:pPr>
        <w:pStyle w:val="Caption"/>
        <w:keepNext/>
      </w:pPr>
      <w:bookmarkStart w:id="40" w:name="_Toc535606010"/>
      <w:r>
        <w:t xml:space="preserve">Table </w:t>
      </w:r>
      <w:r>
        <w:fldChar w:fldCharType="begin"/>
      </w:r>
      <w:r>
        <w:instrText xml:space="preserve"> SEQ Table \* ARABIC </w:instrText>
      </w:r>
      <w:r>
        <w:fldChar w:fldCharType="separate"/>
      </w:r>
      <w:r w:rsidR="0020743A">
        <w:rPr>
          <w:noProof/>
        </w:rPr>
        <w:t>13</w:t>
      </w:r>
      <w:r>
        <w:fldChar w:fldCharType="end"/>
      </w:r>
      <w:r>
        <w:t xml:space="preserve"> - Investment options summary</w:t>
      </w:r>
      <w:bookmarkEnd w:id="40"/>
    </w:p>
    <w:p w:rsidR="00784194" w:rsidRDefault="00784194" w:rsidP="00C11B19">
      <w:pPr>
        <w:rPr>
          <w:rFonts w:ascii="Arial" w:hAnsi="Arial" w:cs="Arial"/>
        </w:rPr>
      </w:pPr>
      <w:r w:rsidRPr="00784194">
        <w:drawing>
          <wp:inline distT="0" distB="0" distL="0" distR="0">
            <wp:extent cx="5756744" cy="8442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2796" cy="853972"/>
                    </a:xfrm>
                    <a:prstGeom prst="rect">
                      <a:avLst/>
                    </a:prstGeom>
                    <a:noFill/>
                    <a:ln>
                      <a:noFill/>
                    </a:ln>
                  </pic:spPr>
                </pic:pic>
              </a:graphicData>
            </a:graphic>
          </wp:inline>
        </w:drawing>
      </w:r>
    </w:p>
    <w:p w:rsidR="00451CE8" w:rsidRPr="00EE4FB2" w:rsidRDefault="00451CE8" w:rsidP="00C11B19">
      <w:pPr>
        <w:rPr>
          <w:rFonts w:cstheme="minorHAnsi"/>
        </w:rPr>
      </w:pPr>
      <w:r w:rsidRPr="00EE4FB2">
        <w:rPr>
          <w:rFonts w:cstheme="minorHAnsi"/>
        </w:rPr>
        <w:t xml:space="preserve">Detailed in the tables below are the workings for IRR for options (a) – (c). </w:t>
      </w:r>
    </w:p>
    <w:p w:rsidR="0020743A" w:rsidRDefault="0020743A" w:rsidP="0020743A">
      <w:pPr>
        <w:pStyle w:val="Caption"/>
        <w:keepNext/>
      </w:pPr>
      <w:bookmarkStart w:id="41" w:name="_Toc535606011"/>
      <w:r>
        <w:t xml:space="preserve">Table </w:t>
      </w:r>
      <w:r>
        <w:fldChar w:fldCharType="begin"/>
      </w:r>
      <w:r>
        <w:instrText xml:space="preserve"> SEQ Table \* ARABIC </w:instrText>
      </w:r>
      <w:r>
        <w:fldChar w:fldCharType="separate"/>
      </w:r>
      <w:r>
        <w:rPr>
          <w:noProof/>
        </w:rPr>
        <w:t>14</w:t>
      </w:r>
      <w:r>
        <w:fldChar w:fldCharType="end"/>
      </w:r>
      <w:r>
        <w:t xml:space="preserve"> - Option (a) IRR calculations</w:t>
      </w:r>
      <w:bookmarkEnd w:id="41"/>
    </w:p>
    <w:p w:rsidR="00C54737" w:rsidRDefault="00451CE8" w:rsidP="00C11B19">
      <w:pPr>
        <w:rPr>
          <w:rFonts w:ascii="Arial" w:hAnsi="Arial" w:cs="Arial"/>
        </w:rPr>
      </w:pPr>
      <w:r w:rsidRPr="00451CE8">
        <w:drawing>
          <wp:inline distT="0" distB="0" distL="0" distR="0">
            <wp:extent cx="3877519" cy="1314671"/>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7519" cy="1314671"/>
                    </a:xfrm>
                    <a:prstGeom prst="rect">
                      <a:avLst/>
                    </a:prstGeom>
                    <a:noFill/>
                    <a:ln>
                      <a:noFill/>
                    </a:ln>
                  </pic:spPr>
                </pic:pic>
              </a:graphicData>
            </a:graphic>
          </wp:inline>
        </w:drawing>
      </w:r>
    </w:p>
    <w:p w:rsidR="0020743A" w:rsidRDefault="0020743A" w:rsidP="0020743A">
      <w:pPr>
        <w:pStyle w:val="Caption"/>
        <w:keepNext/>
      </w:pPr>
      <w:bookmarkStart w:id="42" w:name="_Toc535606012"/>
      <w:r>
        <w:t xml:space="preserve">Table </w:t>
      </w:r>
      <w:r>
        <w:fldChar w:fldCharType="begin"/>
      </w:r>
      <w:r>
        <w:instrText xml:space="preserve"> SEQ Table \* ARABIC </w:instrText>
      </w:r>
      <w:r>
        <w:fldChar w:fldCharType="separate"/>
      </w:r>
      <w:r>
        <w:rPr>
          <w:noProof/>
        </w:rPr>
        <w:t>15</w:t>
      </w:r>
      <w:r>
        <w:fldChar w:fldCharType="end"/>
      </w:r>
      <w:r>
        <w:t xml:space="preserve"> - Option (b) IRR calculations</w:t>
      </w:r>
      <w:bookmarkEnd w:id="42"/>
    </w:p>
    <w:p w:rsidR="000A4639" w:rsidRDefault="00451CE8" w:rsidP="00C11B19">
      <w:pPr>
        <w:rPr>
          <w:rFonts w:ascii="Arial" w:hAnsi="Arial" w:cs="Arial"/>
        </w:rPr>
      </w:pPr>
      <w:r w:rsidRPr="00451CE8">
        <w:drawing>
          <wp:inline distT="0" distB="0" distL="0" distR="0">
            <wp:extent cx="3888188" cy="131828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0631" cy="1325898"/>
                    </a:xfrm>
                    <a:prstGeom prst="rect">
                      <a:avLst/>
                    </a:prstGeom>
                    <a:noFill/>
                    <a:ln>
                      <a:noFill/>
                    </a:ln>
                  </pic:spPr>
                </pic:pic>
              </a:graphicData>
            </a:graphic>
          </wp:inline>
        </w:drawing>
      </w:r>
    </w:p>
    <w:p w:rsidR="0020743A" w:rsidRDefault="0020743A" w:rsidP="0020743A">
      <w:pPr>
        <w:pStyle w:val="Caption"/>
        <w:keepNext/>
      </w:pPr>
      <w:bookmarkStart w:id="43" w:name="_Toc535606013"/>
      <w:r>
        <w:t xml:space="preserve">Table </w:t>
      </w:r>
      <w:r>
        <w:fldChar w:fldCharType="begin"/>
      </w:r>
      <w:r>
        <w:instrText xml:space="preserve"> SEQ Table \* ARABIC </w:instrText>
      </w:r>
      <w:r>
        <w:fldChar w:fldCharType="separate"/>
      </w:r>
      <w:r>
        <w:rPr>
          <w:noProof/>
        </w:rPr>
        <w:t>16</w:t>
      </w:r>
      <w:r>
        <w:fldChar w:fldCharType="end"/>
      </w:r>
      <w:r>
        <w:t xml:space="preserve"> - Option (c) IRR calculations</w:t>
      </w:r>
      <w:bookmarkEnd w:id="43"/>
    </w:p>
    <w:p w:rsidR="000A4639" w:rsidRDefault="00451CE8" w:rsidP="00C11B19">
      <w:pPr>
        <w:rPr>
          <w:rFonts w:ascii="Arial" w:hAnsi="Arial" w:cs="Arial"/>
        </w:rPr>
      </w:pPr>
      <w:r w:rsidRPr="00451CE8">
        <w:drawing>
          <wp:inline distT="0" distB="0" distL="0" distR="0">
            <wp:extent cx="3888105" cy="13182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21554" cy="1329601"/>
                    </a:xfrm>
                    <a:prstGeom prst="rect">
                      <a:avLst/>
                    </a:prstGeom>
                    <a:noFill/>
                    <a:ln>
                      <a:noFill/>
                    </a:ln>
                  </pic:spPr>
                </pic:pic>
              </a:graphicData>
            </a:graphic>
          </wp:inline>
        </w:drawing>
      </w:r>
    </w:p>
    <w:p w:rsidR="000A4639" w:rsidRDefault="0027633A" w:rsidP="0027633A">
      <w:pPr>
        <w:pStyle w:val="Heading2"/>
      </w:pPr>
      <w:bookmarkStart w:id="44" w:name="_Toc535606316"/>
      <w:r>
        <w:t>Fundamentals</w:t>
      </w:r>
      <w:bookmarkEnd w:id="44"/>
    </w:p>
    <w:p w:rsidR="0027633A" w:rsidRDefault="0027633A" w:rsidP="0027633A">
      <w:pPr>
        <w:pStyle w:val="Heading3"/>
      </w:pPr>
      <w:bookmarkStart w:id="45" w:name="_Toc535606317"/>
      <w:r>
        <w:t>Profitability</w:t>
      </w:r>
      <w:bookmarkEnd w:id="45"/>
    </w:p>
    <w:p w:rsidR="0027633A" w:rsidRDefault="00AA7282" w:rsidP="0027633A">
      <w:r>
        <w:t xml:space="preserve">Assuming an Operating Margin of 15% a forecast ROCE was created to assess potential profitability of the investments. Assumptions on Capital Employed was crudely stated to be the Initial Investment costs over the project term i.e. Option (a) for example £750k / 4 years = £187.5k/pa. This is flawed </w:t>
      </w:r>
      <w:r>
        <w:lastRenderedPageBreak/>
        <w:t>methodology; however</w:t>
      </w:r>
      <w:r w:rsidR="002D2FC7">
        <w:t>,</w:t>
      </w:r>
      <w:r>
        <w:t xml:space="preserve"> it is consistent</w:t>
      </w:r>
      <w:r w:rsidR="002D2FC7">
        <w:t>. A</w:t>
      </w:r>
      <w:r>
        <w:t xml:space="preserve">nd </w:t>
      </w:r>
      <w:proofErr w:type="gramStart"/>
      <w:r>
        <w:t>so</w:t>
      </w:r>
      <w:proofErr w:type="gramEnd"/>
      <w:r>
        <w:t xml:space="preserve"> whilst comparisons in regards to external investments would not draw valid conclusions, there is some validity in internal comparison as all methodology was equally flawed across each model.</w:t>
      </w:r>
    </w:p>
    <w:p w:rsidR="00B55187" w:rsidRDefault="00B55187" w:rsidP="0027633A">
      <w:r>
        <w:t xml:space="preserve">Option (a) achieves the highest average profitability over the project with 38% mean ROCE. Peak ROCE is achieved in Year 4 by option (b), however mean is slightly lower at 36% and the ROCE for option (b) does not catch up with either competitor before Year 3. Option </w:t>
      </w:r>
      <w:r w:rsidR="000034B4">
        <w:t xml:space="preserve">(c) has the lowest mean ROCE of </w:t>
      </w:r>
      <w:proofErr w:type="gramStart"/>
      <w:r w:rsidR="000034B4">
        <w:t>34%, but</w:t>
      </w:r>
      <w:proofErr w:type="gramEnd"/>
      <w:r w:rsidR="000034B4">
        <w:t xml:space="preserve"> has the best growth between Years 1 &amp; 3. </w:t>
      </w:r>
    </w:p>
    <w:p w:rsidR="0020743A" w:rsidRDefault="0020743A" w:rsidP="0020743A">
      <w:pPr>
        <w:pStyle w:val="Caption"/>
        <w:keepNext/>
      </w:pPr>
      <w:r>
        <w:t xml:space="preserve">Figure </w:t>
      </w:r>
      <w:r>
        <w:fldChar w:fldCharType="begin"/>
      </w:r>
      <w:r>
        <w:instrText xml:space="preserve"> SEQ Figure \* ARABIC </w:instrText>
      </w:r>
      <w:r>
        <w:fldChar w:fldCharType="separate"/>
      </w:r>
      <w:r>
        <w:rPr>
          <w:noProof/>
        </w:rPr>
        <w:t>1</w:t>
      </w:r>
      <w:r>
        <w:fldChar w:fldCharType="end"/>
      </w:r>
      <w:r>
        <w:t xml:space="preserve"> - Projected ROCE years 1-4</w:t>
      </w:r>
    </w:p>
    <w:p w:rsidR="0020743A" w:rsidRDefault="00B55187" w:rsidP="0020743A">
      <w:pPr>
        <w:keepNext/>
      </w:pPr>
      <w:r>
        <w:rPr>
          <w:noProof/>
        </w:rPr>
        <w:drawing>
          <wp:inline distT="0" distB="0" distL="0" distR="0" wp14:anchorId="187175A2">
            <wp:extent cx="3307906" cy="186690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93108" cy="1914986"/>
                    </a:xfrm>
                    <a:prstGeom prst="rect">
                      <a:avLst/>
                    </a:prstGeom>
                    <a:noFill/>
                  </pic:spPr>
                </pic:pic>
              </a:graphicData>
            </a:graphic>
          </wp:inline>
        </w:drawing>
      </w:r>
    </w:p>
    <w:p w:rsidR="00AA7282" w:rsidRDefault="00321C13" w:rsidP="0027633A">
      <w:r>
        <w:t xml:space="preserve">In terms of profit maximisation, option (c) </w:t>
      </w:r>
      <w:r w:rsidR="000E60A4">
        <w:t xml:space="preserve">demonstrates the largest amount of money made for the company over the project period. </w:t>
      </w:r>
      <w:r w:rsidR="009C6687">
        <w:t>Mean yearly profits are around £170k which is over double the profits seen in option (a). If the goal of the organisation is profit maximisation, option (c) would offer the best choice, however the ROCE analysis above favours option (a).</w:t>
      </w:r>
    </w:p>
    <w:p w:rsidR="0020743A" w:rsidRDefault="0020743A" w:rsidP="0020743A">
      <w:pPr>
        <w:pStyle w:val="Caption"/>
        <w:keepNext/>
      </w:pPr>
      <w:bookmarkStart w:id="46" w:name="_Toc535606014"/>
      <w:r>
        <w:t xml:space="preserve">Table </w:t>
      </w:r>
      <w:r>
        <w:fldChar w:fldCharType="begin"/>
      </w:r>
      <w:r>
        <w:instrText xml:space="preserve"> SEQ Table \* ARABIC </w:instrText>
      </w:r>
      <w:r>
        <w:fldChar w:fldCharType="separate"/>
      </w:r>
      <w:r>
        <w:rPr>
          <w:noProof/>
        </w:rPr>
        <w:t>17</w:t>
      </w:r>
      <w:r>
        <w:fldChar w:fldCharType="end"/>
      </w:r>
      <w:r>
        <w:t xml:space="preserve"> - Profit appraisal</w:t>
      </w:r>
      <w:bookmarkEnd w:id="46"/>
    </w:p>
    <w:tbl>
      <w:tblPr>
        <w:tblW w:w="6220" w:type="dxa"/>
        <w:tblInd w:w="-10" w:type="dxa"/>
        <w:tblLook w:val="04A0" w:firstRow="1" w:lastRow="0" w:firstColumn="1" w:lastColumn="0" w:noHBand="0" w:noVBand="1"/>
      </w:tblPr>
      <w:tblGrid>
        <w:gridCol w:w="960"/>
        <w:gridCol w:w="960"/>
        <w:gridCol w:w="960"/>
        <w:gridCol w:w="960"/>
        <w:gridCol w:w="960"/>
        <w:gridCol w:w="1420"/>
      </w:tblGrid>
      <w:tr w:rsidR="00321C13" w:rsidRPr="00321C13" w:rsidTr="00321C13">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b/>
                <w:bCs/>
                <w:color w:val="000000"/>
                <w:lang w:eastAsia="en-GB"/>
              </w:rPr>
            </w:pPr>
            <w:r w:rsidRPr="00321C13">
              <w:rPr>
                <w:rFonts w:ascii="Calibri" w:eastAsia="Times New Roman" w:hAnsi="Calibri" w:cs="Calibri"/>
                <w:b/>
                <w:bCs/>
                <w:color w:val="000000"/>
                <w:lang w:eastAsia="en-GB"/>
              </w:rPr>
              <w:t>Option</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321C13" w:rsidRPr="00321C13" w:rsidRDefault="00321C13" w:rsidP="00321C13">
            <w:pPr>
              <w:spacing w:after="0" w:line="240" w:lineRule="auto"/>
              <w:jc w:val="center"/>
              <w:rPr>
                <w:rFonts w:ascii="Calibri" w:eastAsia="Times New Roman" w:hAnsi="Calibri" w:cs="Calibri"/>
                <w:b/>
                <w:bCs/>
                <w:color w:val="000000"/>
                <w:lang w:eastAsia="en-GB"/>
              </w:rPr>
            </w:pPr>
            <w:r w:rsidRPr="00321C13">
              <w:rPr>
                <w:rFonts w:ascii="Calibri" w:eastAsia="Times New Roman" w:hAnsi="Calibri" w:cs="Calibri"/>
                <w:b/>
                <w:bCs/>
                <w:color w:val="000000"/>
                <w:lang w:eastAsia="en-GB"/>
              </w:rPr>
              <w:t>Year 1</w:t>
            </w:r>
            <w:r>
              <w:rPr>
                <w:rFonts w:ascii="Calibri" w:eastAsia="Times New Roman" w:hAnsi="Calibri" w:cs="Calibri"/>
                <w:b/>
                <w:bCs/>
                <w:color w:val="000000"/>
                <w:lang w:eastAsia="en-GB"/>
              </w:rPr>
              <w:t xml:space="preserve"> (£’000)</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321C13" w:rsidRPr="00321C13" w:rsidRDefault="00321C13" w:rsidP="00321C13">
            <w:pPr>
              <w:spacing w:after="0" w:line="240" w:lineRule="auto"/>
              <w:jc w:val="center"/>
              <w:rPr>
                <w:rFonts w:ascii="Calibri" w:eastAsia="Times New Roman" w:hAnsi="Calibri" w:cs="Calibri"/>
                <w:b/>
                <w:bCs/>
                <w:color w:val="000000"/>
                <w:lang w:eastAsia="en-GB"/>
              </w:rPr>
            </w:pPr>
            <w:r w:rsidRPr="00321C13">
              <w:rPr>
                <w:rFonts w:ascii="Calibri" w:eastAsia="Times New Roman" w:hAnsi="Calibri" w:cs="Calibri"/>
                <w:b/>
                <w:bCs/>
                <w:color w:val="000000"/>
                <w:lang w:eastAsia="en-GB"/>
              </w:rPr>
              <w:t>Year 2</w:t>
            </w:r>
            <w:r>
              <w:rPr>
                <w:rFonts w:ascii="Calibri" w:eastAsia="Times New Roman" w:hAnsi="Calibri" w:cs="Calibri"/>
                <w:b/>
                <w:bCs/>
                <w:color w:val="000000"/>
                <w:lang w:eastAsia="en-GB"/>
              </w:rPr>
              <w:t xml:space="preserve"> (£’000)</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321C13" w:rsidRPr="00321C13" w:rsidRDefault="00321C13" w:rsidP="00321C13">
            <w:pPr>
              <w:spacing w:after="0" w:line="240" w:lineRule="auto"/>
              <w:jc w:val="center"/>
              <w:rPr>
                <w:rFonts w:ascii="Calibri" w:eastAsia="Times New Roman" w:hAnsi="Calibri" w:cs="Calibri"/>
                <w:b/>
                <w:bCs/>
                <w:color w:val="000000"/>
                <w:lang w:eastAsia="en-GB"/>
              </w:rPr>
            </w:pPr>
            <w:r w:rsidRPr="00321C13">
              <w:rPr>
                <w:rFonts w:ascii="Calibri" w:eastAsia="Times New Roman" w:hAnsi="Calibri" w:cs="Calibri"/>
                <w:b/>
                <w:bCs/>
                <w:color w:val="000000"/>
                <w:lang w:eastAsia="en-GB"/>
              </w:rPr>
              <w:t>Year 3</w:t>
            </w:r>
            <w:r>
              <w:rPr>
                <w:rFonts w:ascii="Calibri" w:eastAsia="Times New Roman" w:hAnsi="Calibri" w:cs="Calibri"/>
                <w:b/>
                <w:bCs/>
                <w:color w:val="000000"/>
                <w:lang w:eastAsia="en-GB"/>
              </w:rPr>
              <w:t xml:space="preserve"> (£’000)</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321C13" w:rsidRPr="00321C13" w:rsidRDefault="00321C13" w:rsidP="00321C13">
            <w:pPr>
              <w:spacing w:after="0" w:line="240" w:lineRule="auto"/>
              <w:jc w:val="center"/>
              <w:rPr>
                <w:rFonts w:ascii="Calibri" w:eastAsia="Times New Roman" w:hAnsi="Calibri" w:cs="Calibri"/>
                <w:b/>
                <w:bCs/>
                <w:color w:val="000000"/>
                <w:lang w:eastAsia="en-GB"/>
              </w:rPr>
            </w:pPr>
            <w:r w:rsidRPr="00321C13">
              <w:rPr>
                <w:rFonts w:ascii="Calibri" w:eastAsia="Times New Roman" w:hAnsi="Calibri" w:cs="Calibri"/>
                <w:b/>
                <w:bCs/>
                <w:color w:val="000000"/>
                <w:lang w:eastAsia="en-GB"/>
              </w:rPr>
              <w:t>Year 4</w:t>
            </w:r>
            <w:r>
              <w:rPr>
                <w:rFonts w:ascii="Calibri" w:eastAsia="Times New Roman" w:hAnsi="Calibri" w:cs="Calibri"/>
                <w:b/>
                <w:bCs/>
                <w:color w:val="000000"/>
                <w:lang w:eastAsia="en-GB"/>
              </w:rPr>
              <w:t xml:space="preserve"> (£’000)</w:t>
            </w:r>
          </w:p>
        </w:tc>
        <w:tc>
          <w:tcPr>
            <w:tcW w:w="1420" w:type="dxa"/>
            <w:tcBorders>
              <w:top w:val="single" w:sz="8" w:space="0" w:color="auto"/>
              <w:left w:val="nil"/>
              <w:bottom w:val="single" w:sz="8" w:space="0" w:color="auto"/>
              <w:right w:val="single" w:sz="8"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b/>
                <w:bCs/>
                <w:color w:val="000000"/>
                <w:lang w:eastAsia="en-GB"/>
              </w:rPr>
            </w:pPr>
            <w:r w:rsidRPr="00321C13">
              <w:rPr>
                <w:rFonts w:ascii="Calibri" w:eastAsia="Times New Roman" w:hAnsi="Calibri" w:cs="Calibri"/>
                <w:b/>
                <w:bCs/>
                <w:color w:val="000000"/>
                <w:lang w:eastAsia="en-GB"/>
              </w:rPr>
              <w:t>Total</w:t>
            </w:r>
            <w:r>
              <w:rPr>
                <w:rFonts w:ascii="Calibri" w:eastAsia="Times New Roman" w:hAnsi="Calibri" w:cs="Calibri"/>
                <w:b/>
                <w:bCs/>
                <w:color w:val="000000"/>
                <w:lang w:eastAsia="en-GB"/>
              </w:rPr>
              <w:t xml:space="preserve"> (£’000)</w:t>
            </w:r>
          </w:p>
        </w:tc>
      </w:tr>
      <w:tr w:rsidR="00321C13" w:rsidRPr="00321C13" w:rsidTr="00321C13">
        <w:trPr>
          <w:trHeight w:val="290"/>
        </w:trPr>
        <w:tc>
          <w:tcPr>
            <w:tcW w:w="960" w:type="dxa"/>
            <w:tcBorders>
              <w:top w:val="nil"/>
              <w:left w:val="single" w:sz="8" w:space="0" w:color="auto"/>
              <w:bottom w:val="single" w:sz="4" w:space="0" w:color="auto"/>
              <w:right w:val="single" w:sz="8" w:space="0" w:color="auto"/>
            </w:tcBorders>
            <w:shd w:val="clear" w:color="auto" w:fill="auto"/>
            <w:vAlign w:val="center"/>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(a)</w:t>
            </w:r>
          </w:p>
        </w:tc>
        <w:tc>
          <w:tcPr>
            <w:tcW w:w="960" w:type="dxa"/>
            <w:tcBorders>
              <w:top w:val="nil"/>
              <w:left w:val="nil"/>
              <w:bottom w:val="single" w:sz="4"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60</w:t>
            </w:r>
          </w:p>
        </w:tc>
        <w:tc>
          <w:tcPr>
            <w:tcW w:w="960" w:type="dxa"/>
            <w:tcBorders>
              <w:top w:val="nil"/>
              <w:left w:val="nil"/>
              <w:bottom w:val="single" w:sz="4"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75</w:t>
            </w:r>
          </w:p>
        </w:tc>
        <w:tc>
          <w:tcPr>
            <w:tcW w:w="960" w:type="dxa"/>
            <w:tcBorders>
              <w:top w:val="nil"/>
              <w:left w:val="nil"/>
              <w:bottom w:val="single" w:sz="4"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75</w:t>
            </w:r>
          </w:p>
        </w:tc>
        <w:tc>
          <w:tcPr>
            <w:tcW w:w="960" w:type="dxa"/>
            <w:tcBorders>
              <w:top w:val="nil"/>
              <w:left w:val="nil"/>
              <w:bottom w:val="single" w:sz="4"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75</w:t>
            </w:r>
          </w:p>
        </w:tc>
        <w:tc>
          <w:tcPr>
            <w:tcW w:w="1420" w:type="dxa"/>
            <w:tcBorders>
              <w:top w:val="nil"/>
              <w:left w:val="nil"/>
              <w:bottom w:val="single" w:sz="4" w:space="0" w:color="auto"/>
              <w:right w:val="single" w:sz="8"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285</w:t>
            </w:r>
          </w:p>
        </w:tc>
      </w:tr>
      <w:tr w:rsidR="00321C13" w:rsidRPr="00321C13" w:rsidTr="00321C13">
        <w:trPr>
          <w:trHeight w:val="300"/>
        </w:trPr>
        <w:tc>
          <w:tcPr>
            <w:tcW w:w="960" w:type="dxa"/>
            <w:tcBorders>
              <w:top w:val="nil"/>
              <w:left w:val="single" w:sz="8" w:space="0" w:color="auto"/>
              <w:bottom w:val="single" w:sz="4" w:space="0" w:color="auto"/>
              <w:right w:val="single" w:sz="8" w:space="0" w:color="auto"/>
            </w:tcBorders>
            <w:shd w:val="clear" w:color="auto" w:fill="auto"/>
            <w:vAlign w:val="center"/>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(b)</w:t>
            </w:r>
          </w:p>
        </w:tc>
        <w:tc>
          <w:tcPr>
            <w:tcW w:w="960" w:type="dxa"/>
            <w:tcBorders>
              <w:top w:val="nil"/>
              <w:left w:val="nil"/>
              <w:bottom w:val="single" w:sz="4"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75</w:t>
            </w:r>
          </w:p>
        </w:tc>
        <w:tc>
          <w:tcPr>
            <w:tcW w:w="960" w:type="dxa"/>
            <w:tcBorders>
              <w:top w:val="nil"/>
              <w:left w:val="nil"/>
              <w:bottom w:val="single" w:sz="4"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90</w:t>
            </w:r>
          </w:p>
        </w:tc>
        <w:tc>
          <w:tcPr>
            <w:tcW w:w="960" w:type="dxa"/>
            <w:tcBorders>
              <w:top w:val="nil"/>
              <w:left w:val="nil"/>
              <w:bottom w:val="single" w:sz="4"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120</w:t>
            </w:r>
          </w:p>
        </w:tc>
        <w:tc>
          <w:tcPr>
            <w:tcW w:w="960" w:type="dxa"/>
            <w:tcBorders>
              <w:top w:val="nil"/>
              <w:left w:val="nil"/>
              <w:bottom w:val="single" w:sz="4"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150</w:t>
            </w:r>
          </w:p>
        </w:tc>
        <w:tc>
          <w:tcPr>
            <w:tcW w:w="1420" w:type="dxa"/>
            <w:tcBorders>
              <w:top w:val="nil"/>
              <w:left w:val="nil"/>
              <w:bottom w:val="single" w:sz="4" w:space="0" w:color="auto"/>
              <w:right w:val="single" w:sz="8"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435</w:t>
            </w:r>
          </w:p>
        </w:tc>
      </w:tr>
      <w:tr w:rsidR="00321C13" w:rsidRPr="00321C13" w:rsidTr="00321C13">
        <w:trPr>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(c)</w:t>
            </w:r>
          </w:p>
        </w:tc>
        <w:tc>
          <w:tcPr>
            <w:tcW w:w="960" w:type="dxa"/>
            <w:tcBorders>
              <w:top w:val="nil"/>
              <w:left w:val="nil"/>
              <w:bottom w:val="single" w:sz="8"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75</w:t>
            </w:r>
          </w:p>
        </w:tc>
        <w:tc>
          <w:tcPr>
            <w:tcW w:w="960" w:type="dxa"/>
            <w:tcBorders>
              <w:top w:val="nil"/>
              <w:left w:val="nil"/>
              <w:bottom w:val="single" w:sz="8"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150</w:t>
            </w:r>
          </w:p>
        </w:tc>
        <w:tc>
          <w:tcPr>
            <w:tcW w:w="960" w:type="dxa"/>
            <w:tcBorders>
              <w:top w:val="nil"/>
              <w:left w:val="nil"/>
              <w:bottom w:val="single" w:sz="8"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225</w:t>
            </w:r>
          </w:p>
        </w:tc>
        <w:tc>
          <w:tcPr>
            <w:tcW w:w="960" w:type="dxa"/>
            <w:tcBorders>
              <w:top w:val="nil"/>
              <w:left w:val="nil"/>
              <w:bottom w:val="single" w:sz="8" w:space="0" w:color="auto"/>
              <w:right w:val="single" w:sz="4"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225</w:t>
            </w:r>
          </w:p>
        </w:tc>
        <w:tc>
          <w:tcPr>
            <w:tcW w:w="1420" w:type="dxa"/>
            <w:tcBorders>
              <w:top w:val="nil"/>
              <w:left w:val="nil"/>
              <w:bottom w:val="single" w:sz="8" w:space="0" w:color="auto"/>
              <w:right w:val="single" w:sz="8" w:space="0" w:color="auto"/>
            </w:tcBorders>
            <w:shd w:val="clear" w:color="auto" w:fill="auto"/>
            <w:noWrap/>
            <w:vAlign w:val="bottom"/>
            <w:hideMark/>
          </w:tcPr>
          <w:p w:rsidR="00321C13" w:rsidRPr="00321C13" w:rsidRDefault="00321C13" w:rsidP="00321C13">
            <w:pPr>
              <w:spacing w:after="0" w:line="240" w:lineRule="auto"/>
              <w:jc w:val="center"/>
              <w:rPr>
                <w:rFonts w:ascii="Calibri" w:eastAsia="Times New Roman" w:hAnsi="Calibri" w:cs="Calibri"/>
                <w:color w:val="000000"/>
                <w:lang w:eastAsia="en-GB"/>
              </w:rPr>
            </w:pPr>
            <w:r w:rsidRPr="00321C13">
              <w:rPr>
                <w:rFonts w:ascii="Calibri" w:eastAsia="Times New Roman" w:hAnsi="Calibri" w:cs="Calibri"/>
                <w:color w:val="000000"/>
                <w:lang w:eastAsia="en-GB"/>
              </w:rPr>
              <w:t>675</w:t>
            </w:r>
          </w:p>
        </w:tc>
      </w:tr>
    </w:tbl>
    <w:p w:rsidR="00321C13" w:rsidRDefault="00321C13" w:rsidP="0027633A"/>
    <w:p w:rsidR="00BE19DF" w:rsidRDefault="00BE19DF" w:rsidP="00BE19DF">
      <w:pPr>
        <w:pStyle w:val="Heading2"/>
      </w:pPr>
      <w:bookmarkStart w:id="47" w:name="_Toc535606318"/>
      <w:r>
        <w:t>Investment considerations</w:t>
      </w:r>
      <w:bookmarkEnd w:id="47"/>
    </w:p>
    <w:p w:rsidR="00AF5C40" w:rsidRDefault="00AF5C40" w:rsidP="00AF5C40">
      <w:r>
        <w:t xml:space="preserve">In this financial report we have reviewed the investment potential of 3 differing options: Expanding retail operations, Increasing Web-based operations, and Diversifying manufacturing product lines to conservatories/greenhouses. </w:t>
      </w:r>
      <w:r w:rsidR="00063FE8">
        <w:t xml:space="preserve">Analysis of the data favours investment in either option (a) or option (c), dependant on whether the organisational goal is wealth maximisation (c), or best value return on investment (a). Both options require physical infrastructure development and reliance on traditional models of customer behaviour. </w:t>
      </w:r>
    </w:p>
    <w:p w:rsidR="00063FE8" w:rsidRDefault="00063FE8" w:rsidP="00AF5C40">
      <w:r>
        <w:t xml:space="preserve">The chart below from ONS </w:t>
      </w:r>
      <w:sdt>
        <w:sdtPr>
          <w:id w:val="-1400133299"/>
          <w:citation/>
        </w:sdtPr>
        <w:sdtContent>
          <w:r>
            <w:fldChar w:fldCharType="begin"/>
          </w:r>
          <w:r>
            <w:instrText xml:space="preserve">CITATION ONS181 \n  \l 2057 </w:instrText>
          </w:r>
          <w:r>
            <w:fldChar w:fldCharType="separate"/>
          </w:r>
          <w:r w:rsidR="00A90D87" w:rsidRPr="00A90D87">
            <w:rPr>
              <w:noProof/>
            </w:rPr>
            <w:t>(2018)</w:t>
          </w:r>
          <w:r>
            <w:fldChar w:fldCharType="end"/>
          </w:r>
        </w:sdtContent>
      </w:sdt>
      <w:r>
        <w:t xml:space="preserve"> shows steadily climbing retail spending in the UK market, however in-store performance is relatively static. Projections &amp; future cash flow analysis in this report supports option (a) as a relatively strong proposition, however taking into account market climate and continued growth in online sales there are decisions to be made </w:t>
      </w:r>
      <w:proofErr w:type="gramStart"/>
      <w:r>
        <w:t>in regards to</w:t>
      </w:r>
      <w:proofErr w:type="gramEnd"/>
      <w:r>
        <w:t xml:space="preserve"> future investment. Online trade has increased every year since 2008.</w:t>
      </w:r>
      <w:r w:rsidR="00060E35">
        <w:t xml:space="preserve"> Whilst James Plc modelling suggest option (b) slightly weaker in this analysis it is worth considering the behaviour of the market, but also our competitors.</w:t>
      </w:r>
    </w:p>
    <w:p w:rsidR="0090188A" w:rsidRDefault="0090188A" w:rsidP="00AF5C40">
      <w:r>
        <w:rPr>
          <w:noProof/>
        </w:rPr>
        <w:lastRenderedPageBreak/>
        <w:drawing>
          <wp:inline distT="0" distB="0" distL="0" distR="0" wp14:anchorId="49AB22C9" wp14:editId="45624838">
            <wp:extent cx="4801205" cy="2730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5819" cy="2772934"/>
                    </a:xfrm>
                    <a:prstGeom prst="rect">
                      <a:avLst/>
                    </a:prstGeom>
                    <a:noFill/>
                    <a:ln>
                      <a:noFill/>
                    </a:ln>
                  </pic:spPr>
                </pic:pic>
              </a:graphicData>
            </a:graphic>
          </wp:inline>
        </w:drawing>
      </w:r>
    </w:p>
    <w:p w:rsidR="00060E35" w:rsidRDefault="00060E35" w:rsidP="00AF5C40">
      <w:r>
        <w:t xml:space="preserve">Strategic direction from other similar companies may drive industry sales online and James Plc may not have the agility to respond having committed the capital resource to either retail stores or manufacturing. A secondary aspect of option (b) is potential for future development opportunities to utilise the technological infrastructure in different ways. Many organisations have realised market growth and efficiencies from enhanced technology investment as in the Part 1 case study – Hargreaves Lansdown </w:t>
      </w:r>
      <w:sdt>
        <w:sdtPr>
          <w:id w:val="1490977709"/>
          <w:citation/>
        </w:sdtPr>
        <w:sdtContent>
          <w:r>
            <w:fldChar w:fldCharType="begin"/>
          </w:r>
          <w:r>
            <w:instrText xml:space="preserve"> CITATION Har18 \l 2057 </w:instrText>
          </w:r>
          <w:r>
            <w:fldChar w:fldCharType="separate"/>
          </w:r>
          <w:r w:rsidR="00A90D87" w:rsidRPr="00A90D87">
            <w:rPr>
              <w:noProof/>
            </w:rPr>
            <w:t>(Hargreaves Lansdown, 2018)</w:t>
          </w:r>
          <w:r>
            <w:fldChar w:fldCharType="end"/>
          </w:r>
        </w:sdtContent>
      </w:sdt>
      <w:r>
        <w:t>.</w:t>
      </w:r>
    </w:p>
    <w:p w:rsidR="005548A4" w:rsidRDefault="005548A4" w:rsidP="00AF5C40">
      <w:r>
        <w:t xml:space="preserve">Consideration should be given to how the proposed investment projects are financed and how this may impact the returns on investment, </w:t>
      </w:r>
      <w:proofErr w:type="gramStart"/>
      <w:r>
        <w:t>and also</w:t>
      </w:r>
      <w:proofErr w:type="gramEnd"/>
      <w:r>
        <w:t xml:space="preserve"> the potential impacts on daily operations.</w:t>
      </w:r>
      <w:r w:rsidR="00467F5D">
        <w:t xml:space="preserve"> Leveraging debt to fund investment would come with additional costs and financial implications, therefore a blended approach utilising a portion of retained earnings and some finance would be preferable. If larger capital projects are selected then i</w:t>
      </w:r>
      <w:r w:rsidR="0090188A">
        <w:t xml:space="preserve">t may </w:t>
      </w:r>
      <w:r w:rsidR="000A6C88">
        <w:t xml:space="preserve">be necessary to increase borrowings </w:t>
      </w:r>
      <w:proofErr w:type="gramStart"/>
      <w:r w:rsidR="000A6C88">
        <w:t>in order to</w:t>
      </w:r>
      <w:proofErr w:type="gramEnd"/>
      <w:r w:rsidR="000A6C88">
        <w:t xml:space="preserve"> cover</w:t>
      </w:r>
      <w:r w:rsidR="0058551C">
        <w:t xml:space="preserve"> necessary finance, however this will extend the repayment period and associated costs, therefore financial returns from the project will be required to proportionally return higher levels to offset these costs.</w:t>
      </w:r>
    </w:p>
    <w:p w:rsidR="003354D7" w:rsidRDefault="0058551C" w:rsidP="00AF5C40">
      <w:r>
        <w:t xml:space="preserve">Financing may not be restricted to just borrowing and internal reserves. </w:t>
      </w:r>
      <w:r w:rsidR="00CE550B">
        <w:t xml:space="preserve">Alternative sources of funding may exist for certain workstreams that may have benefits for other agencies. For example, local authorities can apply for ringfenced funding from the IEG grant </w:t>
      </w:r>
      <w:r w:rsidR="00701686">
        <w:t xml:space="preserve">to develop ICT-based technologies and electronic service access </w:t>
      </w:r>
      <w:sdt>
        <w:sdtPr>
          <w:id w:val="850763144"/>
          <w:citation/>
        </w:sdtPr>
        <w:sdtContent>
          <w:r w:rsidR="00701686">
            <w:fldChar w:fldCharType="begin"/>
          </w:r>
          <w:r w:rsidR="00701686">
            <w:instrText xml:space="preserve"> CITATION Gov151 \l 2057 </w:instrText>
          </w:r>
          <w:r w:rsidR="00701686">
            <w:fldChar w:fldCharType="separate"/>
          </w:r>
          <w:r w:rsidR="00A90D87" w:rsidRPr="00A90D87">
            <w:rPr>
              <w:noProof/>
            </w:rPr>
            <w:t>(Gov.uk, 2015)</w:t>
          </w:r>
          <w:r w:rsidR="00701686">
            <w:fldChar w:fldCharType="end"/>
          </w:r>
        </w:sdtContent>
      </w:sdt>
      <w:r w:rsidR="003354D7">
        <w:t xml:space="preserve">. Government portal from the Department for Business, Energy &amp; Industrial Strategy lists access to potential finance streams with filters to help identify most suitable schemes. A brief search of the domain highlighted 93 schemes that may fit criteria for some of the investment options proposed </w:t>
      </w:r>
      <w:sdt>
        <w:sdtPr>
          <w:id w:val="-273559593"/>
          <w:citation/>
        </w:sdtPr>
        <w:sdtContent>
          <w:r w:rsidR="003354D7">
            <w:fldChar w:fldCharType="begin"/>
          </w:r>
          <w:r w:rsidR="003354D7">
            <w:instrText xml:space="preserve"> CITATION Gov19 \l 2057 </w:instrText>
          </w:r>
          <w:r w:rsidR="003354D7">
            <w:fldChar w:fldCharType="separate"/>
          </w:r>
          <w:r w:rsidR="00A90D87" w:rsidRPr="00A90D87">
            <w:rPr>
              <w:noProof/>
            </w:rPr>
            <w:t>(Gov.uk, 2019)</w:t>
          </w:r>
          <w:r w:rsidR="003354D7">
            <w:fldChar w:fldCharType="end"/>
          </w:r>
        </w:sdtContent>
      </w:sdt>
      <w:r w:rsidR="003354D7">
        <w:t xml:space="preserve">. </w:t>
      </w:r>
    </w:p>
    <w:p w:rsidR="00063FE8" w:rsidRPr="00BE19DF" w:rsidRDefault="003354D7" w:rsidP="00AF5C40">
      <w:r>
        <w:t>Identifying grants, loans, or government finance etc will mean that equity in James Plc is preserved</w:t>
      </w:r>
      <w:r w:rsidR="00E923B8">
        <w:t xml:space="preserve">, and this may be a preferential source of capital than raising through a shares issue for example. The most preferable finance sourcing may be a portfolio approach, with moneys identified from revenues, reserves, potential grants, a small share issue, and some capital borrowing. Some research has indicated this approach as beneficial as the risks and benefits to investment are shared, therefore not exposing any one part to too great a degree </w:t>
      </w:r>
      <w:sdt>
        <w:sdtPr>
          <w:id w:val="-49548735"/>
          <w:citation/>
        </w:sdtPr>
        <w:sdtContent>
          <w:r w:rsidR="00E923B8">
            <w:fldChar w:fldCharType="begin"/>
          </w:r>
          <w:r w:rsidR="00E923B8">
            <w:instrText xml:space="preserve"> CITATION Fra10 \l 2057 </w:instrText>
          </w:r>
          <w:r w:rsidR="00E923B8">
            <w:fldChar w:fldCharType="separate"/>
          </w:r>
          <w:r w:rsidR="00A90D87" w:rsidRPr="00A90D87">
            <w:rPr>
              <w:noProof/>
            </w:rPr>
            <w:t>(Francois &amp; Hubner, 2010)</w:t>
          </w:r>
          <w:r w:rsidR="00E923B8">
            <w:fldChar w:fldCharType="end"/>
          </w:r>
        </w:sdtContent>
      </w:sdt>
      <w:r w:rsidR="00E923B8">
        <w:t>.</w:t>
      </w:r>
    </w:p>
    <w:p w:rsidR="00BE19DF" w:rsidRDefault="00AA422F" w:rsidP="00AA422F">
      <w:pPr>
        <w:pStyle w:val="Heading2"/>
      </w:pPr>
      <w:bookmarkStart w:id="48" w:name="_Toc535606319"/>
      <w:r>
        <w:t>Investment Recommendation to the Board</w:t>
      </w:r>
      <w:bookmarkEnd w:id="48"/>
    </w:p>
    <w:p w:rsidR="00AA422F" w:rsidRDefault="00AA422F" w:rsidP="00AA422F">
      <w:r>
        <w:t>Th</w:t>
      </w:r>
      <w:r w:rsidR="00DD3793">
        <w:t xml:space="preserve">is report has appraised </w:t>
      </w:r>
      <w:r w:rsidR="009754B2">
        <w:t xml:space="preserve">4 </w:t>
      </w:r>
      <w:r w:rsidR="00DD3793">
        <w:t>investment proposal</w:t>
      </w:r>
      <w:r w:rsidR="009222D6">
        <w:t xml:space="preserve">s detailed above. </w:t>
      </w:r>
      <w:r w:rsidR="009754B2">
        <w:t xml:space="preserve">Investment consideration 1, do not make an investment. </w:t>
      </w:r>
      <w:r w:rsidR="004E3A09">
        <w:t>In the appraisal of options</w:t>
      </w:r>
      <w:r w:rsidR="00555341">
        <w:t>,</w:t>
      </w:r>
      <w:r w:rsidR="006B7FCE">
        <w:t xml:space="preserve"> the option of maintaining status quo </w:t>
      </w:r>
      <w:r w:rsidR="00555341">
        <w:t xml:space="preserve">is useful to </w:t>
      </w:r>
      <w:r w:rsidR="00555341">
        <w:lastRenderedPageBreak/>
        <w:t>consider</w:t>
      </w:r>
      <w:r w:rsidR="001A17D4">
        <w:t xml:space="preserve">. Risk aversion may lead </w:t>
      </w:r>
      <w:r w:rsidR="003F2795">
        <w:t>decision makers to lean towards status quo, however opportunities for benefits, growth, and improvement may be</w:t>
      </w:r>
      <w:r w:rsidR="00555341">
        <w:t xml:space="preserve"> </w:t>
      </w:r>
      <w:r w:rsidR="003F2795">
        <w:t>missed.</w:t>
      </w:r>
      <w:r w:rsidR="00BD297A">
        <w:t xml:space="preserve"> It is recommended during appraisal that alternatives are considered as a test of the </w:t>
      </w:r>
      <w:r w:rsidR="005457F3">
        <w:t>preferred option</w:t>
      </w:r>
      <w:r w:rsidR="003F2795">
        <w:t xml:space="preserve"> </w:t>
      </w:r>
      <w:sdt>
        <w:sdtPr>
          <w:id w:val="-95561477"/>
          <w:citation/>
        </w:sdtPr>
        <w:sdtContent>
          <w:r w:rsidR="00555341">
            <w:fldChar w:fldCharType="begin"/>
          </w:r>
          <w:r w:rsidR="00555341">
            <w:instrText xml:space="preserve"> CITATION Gov18 \l 2057 </w:instrText>
          </w:r>
          <w:r w:rsidR="00555341">
            <w:fldChar w:fldCharType="separate"/>
          </w:r>
          <w:r w:rsidR="00A90D87" w:rsidRPr="00A90D87">
            <w:rPr>
              <w:noProof/>
            </w:rPr>
            <w:t>(Gov.scot, 2018)</w:t>
          </w:r>
          <w:r w:rsidR="00555341">
            <w:fldChar w:fldCharType="end"/>
          </w:r>
        </w:sdtContent>
      </w:sdt>
      <w:r w:rsidR="00555341">
        <w:t>.</w:t>
      </w:r>
      <w:r w:rsidR="00C108CA">
        <w:t xml:space="preserve"> The recommendation of this report is that </w:t>
      </w:r>
      <w:r w:rsidR="000A3C3D">
        <w:t xml:space="preserve">James Plc </w:t>
      </w:r>
      <w:r w:rsidR="000A3C3D" w:rsidRPr="000A3C3D">
        <w:rPr>
          <w:u w:val="single"/>
        </w:rPr>
        <w:t>should</w:t>
      </w:r>
      <w:r w:rsidR="000A3C3D">
        <w:t xml:space="preserve"> make an investment. Therefore the status quo option should be rejected.</w:t>
      </w:r>
    </w:p>
    <w:p w:rsidR="00C11B19" w:rsidRDefault="00E50C12" w:rsidP="00E50C12">
      <w:r>
        <w:t xml:space="preserve">Detailed options appraisal is described in the sections above and recommendations </w:t>
      </w:r>
      <w:proofErr w:type="gramStart"/>
      <w:r>
        <w:t>take into account</w:t>
      </w:r>
      <w:proofErr w:type="gramEnd"/>
      <w:r>
        <w:t xml:space="preserve"> return on investment (using discounted future cashflow methodology), financing, as well as company objectives.</w:t>
      </w:r>
    </w:p>
    <w:p w:rsidR="00E50C12" w:rsidRDefault="00E50C12" w:rsidP="00E50C12">
      <w:proofErr w:type="gramStart"/>
      <w:r>
        <w:t>On the basis of</w:t>
      </w:r>
      <w:proofErr w:type="gramEnd"/>
      <w:r>
        <w:t xml:space="preserve"> return on investment, option (a) represents the best value investment with the highest IRR and NPV returns. Infrastructure and investment wise there are concerns that this investment may have a shorter half-life than the other options based on market analysis of customer behaviours as detailed by ONS, with more sales moving away from physical retail bases to online sales </w:t>
      </w:r>
      <w:sdt>
        <w:sdtPr>
          <w:id w:val="-1124542061"/>
          <w:citation/>
        </w:sdtPr>
        <w:sdtContent>
          <w:r>
            <w:fldChar w:fldCharType="begin"/>
          </w:r>
          <w:r>
            <w:instrText xml:space="preserve"> CITATION ONS181 \l 2057 </w:instrText>
          </w:r>
          <w:r>
            <w:fldChar w:fldCharType="separate"/>
          </w:r>
          <w:r w:rsidR="00A90D87" w:rsidRPr="00A90D87">
            <w:rPr>
              <w:noProof/>
            </w:rPr>
            <w:t>(ONS, 2018)</w:t>
          </w:r>
          <w:r>
            <w:fldChar w:fldCharType="end"/>
          </w:r>
        </w:sdtContent>
      </w:sdt>
      <w:r>
        <w:t>.</w:t>
      </w:r>
      <w:r w:rsidR="00861ED4">
        <w:t xml:space="preserve"> Gross total cashflows for the investment are also the smallest absolute returns. </w:t>
      </w:r>
      <w:proofErr w:type="gramStart"/>
      <w:r w:rsidR="00861ED4">
        <w:t>In spite of</w:t>
      </w:r>
      <w:proofErr w:type="gramEnd"/>
      <w:r w:rsidR="00861ED4">
        <w:t xml:space="preserve"> the supportive NPV &amp; IRR data, this report recommends this option is </w:t>
      </w:r>
      <w:r w:rsidR="00861ED4" w:rsidRPr="00861ED4">
        <w:rPr>
          <w:u w:val="single"/>
        </w:rPr>
        <w:t>not considered</w:t>
      </w:r>
      <w:r w:rsidR="00861ED4">
        <w:t xml:space="preserve"> for investment at this time.</w:t>
      </w:r>
    </w:p>
    <w:p w:rsidR="00E50C12" w:rsidRDefault="00190BF5" w:rsidP="00190BF5">
      <w:r>
        <w:t xml:space="preserve">Option (c) has the weakest NPV and IRR returns of the 3 available investment proposals </w:t>
      </w:r>
      <w:proofErr w:type="gramStart"/>
      <w:r>
        <w:t>and also</w:t>
      </w:r>
      <w:proofErr w:type="gramEnd"/>
      <w:r>
        <w:t xml:space="preserve"> the highest initial investment costs. Financing the initial costs may be problematic and impactful to James Plc in a slightly restrictive way. Manufacturing allows risk to be shared with other stakeholders, however retail slowdown and changing consumer habits expose this option to downstream risks which mean the risk/return appetite from the board will need to be high. Option (c) has the highest gross cashflow return for the project, however reports a negative NPV. It is recommended by this report that there are more suitable options for investment and therefore this option </w:t>
      </w:r>
      <w:r w:rsidRPr="00190BF5">
        <w:rPr>
          <w:u w:val="single"/>
        </w:rPr>
        <w:t>should not be considered</w:t>
      </w:r>
      <w:r>
        <w:t xml:space="preserve"> at this time.</w:t>
      </w:r>
    </w:p>
    <w:p w:rsidR="00BA39DB" w:rsidRDefault="00BA39DB" w:rsidP="00BA39DB">
      <w:pPr>
        <w:pStyle w:val="Heading3"/>
      </w:pPr>
      <w:bookmarkStart w:id="49" w:name="_Toc535606320"/>
      <w:r>
        <w:t>Preferred Option:</w:t>
      </w:r>
      <w:bookmarkEnd w:id="49"/>
    </w:p>
    <w:p w:rsidR="00BA39DB" w:rsidRPr="00BA39DB" w:rsidRDefault="00BA39DB" w:rsidP="00BA39DB">
      <w:r>
        <w:t>This report recommends option (b) as the preferred option for investment. Moderate initial investment costs mean financing should be achievable and not negatively impactful for James Plc. Return on Investment measured through IRR breaches the 20% hurdle rate</w:t>
      </w:r>
      <w:r w:rsidR="005A2290">
        <w:t>, although NPV</w:t>
      </w:r>
      <w:r w:rsidR="00A01667">
        <w:t xml:space="preserve"> is a slightly negative value</w:t>
      </w:r>
      <w:r w:rsidR="0083002F">
        <w:t xml:space="preserve">. </w:t>
      </w:r>
      <w:r w:rsidR="001A790D">
        <w:t xml:space="preserve">Considering the options as risk based decisions, option (b) is felt to have the most long term potential for wealth maximisation </w:t>
      </w:r>
      <w:sdt>
        <w:sdtPr>
          <w:id w:val="-2022313204"/>
          <w:citation/>
        </w:sdtPr>
        <w:sdtContent>
          <w:r w:rsidR="001A790D">
            <w:fldChar w:fldCharType="begin"/>
          </w:r>
          <w:r w:rsidR="001A790D">
            <w:instrText xml:space="preserve"> CITATION Col07 \l 2057 </w:instrText>
          </w:r>
          <w:r w:rsidR="001A790D">
            <w:fldChar w:fldCharType="separate"/>
          </w:r>
          <w:r w:rsidR="00A90D87" w:rsidRPr="00A90D87">
            <w:rPr>
              <w:noProof/>
            </w:rPr>
            <w:t>(Coleman, 2007)</w:t>
          </w:r>
          <w:r w:rsidR="001A790D">
            <w:fldChar w:fldCharType="end"/>
          </w:r>
        </w:sdtContent>
      </w:sdt>
      <w:r w:rsidR="001A790D">
        <w:t xml:space="preserve"> </w:t>
      </w:r>
      <w:r w:rsidR="0083002F">
        <w:t xml:space="preserve">Internet sales </w:t>
      </w:r>
      <w:r w:rsidR="007A7D98">
        <w:t xml:space="preserve">is a strong growth market for the UK </w:t>
      </w:r>
      <w:sdt>
        <w:sdtPr>
          <w:id w:val="124354435"/>
          <w:citation/>
        </w:sdtPr>
        <w:sdtContent>
          <w:r w:rsidR="007A7D98">
            <w:fldChar w:fldCharType="begin"/>
          </w:r>
          <w:r w:rsidR="007A7D98">
            <w:instrText xml:space="preserve"> CITATION ONS181 \l 2057 </w:instrText>
          </w:r>
          <w:r w:rsidR="007A7D98">
            <w:fldChar w:fldCharType="separate"/>
          </w:r>
          <w:r w:rsidR="00A90D87" w:rsidRPr="00A90D87">
            <w:rPr>
              <w:noProof/>
            </w:rPr>
            <w:t>(ONS, 2018)</w:t>
          </w:r>
          <w:r w:rsidR="007A7D98">
            <w:fldChar w:fldCharType="end"/>
          </w:r>
        </w:sdtContent>
      </w:sdt>
      <w:r w:rsidR="007A7D98">
        <w:t xml:space="preserve"> and therefore it is felt the capital investment into technology infrastructure would have a life beyond the initial project scope. This potential is felt to be worth the trade-off of slightly reduced NPV against option (a). Strong ROCE trajectory (5.2.1) is demonstrated with option (b) achieving the highest ROCE of all investment options in year 4. </w:t>
      </w:r>
    </w:p>
    <w:p w:rsidR="0020743A" w:rsidRDefault="0020743A" w:rsidP="0020743A">
      <w:pPr>
        <w:pStyle w:val="Caption"/>
        <w:keepNext/>
        <w:jc w:val="both"/>
      </w:pPr>
      <w:bookmarkStart w:id="50" w:name="_Toc535606015"/>
      <w:r>
        <w:t xml:space="preserve">Table </w:t>
      </w:r>
      <w:r>
        <w:fldChar w:fldCharType="begin"/>
      </w:r>
      <w:r>
        <w:instrText xml:space="preserve"> SEQ Table \* ARABIC </w:instrText>
      </w:r>
      <w:r>
        <w:fldChar w:fldCharType="separate"/>
      </w:r>
      <w:r>
        <w:rPr>
          <w:noProof/>
        </w:rPr>
        <w:t>18</w:t>
      </w:r>
      <w:r>
        <w:fldChar w:fldCharType="end"/>
      </w:r>
      <w:r>
        <w:t xml:space="preserve"> - Investment options summary</w:t>
      </w:r>
      <w:bookmarkEnd w:id="50"/>
    </w:p>
    <w:p w:rsidR="00E50C12" w:rsidRPr="005278AC" w:rsidRDefault="00E50C12" w:rsidP="00C11B19">
      <w:pPr>
        <w:jc w:val="both"/>
        <w:rPr>
          <w:rFonts w:ascii="Arial" w:hAnsi="Arial" w:cs="Arial"/>
          <w:b/>
        </w:rPr>
      </w:pPr>
      <w:r w:rsidRPr="00784194">
        <w:drawing>
          <wp:inline distT="0" distB="0" distL="0" distR="0" wp14:anchorId="1C3A7206" wp14:editId="093510C6">
            <wp:extent cx="5731510" cy="840284"/>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40284"/>
                    </a:xfrm>
                    <a:prstGeom prst="rect">
                      <a:avLst/>
                    </a:prstGeom>
                    <a:noFill/>
                    <a:ln>
                      <a:noFill/>
                    </a:ln>
                  </pic:spPr>
                </pic:pic>
              </a:graphicData>
            </a:graphic>
          </wp:inline>
        </w:drawing>
      </w:r>
    </w:p>
    <w:p w:rsidR="0020743A" w:rsidRDefault="00C11B19" w:rsidP="00FE755D">
      <w:pPr>
        <w:rPr>
          <w:rFonts w:ascii="Arial" w:hAnsi="Arial" w:cs="Arial"/>
        </w:rPr>
      </w:pPr>
      <w:r w:rsidRPr="005278AC">
        <w:rPr>
          <w:rFonts w:ascii="Arial" w:hAnsi="Arial" w:cs="Arial"/>
        </w:rPr>
        <w:tab/>
      </w:r>
      <w:r w:rsidRPr="005278AC">
        <w:rPr>
          <w:rFonts w:ascii="Arial" w:hAnsi="Arial" w:cs="Arial"/>
        </w:rPr>
        <w:tab/>
      </w:r>
      <w:r w:rsidRPr="005278AC">
        <w:rPr>
          <w:rFonts w:ascii="Arial" w:hAnsi="Arial" w:cs="Arial"/>
        </w:rPr>
        <w:tab/>
      </w:r>
      <w:r w:rsidRPr="005278AC">
        <w:rPr>
          <w:rFonts w:ascii="Arial" w:hAnsi="Arial" w:cs="Arial"/>
        </w:rPr>
        <w:tab/>
      </w:r>
    </w:p>
    <w:p w:rsidR="00FE755D" w:rsidRDefault="00C11B19" w:rsidP="00FE755D">
      <w:r w:rsidRPr="005278AC">
        <w:rPr>
          <w:rFonts w:ascii="Arial" w:hAnsi="Arial" w:cs="Arial"/>
        </w:rPr>
        <w:tab/>
      </w:r>
      <w:r w:rsidRPr="005278AC">
        <w:rPr>
          <w:rFonts w:ascii="Arial" w:hAnsi="Arial" w:cs="Arial"/>
        </w:rPr>
        <w:tab/>
      </w:r>
      <w:r w:rsidRPr="005278AC">
        <w:rPr>
          <w:rFonts w:ascii="Arial" w:hAnsi="Arial" w:cs="Arial"/>
        </w:rPr>
        <w:tab/>
      </w:r>
      <w:r w:rsidRPr="005278AC">
        <w:rPr>
          <w:rFonts w:ascii="Arial" w:hAnsi="Arial" w:cs="Arial"/>
        </w:rPr>
        <w:tab/>
      </w:r>
      <w:r w:rsidRPr="005278AC">
        <w:rPr>
          <w:rFonts w:ascii="Arial" w:hAnsi="Arial" w:cs="Arial"/>
        </w:rPr>
        <w:tab/>
      </w:r>
      <w:r w:rsidRPr="005278AC">
        <w:rPr>
          <w:rFonts w:ascii="Arial" w:hAnsi="Arial" w:cs="Arial"/>
        </w:rPr>
        <w:tab/>
      </w:r>
      <w:r w:rsidRPr="005278AC">
        <w:rPr>
          <w:rFonts w:ascii="Arial" w:hAnsi="Arial" w:cs="Arial"/>
        </w:rPr>
        <w:tab/>
      </w:r>
    </w:p>
    <w:bookmarkStart w:id="51" w:name="_Toc535606321" w:displacedByCustomXml="next"/>
    <w:sdt>
      <w:sdtPr>
        <w:id w:val="645627914"/>
        <w:docPartObj>
          <w:docPartGallery w:val="Bibliographies"/>
          <w:docPartUnique/>
        </w:docPartObj>
      </w:sdtPr>
      <w:sdtEndPr>
        <w:rPr>
          <w:rFonts w:eastAsiaTheme="minorHAnsi" w:cstheme="minorBidi"/>
          <w:b w:val="0"/>
          <w:sz w:val="22"/>
          <w:szCs w:val="22"/>
        </w:rPr>
      </w:sdtEndPr>
      <w:sdtContent>
        <w:p w:rsidR="00FE755D" w:rsidRDefault="00FE755D">
          <w:pPr>
            <w:pStyle w:val="Heading1"/>
          </w:pPr>
          <w:r>
            <w:t>References</w:t>
          </w:r>
          <w:bookmarkEnd w:id="51"/>
        </w:p>
        <w:sdt>
          <w:sdtPr>
            <w:id w:val="-573587230"/>
            <w:bibliography/>
          </w:sdtPr>
          <w:sdtContent>
            <w:p w:rsidR="00A90D87" w:rsidRDefault="00FE755D" w:rsidP="00A90D87">
              <w:pPr>
                <w:pStyle w:val="Bibliography"/>
                <w:rPr>
                  <w:noProof/>
                  <w:sz w:val="24"/>
                  <w:szCs w:val="24"/>
                </w:rPr>
              </w:pPr>
              <w:r>
                <w:fldChar w:fldCharType="begin"/>
              </w:r>
              <w:r>
                <w:instrText xml:space="preserve"> BIBLIOGRAPHY </w:instrText>
              </w:r>
              <w:r>
                <w:fldChar w:fldCharType="separate"/>
              </w:r>
              <w:r w:rsidR="00A90D87">
                <w:rPr>
                  <w:noProof/>
                </w:rPr>
                <w:t xml:space="preserve">Atrill, P., 2009. </w:t>
              </w:r>
              <w:r w:rsidR="00A90D87">
                <w:rPr>
                  <w:i/>
                  <w:iCs/>
                  <w:noProof/>
                </w:rPr>
                <w:t xml:space="preserve">Financial Management for Decision Makers. </w:t>
              </w:r>
              <w:r w:rsidR="00A90D87">
                <w:rPr>
                  <w:noProof/>
                </w:rPr>
                <w:t>5th ed. Harlow: Prentice Hall.</w:t>
              </w:r>
            </w:p>
            <w:p w:rsidR="00A90D87" w:rsidRDefault="00A90D87" w:rsidP="00A90D87">
              <w:pPr>
                <w:pStyle w:val="Bibliography"/>
                <w:rPr>
                  <w:noProof/>
                </w:rPr>
              </w:pPr>
              <w:r>
                <w:rPr>
                  <w:noProof/>
                </w:rPr>
                <w:t xml:space="preserve">CFI, 2015. </w:t>
              </w:r>
              <w:r>
                <w:rPr>
                  <w:i/>
                  <w:iCs/>
                  <w:noProof/>
                </w:rPr>
                <w:t xml:space="preserve">Resources. </w:t>
              </w:r>
              <w:r>
                <w:rPr>
                  <w:noProof/>
                </w:rPr>
                <w:t xml:space="preserve">[Online] </w:t>
              </w:r>
              <w:r>
                <w:rPr>
                  <w:noProof/>
                </w:rPr>
                <w:br/>
                <w:t xml:space="preserve">Available at: </w:t>
              </w:r>
              <w:r>
                <w:rPr>
                  <w:noProof/>
                  <w:u w:val="single"/>
                </w:rPr>
                <w:t>https://corporatefinanceinstitute.com/resources/knowledge/finance/hurdle-rate-definition/</w:t>
              </w:r>
              <w:r>
                <w:rPr>
                  <w:noProof/>
                </w:rPr>
                <w:br/>
                <w:t>[Accessed 17th January 2019].</w:t>
              </w:r>
            </w:p>
            <w:p w:rsidR="00A90D87" w:rsidRDefault="00A90D87" w:rsidP="00A90D87">
              <w:pPr>
                <w:pStyle w:val="Bibliography"/>
                <w:rPr>
                  <w:noProof/>
                </w:rPr>
              </w:pPr>
              <w:r>
                <w:rPr>
                  <w:noProof/>
                </w:rPr>
                <w:t xml:space="preserve">Coleman, L., 2007. Risk and Decision Making by Finance Executives: A Survey Study. </w:t>
              </w:r>
              <w:r>
                <w:rPr>
                  <w:i/>
                  <w:iCs/>
                  <w:noProof/>
                </w:rPr>
                <w:t xml:space="preserve">International Journal of Managerial Finance, </w:t>
              </w:r>
              <w:r>
                <w:rPr>
                  <w:noProof/>
                </w:rPr>
                <w:t>3(1), pp. 108-124.</w:t>
              </w:r>
            </w:p>
            <w:p w:rsidR="00A90D87" w:rsidRDefault="00A90D87" w:rsidP="00A90D87">
              <w:pPr>
                <w:pStyle w:val="Bibliography"/>
                <w:rPr>
                  <w:noProof/>
                </w:rPr>
              </w:pPr>
              <w:r>
                <w:rPr>
                  <w:noProof/>
                </w:rPr>
                <w:t xml:space="preserve">Denning, S., 2014. </w:t>
              </w:r>
              <w:r>
                <w:rPr>
                  <w:i/>
                  <w:iCs/>
                  <w:noProof/>
                </w:rPr>
                <w:t xml:space="preserve">Forbes.com. </w:t>
              </w:r>
              <w:r>
                <w:rPr>
                  <w:noProof/>
                </w:rPr>
                <w:t xml:space="preserve">[Online] </w:t>
              </w:r>
              <w:r>
                <w:rPr>
                  <w:noProof/>
                </w:rPr>
                <w:br/>
                <w:t xml:space="preserve">Available at: </w:t>
              </w:r>
              <w:r>
                <w:rPr>
                  <w:noProof/>
                  <w:u w:val="single"/>
                </w:rPr>
                <w:t>https://www.forbes.com/sites/stevedenning/2014/06/17/why-the-worlds-dumbest-idea-is-finally-dying/#4aba1798104e</w:t>
              </w:r>
              <w:r>
                <w:rPr>
                  <w:noProof/>
                </w:rPr>
                <w:br/>
                <w:t>[Accessed 17th January 2019].</w:t>
              </w:r>
            </w:p>
            <w:p w:rsidR="00A90D87" w:rsidRDefault="00A90D87" w:rsidP="00A90D87">
              <w:pPr>
                <w:pStyle w:val="Bibliography"/>
                <w:rPr>
                  <w:noProof/>
                </w:rPr>
              </w:pPr>
              <w:r>
                <w:rPr>
                  <w:noProof/>
                </w:rPr>
                <w:t xml:space="preserve">Drucker, P. F., 1954. </w:t>
              </w:r>
              <w:r>
                <w:rPr>
                  <w:i/>
                  <w:iCs/>
                  <w:noProof/>
                </w:rPr>
                <w:t xml:space="preserve">The Practice of Management. </w:t>
              </w:r>
              <w:r>
                <w:rPr>
                  <w:noProof/>
                </w:rPr>
                <w:t>1st ed. New York: Harper &amp; Brothers.</w:t>
              </w:r>
            </w:p>
            <w:p w:rsidR="00A90D87" w:rsidRDefault="00A90D87" w:rsidP="00A90D87">
              <w:pPr>
                <w:pStyle w:val="Bibliography"/>
                <w:rPr>
                  <w:noProof/>
                </w:rPr>
              </w:pPr>
              <w:r>
                <w:rPr>
                  <w:noProof/>
                </w:rPr>
                <w:t xml:space="preserve">Dudley Jr, C. L., 1972. A Note on Reinvestment Assumptions in Choosing Between Net Present Value and Internal Rate of Return. </w:t>
              </w:r>
              <w:r>
                <w:rPr>
                  <w:i/>
                  <w:iCs/>
                  <w:noProof/>
                </w:rPr>
                <w:t xml:space="preserve">The Journal of Finance, </w:t>
              </w:r>
              <w:r>
                <w:rPr>
                  <w:noProof/>
                </w:rPr>
                <w:t>27(4), pp. 907-915.</w:t>
              </w:r>
            </w:p>
            <w:p w:rsidR="00A90D87" w:rsidRDefault="00A90D87" w:rsidP="00A90D87">
              <w:pPr>
                <w:pStyle w:val="Bibliography"/>
                <w:rPr>
                  <w:noProof/>
                </w:rPr>
              </w:pPr>
              <w:r>
                <w:rPr>
                  <w:noProof/>
                </w:rPr>
                <w:t xml:space="preserve">Emerson, J., 2003. The Blended Value Proposition: Integrating Social and Financial Returns. </w:t>
              </w:r>
              <w:r>
                <w:rPr>
                  <w:i/>
                  <w:iCs/>
                  <w:noProof/>
                </w:rPr>
                <w:t xml:space="preserve">California Management Review, </w:t>
              </w:r>
              <w:r>
                <w:rPr>
                  <w:noProof/>
                </w:rPr>
                <w:t>45(4), pp. 35-51.</w:t>
              </w:r>
            </w:p>
            <w:p w:rsidR="00A90D87" w:rsidRDefault="00A90D87" w:rsidP="00A90D87">
              <w:pPr>
                <w:pStyle w:val="Bibliography"/>
                <w:rPr>
                  <w:noProof/>
                </w:rPr>
              </w:pPr>
              <w:r>
                <w:rPr>
                  <w:noProof/>
                </w:rPr>
                <w:t xml:space="preserve">Faello, J., 2015. Understanding the Limitations of Financial Ratios. </w:t>
              </w:r>
              <w:r>
                <w:rPr>
                  <w:i/>
                  <w:iCs/>
                  <w:noProof/>
                </w:rPr>
                <w:t xml:space="preserve">Academy of Accounting and Financial Studies Journal, </w:t>
              </w:r>
              <w:r>
                <w:rPr>
                  <w:noProof/>
                </w:rPr>
                <w:t>19(3), p. 75.</w:t>
              </w:r>
            </w:p>
            <w:p w:rsidR="00A90D87" w:rsidRDefault="00A90D87" w:rsidP="00A90D87">
              <w:pPr>
                <w:pStyle w:val="Bibliography"/>
                <w:rPr>
                  <w:noProof/>
                </w:rPr>
              </w:pPr>
              <w:r>
                <w:rPr>
                  <w:noProof/>
                </w:rPr>
                <w:t xml:space="preserve">FCA, 2015. </w:t>
              </w:r>
              <w:r>
                <w:rPr>
                  <w:i/>
                  <w:iCs/>
                  <w:noProof/>
                </w:rPr>
                <w:t xml:space="preserve">Cash Savings Market Study Report: part 1, </w:t>
              </w:r>
              <w:r>
                <w:rPr>
                  <w:noProof/>
                </w:rPr>
                <w:t>London: FCA.</w:t>
              </w:r>
            </w:p>
            <w:p w:rsidR="00A90D87" w:rsidRDefault="00A90D87" w:rsidP="00A90D87">
              <w:pPr>
                <w:pStyle w:val="Bibliography"/>
                <w:rPr>
                  <w:noProof/>
                </w:rPr>
              </w:pPr>
              <w:r>
                <w:rPr>
                  <w:noProof/>
                </w:rPr>
                <w:t xml:space="preserve">Financial Times, 2018. </w:t>
              </w:r>
              <w:r>
                <w:rPr>
                  <w:i/>
                  <w:iCs/>
                  <w:noProof/>
                </w:rPr>
                <w:t xml:space="preserve">fastFT. </w:t>
              </w:r>
              <w:r>
                <w:rPr>
                  <w:noProof/>
                </w:rPr>
                <w:t xml:space="preserve">[Online] </w:t>
              </w:r>
              <w:r>
                <w:rPr>
                  <w:noProof/>
                </w:rPr>
                <w:br/>
                <w:t xml:space="preserve">Available at: </w:t>
              </w:r>
              <w:r>
                <w:rPr>
                  <w:noProof/>
                  <w:u w:val="single"/>
                </w:rPr>
                <w:t>https://www.ft.com/content/e4d4f070-5802-11e8-b8b2-d6ceb45fa9d0</w:t>
              </w:r>
              <w:r>
                <w:rPr>
                  <w:noProof/>
                </w:rPr>
                <w:br/>
                <w:t>[Accessed 8th January 2019].</w:t>
              </w:r>
            </w:p>
            <w:p w:rsidR="00A90D87" w:rsidRDefault="00A90D87" w:rsidP="00A90D87">
              <w:pPr>
                <w:pStyle w:val="Bibliography"/>
                <w:rPr>
                  <w:noProof/>
                </w:rPr>
              </w:pPr>
              <w:r>
                <w:rPr>
                  <w:noProof/>
                </w:rPr>
                <w:t xml:space="preserve">Francois, P. &amp; Hubner, G., 2010. </w:t>
              </w:r>
              <w:r>
                <w:rPr>
                  <w:i/>
                  <w:iCs/>
                  <w:noProof/>
                </w:rPr>
                <w:t xml:space="preserve">A Portfolio Approach to Venture Capital Financing, </w:t>
              </w:r>
              <w:r>
                <w:rPr>
                  <w:noProof/>
                </w:rPr>
                <w:t>Montreal: EDHEC.</w:t>
              </w:r>
            </w:p>
            <w:p w:rsidR="00A90D87" w:rsidRDefault="00A90D87" w:rsidP="00A90D87">
              <w:pPr>
                <w:pStyle w:val="Bibliography"/>
                <w:rPr>
                  <w:noProof/>
                </w:rPr>
              </w:pPr>
              <w:r>
                <w:rPr>
                  <w:noProof/>
                </w:rPr>
                <w:t xml:space="preserve">Friedman, F., 1970. A Friednzan doctrine. </w:t>
              </w:r>
              <w:r>
                <w:rPr>
                  <w:i/>
                  <w:iCs/>
                  <w:noProof/>
                </w:rPr>
                <w:t>The New York Times Magazine</w:t>
              </w:r>
              <w:r>
                <w:rPr>
                  <w:noProof/>
                </w:rPr>
                <w:t>, 13th September, p. 17.</w:t>
              </w:r>
            </w:p>
            <w:p w:rsidR="00A90D87" w:rsidRDefault="00A90D87" w:rsidP="00A90D87">
              <w:pPr>
                <w:pStyle w:val="Bibliography"/>
                <w:rPr>
                  <w:noProof/>
                </w:rPr>
              </w:pPr>
              <w:r>
                <w:rPr>
                  <w:noProof/>
                </w:rPr>
                <w:t xml:space="preserve">FT, 2018. </w:t>
              </w:r>
              <w:r>
                <w:rPr>
                  <w:i/>
                  <w:iCs/>
                  <w:noProof/>
                </w:rPr>
                <w:t xml:space="preserve">Brexit. </w:t>
              </w:r>
              <w:r>
                <w:rPr>
                  <w:noProof/>
                </w:rPr>
                <w:t xml:space="preserve">[Online] </w:t>
              </w:r>
              <w:r>
                <w:rPr>
                  <w:noProof/>
                </w:rPr>
                <w:br/>
                <w:t xml:space="preserve">Available at: </w:t>
              </w:r>
              <w:r>
                <w:rPr>
                  <w:noProof/>
                  <w:u w:val="single"/>
                </w:rPr>
                <w:t>https://www.ft.com/content/88cdec40-b03c-11e8-8d14-6f049d06439c</w:t>
              </w:r>
              <w:r>
                <w:rPr>
                  <w:noProof/>
                </w:rPr>
                <w:br/>
                <w:t>[Accessed 9th January 2019].</w:t>
              </w:r>
            </w:p>
            <w:p w:rsidR="00A90D87" w:rsidRDefault="00A90D87" w:rsidP="00A90D87">
              <w:pPr>
                <w:pStyle w:val="Bibliography"/>
                <w:rPr>
                  <w:noProof/>
                </w:rPr>
              </w:pPr>
              <w:r>
                <w:rPr>
                  <w:noProof/>
                </w:rPr>
                <w:t xml:space="preserve">Gov.scot, 2018. </w:t>
              </w:r>
              <w:r>
                <w:rPr>
                  <w:i/>
                  <w:iCs/>
                  <w:noProof/>
                </w:rPr>
                <w:t xml:space="preserve">Investment Appraisal. </w:t>
              </w:r>
              <w:r>
                <w:rPr>
                  <w:noProof/>
                </w:rPr>
                <w:t xml:space="preserve">[Online] </w:t>
              </w:r>
              <w:r>
                <w:rPr>
                  <w:noProof/>
                </w:rPr>
                <w:br/>
                <w:t xml:space="preserve">Available at: </w:t>
              </w:r>
              <w:r>
                <w:rPr>
                  <w:noProof/>
                  <w:u w:val="single"/>
                </w:rPr>
                <w:t>https://www.mygov.scot/investment-appraisal/</w:t>
              </w:r>
              <w:r>
                <w:rPr>
                  <w:noProof/>
                </w:rPr>
                <w:br/>
                <w:t>[Accessed 17th January 2019].</w:t>
              </w:r>
            </w:p>
            <w:p w:rsidR="00A90D87" w:rsidRDefault="00A90D87" w:rsidP="00A90D87">
              <w:pPr>
                <w:pStyle w:val="Bibliography"/>
                <w:rPr>
                  <w:noProof/>
                </w:rPr>
              </w:pPr>
              <w:r>
                <w:rPr>
                  <w:noProof/>
                </w:rPr>
                <w:t xml:space="preserve">Gov.uk, 2015. </w:t>
              </w:r>
              <w:r>
                <w:rPr>
                  <w:i/>
                  <w:iCs/>
                  <w:noProof/>
                </w:rPr>
                <w:t xml:space="preserve">Modern Gov. </w:t>
              </w:r>
              <w:r>
                <w:rPr>
                  <w:noProof/>
                </w:rPr>
                <w:t xml:space="preserve">[Online] </w:t>
              </w:r>
              <w:r>
                <w:rPr>
                  <w:noProof/>
                </w:rPr>
                <w:br/>
                <w:t xml:space="preserve">Available at: </w:t>
              </w:r>
              <w:r>
                <w:rPr>
                  <w:noProof/>
                  <w:u w:val="single"/>
                </w:rPr>
                <w:t>https://moderngov.dover.gov.uk/Data/Cabinet/20040927/Agenda/$Agenda05_AppendixC.doc.pdf</w:t>
              </w:r>
              <w:r>
                <w:rPr>
                  <w:noProof/>
                </w:rPr>
                <w:br/>
                <w:t>[Accessed 17th January 2019].</w:t>
              </w:r>
            </w:p>
            <w:p w:rsidR="00A90D87" w:rsidRDefault="00A90D87" w:rsidP="00A90D87">
              <w:pPr>
                <w:pStyle w:val="Bibliography"/>
                <w:rPr>
                  <w:noProof/>
                </w:rPr>
              </w:pPr>
              <w:r>
                <w:rPr>
                  <w:noProof/>
                </w:rPr>
                <w:t xml:space="preserve">Gov.uk, 2019. </w:t>
              </w:r>
              <w:r>
                <w:rPr>
                  <w:i/>
                  <w:iCs/>
                  <w:noProof/>
                </w:rPr>
                <w:t xml:space="preserve">Department for Business, Energy &amp; Industrial Strategy. </w:t>
              </w:r>
              <w:r>
                <w:rPr>
                  <w:noProof/>
                </w:rPr>
                <w:t xml:space="preserve">[Online] </w:t>
              </w:r>
              <w:r>
                <w:rPr>
                  <w:noProof/>
                </w:rPr>
                <w:br/>
                <w:t xml:space="preserve">Available at: </w:t>
              </w:r>
              <w:r>
                <w:rPr>
                  <w:noProof/>
                  <w:u w:val="single"/>
                </w:rPr>
                <w:t>https://www.gov.uk/business-finance-support?keywords=&amp;types_of_support%5B%5D=finance&amp;types_of_support%5B%5D=equity&amp;types_</w:t>
              </w:r>
              <w:r>
                <w:rPr>
                  <w:noProof/>
                  <w:u w:val="single"/>
                </w:rPr>
                <w:lastRenderedPageBreak/>
                <w:t>of_support%5B%5D=grant&amp;types_of_support%5B%5D=loan&amp;business_stages%5B%5D=established&amp;industries%5B%5D=manufacturing&amp;business_sizes%5B%</w:t>
              </w:r>
              <w:r>
                <w:rPr>
                  <w:noProof/>
                </w:rPr>
                <w:br/>
                <w:t>[Accessed 17th January 2019].</w:t>
              </w:r>
            </w:p>
            <w:p w:rsidR="00A90D87" w:rsidRDefault="00A90D87" w:rsidP="00A90D87">
              <w:pPr>
                <w:pStyle w:val="Bibliography"/>
                <w:rPr>
                  <w:noProof/>
                </w:rPr>
              </w:pPr>
              <w:r>
                <w:rPr>
                  <w:noProof/>
                </w:rPr>
                <w:t xml:space="preserve">Halkos, G. E. &amp; Salamouris, D. S., 2004. Efficiency Measurement of the Greek Commercial Banks with use of Financial Ratios. </w:t>
              </w:r>
              <w:r>
                <w:rPr>
                  <w:i/>
                  <w:iCs/>
                  <w:noProof/>
                </w:rPr>
                <w:t xml:space="preserve">Management Accounting Research, </w:t>
              </w:r>
              <w:r>
                <w:rPr>
                  <w:noProof/>
                </w:rPr>
                <w:t>15(2), pp. 201-224.</w:t>
              </w:r>
            </w:p>
            <w:p w:rsidR="00A90D87" w:rsidRDefault="00A90D87" w:rsidP="00A90D87">
              <w:pPr>
                <w:pStyle w:val="Bibliography"/>
                <w:rPr>
                  <w:noProof/>
                </w:rPr>
              </w:pPr>
              <w:r>
                <w:rPr>
                  <w:noProof/>
                </w:rPr>
                <w:t xml:space="preserve">Hargreaves Lansdown, 2018. </w:t>
              </w:r>
              <w:r>
                <w:rPr>
                  <w:i/>
                  <w:iCs/>
                  <w:noProof/>
                </w:rPr>
                <w:t xml:space="preserve">Annual Report 2018, </w:t>
              </w:r>
              <w:r>
                <w:rPr>
                  <w:noProof/>
                </w:rPr>
                <w:t>Bristol: Hargreaves Lansdown.</w:t>
              </w:r>
            </w:p>
            <w:p w:rsidR="00A90D87" w:rsidRDefault="00A90D87" w:rsidP="00A90D87">
              <w:pPr>
                <w:pStyle w:val="Bibliography"/>
                <w:rPr>
                  <w:noProof/>
                </w:rPr>
              </w:pPr>
              <w:r>
                <w:rPr>
                  <w:noProof/>
                </w:rPr>
                <w:t xml:space="preserve">Hargreaves Lansdown, 2018. </w:t>
              </w:r>
              <w:r>
                <w:rPr>
                  <w:i/>
                  <w:iCs/>
                  <w:noProof/>
                </w:rPr>
                <w:t xml:space="preserve">Key Financial Data. </w:t>
              </w:r>
              <w:r>
                <w:rPr>
                  <w:noProof/>
                </w:rPr>
                <w:t xml:space="preserve">[Online] </w:t>
              </w:r>
              <w:r>
                <w:rPr>
                  <w:noProof/>
                </w:rPr>
                <w:br/>
                <w:t xml:space="preserve">Available at: </w:t>
              </w:r>
              <w:r>
                <w:rPr>
                  <w:noProof/>
                  <w:u w:val="single"/>
                </w:rPr>
                <w:t>https://www.hl.co.uk/investor-relations/key-financial-data</w:t>
              </w:r>
              <w:r>
                <w:rPr>
                  <w:noProof/>
                </w:rPr>
                <w:br/>
                <w:t>[Accessed 10th January 2019].</w:t>
              </w:r>
            </w:p>
            <w:p w:rsidR="00A90D87" w:rsidRDefault="00A90D87" w:rsidP="00A90D87">
              <w:pPr>
                <w:pStyle w:val="Bibliography"/>
                <w:rPr>
                  <w:noProof/>
                </w:rPr>
              </w:pPr>
              <w:r>
                <w:rPr>
                  <w:noProof/>
                </w:rPr>
                <w:t xml:space="preserve">Hargreaves Lansdown, 2019. </w:t>
              </w:r>
              <w:r>
                <w:rPr>
                  <w:i/>
                  <w:iCs/>
                  <w:noProof/>
                </w:rPr>
                <w:t xml:space="preserve">The HL Business. </w:t>
              </w:r>
              <w:r>
                <w:rPr>
                  <w:noProof/>
                </w:rPr>
                <w:t xml:space="preserve">[Online] </w:t>
              </w:r>
              <w:r>
                <w:rPr>
                  <w:noProof/>
                </w:rPr>
                <w:br/>
                <w:t xml:space="preserve">Available at: </w:t>
              </w:r>
              <w:r>
                <w:rPr>
                  <w:noProof/>
                  <w:u w:val="single"/>
                </w:rPr>
                <w:t>https://www.hl.co.uk/investor-relations/the-hl-business</w:t>
              </w:r>
              <w:r>
                <w:rPr>
                  <w:noProof/>
                </w:rPr>
                <w:br/>
                <w:t>[Accessed 7th January 2019].</w:t>
              </w:r>
            </w:p>
            <w:p w:rsidR="00A90D87" w:rsidRDefault="00A90D87" w:rsidP="00A90D87">
              <w:pPr>
                <w:pStyle w:val="Bibliography"/>
                <w:rPr>
                  <w:noProof/>
                </w:rPr>
              </w:pPr>
              <w:r>
                <w:rPr>
                  <w:noProof/>
                </w:rPr>
                <w:t xml:space="preserve">Harvard Business Review, 2016. </w:t>
              </w:r>
              <w:r>
                <w:rPr>
                  <w:i/>
                  <w:iCs/>
                  <w:noProof/>
                </w:rPr>
                <w:t xml:space="preserve">Financial Analysis. </w:t>
              </w:r>
              <w:r>
                <w:rPr>
                  <w:noProof/>
                </w:rPr>
                <w:t xml:space="preserve">[Online] </w:t>
              </w:r>
              <w:r>
                <w:rPr>
                  <w:noProof/>
                </w:rPr>
                <w:br/>
                <w:t xml:space="preserve">Available at: </w:t>
              </w:r>
              <w:r>
                <w:rPr>
                  <w:noProof/>
                  <w:u w:val="single"/>
                </w:rPr>
                <w:t>https://hbr.org/2016/03/a-refresher-on-internal-rate-of-return</w:t>
              </w:r>
              <w:r>
                <w:rPr>
                  <w:noProof/>
                </w:rPr>
                <w:br/>
                <w:t>[Accessed 17th January 2019].</w:t>
              </w:r>
            </w:p>
            <w:p w:rsidR="00A90D87" w:rsidRDefault="00A90D87" w:rsidP="00A90D87">
              <w:pPr>
                <w:pStyle w:val="Bibliography"/>
                <w:rPr>
                  <w:noProof/>
                </w:rPr>
              </w:pPr>
              <w:r>
                <w:rPr>
                  <w:noProof/>
                </w:rPr>
                <w:t xml:space="preserve">Hays, F., De Lurgio, S. A. &amp; Gilbert Jr, A. H., 2009. Efficiency Ratios and Community Bank Performance. </w:t>
              </w:r>
              <w:r>
                <w:rPr>
                  <w:i/>
                  <w:iCs/>
                  <w:noProof/>
                </w:rPr>
                <w:t xml:space="preserve">Journal of Finance and Accountancy, </w:t>
              </w:r>
              <w:r>
                <w:rPr>
                  <w:noProof/>
                </w:rPr>
                <w:t>1(1), pp. 1-15.</w:t>
              </w:r>
            </w:p>
            <w:p w:rsidR="00A90D87" w:rsidRDefault="00A90D87" w:rsidP="00A90D87">
              <w:pPr>
                <w:pStyle w:val="Bibliography"/>
                <w:rPr>
                  <w:noProof/>
                </w:rPr>
              </w:pPr>
              <w:r>
                <w:rPr>
                  <w:noProof/>
                </w:rPr>
                <w:t xml:space="preserve">Hillman, A. J. &amp; Keim, G. D., 2001. Shareholder Value, Stakeholder Management, and Social Issues: What's the Bottom Line?. </w:t>
              </w:r>
              <w:r>
                <w:rPr>
                  <w:i/>
                  <w:iCs/>
                  <w:noProof/>
                </w:rPr>
                <w:t xml:space="preserve">Strategic Management Journal, </w:t>
              </w:r>
              <w:r>
                <w:rPr>
                  <w:noProof/>
                </w:rPr>
                <w:t>22(2), pp. 125-139.</w:t>
              </w:r>
            </w:p>
            <w:p w:rsidR="00A90D87" w:rsidRDefault="00A90D87" w:rsidP="00A90D87">
              <w:pPr>
                <w:pStyle w:val="Bibliography"/>
                <w:rPr>
                  <w:noProof/>
                </w:rPr>
              </w:pPr>
              <w:r>
                <w:rPr>
                  <w:noProof/>
                </w:rPr>
                <w:t xml:space="preserve">Investing.com, 2019. </w:t>
              </w:r>
              <w:r>
                <w:rPr>
                  <w:i/>
                  <w:iCs/>
                  <w:noProof/>
                </w:rPr>
                <w:t xml:space="preserve">Markets &amp; Shares. </w:t>
              </w:r>
              <w:r>
                <w:rPr>
                  <w:noProof/>
                </w:rPr>
                <w:t xml:space="preserve">[Online] </w:t>
              </w:r>
              <w:r>
                <w:rPr>
                  <w:noProof/>
                </w:rPr>
                <w:br/>
                <w:t xml:space="preserve">Available at: </w:t>
              </w:r>
              <w:r>
                <w:rPr>
                  <w:noProof/>
                  <w:u w:val="single"/>
                </w:rPr>
                <w:t>https://uk.investing.com/equities/hargreaves-ratios</w:t>
              </w:r>
              <w:r>
                <w:rPr>
                  <w:noProof/>
                </w:rPr>
                <w:br/>
                <w:t>[Accessed 10th January 2019].</w:t>
              </w:r>
            </w:p>
            <w:p w:rsidR="00A90D87" w:rsidRDefault="00A90D87" w:rsidP="00A90D87">
              <w:pPr>
                <w:pStyle w:val="Bibliography"/>
                <w:rPr>
                  <w:noProof/>
                </w:rPr>
              </w:pPr>
              <w:r>
                <w:rPr>
                  <w:noProof/>
                </w:rPr>
                <w:t xml:space="preserve">Investopedia, 2018. </w:t>
              </w:r>
              <w:r>
                <w:rPr>
                  <w:i/>
                  <w:iCs/>
                  <w:noProof/>
                </w:rPr>
                <w:t xml:space="preserve">Gearing. </w:t>
              </w:r>
              <w:r>
                <w:rPr>
                  <w:noProof/>
                </w:rPr>
                <w:t xml:space="preserve">[Online] </w:t>
              </w:r>
              <w:r>
                <w:rPr>
                  <w:noProof/>
                </w:rPr>
                <w:br/>
                <w:t xml:space="preserve">Available at: </w:t>
              </w:r>
              <w:r>
                <w:rPr>
                  <w:noProof/>
                  <w:u w:val="single"/>
                </w:rPr>
                <w:t>https://www.investopedia.com/terms/g/gearing.asp</w:t>
              </w:r>
              <w:r>
                <w:rPr>
                  <w:noProof/>
                </w:rPr>
                <w:br/>
                <w:t>[Accessed 4th January 2019].</w:t>
              </w:r>
            </w:p>
            <w:p w:rsidR="00A90D87" w:rsidRDefault="00A90D87" w:rsidP="00A90D87">
              <w:pPr>
                <w:pStyle w:val="Bibliography"/>
                <w:rPr>
                  <w:noProof/>
                </w:rPr>
              </w:pPr>
              <w:r>
                <w:rPr>
                  <w:noProof/>
                </w:rPr>
                <w:t xml:space="preserve">Investopedia, 2018. </w:t>
              </w:r>
              <w:r>
                <w:rPr>
                  <w:i/>
                  <w:iCs/>
                  <w:noProof/>
                </w:rPr>
                <w:t xml:space="preserve">Investing Strategy. </w:t>
              </w:r>
              <w:r>
                <w:rPr>
                  <w:noProof/>
                </w:rPr>
                <w:t xml:space="preserve">[Online] </w:t>
              </w:r>
              <w:r>
                <w:rPr>
                  <w:noProof/>
                </w:rPr>
                <w:br/>
                <w:t xml:space="preserve">Available at: </w:t>
              </w:r>
              <w:r>
                <w:rPr>
                  <w:noProof/>
                  <w:u w:val="single"/>
                </w:rPr>
                <w:t>https://www.investopedia.com/articles/investing/082015/3-biggest-misconceptions-dividend-stocks.asp</w:t>
              </w:r>
              <w:r>
                <w:rPr>
                  <w:noProof/>
                </w:rPr>
                <w:br/>
                <w:t>[Accessed 11th January 2019].</w:t>
              </w:r>
            </w:p>
            <w:p w:rsidR="00A90D87" w:rsidRDefault="00A90D87" w:rsidP="00A90D87">
              <w:pPr>
                <w:pStyle w:val="Bibliography"/>
                <w:rPr>
                  <w:noProof/>
                </w:rPr>
              </w:pPr>
              <w:r>
                <w:rPr>
                  <w:noProof/>
                </w:rPr>
                <w:t xml:space="preserve">Lammie, H. R., 1958. Return on Capital Employed. </w:t>
              </w:r>
              <w:r>
                <w:rPr>
                  <w:i/>
                  <w:iCs/>
                  <w:noProof/>
                </w:rPr>
                <w:t xml:space="preserve">Journal of Accountancy, </w:t>
              </w:r>
              <w:r>
                <w:rPr>
                  <w:noProof/>
                </w:rPr>
                <w:t>106(2), p. 35.</w:t>
              </w:r>
            </w:p>
            <w:p w:rsidR="00A90D87" w:rsidRDefault="00A90D87" w:rsidP="00A90D87">
              <w:pPr>
                <w:pStyle w:val="Bibliography"/>
                <w:rPr>
                  <w:noProof/>
                </w:rPr>
              </w:pPr>
              <w:r>
                <w:rPr>
                  <w:noProof/>
                </w:rPr>
                <w:t xml:space="preserve">LSE, 2018. </w:t>
              </w:r>
              <w:r>
                <w:rPr>
                  <w:i/>
                  <w:iCs/>
                  <w:noProof/>
                </w:rPr>
                <w:t xml:space="preserve">At A Glance. </w:t>
              </w:r>
              <w:r>
                <w:rPr>
                  <w:noProof/>
                </w:rPr>
                <w:t xml:space="preserve">[Online] </w:t>
              </w:r>
              <w:r>
                <w:rPr>
                  <w:noProof/>
                </w:rPr>
                <w:br/>
                <w:t xml:space="preserve">Available at: </w:t>
              </w:r>
              <w:r>
                <w:rPr>
                  <w:noProof/>
                  <w:u w:val="single"/>
                </w:rPr>
                <w:t>https://www.lseg.com/markets-products-and-services/our-markets/london-stock-exchange/ftse-100-stocks-listed-london/glance</w:t>
              </w:r>
              <w:r>
                <w:rPr>
                  <w:noProof/>
                </w:rPr>
                <w:br/>
                <w:t>[Accessed 9th January 2019].</w:t>
              </w:r>
            </w:p>
            <w:p w:rsidR="00A90D87" w:rsidRDefault="00A90D87" w:rsidP="00A90D87">
              <w:pPr>
                <w:pStyle w:val="Bibliography"/>
                <w:rPr>
                  <w:noProof/>
                </w:rPr>
              </w:pPr>
              <w:r>
                <w:rPr>
                  <w:noProof/>
                </w:rPr>
                <w:t xml:space="preserve">LSE, 2019. </w:t>
              </w:r>
              <w:r>
                <w:rPr>
                  <w:i/>
                  <w:iCs/>
                  <w:noProof/>
                </w:rPr>
                <w:t xml:space="preserve">Stocks. </w:t>
              </w:r>
              <w:r>
                <w:rPr>
                  <w:noProof/>
                </w:rPr>
                <w:t xml:space="preserve">[Online] </w:t>
              </w:r>
              <w:r>
                <w:rPr>
                  <w:noProof/>
                </w:rPr>
                <w:br/>
                <w:t xml:space="preserve">Available at: </w:t>
              </w:r>
              <w:r>
                <w:rPr>
                  <w:noProof/>
                  <w:u w:val="single"/>
                </w:rPr>
                <w:t>https://www.londonstockexchange.com/exchange/prices-and-markets/stocks/summary/company-summary/GB00B1VZ0M25GBGBXSET1.html</w:t>
              </w:r>
              <w:r>
                <w:rPr>
                  <w:noProof/>
                </w:rPr>
                <w:br/>
                <w:t>[Accessed 5th January 2019].</w:t>
              </w:r>
            </w:p>
            <w:p w:rsidR="00A90D87" w:rsidRDefault="00A90D87" w:rsidP="00A90D87">
              <w:pPr>
                <w:pStyle w:val="Bibliography"/>
                <w:rPr>
                  <w:noProof/>
                </w:rPr>
              </w:pPr>
              <w:r>
                <w:rPr>
                  <w:noProof/>
                </w:rPr>
                <w:t xml:space="preserve">LSEG, 2018. </w:t>
              </w:r>
              <w:r>
                <w:rPr>
                  <w:i/>
                  <w:iCs/>
                  <w:noProof/>
                </w:rPr>
                <w:t xml:space="preserve">FTSE 100: LONDON'S GLOBAL BENCHMARK. </w:t>
              </w:r>
              <w:r>
                <w:rPr>
                  <w:noProof/>
                </w:rPr>
                <w:t xml:space="preserve">[Online] </w:t>
              </w:r>
              <w:r>
                <w:rPr>
                  <w:noProof/>
                </w:rPr>
                <w:br/>
                <w:t xml:space="preserve">Available at: </w:t>
              </w:r>
              <w:r>
                <w:rPr>
                  <w:noProof/>
                  <w:u w:val="single"/>
                </w:rPr>
                <w:t>https://www.lseg.com/markets-products-and-services/our-markets/london-stock-</w:t>
              </w:r>
              <w:r>
                <w:rPr>
                  <w:noProof/>
                  <w:u w:val="single"/>
                </w:rPr>
                <w:lastRenderedPageBreak/>
                <w:t>exchange/ftse-100-stocks-listed-london/ftse-100-londons-global-benchmark</w:t>
              </w:r>
              <w:r>
                <w:rPr>
                  <w:noProof/>
                </w:rPr>
                <w:br/>
                <w:t>[Accessed 9th January 2019].</w:t>
              </w:r>
            </w:p>
            <w:p w:rsidR="00A90D87" w:rsidRDefault="00A90D87" w:rsidP="00A90D87">
              <w:pPr>
                <w:pStyle w:val="Bibliography"/>
                <w:rPr>
                  <w:noProof/>
                </w:rPr>
              </w:pPr>
              <w:r>
                <w:rPr>
                  <w:noProof/>
                </w:rPr>
                <w:t xml:space="preserve">ONS, 2017. </w:t>
              </w:r>
              <w:r>
                <w:rPr>
                  <w:i/>
                  <w:iCs/>
                  <w:noProof/>
                </w:rPr>
                <w:t xml:space="preserve">Ownership of UK quoted shares: 2016, </w:t>
              </w:r>
              <w:r>
                <w:rPr>
                  <w:noProof/>
                </w:rPr>
                <w:t>Newport: Office for National Statistics.</w:t>
              </w:r>
            </w:p>
            <w:p w:rsidR="00A90D87" w:rsidRDefault="00A90D87" w:rsidP="00A90D87">
              <w:pPr>
                <w:pStyle w:val="Bibliography"/>
                <w:rPr>
                  <w:noProof/>
                </w:rPr>
              </w:pPr>
              <w:r>
                <w:rPr>
                  <w:noProof/>
                </w:rPr>
                <w:t xml:space="preserve">ONS, 2018. </w:t>
              </w:r>
              <w:r>
                <w:rPr>
                  <w:i/>
                  <w:iCs/>
                  <w:noProof/>
                </w:rPr>
                <w:t xml:space="preserve">Profitability of UK companies: April to June 2018, </w:t>
              </w:r>
              <w:r>
                <w:rPr>
                  <w:noProof/>
                </w:rPr>
                <w:t>Newport: Office for National Statistics.</w:t>
              </w:r>
            </w:p>
            <w:p w:rsidR="00A90D87" w:rsidRDefault="00A90D87" w:rsidP="00A90D87">
              <w:pPr>
                <w:pStyle w:val="Bibliography"/>
                <w:rPr>
                  <w:noProof/>
                </w:rPr>
              </w:pPr>
              <w:r>
                <w:rPr>
                  <w:noProof/>
                </w:rPr>
                <w:t xml:space="preserve">ONS, 2018. </w:t>
              </w:r>
              <w:r>
                <w:rPr>
                  <w:i/>
                  <w:iCs/>
                  <w:noProof/>
                </w:rPr>
                <w:t xml:space="preserve">Retail Industry. </w:t>
              </w:r>
              <w:r>
                <w:rPr>
                  <w:noProof/>
                </w:rPr>
                <w:t xml:space="preserve">[Online] </w:t>
              </w:r>
              <w:r>
                <w:rPr>
                  <w:noProof/>
                </w:rPr>
                <w:br/>
                <w:t xml:space="preserve">Available at: </w:t>
              </w:r>
              <w:r>
                <w:rPr>
                  <w:noProof/>
                  <w:u w:val="single"/>
                </w:rPr>
                <w:t>https://www.ons.gov.uk/businessindustryandtrade/retailindustry/articles/comparingbricksandmortarstoresalestoonlineretailsales/august2018</w:t>
              </w:r>
              <w:r>
                <w:rPr>
                  <w:noProof/>
                </w:rPr>
                <w:br/>
                <w:t>[Accessed 17th January 2019].</w:t>
              </w:r>
            </w:p>
            <w:p w:rsidR="00A90D87" w:rsidRDefault="00A90D87" w:rsidP="00A90D87">
              <w:pPr>
                <w:pStyle w:val="Bibliography"/>
                <w:rPr>
                  <w:noProof/>
                </w:rPr>
              </w:pPr>
              <w:r>
                <w:rPr>
                  <w:noProof/>
                </w:rPr>
                <w:t xml:space="preserve">Oral, M. &amp; Yolalan, R., 1990. An empirical study on measuring operating efficiency and profitability of bank branches. </w:t>
              </w:r>
              <w:r>
                <w:rPr>
                  <w:i/>
                  <w:iCs/>
                  <w:noProof/>
                </w:rPr>
                <w:t xml:space="preserve">European Journal of Operational Research, </w:t>
              </w:r>
              <w:r>
                <w:rPr>
                  <w:noProof/>
                </w:rPr>
                <w:t>46(3), pp. 282-294.</w:t>
              </w:r>
            </w:p>
            <w:p w:rsidR="00A90D87" w:rsidRDefault="00A90D87" w:rsidP="00A90D87">
              <w:pPr>
                <w:pStyle w:val="Bibliography"/>
                <w:rPr>
                  <w:noProof/>
                </w:rPr>
              </w:pPr>
              <w:r>
                <w:rPr>
                  <w:noProof/>
                </w:rPr>
                <w:t xml:space="preserve">Pike, R., 1996. A Longitudinal Survey on Capital Budgeting Practices. </w:t>
              </w:r>
              <w:r>
                <w:rPr>
                  <w:i/>
                  <w:iCs/>
                  <w:noProof/>
                </w:rPr>
                <w:t xml:space="preserve">Journal of Business Finance &amp; Accounting, </w:t>
              </w:r>
              <w:r>
                <w:rPr>
                  <w:noProof/>
                </w:rPr>
                <w:t>23(1), pp. 79-92.</w:t>
              </w:r>
            </w:p>
            <w:p w:rsidR="00A90D87" w:rsidRDefault="00A90D87" w:rsidP="00A90D87">
              <w:pPr>
                <w:pStyle w:val="Bibliography"/>
                <w:rPr>
                  <w:noProof/>
                </w:rPr>
              </w:pPr>
              <w:r>
                <w:rPr>
                  <w:noProof/>
                </w:rPr>
                <w:t xml:space="preserve">Rossi, M., 2014. Capital Budgeting in Europe: Confronting Theory with Practice. </w:t>
              </w:r>
              <w:r>
                <w:rPr>
                  <w:i/>
                  <w:iCs/>
                  <w:noProof/>
                </w:rPr>
                <w:t xml:space="preserve">International Journal of Managerial and Financial Accounting, </w:t>
              </w:r>
              <w:r>
                <w:rPr>
                  <w:noProof/>
                </w:rPr>
                <w:t>6(4), pp. 341-356.</w:t>
              </w:r>
            </w:p>
            <w:p w:rsidR="00A90D87" w:rsidRDefault="00A90D87" w:rsidP="00A90D87">
              <w:pPr>
                <w:pStyle w:val="Bibliography"/>
                <w:rPr>
                  <w:noProof/>
                </w:rPr>
              </w:pPr>
              <w:r>
                <w:rPr>
                  <w:noProof/>
                </w:rPr>
                <w:t xml:space="preserve">Rossi, M., 2014. The New Ways to Raise Capital: An Exploratory Study of Crowdfunding. </w:t>
              </w:r>
              <w:r>
                <w:rPr>
                  <w:i/>
                  <w:iCs/>
                  <w:noProof/>
                </w:rPr>
                <w:t xml:space="preserve">International Journal of Financial Research, </w:t>
              </w:r>
              <w:r>
                <w:rPr>
                  <w:noProof/>
                </w:rPr>
                <w:t>5(2), pp. 8-18.</w:t>
              </w:r>
            </w:p>
            <w:p w:rsidR="00A90D87" w:rsidRDefault="00A90D87" w:rsidP="00A90D87">
              <w:pPr>
                <w:pStyle w:val="Bibliography"/>
                <w:rPr>
                  <w:noProof/>
                </w:rPr>
              </w:pPr>
              <w:r>
                <w:rPr>
                  <w:noProof/>
                </w:rPr>
                <w:t xml:space="preserve">Ryan, P. A. &amp; Ryan, G. P., 2002. Capital Budgeting Practices of the Fortune 1000: How Things Have Changed. </w:t>
              </w:r>
              <w:r>
                <w:rPr>
                  <w:i/>
                  <w:iCs/>
                  <w:noProof/>
                </w:rPr>
                <w:t xml:space="preserve">Journal of Business and Management, </w:t>
              </w:r>
              <w:r>
                <w:rPr>
                  <w:noProof/>
                </w:rPr>
                <w:t>8(4), pp. 355-364.</w:t>
              </w:r>
            </w:p>
            <w:p w:rsidR="00A90D87" w:rsidRDefault="00A90D87" w:rsidP="00A90D87">
              <w:pPr>
                <w:pStyle w:val="Bibliography"/>
                <w:rPr>
                  <w:noProof/>
                </w:rPr>
              </w:pPr>
              <w:r>
                <w:rPr>
                  <w:noProof/>
                </w:rPr>
                <w:t xml:space="preserve">Saleem, Q. &amp; Rehman, R. U., 2011. Impacts of Liquidity Ratios on Profitability. </w:t>
              </w:r>
              <w:r>
                <w:rPr>
                  <w:i/>
                  <w:iCs/>
                  <w:noProof/>
                </w:rPr>
                <w:t xml:space="preserve">Interdisciplinary Journal of Research in Business, </w:t>
              </w:r>
              <w:r>
                <w:rPr>
                  <w:noProof/>
                </w:rPr>
                <w:t>1(7), pp. 95-98.</w:t>
              </w:r>
            </w:p>
            <w:p w:rsidR="00A90D87" w:rsidRDefault="00A90D87" w:rsidP="00A90D87">
              <w:pPr>
                <w:pStyle w:val="Bibliography"/>
                <w:rPr>
                  <w:noProof/>
                </w:rPr>
              </w:pPr>
              <w:r>
                <w:rPr>
                  <w:noProof/>
                </w:rPr>
                <w:t xml:space="preserve">South West Business, 2018. </w:t>
              </w:r>
              <w:r>
                <w:rPr>
                  <w:i/>
                  <w:iCs/>
                  <w:noProof/>
                </w:rPr>
                <w:t xml:space="preserve">Manufacturing News. </w:t>
              </w:r>
              <w:r>
                <w:rPr>
                  <w:noProof/>
                </w:rPr>
                <w:t xml:space="preserve">[Online] </w:t>
              </w:r>
              <w:r>
                <w:rPr>
                  <w:noProof/>
                </w:rPr>
                <w:br/>
                <w:t xml:space="preserve">Available at: </w:t>
              </w:r>
              <w:r>
                <w:rPr>
                  <w:noProof/>
                  <w:u w:val="single"/>
                </w:rPr>
                <w:t>http://www.southwestbusiness.co.uk/sectors/manufacturing/the-top-150-companies-in-the-west-2018-25012018075815/</w:t>
              </w:r>
              <w:r>
                <w:rPr>
                  <w:noProof/>
                </w:rPr>
                <w:br/>
                <w:t>[Accessed 7th January 2019].</w:t>
              </w:r>
            </w:p>
            <w:p w:rsidR="00A90D87" w:rsidRDefault="00A90D87" w:rsidP="00A90D87">
              <w:pPr>
                <w:pStyle w:val="Bibliography"/>
                <w:rPr>
                  <w:noProof/>
                </w:rPr>
              </w:pPr>
              <w:r>
                <w:rPr>
                  <w:noProof/>
                </w:rPr>
                <w:t xml:space="preserve">Sunde, L. &amp; Lichtenberg, S., 1995. Net-Present-Value Cost/Time Tradeoff. </w:t>
              </w:r>
              <w:r>
                <w:rPr>
                  <w:i/>
                  <w:iCs/>
                  <w:noProof/>
                </w:rPr>
                <w:t xml:space="preserve">Internation Journal of Project Management, </w:t>
              </w:r>
              <w:r>
                <w:rPr>
                  <w:noProof/>
                </w:rPr>
                <w:t>13(1), pp. 45-49.</w:t>
              </w:r>
            </w:p>
            <w:p w:rsidR="00A90D87" w:rsidRDefault="00A90D87" w:rsidP="00A90D87">
              <w:pPr>
                <w:pStyle w:val="Bibliography"/>
                <w:rPr>
                  <w:noProof/>
                </w:rPr>
              </w:pPr>
              <w:r>
                <w:rPr>
                  <w:noProof/>
                </w:rPr>
                <w:t xml:space="preserve">Wikipedia, n.d. </w:t>
              </w:r>
              <w:r>
                <w:rPr>
                  <w:i/>
                  <w:iCs/>
                  <w:noProof/>
                </w:rPr>
                <w:t xml:space="preserve">MARR. </w:t>
              </w:r>
              <w:r>
                <w:rPr>
                  <w:noProof/>
                </w:rPr>
                <w:t xml:space="preserve">[Online] </w:t>
              </w:r>
              <w:r>
                <w:rPr>
                  <w:noProof/>
                </w:rPr>
                <w:br/>
                <w:t xml:space="preserve">Available at: </w:t>
              </w:r>
              <w:r>
                <w:rPr>
                  <w:noProof/>
                  <w:u w:val="single"/>
                </w:rPr>
                <w:t>https://en.wikipedia.org/wiki/Minimum_acceptable_rate_of_return</w:t>
              </w:r>
              <w:r>
                <w:rPr>
                  <w:noProof/>
                </w:rPr>
                <w:br/>
                <w:t>[Accessed 17th January 2019].</w:t>
              </w:r>
            </w:p>
            <w:p w:rsidR="00FE755D" w:rsidRDefault="00FE755D" w:rsidP="00A90D87">
              <w:r>
                <w:rPr>
                  <w:b/>
                  <w:bCs/>
                  <w:noProof/>
                </w:rPr>
                <w:fldChar w:fldCharType="end"/>
              </w:r>
            </w:p>
          </w:sdtContent>
        </w:sdt>
      </w:sdtContent>
    </w:sdt>
    <w:p w:rsidR="00894783" w:rsidRDefault="00894783" w:rsidP="00FE755D"/>
    <w:p w:rsidR="00A90D87" w:rsidRDefault="00A90D87" w:rsidP="00FE755D"/>
    <w:p w:rsidR="00A90D87" w:rsidRDefault="00A90D87" w:rsidP="00FE755D"/>
    <w:p w:rsidR="00A90D87" w:rsidRDefault="00A90D87" w:rsidP="00FE755D"/>
    <w:p w:rsidR="00875BA7" w:rsidRDefault="00824189" w:rsidP="00824189">
      <w:pPr>
        <w:pStyle w:val="Heading1"/>
      </w:pPr>
      <w:bookmarkStart w:id="52" w:name="_Toc535606322"/>
      <w:r>
        <w:lastRenderedPageBreak/>
        <w:t>Appendices</w:t>
      </w:r>
      <w:bookmarkEnd w:id="52"/>
    </w:p>
    <w:p w:rsidR="00AD5B42" w:rsidRDefault="00AD5B42" w:rsidP="00824189">
      <w:pPr>
        <w:pStyle w:val="Heading2"/>
      </w:pPr>
      <w:bookmarkStart w:id="53" w:name="_Toc535606323"/>
      <w:r>
        <w:t>Hargreaves Lansdown Financial Statements</w:t>
      </w:r>
      <w:bookmarkEnd w:id="53"/>
    </w:p>
    <w:p w:rsidR="007134D4" w:rsidRPr="007134D4" w:rsidRDefault="007134D4" w:rsidP="007134D4">
      <w:r>
        <w:t xml:space="preserve">Obtained online from Hargreaves Lansdown Financial Data </w:t>
      </w:r>
      <w:sdt>
        <w:sdtPr>
          <w:id w:val="-805615241"/>
          <w:citation/>
        </w:sdtPr>
        <w:sdtContent>
          <w:r>
            <w:fldChar w:fldCharType="begin"/>
          </w:r>
          <w:r>
            <w:instrText xml:space="preserve"> CITATION Har181 \l 2057 </w:instrText>
          </w:r>
          <w:r>
            <w:fldChar w:fldCharType="separate"/>
          </w:r>
          <w:r w:rsidR="00A90D87" w:rsidRPr="00A90D87">
            <w:rPr>
              <w:noProof/>
            </w:rPr>
            <w:t>(Hargreaves Lansdown, 2018)</w:t>
          </w:r>
          <w:r>
            <w:fldChar w:fldCharType="end"/>
          </w:r>
        </w:sdtContent>
      </w:sdt>
    </w:p>
    <w:p w:rsidR="00824189" w:rsidRDefault="00824189" w:rsidP="00AD5B42">
      <w:pPr>
        <w:pStyle w:val="Heading3"/>
      </w:pPr>
      <w:bookmarkStart w:id="54" w:name="_Toc535606324"/>
      <w:r>
        <w:t>In</w:t>
      </w:r>
      <w:r w:rsidR="00AD5B42">
        <w:t>come Statement</w:t>
      </w:r>
      <w:bookmarkEnd w:id="54"/>
    </w:p>
    <w:p w:rsidR="00AD5B42" w:rsidRDefault="00AD5B42" w:rsidP="00AD5B42"/>
    <w:p w:rsidR="00AD5B42" w:rsidRDefault="00AD5B42" w:rsidP="00AD5B42">
      <w:r>
        <w:rPr>
          <w:noProof/>
        </w:rPr>
        <w:drawing>
          <wp:inline distT="0" distB="0" distL="0" distR="0" wp14:anchorId="1C057451" wp14:editId="38927F7A">
            <wp:extent cx="5731510" cy="59842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984240"/>
                    </a:xfrm>
                    <a:prstGeom prst="rect">
                      <a:avLst/>
                    </a:prstGeom>
                  </pic:spPr>
                </pic:pic>
              </a:graphicData>
            </a:graphic>
          </wp:inline>
        </w:drawing>
      </w:r>
    </w:p>
    <w:p w:rsidR="00AD5B42" w:rsidRDefault="00AD5B42" w:rsidP="00AD5B42"/>
    <w:p w:rsidR="00A90D87" w:rsidRDefault="00A90D87" w:rsidP="00AD5B42"/>
    <w:p w:rsidR="00A90D87" w:rsidRDefault="00A90D87" w:rsidP="00AD5B42"/>
    <w:p w:rsidR="00A90D87" w:rsidRDefault="00A90D87" w:rsidP="00AD5B42"/>
    <w:p w:rsidR="00AD5B42" w:rsidRDefault="00AD5B42" w:rsidP="00AD5B42">
      <w:pPr>
        <w:pStyle w:val="Heading3"/>
      </w:pPr>
      <w:bookmarkStart w:id="55" w:name="_Toc535606325"/>
      <w:r>
        <w:lastRenderedPageBreak/>
        <w:t>Balance Sheet</w:t>
      </w:r>
      <w:bookmarkEnd w:id="55"/>
    </w:p>
    <w:p w:rsidR="00AD5B42" w:rsidRDefault="00A90D87" w:rsidP="00AD5B42">
      <w:r>
        <w:rPr>
          <w:noProof/>
        </w:rPr>
        <w:lastRenderedPageBreak/>
        <w:drawing>
          <wp:inline distT="0" distB="0" distL="0" distR="0" wp14:anchorId="4D8113B2" wp14:editId="6BDD704B">
            <wp:extent cx="5613088" cy="9274810"/>
            <wp:effectExtent l="0" t="0" r="698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5193"/>
                    <a:stretch/>
                  </pic:blipFill>
                  <pic:spPr bwMode="auto">
                    <a:xfrm>
                      <a:off x="0" y="0"/>
                      <a:ext cx="5613088" cy="9274810"/>
                    </a:xfrm>
                    <a:prstGeom prst="rect">
                      <a:avLst/>
                    </a:prstGeom>
                    <a:ln>
                      <a:noFill/>
                    </a:ln>
                    <a:extLst>
                      <a:ext uri="{53640926-AAD7-44D8-BBD7-CCE9431645EC}">
                        <a14:shadowObscured xmlns:a14="http://schemas.microsoft.com/office/drawing/2010/main"/>
                      </a:ext>
                    </a:extLst>
                  </pic:spPr>
                </pic:pic>
              </a:graphicData>
            </a:graphic>
          </wp:inline>
        </w:drawing>
      </w:r>
    </w:p>
    <w:p w:rsidR="00AD5B42" w:rsidRDefault="00AD5B42" w:rsidP="00AD5B42">
      <w:pPr>
        <w:pStyle w:val="Heading3"/>
      </w:pPr>
      <w:bookmarkStart w:id="56" w:name="_Toc535606326"/>
      <w:r>
        <w:lastRenderedPageBreak/>
        <w:t>Cashflow Statement</w:t>
      </w:r>
      <w:bookmarkEnd w:id="56"/>
    </w:p>
    <w:p w:rsidR="00AD5B42" w:rsidRDefault="00AD5B42" w:rsidP="00AD5B42">
      <w:r>
        <w:rPr>
          <w:noProof/>
        </w:rPr>
        <w:drawing>
          <wp:inline distT="0" distB="0" distL="0" distR="0" wp14:anchorId="2245078A" wp14:editId="03FEF7B7">
            <wp:extent cx="4972050" cy="6019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72050" cy="6019800"/>
                    </a:xfrm>
                    <a:prstGeom prst="rect">
                      <a:avLst/>
                    </a:prstGeom>
                  </pic:spPr>
                </pic:pic>
              </a:graphicData>
            </a:graphic>
          </wp:inline>
        </w:drawing>
      </w:r>
    </w:p>
    <w:p w:rsidR="00DA1508" w:rsidRPr="00AD5B42" w:rsidRDefault="00DA1508" w:rsidP="00AD5B42"/>
    <w:sectPr w:rsidR="00DA1508" w:rsidRPr="00AD5B42" w:rsidSect="00B27062">
      <w:head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1795" w:rsidRDefault="00661795" w:rsidP="00B27062">
      <w:pPr>
        <w:spacing w:after="0" w:line="240" w:lineRule="auto"/>
      </w:pPr>
      <w:r>
        <w:separator/>
      </w:r>
    </w:p>
  </w:endnote>
  <w:endnote w:type="continuationSeparator" w:id="0">
    <w:p w:rsidR="00661795" w:rsidRDefault="00661795" w:rsidP="00B27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1795" w:rsidRDefault="00661795" w:rsidP="00B27062">
      <w:pPr>
        <w:spacing w:after="0" w:line="240" w:lineRule="auto"/>
      </w:pPr>
      <w:r>
        <w:separator/>
      </w:r>
    </w:p>
  </w:footnote>
  <w:footnote w:type="continuationSeparator" w:id="0">
    <w:p w:rsidR="00661795" w:rsidRDefault="00661795" w:rsidP="00B27062">
      <w:pPr>
        <w:spacing w:after="0" w:line="240" w:lineRule="auto"/>
      </w:pPr>
      <w:r>
        <w:continuationSeparator/>
      </w:r>
    </w:p>
  </w:footnote>
  <w:footnote w:id="1">
    <w:p w:rsidR="001A790D" w:rsidRDefault="001A790D" w:rsidP="00FE6570">
      <w:pPr>
        <w:pStyle w:val="FootnoteText"/>
      </w:pPr>
      <w:r>
        <w:rPr>
          <w:rStyle w:val="FootnoteReference"/>
        </w:rPr>
        <w:footnoteRef/>
      </w:r>
      <w:r>
        <w:t xml:space="preserve"> Market value of greater the £4billion required to list on FTSE index</w:t>
      </w:r>
    </w:p>
  </w:footnote>
  <w:footnote w:id="2">
    <w:p w:rsidR="001A790D" w:rsidRDefault="001A790D">
      <w:pPr>
        <w:pStyle w:val="FootnoteText"/>
      </w:pPr>
      <w:r>
        <w:rPr>
          <w:rStyle w:val="FootnoteReference"/>
        </w:rPr>
        <w:footnoteRef/>
      </w:r>
      <w:r>
        <w:t xml:space="preserve"> Abbreviated to “HL.” In the FTSE 100 share listings</w:t>
      </w:r>
    </w:p>
  </w:footnote>
  <w:footnote w:id="3">
    <w:p w:rsidR="001A790D" w:rsidRDefault="001A790D">
      <w:pPr>
        <w:pStyle w:val="FootnoteText"/>
      </w:pPr>
      <w:r>
        <w:rPr>
          <w:rStyle w:val="FootnoteReference"/>
        </w:rPr>
        <w:footnoteRef/>
      </w:r>
      <w:r>
        <w:t xml:space="preserve"> HL do not report the Interest payable, therefore assumed borrowing rate of 3% to calculate Interest Cover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90D" w:rsidRDefault="001A790D" w:rsidP="00B27062">
    <w:pPr>
      <w:pStyle w:val="Header"/>
    </w:pPr>
    <w:r>
      <w:t xml:space="preserve">MBA 2018 – Finance Management </w:t>
    </w:r>
    <w:r w:rsidRPr="001212D6">
      <w:t>(</w:t>
    </w:r>
    <w:r w:rsidRPr="0089566C">
      <w:t>SBMA71</w:t>
    </w:r>
    <w:r>
      <w:t>00</w:t>
    </w:r>
    <w:r w:rsidRPr="0089566C">
      <w:t>D</w:t>
    </w:r>
    <w:r w:rsidRPr="001212D6">
      <w:t>)</w:t>
    </w:r>
    <w:r>
      <w:t>. Assignment 1. Student no. 1707375</w:t>
    </w:r>
  </w:p>
  <w:p w:rsidR="001A790D" w:rsidRDefault="001A790D">
    <w:pPr>
      <w:pStyle w:val="Header"/>
    </w:pPr>
  </w:p>
  <w:p w:rsidR="001A790D" w:rsidRDefault="001A7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84750"/>
    <w:multiLevelType w:val="hybridMultilevel"/>
    <w:tmpl w:val="F780A4E2"/>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A522490"/>
    <w:multiLevelType w:val="hybridMultilevel"/>
    <w:tmpl w:val="2180A4A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D10ECF"/>
    <w:multiLevelType w:val="hybridMultilevel"/>
    <w:tmpl w:val="0908DDD4"/>
    <w:lvl w:ilvl="0" w:tplc="CE10CF6E">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1761211F"/>
    <w:multiLevelType w:val="multilevel"/>
    <w:tmpl w:val="C1A6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4154AA"/>
    <w:multiLevelType w:val="hybridMultilevel"/>
    <w:tmpl w:val="9448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D21CC"/>
    <w:multiLevelType w:val="hybridMultilevel"/>
    <w:tmpl w:val="B466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A4BE8"/>
    <w:multiLevelType w:val="hybridMultilevel"/>
    <w:tmpl w:val="4BDA376C"/>
    <w:lvl w:ilvl="0" w:tplc="945E7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FD512D"/>
    <w:multiLevelType w:val="hybridMultilevel"/>
    <w:tmpl w:val="F2FE9F4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82064A4"/>
    <w:multiLevelType w:val="multilevel"/>
    <w:tmpl w:val="979A5E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70A7C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2B30D9"/>
    <w:multiLevelType w:val="hybridMultilevel"/>
    <w:tmpl w:val="4434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C67E31"/>
    <w:multiLevelType w:val="multilevel"/>
    <w:tmpl w:val="2CC4A3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8"/>
  </w:num>
  <w:num w:numId="3">
    <w:abstractNumId w:val="8"/>
  </w:num>
  <w:num w:numId="4">
    <w:abstractNumId w:val="8"/>
  </w:num>
  <w:num w:numId="5">
    <w:abstractNumId w:val="8"/>
  </w:num>
  <w:num w:numId="6">
    <w:abstractNumId w:val="2"/>
  </w:num>
  <w:num w:numId="7">
    <w:abstractNumId w:val="12"/>
  </w:num>
  <w:num w:numId="8">
    <w:abstractNumId w:val="0"/>
  </w:num>
  <w:num w:numId="9">
    <w:abstractNumId w:val="6"/>
  </w:num>
  <w:num w:numId="10">
    <w:abstractNumId w:val="10"/>
  </w:num>
  <w:num w:numId="11">
    <w:abstractNumId w:val="4"/>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5"/>
  </w:num>
  <w:num w:numId="15">
    <w:abstractNumId w:val="11"/>
  </w:num>
  <w:num w:numId="16">
    <w:abstractNumId w:val="1"/>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062"/>
    <w:rsid w:val="000034B4"/>
    <w:rsid w:val="00013634"/>
    <w:rsid w:val="00024550"/>
    <w:rsid w:val="0003464D"/>
    <w:rsid w:val="0004252E"/>
    <w:rsid w:val="00050F24"/>
    <w:rsid w:val="0005772A"/>
    <w:rsid w:val="00057840"/>
    <w:rsid w:val="00060E35"/>
    <w:rsid w:val="000623AA"/>
    <w:rsid w:val="00063FE8"/>
    <w:rsid w:val="00073DA3"/>
    <w:rsid w:val="000A3C3D"/>
    <w:rsid w:val="000A4639"/>
    <w:rsid w:val="000A4895"/>
    <w:rsid w:val="000A6C88"/>
    <w:rsid w:val="000B1287"/>
    <w:rsid w:val="000B139D"/>
    <w:rsid w:val="000B20E9"/>
    <w:rsid w:val="000C04D5"/>
    <w:rsid w:val="000E19E8"/>
    <w:rsid w:val="000E1CD0"/>
    <w:rsid w:val="000E4319"/>
    <w:rsid w:val="000E60A4"/>
    <w:rsid w:val="000F6E9C"/>
    <w:rsid w:val="00112BAA"/>
    <w:rsid w:val="00114658"/>
    <w:rsid w:val="001340BD"/>
    <w:rsid w:val="001426F4"/>
    <w:rsid w:val="00155D2E"/>
    <w:rsid w:val="0017088C"/>
    <w:rsid w:val="001745CA"/>
    <w:rsid w:val="00181ECD"/>
    <w:rsid w:val="00190BF5"/>
    <w:rsid w:val="00194DFE"/>
    <w:rsid w:val="001A17D4"/>
    <w:rsid w:val="001A3FBF"/>
    <w:rsid w:val="001A790D"/>
    <w:rsid w:val="001C2484"/>
    <w:rsid w:val="001D3B21"/>
    <w:rsid w:val="001E1022"/>
    <w:rsid w:val="001E6273"/>
    <w:rsid w:val="001F6186"/>
    <w:rsid w:val="0020743A"/>
    <w:rsid w:val="002308A0"/>
    <w:rsid w:val="0024593A"/>
    <w:rsid w:val="00251A32"/>
    <w:rsid w:val="00260F47"/>
    <w:rsid w:val="00262F55"/>
    <w:rsid w:val="0027004D"/>
    <w:rsid w:val="00271B84"/>
    <w:rsid w:val="00274DE5"/>
    <w:rsid w:val="0027633A"/>
    <w:rsid w:val="00282D66"/>
    <w:rsid w:val="00285DB7"/>
    <w:rsid w:val="002905CD"/>
    <w:rsid w:val="002B08EF"/>
    <w:rsid w:val="002C7257"/>
    <w:rsid w:val="002D0541"/>
    <w:rsid w:val="002D2FC7"/>
    <w:rsid w:val="002D4652"/>
    <w:rsid w:val="002D78B0"/>
    <w:rsid w:val="002E6504"/>
    <w:rsid w:val="002F6409"/>
    <w:rsid w:val="0030099A"/>
    <w:rsid w:val="00302DA0"/>
    <w:rsid w:val="00305B46"/>
    <w:rsid w:val="00315474"/>
    <w:rsid w:val="00316775"/>
    <w:rsid w:val="00321C13"/>
    <w:rsid w:val="003229AF"/>
    <w:rsid w:val="0032329E"/>
    <w:rsid w:val="003354D7"/>
    <w:rsid w:val="00336313"/>
    <w:rsid w:val="00346B61"/>
    <w:rsid w:val="003730E0"/>
    <w:rsid w:val="003762E3"/>
    <w:rsid w:val="0037638E"/>
    <w:rsid w:val="00382BD4"/>
    <w:rsid w:val="00395318"/>
    <w:rsid w:val="003A208D"/>
    <w:rsid w:val="003A3FE9"/>
    <w:rsid w:val="003B09BA"/>
    <w:rsid w:val="003D0A8F"/>
    <w:rsid w:val="003F0332"/>
    <w:rsid w:val="003F2795"/>
    <w:rsid w:val="003F40F0"/>
    <w:rsid w:val="003F73B9"/>
    <w:rsid w:val="00423F21"/>
    <w:rsid w:val="004264E7"/>
    <w:rsid w:val="0043723C"/>
    <w:rsid w:val="004378BC"/>
    <w:rsid w:val="00445C20"/>
    <w:rsid w:val="00451CE8"/>
    <w:rsid w:val="004652F6"/>
    <w:rsid w:val="00466B26"/>
    <w:rsid w:val="004672A5"/>
    <w:rsid w:val="00467F5D"/>
    <w:rsid w:val="004A7DAC"/>
    <w:rsid w:val="004C2CE1"/>
    <w:rsid w:val="004E2AD7"/>
    <w:rsid w:val="004E3A09"/>
    <w:rsid w:val="004E48B8"/>
    <w:rsid w:val="004F663B"/>
    <w:rsid w:val="005115E9"/>
    <w:rsid w:val="0052451C"/>
    <w:rsid w:val="005457F3"/>
    <w:rsid w:val="00552FD3"/>
    <w:rsid w:val="005548A4"/>
    <w:rsid w:val="00555341"/>
    <w:rsid w:val="00555FC0"/>
    <w:rsid w:val="005631B9"/>
    <w:rsid w:val="00575F11"/>
    <w:rsid w:val="005800D0"/>
    <w:rsid w:val="0058551C"/>
    <w:rsid w:val="00586561"/>
    <w:rsid w:val="005A2290"/>
    <w:rsid w:val="005A24E5"/>
    <w:rsid w:val="005D73C8"/>
    <w:rsid w:val="006012E5"/>
    <w:rsid w:val="0061666D"/>
    <w:rsid w:val="00623419"/>
    <w:rsid w:val="006270DE"/>
    <w:rsid w:val="00651DD2"/>
    <w:rsid w:val="0065421D"/>
    <w:rsid w:val="00661795"/>
    <w:rsid w:val="006752F3"/>
    <w:rsid w:val="006809F1"/>
    <w:rsid w:val="00681B1A"/>
    <w:rsid w:val="006846A5"/>
    <w:rsid w:val="006A0570"/>
    <w:rsid w:val="006A65C1"/>
    <w:rsid w:val="006B44DD"/>
    <w:rsid w:val="006B7FCE"/>
    <w:rsid w:val="006C02AC"/>
    <w:rsid w:val="006E5E99"/>
    <w:rsid w:val="00701686"/>
    <w:rsid w:val="0070206B"/>
    <w:rsid w:val="00706346"/>
    <w:rsid w:val="007134D4"/>
    <w:rsid w:val="0073166C"/>
    <w:rsid w:val="00772E58"/>
    <w:rsid w:val="00780ED2"/>
    <w:rsid w:val="00784194"/>
    <w:rsid w:val="007A7D98"/>
    <w:rsid w:val="007B32EF"/>
    <w:rsid w:val="007B4B51"/>
    <w:rsid w:val="007D0F07"/>
    <w:rsid w:val="007E1403"/>
    <w:rsid w:val="007F7355"/>
    <w:rsid w:val="008104A3"/>
    <w:rsid w:val="00824189"/>
    <w:rsid w:val="0083002F"/>
    <w:rsid w:val="00847EEE"/>
    <w:rsid w:val="00850D94"/>
    <w:rsid w:val="00861ED4"/>
    <w:rsid w:val="00867DAA"/>
    <w:rsid w:val="00875BA7"/>
    <w:rsid w:val="00881DE4"/>
    <w:rsid w:val="00882F76"/>
    <w:rsid w:val="00883312"/>
    <w:rsid w:val="0089399C"/>
    <w:rsid w:val="00894783"/>
    <w:rsid w:val="008A1526"/>
    <w:rsid w:val="008A3C6F"/>
    <w:rsid w:val="008C3DEC"/>
    <w:rsid w:val="008C6A21"/>
    <w:rsid w:val="008D44C2"/>
    <w:rsid w:val="008D47BA"/>
    <w:rsid w:val="008E6C36"/>
    <w:rsid w:val="008F1BE4"/>
    <w:rsid w:val="008F2F81"/>
    <w:rsid w:val="008F5AC9"/>
    <w:rsid w:val="0090188A"/>
    <w:rsid w:val="0090707D"/>
    <w:rsid w:val="0090771E"/>
    <w:rsid w:val="00912C3C"/>
    <w:rsid w:val="0091351E"/>
    <w:rsid w:val="009171FC"/>
    <w:rsid w:val="009222D6"/>
    <w:rsid w:val="00927145"/>
    <w:rsid w:val="0093136D"/>
    <w:rsid w:val="00942692"/>
    <w:rsid w:val="009468C2"/>
    <w:rsid w:val="0097513D"/>
    <w:rsid w:val="009754B2"/>
    <w:rsid w:val="0098169B"/>
    <w:rsid w:val="0098612C"/>
    <w:rsid w:val="00992C63"/>
    <w:rsid w:val="009A0032"/>
    <w:rsid w:val="009A0CFE"/>
    <w:rsid w:val="009A1671"/>
    <w:rsid w:val="009C6687"/>
    <w:rsid w:val="009D5AD5"/>
    <w:rsid w:val="009D5AFE"/>
    <w:rsid w:val="009F1938"/>
    <w:rsid w:val="00A01667"/>
    <w:rsid w:val="00A1321B"/>
    <w:rsid w:val="00A24DDE"/>
    <w:rsid w:val="00A270D7"/>
    <w:rsid w:val="00A35059"/>
    <w:rsid w:val="00A4313E"/>
    <w:rsid w:val="00A52428"/>
    <w:rsid w:val="00A527E0"/>
    <w:rsid w:val="00A60118"/>
    <w:rsid w:val="00A716A4"/>
    <w:rsid w:val="00A73850"/>
    <w:rsid w:val="00A74904"/>
    <w:rsid w:val="00A82C42"/>
    <w:rsid w:val="00A82D34"/>
    <w:rsid w:val="00A90D87"/>
    <w:rsid w:val="00A97B7F"/>
    <w:rsid w:val="00AA422F"/>
    <w:rsid w:val="00AA7282"/>
    <w:rsid w:val="00AD5B42"/>
    <w:rsid w:val="00AE4FE9"/>
    <w:rsid w:val="00AE6C2F"/>
    <w:rsid w:val="00AF5C40"/>
    <w:rsid w:val="00B05775"/>
    <w:rsid w:val="00B27062"/>
    <w:rsid w:val="00B4493D"/>
    <w:rsid w:val="00B51FBF"/>
    <w:rsid w:val="00B55187"/>
    <w:rsid w:val="00B60123"/>
    <w:rsid w:val="00B608E7"/>
    <w:rsid w:val="00B66A50"/>
    <w:rsid w:val="00B67DD8"/>
    <w:rsid w:val="00B80D10"/>
    <w:rsid w:val="00B8434E"/>
    <w:rsid w:val="00B95445"/>
    <w:rsid w:val="00BA1521"/>
    <w:rsid w:val="00BA39DB"/>
    <w:rsid w:val="00BB60A0"/>
    <w:rsid w:val="00BC11F6"/>
    <w:rsid w:val="00BD0CF3"/>
    <w:rsid w:val="00BD297A"/>
    <w:rsid w:val="00BD5816"/>
    <w:rsid w:val="00BE19DF"/>
    <w:rsid w:val="00BE34B0"/>
    <w:rsid w:val="00BE550D"/>
    <w:rsid w:val="00BF23A3"/>
    <w:rsid w:val="00C1020B"/>
    <w:rsid w:val="00C108CA"/>
    <w:rsid w:val="00C11B19"/>
    <w:rsid w:val="00C1635C"/>
    <w:rsid w:val="00C17008"/>
    <w:rsid w:val="00C20589"/>
    <w:rsid w:val="00C2618A"/>
    <w:rsid w:val="00C30750"/>
    <w:rsid w:val="00C35718"/>
    <w:rsid w:val="00C35C37"/>
    <w:rsid w:val="00C376EF"/>
    <w:rsid w:val="00C37842"/>
    <w:rsid w:val="00C415FC"/>
    <w:rsid w:val="00C5125F"/>
    <w:rsid w:val="00C54737"/>
    <w:rsid w:val="00C5636F"/>
    <w:rsid w:val="00C56B79"/>
    <w:rsid w:val="00C64480"/>
    <w:rsid w:val="00C82F40"/>
    <w:rsid w:val="00C96FF9"/>
    <w:rsid w:val="00CB7B5B"/>
    <w:rsid w:val="00CD2138"/>
    <w:rsid w:val="00CD76BC"/>
    <w:rsid w:val="00CE2431"/>
    <w:rsid w:val="00CE550B"/>
    <w:rsid w:val="00CF2A23"/>
    <w:rsid w:val="00D00B38"/>
    <w:rsid w:val="00D04959"/>
    <w:rsid w:val="00D2338C"/>
    <w:rsid w:val="00D41056"/>
    <w:rsid w:val="00D47FD9"/>
    <w:rsid w:val="00D56A91"/>
    <w:rsid w:val="00D83436"/>
    <w:rsid w:val="00D862D8"/>
    <w:rsid w:val="00D93637"/>
    <w:rsid w:val="00D96AB8"/>
    <w:rsid w:val="00DA1508"/>
    <w:rsid w:val="00DB3001"/>
    <w:rsid w:val="00DD3793"/>
    <w:rsid w:val="00DE15BB"/>
    <w:rsid w:val="00DE7241"/>
    <w:rsid w:val="00DF4CA7"/>
    <w:rsid w:val="00E1304C"/>
    <w:rsid w:val="00E17D21"/>
    <w:rsid w:val="00E2457E"/>
    <w:rsid w:val="00E50C12"/>
    <w:rsid w:val="00E76409"/>
    <w:rsid w:val="00E82FFA"/>
    <w:rsid w:val="00E91E74"/>
    <w:rsid w:val="00E923B8"/>
    <w:rsid w:val="00EA1297"/>
    <w:rsid w:val="00EB526F"/>
    <w:rsid w:val="00EB59FC"/>
    <w:rsid w:val="00EB6F30"/>
    <w:rsid w:val="00EC0E9C"/>
    <w:rsid w:val="00EC521E"/>
    <w:rsid w:val="00EE2664"/>
    <w:rsid w:val="00EE4FB2"/>
    <w:rsid w:val="00F16415"/>
    <w:rsid w:val="00F27669"/>
    <w:rsid w:val="00F4437A"/>
    <w:rsid w:val="00F46178"/>
    <w:rsid w:val="00F464A0"/>
    <w:rsid w:val="00F4692C"/>
    <w:rsid w:val="00F47ABA"/>
    <w:rsid w:val="00F559AE"/>
    <w:rsid w:val="00F60DFE"/>
    <w:rsid w:val="00F7323E"/>
    <w:rsid w:val="00F738A1"/>
    <w:rsid w:val="00F76C2A"/>
    <w:rsid w:val="00F97B98"/>
    <w:rsid w:val="00FC2DD4"/>
    <w:rsid w:val="00FD175B"/>
    <w:rsid w:val="00FD26EB"/>
    <w:rsid w:val="00FD3BB6"/>
    <w:rsid w:val="00FE3625"/>
    <w:rsid w:val="00FE6570"/>
    <w:rsid w:val="00FE7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5E3A1"/>
  <w15:chartTrackingRefBased/>
  <w15:docId w15:val="{B3F69940-5E20-4D13-A433-E5FB5996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7BA"/>
  </w:style>
  <w:style w:type="paragraph" w:styleId="Heading1">
    <w:name w:val="heading 1"/>
    <w:basedOn w:val="Normal"/>
    <w:next w:val="Normal"/>
    <w:link w:val="Heading1Char"/>
    <w:uiPriority w:val="9"/>
    <w:qFormat/>
    <w:rsid w:val="00B27062"/>
    <w:pPr>
      <w:keepNext/>
      <w:keepLines/>
      <w:numPr>
        <w:numId w:val="13"/>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F5AC9"/>
    <w:pPr>
      <w:keepNext/>
      <w:keepLines/>
      <w:numPr>
        <w:ilvl w:val="1"/>
        <w:numId w:val="13"/>
      </w:numPr>
      <w:spacing w:before="40" w:after="0"/>
      <w:ind w:left="1296"/>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F5AC9"/>
    <w:pPr>
      <w:keepNext/>
      <w:keepLines/>
      <w:numPr>
        <w:ilvl w:val="2"/>
        <w:numId w:val="13"/>
      </w:numPr>
      <w:spacing w:before="40" w:after="0"/>
      <w:ind w:left="216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8F5AC9"/>
    <w:pPr>
      <w:keepNext/>
      <w:keepLines/>
      <w:numPr>
        <w:ilvl w:val="3"/>
        <w:numId w:val="13"/>
      </w:numPr>
      <w:spacing w:before="40" w:after="0"/>
      <w:ind w:left="3024"/>
      <w:outlineLvl w:val="3"/>
    </w:pPr>
    <w:rPr>
      <w:rFonts w:eastAsiaTheme="majorEastAsia" w:cstheme="majorBidi"/>
      <w:b/>
      <w:iCs/>
      <w:color w:val="000000" w:themeColor="text1"/>
    </w:rPr>
  </w:style>
  <w:style w:type="paragraph" w:styleId="Heading5">
    <w:name w:val="heading 5"/>
    <w:basedOn w:val="Normal"/>
    <w:next w:val="Normal"/>
    <w:link w:val="Heading5Char"/>
    <w:uiPriority w:val="9"/>
    <w:unhideWhenUsed/>
    <w:qFormat/>
    <w:rsid w:val="00B27062"/>
    <w:pPr>
      <w:keepNext/>
      <w:keepLines/>
      <w:numPr>
        <w:ilvl w:val="4"/>
        <w:numId w:val="13"/>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5AC9"/>
    <w:pPr>
      <w:keepNext/>
      <w:keepLines/>
      <w:numPr>
        <w:ilvl w:val="5"/>
        <w:numId w:val="1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F5AC9"/>
    <w:pPr>
      <w:keepNext/>
      <w:keepLines/>
      <w:numPr>
        <w:ilvl w:val="6"/>
        <w:numId w:val="1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F5AC9"/>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F5AC9"/>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062"/>
    <w:rPr>
      <w:rFonts w:ascii="Sylfaen" w:eastAsiaTheme="majorEastAsia" w:hAnsi="Sylfaen" w:cstheme="majorBidi"/>
      <w:b/>
      <w:sz w:val="32"/>
      <w:szCs w:val="32"/>
    </w:rPr>
  </w:style>
  <w:style w:type="character" w:customStyle="1" w:styleId="Heading2Char">
    <w:name w:val="Heading 2 Char"/>
    <w:basedOn w:val="DefaultParagraphFont"/>
    <w:link w:val="Heading2"/>
    <w:uiPriority w:val="9"/>
    <w:rsid w:val="008F5AC9"/>
    <w:rPr>
      <w:rFonts w:eastAsiaTheme="majorEastAsia" w:cstheme="majorBidi"/>
      <w:b/>
      <w:sz w:val="28"/>
      <w:szCs w:val="26"/>
    </w:rPr>
  </w:style>
  <w:style w:type="paragraph" w:styleId="Title">
    <w:name w:val="Title"/>
    <w:basedOn w:val="Normal"/>
    <w:next w:val="Normal"/>
    <w:link w:val="TitleChar"/>
    <w:uiPriority w:val="10"/>
    <w:qFormat/>
    <w:rsid w:val="0039531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95318"/>
    <w:rPr>
      <w:rFonts w:eastAsiaTheme="majorEastAsia" w:cstheme="majorBidi"/>
      <w:b/>
      <w:spacing w:val="-10"/>
      <w:kern w:val="28"/>
      <w:sz w:val="56"/>
      <w:szCs w:val="56"/>
    </w:rPr>
  </w:style>
  <w:style w:type="character" w:customStyle="1" w:styleId="Heading3Char">
    <w:name w:val="Heading 3 Char"/>
    <w:basedOn w:val="DefaultParagraphFont"/>
    <w:link w:val="Heading3"/>
    <w:uiPriority w:val="9"/>
    <w:rsid w:val="008F5AC9"/>
    <w:rPr>
      <w:rFonts w:eastAsiaTheme="majorEastAsia" w:cstheme="majorBidi"/>
      <w:b/>
      <w:sz w:val="26"/>
      <w:szCs w:val="24"/>
    </w:rPr>
  </w:style>
  <w:style w:type="paragraph" w:styleId="Quote">
    <w:name w:val="Quote"/>
    <w:basedOn w:val="Normal"/>
    <w:next w:val="Normal"/>
    <w:link w:val="QuoteChar"/>
    <w:uiPriority w:val="29"/>
    <w:qFormat/>
    <w:rsid w:val="009D5AD5"/>
    <w:pPr>
      <w:spacing w:before="200" w:after="200" w:line="276" w:lineRule="auto"/>
      <w:ind w:left="864" w:right="864"/>
      <w:jc w:val="center"/>
    </w:pPr>
    <w:rPr>
      <w:rFonts w:ascii="Calibri" w:eastAsia="Calibri" w:hAnsi="Calibri" w:cs="Times New Roman"/>
      <w:i/>
      <w:iCs/>
      <w:color w:val="4472C4" w:themeColor="accent1"/>
    </w:rPr>
  </w:style>
  <w:style w:type="character" w:customStyle="1" w:styleId="QuoteChar">
    <w:name w:val="Quote Char"/>
    <w:basedOn w:val="DefaultParagraphFont"/>
    <w:link w:val="Quote"/>
    <w:uiPriority w:val="29"/>
    <w:rsid w:val="009D5AD5"/>
    <w:rPr>
      <w:rFonts w:ascii="Calibri" w:eastAsia="Calibri" w:hAnsi="Calibri" w:cs="Times New Roman"/>
      <w:i/>
      <w:iCs/>
      <w:color w:val="4472C4" w:themeColor="accent1"/>
    </w:rPr>
  </w:style>
  <w:style w:type="character" w:styleId="Strong">
    <w:name w:val="Strong"/>
    <w:basedOn w:val="DefaultParagraphFont"/>
    <w:uiPriority w:val="22"/>
    <w:qFormat/>
    <w:rsid w:val="00395318"/>
    <w:rPr>
      <w:rFonts w:asciiTheme="minorHAnsi" w:hAnsiTheme="minorHAnsi"/>
      <w:b/>
      <w:bCs/>
      <w:color w:val="auto"/>
      <w:sz w:val="26"/>
    </w:rPr>
  </w:style>
  <w:style w:type="character" w:customStyle="1" w:styleId="Heading4Char">
    <w:name w:val="Heading 4 Char"/>
    <w:basedOn w:val="DefaultParagraphFont"/>
    <w:link w:val="Heading4"/>
    <w:uiPriority w:val="9"/>
    <w:rsid w:val="008F5AC9"/>
    <w:rPr>
      <w:rFonts w:eastAsiaTheme="majorEastAsia" w:cstheme="majorBidi"/>
      <w:b/>
      <w:iCs/>
      <w:color w:val="000000" w:themeColor="text1"/>
    </w:rPr>
  </w:style>
  <w:style w:type="paragraph" w:styleId="NoSpacing">
    <w:name w:val="No Spacing"/>
    <w:uiPriority w:val="1"/>
    <w:qFormat/>
    <w:rsid w:val="008D47BA"/>
    <w:pPr>
      <w:spacing w:after="0" w:line="240" w:lineRule="auto"/>
    </w:pPr>
  </w:style>
  <w:style w:type="character" w:customStyle="1" w:styleId="Heading5Char">
    <w:name w:val="Heading 5 Char"/>
    <w:basedOn w:val="DefaultParagraphFont"/>
    <w:link w:val="Heading5"/>
    <w:uiPriority w:val="9"/>
    <w:rsid w:val="00B27062"/>
    <w:rPr>
      <w:rFonts w:ascii="Sylfaen" w:eastAsiaTheme="majorEastAsia" w:hAnsi="Sylfaen" w:cstheme="majorBidi"/>
      <w:color w:val="2F5496" w:themeColor="accent1" w:themeShade="BF"/>
    </w:rPr>
  </w:style>
  <w:style w:type="paragraph" w:styleId="Header">
    <w:name w:val="header"/>
    <w:basedOn w:val="Normal"/>
    <w:link w:val="HeaderChar"/>
    <w:uiPriority w:val="99"/>
    <w:unhideWhenUsed/>
    <w:rsid w:val="00B270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062"/>
    <w:rPr>
      <w:rFonts w:ascii="Sylfaen" w:hAnsi="Sylfaen"/>
    </w:rPr>
  </w:style>
  <w:style w:type="paragraph" w:styleId="Footer">
    <w:name w:val="footer"/>
    <w:basedOn w:val="Normal"/>
    <w:link w:val="FooterChar"/>
    <w:uiPriority w:val="99"/>
    <w:unhideWhenUsed/>
    <w:rsid w:val="00B270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062"/>
    <w:rPr>
      <w:rFonts w:ascii="Sylfaen" w:hAnsi="Sylfaen"/>
    </w:rPr>
  </w:style>
  <w:style w:type="paragraph" w:styleId="ListParagraph">
    <w:name w:val="List Paragraph"/>
    <w:basedOn w:val="Normal"/>
    <w:uiPriority w:val="34"/>
    <w:qFormat/>
    <w:rsid w:val="001E1022"/>
    <w:pPr>
      <w:spacing w:after="0" w:line="240" w:lineRule="auto"/>
      <w:ind w:left="720"/>
      <w:contextualSpacing/>
    </w:pPr>
    <w:rPr>
      <w:rFonts w:eastAsia="Times New Roman" w:cs="Times New Roman"/>
      <w:szCs w:val="20"/>
      <w:lang w:eastAsia="en-GB"/>
    </w:rPr>
  </w:style>
  <w:style w:type="paragraph" w:styleId="FootnoteText">
    <w:name w:val="footnote text"/>
    <w:basedOn w:val="Normal"/>
    <w:link w:val="FootnoteTextChar"/>
    <w:uiPriority w:val="99"/>
    <w:semiHidden/>
    <w:unhideWhenUsed/>
    <w:rsid w:val="00D862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62D8"/>
    <w:rPr>
      <w:sz w:val="20"/>
      <w:szCs w:val="20"/>
    </w:rPr>
  </w:style>
  <w:style w:type="character" w:styleId="FootnoteReference">
    <w:name w:val="footnote reference"/>
    <w:basedOn w:val="DefaultParagraphFont"/>
    <w:uiPriority w:val="99"/>
    <w:semiHidden/>
    <w:unhideWhenUsed/>
    <w:rsid w:val="00D862D8"/>
    <w:rPr>
      <w:vertAlign w:val="superscript"/>
    </w:rPr>
  </w:style>
  <w:style w:type="paragraph" w:styleId="TOCHeading">
    <w:name w:val="TOC Heading"/>
    <w:basedOn w:val="Heading1"/>
    <w:next w:val="Normal"/>
    <w:uiPriority w:val="39"/>
    <w:unhideWhenUsed/>
    <w:qFormat/>
    <w:rsid w:val="003B09BA"/>
    <w:pPr>
      <w:numPr>
        <w:numId w:val="0"/>
      </w:num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B09BA"/>
    <w:pPr>
      <w:spacing w:after="100"/>
    </w:pPr>
  </w:style>
  <w:style w:type="paragraph" w:styleId="TOC2">
    <w:name w:val="toc 2"/>
    <w:basedOn w:val="Normal"/>
    <w:next w:val="Normal"/>
    <w:autoRedefine/>
    <w:uiPriority w:val="39"/>
    <w:unhideWhenUsed/>
    <w:rsid w:val="003B09BA"/>
    <w:pPr>
      <w:spacing w:after="100"/>
      <w:ind w:left="220"/>
    </w:pPr>
  </w:style>
  <w:style w:type="paragraph" w:styleId="TOC3">
    <w:name w:val="toc 3"/>
    <w:basedOn w:val="Normal"/>
    <w:next w:val="Normal"/>
    <w:autoRedefine/>
    <w:uiPriority w:val="39"/>
    <w:unhideWhenUsed/>
    <w:rsid w:val="003B09BA"/>
    <w:pPr>
      <w:spacing w:after="100"/>
      <w:ind w:left="440"/>
    </w:pPr>
  </w:style>
  <w:style w:type="character" w:styleId="Hyperlink">
    <w:name w:val="Hyperlink"/>
    <w:basedOn w:val="DefaultParagraphFont"/>
    <w:uiPriority w:val="99"/>
    <w:unhideWhenUsed/>
    <w:rsid w:val="003B09BA"/>
    <w:rPr>
      <w:color w:val="0563C1" w:themeColor="hyperlink"/>
      <w:u w:val="single"/>
    </w:rPr>
  </w:style>
  <w:style w:type="character" w:styleId="UnresolvedMention">
    <w:name w:val="Unresolved Mention"/>
    <w:basedOn w:val="DefaultParagraphFont"/>
    <w:uiPriority w:val="99"/>
    <w:semiHidden/>
    <w:unhideWhenUsed/>
    <w:rsid w:val="00FE6570"/>
    <w:rPr>
      <w:color w:val="605E5C"/>
      <w:shd w:val="clear" w:color="auto" w:fill="E1DFDD"/>
    </w:rPr>
  </w:style>
  <w:style w:type="paragraph" w:styleId="Bibliography">
    <w:name w:val="Bibliography"/>
    <w:basedOn w:val="Normal"/>
    <w:next w:val="Normal"/>
    <w:uiPriority w:val="37"/>
    <w:unhideWhenUsed/>
    <w:rsid w:val="00894783"/>
  </w:style>
  <w:style w:type="character" w:customStyle="1" w:styleId="bold">
    <w:name w:val="bold"/>
    <w:basedOn w:val="DefaultParagraphFont"/>
    <w:rsid w:val="00DA1508"/>
  </w:style>
  <w:style w:type="character" w:customStyle="1" w:styleId="chartstooltipgroupbluebox">
    <w:name w:val="chartstooltipgroupbluebox"/>
    <w:basedOn w:val="DefaultParagraphFont"/>
    <w:rsid w:val="00DA1508"/>
  </w:style>
  <w:style w:type="character" w:customStyle="1" w:styleId="chartstooltipgroupgreybox">
    <w:name w:val="chartstooltipgroupgreybox"/>
    <w:basedOn w:val="DefaultParagraphFont"/>
    <w:rsid w:val="00DA1508"/>
  </w:style>
  <w:style w:type="character" w:customStyle="1" w:styleId="chartstooltipgroupheader">
    <w:name w:val="chartstooltipgroupheader"/>
    <w:basedOn w:val="DefaultParagraphFont"/>
    <w:rsid w:val="00DA1508"/>
  </w:style>
  <w:style w:type="character" w:customStyle="1" w:styleId="chartstooltipcell">
    <w:name w:val="chartstooltipcell"/>
    <w:basedOn w:val="DefaultParagraphFont"/>
    <w:rsid w:val="00DA1508"/>
  </w:style>
  <w:style w:type="character" w:customStyle="1" w:styleId="chartstooltipbottomarrow">
    <w:name w:val="chartstooltipbottomarrow"/>
    <w:basedOn w:val="DefaultParagraphFont"/>
    <w:rsid w:val="00DA1508"/>
  </w:style>
  <w:style w:type="character" w:customStyle="1" w:styleId="blackfont">
    <w:name w:val="blackfont"/>
    <w:basedOn w:val="DefaultParagraphFont"/>
    <w:rsid w:val="00DA1508"/>
  </w:style>
  <w:style w:type="table" w:styleId="TableGrid">
    <w:name w:val="Table Grid"/>
    <w:basedOn w:val="TableNormal"/>
    <w:uiPriority w:val="39"/>
    <w:rsid w:val="00A431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8F5AC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F5AC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F5AC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F5AC9"/>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D93637"/>
    <w:rPr>
      <w:color w:val="954F72" w:themeColor="followedHyperlink"/>
      <w:u w:val="single"/>
    </w:rPr>
  </w:style>
  <w:style w:type="paragraph" w:styleId="Caption">
    <w:name w:val="caption"/>
    <w:basedOn w:val="Normal"/>
    <w:next w:val="Normal"/>
    <w:uiPriority w:val="35"/>
    <w:unhideWhenUsed/>
    <w:qFormat/>
    <w:rsid w:val="00282D66"/>
    <w:pPr>
      <w:spacing w:after="200" w:line="240" w:lineRule="auto"/>
    </w:pPr>
    <w:rPr>
      <w:i/>
      <w:iCs/>
      <w:color w:val="44546A" w:themeColor="text2"/>
      <w:sz w:val="18"/>
      <w:szCs w:val="18"/>
    </w:rPr>
  </w:style>
  <w:style w:type="paragraph" w:customStyle="1" w:styleId="trt0xe">
    <w:name w:val="trt0xe"/>
    <w:basedOn w:val="Normal"/>
    <w:rsid w:val="00BE19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20743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9380">
      <w:bodyDiv w:val="1"/>
      <w:marLeft w:val="0"/>
      <w:marRight w:val="0"/>
      <w:marTop w:val="0"/>
      <w:marBottom w:val="0"/>
      <w:divBdr>
        <w:top w:val="none" w:sz="0" w:space="0" w:color="auto"/>
        <w:left w:val="none" w:sz="0" w:space="0" w:color="auto"/>
        <w:bottom w:val="none" w:sz="0" w:space="0" w:color="auto"/>
        <w:right w:val="none" w:sz="0" w:space="0" w:color="auto"/>
      </w:divBdr>
    </w:div>
    <w:div w:id="10766864">
      <w:bodyDiv w:val="1"/>
      <w:marLeft w:val="0"/>
      <w:marRight w:val="0"/>
      <w:marTop w:val="0"/>
      <w:marBottom w:val="0"/>
      <w:divBdr>
        <w:top w:val="none" w:sz="0" w:space="0" w:color="auto"/>
        <w:left w:val="none" w:sz="0" w:space="0" w:color="auto"/>
        <w:bottom w:val="none" w:sz="0" w:space="0" w:color="auto"/>
        <w:right w:val="none" w:sz="0" w:space="0" w:color="auto"/>
      </w:divBdr>
    </w:div>
    <w:div w:id="12192270">
      <w:bodyDiv w:val="1"/>
      <w:marLeft w:val="0"/>
      <w:marRight w:val="0"/>
      <w:marTop w:val="0"/>
      <w:marBottom w:val="0"/>
      <w:divBdr>
        <w:top w:val="none" w:sz="0" w:space="0" w:color="auto"/>
        <w:left w:val="none" w:sz="0" w:space="0" w:color="auto"/>
        <w:bottom w:val="none" w:sz="0" w:space="0" w:color="auto"/>
        <w:right w:val="none" w:sz="0" w:space="0" w:color="auto"/>
      </w:divBdr>
    </w:div>
    <w:div w:id="16201189">
      <w:bodyDiv w:val="1"/>
      <w:marLeft w:val="0"/>
      <w:marRight w:val="0"/>
      <w:marTop w:val="0"/>
      <w:marBottom w:val="0"/>
      <w:divBdr>
        <w:top w:val="none" w:sz="0" w:space="0" w:color="auto"/>
        <w:left w:val="none" w:sz="0" w:space="0" w:color="auto"/>
        <w:bottom w:val="none" w:sz="0" w:space="0" w:color="auto"/>
        <w:right w:val="none" w:sz="0" w:space="0" w:color="auto"/>
      </w:divBdr>
    </w:div>
    <w:div w:id="23219579">
      <w:bodyDiv w:val="1"/>
      <w:marLeft w:val="0"/>
      <w:marRight w:val="0"/>
      <w:marTop w:val="0"/>
      <w:marBottom w:val="0"/>
      <w:divBdr>
        <w:top w:val="none" w:sz="0" w:space="0" w:color="auto"/>
        <w:left w:val="none" w:sz="0" w:space="0" w:color="auto"/>
        <w:bottom w:val="none" w:sz="0" w:space="0" w:color="auto"/>
        <w:right w:val="none" w:sz="0" w:space="0" w:color="auto"/>
      </w:divBdr>
    </w:div>
    <w:div w:id="24721183">
      <w:bodyDiv w:val="1"/>
      <w:marLeft w:val="0"/>
      <w:marRight w:val="0"/>
      <w:marTop w:val="0"/>
      <w:marBottom w:val="0"/>
      <w:divBdr>
        <w:top w:val="none" w:sz="0" w:space="0" w:color="auto"/>
        <w:left w:val="none" w:sz="0" w:space="0" w:color="auto"/>
        <w:bottom w:val="none" w:sz="0" w:space="0" w:color="auto"/>
        <w:right w:val="none" w:sz="0" w:space="0" w:color="auto"/>
      </w:divBdr>
    </w:div>
    <w:div w:id="30232059">
      <w:bodyDiv w:val="1"/>
      <w:marLeft w:val="0"/>
      <w:marRight w:val="0"/>
      <w:marTop w:val="0"/>
      <w:marBottom w:val="0"/>
      <w:divBdr>
        <w:top w:val="none" w:sz="0" w:space="0" w:color="auto"/>
        <w:left w:val="none" w:sz="0" w:space="0" w:color="auto"/>
        <w:bottom w:val="none" w:sz="0" w:space="0" w:color="auto"/>
        <w:right w:val="none" w:sz="0" w:space="0" w:color="auto"/>
      </w:divBdr>
    </w:div>
    <w:div w:id="34163311">
      <w:bodyDiv w:val="1"/>
      <w:marLeft w:val="0"/>
      <w:marRight w:val="0"/>
      <w:marTop w:val="0"/>
      <w:marBottom w:val="0"/>
      <w:divBdr>
        <w:top w:val="none" w:sz="0" w:space="0" w:color="auto"/>
        <w:left w:val="none" w:sz="0" w:space="0" w:color="auto"/>
        <w:bottom w:val="none" w:sz="0" w:space="0" w:color="auto"/>
        <w:right w:val="none" w:sz="0" w:space="0" w:color="auto"/>
      </w:divBdr>
    </w:div>
    <w:div w:id="55857315">
      <w:bodyDiv w:val="1"/>
      <w:marLeft w:val="0"/>
      <w:marRight w:val="0"/>
      <w:marTop w:val="0"/>
      <w:marBottom w:val="0"/>
      <w:divBdr>
        <w:top w:val="none" w:sz="0" w:space="0" w:color="auto"/>
        <w:left w:val="none" w:sz="0" w:space="0" w:color="auto"/>
        <w:bottom w:val="none" w:sz="0" w:space="0" w:color="auto"/>
        <w:right w:val="none" w:sz="0" w:space="0" w:color="auto"/>
      </w:divBdr>
    </w:div>
    <w:div w:id="57362883">
      <w:bodyDiv w:val="1"/>
      <w:marLeft w:val="0"/>
      <w:marRight w:val="0"/>
      <w:marTop w:val="0"/>
      <w:marBottom w:val="0"/>
      <w:divBdr>
        <w:top w:val="none" w:sz="0" w:space="0" w:color="auto"/>
        <w:left w:val="none" w:sz="0" w:space="0" w:color="auto"/>
        <w:bottom w:val="none" w:sz="0" w:space="0" w:color="auto"/>
        <w:right w:val="none" w:sz="0" w:space="0" w:color="auto"/>
      </w:divBdr>
    </w:div>
    <w:div w:id="58677534">
      <w:bodyDiv w:val="1"/>
      <w:marLeft w:val="0"/>
      <w:marRight w:val="0"/>
      <w:marTop w:val="0"/>
      <w:marBottom w:val="0"/>
      <w:divBdr>
        <w:top w:val="none" w:sz="0" w:space="0" w:color="auto"/>
        <w:left w:val="none" w:sz="0" w:space="0" w:color="auto"/>
        <w:bottom w:val="none" w:sz="0" w:space="0" w:color="auto"/>
        <w:right w:val="none" w:sz="0" w:space="0" w:color="auto"/>
      </w:divBdr>
    </w:div>
    <w:div w:id="61682253">
      <w:bodyDiv w:val="1"/>
      <w:marLeft w:val="0"/>
      <w:marRight w:val="0"/>
      <w:marTop w:val="0"/>
      <w:marBottom w:val="0"/>
      <w:divBdr>
        <w:top w:val="none" w:sz="0" w:space="0" w:color="auto"/>
        <w:left w:val="none" w:sz="0" w:space="0" w:color="auto"/>
        <w:bottom w:val="none" w:sz="0" w:space="0" w:color="auto"/>
        <w:right w:val="none" w:sz="0" w:space="0" w:color="auto"/>
      </w:divBdr>
    </w:div>
    <w:div w:id="68382802">
      <w:bodyDiv w:val="1"/>
      <w:marLeft w:val="0"/>
      <w:marRight w:val="0"/>
      <w:marTop w:val="0"/>
      <w:marBottom w:val="0"/>
      <w:divBdr>
        <w:top w:val="none" w:sz="0" w:space="0" w:color="auto"/>
        <w:left w:val="none" w:sz="0" w:space="0" w:color="auto"/>
        <w:bottom w:val="none" w:sz="0" w:space="0" w:color="auto"/>
        <w:right w:val="none" w:sz="0" w:space="0" w:color="auto"/>
      </w:divBdr>
    </w:div>
    <w:div w:id="75516927">
      <w:bodyDiv w:val="1"/>
      <w:marLeft w:val="0"/>
      <w:marRight w:val="0"/>
      <w:marTop w:val="0"/>
      <w:marBottom w:val="0"/>
      <w:divBdr>
        <w:top w:val="none" w:sz="0" w:space="0" w:color="auto"/>
        <w:left w:val="none" w:sz="0" w:space="0" w:color="auto"/>
        <w:bottom w:val="none" w:sz="0" w:space="0" w:color="auto"/>
        <w:right w:val="none" w:sz="0" w:space="0" w:color="auto"/>
      </w:divBdr>
    </w:div>
    <w:div w:id="81335772">
      <w:bodyDiv w:val="1"/>
      <w:marLeft w:val="0"/>
      <w:marRight w:val="0"/>
      <w:marTop w:val="0"/>
      <w:marBottom w:val="0"/>
      <w:divBdr>
        <w:top w:val="none" w:sz="0" w:space="0" w:color="auto"/>
        <w:left w:val="none" w:sz="0" w:space="0" w:color="auto"/>
        <w:bottom w:val="none" w:sz="0" w:space="0" w:color="auto"/>
        <w:right w:val="none" w:sz="0" w:space="0" w:color="auto"/>
      </w:divBdr>
    </w:div>
    <w:div w:id="86313231">
      <w:bodyDiv w:val="1"/>
      <w:marLeft w:val="0"/>
      <w:marRight w:val="0"/>
      <w:marTop w:val="0"/>
      <w:marBottom w:val="0"/>
      <w:divBdr>
        <w:top w:val="none" w:sz="0" w:space="0" w:color="auto"/>
        <w:left w:val="none" w:sz="0" w:space="0" w:color="auto"/>
        <w:bottom w:val="none" w:sz="0" w:space="0" w:color="auto"/>
        <w:right w:val="none" w:sz="0" w:space="0" w:color="auto"/>
      </w:divBdr>
    </w:div>
    <w:div w:id="90778214">
      <w:bodyDiv w:val="1"/>
      <w:marLeft w:val="0"/>
      <w:marRight w:val="0"/>
      <w:marTop w:val="0"/>
      <w:marBottom w:val="0"/>
      <w:divBdr>
        <w:top w:val="none" w:sz="0" w:space="0" w:color="auto"/>
        <w:left w:val="none" w:sz="0" w:space="0" w:color="auto"/>
        <w:bottom w:val="none" w:sz="0" w:space="0" w:color="auto"/>
        <w:right w:val="none" w:sz="0" w:space="0" w:color="auto"/>
      </w:divBdr>
    </w:div>
    <w:div w:id="95903660">
      <w:bodyDiv w:val="1"/>
      <w:marLeft w:val="0"/>
      <w:marRight w:val="0"/>
      <w:marTop w:val="0"/>
      <w:marBottom w:val="0"/>
      <w:divBdr>
        <w:top w:val="none" w:sz="0" w:space="0" w:color="auto"/>
        <w:left w:val="none" w:sz="0" w:space="0" w:color="auto"/>
        <w:bottom w:val="none" w:sz="0" w:space="0" w:color="auto"/>
        <w:right w:val="none" w:sz="0" w:space="0" w:color="auto"/>
      </w:divBdr>
    </w:div>
    <w:div w:id="98648851">
      <w:bodyDiv w:val="1"/>
      <w:marLeft w:val="0"/>
      <w:marRight w:val="0"/>
      <w:marTop w:val="0"/>
      <w:marBottom w:val="0"/>
      <w:divBdr>
        <w:top w:val="none" w:sz="0" w:space="0" w:color="auto"/>
        <w:left w:val="none" w:sz="0" w:space="0" w:color="auto"/>
        <w:bottom w:val="none" w:sz="0" w:space="0" w:color="auto"/>
        <w:right w:val="none" w:sz="0" w:space="0" w:color="auto"/>
      </w:divBdr>
    </w:div>
    <w:div w:id="106127265">
      <w:bodyDiv w:val="1"/>
      <w:marLeft w:val="0"/>
      <w:marRight w:val="0"/>
      <w:marTop w:val="0"/>
      <w:marBottom w:val="0"/>
      <w:divBdr>
        <w:top w:val="none" w:sz="0" w:space="0" w:color="auto"/>
        <w:left w:val="none" w:sz="0" w:space="0" w:color="auto"/>
        <w:bottom w:val="none" w:sz="0" w:space="0" w:color="auto"/>
        <w:right w:val="none" w:sz="0" w:space="0" w:color="auto"/>
      </w:divBdr>
    </w:div>
    <w:div w:id="106390899">
      <w:bodyDiv w:val="1"/>
      <w:marLeft w:val="0"/>
      <w:marRight w:val="0"/>
      <w:marTop w:val="0"/>
      <w:marBottom w:val="0"/>
      <w:divBdr>
        <w:top w:val="none" w:sz="0" w:space="0" w:color="auto"/>
        <w:left w:val="none" w:sz="0" w:space="0" w:color="auto"/>
        <w:bottom w:val="none" w:sz="0" w:space="0" w:color="auto"/>
        <w:right w:val="none" w:sz="0" w:space="0" w:color="auto"/>
      </w:divBdr>
    </w:div>
    <w:div w:id="115099455">
      <w:bodyDiv w:val="1"/>
      <w:marLeft w:val="0"/>
      <w:marRight w:val="0"/>
      <w:marTop w:val="0"/>
      <w:marBottom w:val="0"/>
      <w:divBdr>
        <w:top w:val="none" w:sz="0" w:space="0" w:color="auto"/>
        <w:left w:val="none" w:sz="0" w:space="0" w:color="auto"/>
        <w:bottom w:val="none" w:sz="0" w:space="0" w:color="auto"/>
        <w:right w:val="none" w:sz="0" w:space="0" w:color="auto"/>
      </w:divBdr>
    </w:div>
    <w:div w:id="115147634">
      <w:bodyDiv w:val="1"/>
      <w:marLeft w:val="0"/>
      <w:marRight w:val="0"/>
      <w:marTop w:val="0"/>
      <w:marBottom w:val="0"/>
      <w:divBdr>
        <w:top w:val="none" w:sz="0" w:space="0" w:color="auto"/>
        <w:left w:val="none" w:sz="0" w:space="0" w:color="auto"/>
        <w:bottom w:val="none" w:sz="0" w:space="0" w:color="auto"/>
        <w:right w:val="none" w:sz="0" w:space="0" w:color="auto"/>
      </w:divBdr>
    </w:div>
    <w:div w:id="117799933">
      <w:bodyDiv w:val="1"/>
      <w:marLeft w:val="0"/>
      <w:marRight w:val="0"/>
      <w:marTop w:val="0"/>
      <w:marBottom w:val="0"/>
      <w:divBdr>
        <w:top w:val="none" w:sz="0" w:space="0" w:color="auto"/>
        <w:left w:val="none" w:sz="0" w:space="0" w:color="auto"/>
        <w:bottom w:val="none" w:sz="0" w:space="0" w:color="auto"/>
        <w:right w:val="none" w:sz="0" w:space="0" w:color="auto"/>
      </w:divBdr>
    </w:div>
    <w:div w:id="126289904">
      <w:bodyDiv w:val="1"/>
      <w:marLeft w:val="0"/>
      <w:marRight w:val="0"/>
      <w:marTop w:val="0"/>
      <w:marBottom w:val="0"/>
      <w:divBdr>
        <w:top w:val="none" w:sz="0" w:space="0" w:color="auto"/>
        <w:left w:val="none" w:sz="0" w:space="0" w:color="auto"/>
        <w:bottom w:val="none" w:sz="0" w:space="0" w:color="auto"/>
        <w:right w:val="none" w:sz="0" w:space="0" w:color="auto"/>
      </w:divBdr>
    </w:div>
    <w:div w:id="133182328">
      <w:bodyDiv w:val="1"/>
      <w:marLeft w:val="0"/>
      <w:marRight w:val="0"/>
      <w:marTop w:val="0"/>
      <w:marBottom w:val="0"/>
      <w:divBdr>
        <w:top w:val="none" w:sz="0" w:space="0" w:color="auto"/>
        <w:left w:val="none" w:sz="0" w:space="0" w:color="auto"/>
        <w:bottom w:val="none" w:sz="0" w:space="0" w:color="auto"/>
        <w:right w:val="none" w:sz="0" w:space="0" w:color="auto"/>
      </w:divBdr>
    </w:div>
    <w:div w:id="136728899">
      <w:bodyDiv w:val="1"/>
      <w:marLeft w:val="0"/>
      <w:marRight w:val="0"/>
      <w:marTop w:val="0"/>
      <w:marBottom w:val="0"/>
      <w:divBdr>
        <w:top w:val="none" w:sz="0" w:space="0" w:color="auto"/>
        <w:left w:val="none" w:sz="0" w:space="0" w:color="auto"/>
        <w:bottom w:val="none" w:sz="0" w:space="0" w:color="auto"/>
        <w:right w:val="none" w:sz="0" w:space="0" w:color="auto"/>
      </w:divBdr>
    </w:div>
    <w:div w:id="136994152">
      <w:bodyDiv w:val="1"/>
      <w:marLeft w:val="0"/>
      <w:marRight w:val="0"/>
      <w:marTop w:val="0"/>
      <w:marBottom w:val="0"/>
      <w:divBdr>
        <w:top w:val="none" w:sz="0" w:space="0" w:color="auto"/>
        <w:left w:val="none" w:sz="0" w:space="0" w:color="auto"/>
        <w:bottom w:val="none" w:sz="0" w:space="0" w:color="auto"/>
        <w:right w:val="none" w:sz="0" w:space="0" w:color="auto"/>
      </w:divBdr>
    </w:div>
    <w:div w:id="140275952">
      <w:bodyDiv w:val="1"/>
      <w:marLeft w:val="0"/>
      <w:marRight w:val="0"/>
      <w:marTop w:val="0"/>
      <w:marBottom w:val="0"/>
      <w:divBdr>
        <w:top w:val="none" w:sz="0" w:space="0" w:color="auto"/>
        <w:left w:val="none" w:sz="0" w:space="0" w:color="auto"/>
        <w:bottom w:val="none" w:sz="0" w:space="0" w:color="auto"/>
        <w:right w:val="none" w:sz="0" w:space="0" w:color="auto"/>
      </w:divBdr>
    </w:div>
    <w:div w:id="153421846">
      <w:bodyDiv w:val="1"/>
      <w:marLeft w:val="0"/>
      <w:marRight w:val="0"/>
      <w:marTop w:val="0"/>
      <w:marBottom w:val="0"/>
      <w:divBdr>
        <w:top w:val="none" w:sz="0" w:space="0" w:color="auto"/>
        <w:left w:val="none" w:sz="0" w:space="0" w:color="auto"/>
        <w:bottom w:val="none" w:sz="0" w:space="0" w:color="auto"/>
        <w:right w:val="none" w:sz="0" w:space="0" w:color="auto"/>
      </w:divBdr>
    </w:div>
    <w:div w:id="156114343">
      <w:bodyDiv w:val="1"/>
      <w:marLeft w:val="0"/>
      <w:marRight w:val="0"/>
      <w:marTop w:val="0"/>
      <w:marBottom w:val="0"/>
      <w:divBdr>
        <w:top w:val="none" w:sz="0" w:space="0" w:color="auto"/>
        <w:left w:val="none" w:sz="0" w:space="0" w:color="auto"/>
        <w:bottom w:val="none" w:sz="0" w:space="0" w:color="auto"/>
        <w:right w:val="none" w:sz="0" w:space="0" w:color="auto"/>
      </w:divBdr>
    </w:div>
    <w:div w:id="163669865">
      <w:bodyDiv w:val="1"/>
      <w:marLeft w:val="0"/>
      <w:marRight w:val="0"/>
      <w:marTop w:val="0"/>
      <w:marBottom w:val="0"/>
      <w:divBdr>
        <w:top w:val="none" w:sz="0" w:space="0" w:color="auto"/>
        <w:left w:val="none" w:sz="0" w:space="0" w:color="auto"/>
        <w:bottom w:val="none" w:sz="0" w:space="0" w:color="auto"/>
        <w:right w:val="none" w:sz="0" w:space="0" w:color="auto"/>
      </w:divBdr>
    </w:div>
    <w:div w:id="166212619">
      <w:bodyDiv w:val="1"/>
      <w:marLeft w:val="0"/>
      <w:marRight w:val="0"/>
      <w:marTop w:val="0"/>
      <w:marBottom w:val="0"/>
      <w:divBdr>
        <w:top w:val="none" w:sz="0" w:space="0" w:color="auto"/>
        <w:left w:val="none" w:sz="0" w:space="0" w:color="auto"/>
        <w:bottom w:val="none" w:sz="0" w:space="0" w:color="auto"/>
        <w:right w:val="none" w:sz="0" w:space="0" w:color="auto"/>
      </w:divBdr>
    </w:div>
    <w:div w:id="167721661">
      <w:bodyDiv w:val="1"/>
      <w:marLeft w:val="0"/>
      <w:marRight w:val="0"/>
      <w:marTop w:val="0"/>
      <w:marBottom w:val="0"/>
      <w:divBdr>
        <w:top w:val="none" w:sz="0" w:space="0" w:color="auto"/>
        <w:left w:val="none" w:sz="0" w:space="0" w:color="auto"/>
        <w:bottom w:val="none" w:sz="0" w:space="0" w:color="auto"/>
        <w:right w:val="none" w:sz="0" w:space="0" w:color="auto"/>
      </w:divBdr>
    </w:div>
    <w:div w:id="169101392">
      <w:bodyDiv w:val="1"/>
      <w:marLeft w:val="0"/>
      <w:marRight w:val="0"/>
      <w:marTop w:val="0"/>
      <w:marBottom w:val="0"/>
      <w:divBdr>
        <w:top w:val="none" w:sz="0" w:space="0" w:color="auto"/>
        <w:left w:val="none" w:sz="0" w:space="0" w:color="auto"/>
        <w:bottom w:val="none" w:sz="0" w:space="0" w:color="auto"/>
        <w:right w:val="none" w:sz="0" w:space="0" w:color="auto"/>
      </w:divBdr>
    </w:div>
    <w:div w:id="173544378">
      <w:bodyDiv w:val="1"/>
      <w:marLeft w:val="0"/>
      <w:marRight w:val="0"/>
      <w:marTop w:val="0"/>
      <w:marBottom w:val="0"/>
      <w:divBdr>
        <w:top w:val="none" w:sz="0" w:space="0" w:color="auto"/>
        <w:left w:val="none" w:sz="0" w:space="0" w:color="auto"/>
        <w:bottom w:val="none" w:sz="0" w:space="0" w:color="auto"/>
        <w:right w:val="none" w:sz="0" w:space="0" w:color="auto"/>
      </w:divBdr>
    </w:div>
    <w:div w:id="175732901">
      <w:bodyDiv w:val="1"/>
      <w:marLeft w:val="0"/>
      <w:marRight w:val="0"/>
      <w:marTop w:val="0"/>
      <w:marBottom w:val="0"/>
      <w:divBdr>
        <w:top w:val="none" w:sz="0" w:space="0" w:color="auto"/>
        <w:left w:val="none" w:sz="0" w:space="0" w:color="auto"/>
        <w:bottom w:val="none" w:sz="0" w:space="0" w:color="auto"/>
        <w:right w:val="none" w:sz="0" w:space="0" w:color="auto"/>
      </w:divBdr>
    </w:div>
    <w:div w:id="181021703">
      <w:bodyDiv w:val="1"/>
      <w:marLeft w:val="0"/>
      <w:marRight w:val="0"/>
      <w:marTop w:val="0"/>
      <w:marBottom w:val="0"/>
      <w:divBdr>
        <w:top w:val="none" w:sz="0" w:space="0" w:color="auto"/>
        <w:left w:val="none" w:sz="0" w:space="0" w:color="auto"/>
        <w:bottom w:val="none" w:sz="0" w:space="0" w:color="auto"/>
        <w:right w:val="none" w:sz="0" w:space="0" w:color="auto"/>
      </w:divBdr>
    </w:div>
    <w:div w:id="184559103">
      <w:bodyDiv w:val="1"/>
      <w:marLeft w:val="0"/>
      <w:marRight w:val="0"/>
      <w:marTop w:val="0"/>
      <w:marBottom w:val="0"/>
      <w:divBdr>
        <w:top w:val="none" w:sz="0" w:space="0" w:color="auto"/>
        <w:left w:val="none" w:sz="0" w:space="0" w:color="auto"/>
        <w:bottom w:val="none" w:sz="0" w:space="0" w:color="auto"/>
        <w:right w:val="none" w:sz="0" w:space="0" w:color="auto"/>
      </w:divBdr>
    </w:div>
    <w:div w:id="203367942">
      <w:bodyDiv w:val="1"/>
      <w:marLeft w:val="0"/>
      <w:marRight w:val="0"/>
      <w:marTop w:val="0"/>
      <w:marBottom w:val="0"/>
      <w:divBdr>
        <w:top w:val="none" w:sz="0" w:space="0" w:color="auto"/>
        <w:left w:val="none" w:sz="0" w:space="0" w:color="auto"/>
        <w:bottom w:val="none" w:sz="0" w:space="0" w:color="auto"/>
        <w:right w:val="none" w:sz="0" w:space="0" w:color="auto"/>
      </w:divBdr>
    </w:div>
    <w:div w:id="208537952">
      <w:bodyDiv w:val="1"/>
      <w:marLeft w:val="0"/>
      <w:marRight w:val="0"/>
      <w:marTop w:val="0"/>
      <w:marBottom w:val="0"/>
      <w:divBdr>
        <w:top w:val="none" w:sz="0" w:space="0" w:color="auto"/>
        <w:left w:val="none" w:sz="0" w:space="0" w:color="auto"/>
        <w:bottom w:val="none" w:sz="0" w:space="0" w:color="auto"/>
        <w:right w:val="none" w:sz="0" w:space="0" w:color="auto"/>
      </w:divBdr>
    </w:div>
    <w:div w:id="230578465">
      <w:bodyDiv w:val="1"/>
      <w:marLeft w:val="0"/>
      <w:marRight w:val="0"/>
      <w:marTop w:val="0"/>
      <w:marBottom w:val="0"/>
      <w:divBdr>
        <w:top w:val="none" w:sz="0" w:space="0" w:color="auto"/>
        <w:left w:val="none" w:sz="0" w:space="0" w:color="auto"/>
        <w:bottom w:val="none" w:sz="0" w:space="0" w:color="auto"/>
        <w:right w:val="none" w:sz="0" w:space="0" w:color="auto"/>
      </w:divBdr>
    </w:div>
    <w:div w:id="232013527">
      <w:bodyDiv w:val="1"/>
      <w:marLeft w:val="0"/>
      <w:marRight w:val="0"/>
      <w:marTop w:val="0"/>
      <w:marBottom w:val="0"/>
      <w:divBdr>
        <w:top w:val="none" w:sz="0" w:space="0" w:color="auto"/>
        <w:left w:val="none" w:sz="0" w:space="0" w:color="auto"/>
        <w:bottom w:val="none" w:sz="0" w:space="0" w:color="auto"/>
        <w:right w:val="none" w:sz="0" w:space="0" w:color="auto"/>
      </w:divBdr>
    </w:div>
    <w:div w:id="239171856">
      <w:bodyDiv w:val="1"/>
      <w:marLeft w:val="0"/>
      <w:marRight w:val="0"/>
      <w:marTop w:val="0"/>
      <w:marBottom w:val="0"/>
      <w:divBdr>
        <w:top w:val="none" w:sz="0" w:space="0" w:color="auto"/>
        <w:left w:val="none" w:sz="0" w:space="0" w:color="auto"/>
        <w:bottom w:val="none" w:sz="0" w:space="0" w:color="auto"/>
        <w:right w:val="none" w:sz="0" w:space="0" w:color="auto"/>
      </w:divBdr>
    </w:div>
    <w:div w:id="246351014">
      <w:bodyDiv w:val="1"/>
      <w:marLeft w:val="0"/>
      <w:marRight w:val="0"/>
      <w:marTop w:val="0"/>
      <w:marBottom w:val="0"/>
      <w:divBdr>
        <w:top w:val="none" w:sz="0" w:space="0" w:color="auto"/>
        <w:left w:val="none" w:sz="0" w:space="0" w:color="auto"/>
        <w:bottom w:val="none" w:sz="0" w:space="0" w:color="auto"/>
        <w:right w:val="none" w:sz="0" w:space="0" w:color="auto"/>
      </w:divBdr>
    </w:div>
    <w:div w:id="258608080">
      <w:bodyDiv w:val="1"/>
      <w:marLeft w:val="0"/>
      <w:marRight w:val="0"/>
      <w:marTop w:val="0"/>
      <w:marBottom w:val="0"/>
      <w:divBdr>
        <w:top w:val="none" w:sz="0" w:space="0" w:color="auto"/>
        <w:left w:val="none" w:sz="0" w:space="0" w:color="auto"/>
        <w:bottom w:val="none" w:sz="0" w:space="0" w:color="auto"/>
        <w:right w:val="none" w:sz="0" w:space="0" w:color="auto"/>
      </w:divBdr>
    </w:div>
    <w:div w:id="261694136">
      <w:bodyDiv w:val="1"/>
      <w:marLeft w:val="0"/>
      <w:marRight w:val="0"/>
      <w:marTop w:val="0"/>
      <w:marBottom w:val="0"/>
      <w:divBdr>
        <w:top w:val="none" w:sz="0" w:space="0" w:color="auto"/>
        <w:left w:val="none" w:sz="0" w:space="0" w:color="auto"/>
        <w:bottom w:val="none" w:sz="0" w:space="0" w:color="auto"/>
        <w:right w:val="none" w:sz="0" w:space="0" w:color="auto"/>
      </w:divBdr>
    </w:div>
    <w:div w:id="300500508">
      <w:bodyDiv w:val="1"/>
      <w:marLeft w:val="0"/>
      <w:marRight w:val="0"/>
      <w:marTop w:val="0"/>
      <w:marBottom w:val="0"/>
      <w:divBdr>
        <w:top w:val="none" w:sz="0" w:space="0" w:color="auto"/>
        <w:left w:val="none" w:sz="0" w:space="0" w:color="auto"/>
        <w:bottom w:val="none" w:sz="0" w:space="0" w:color="auto"/>
        <w:right w:val="none" w:sz="0" w:space="0" w:color="auto"/>
      </w:divBdr>
    </w:div>
    <w:div w:id="301740188">
      <w:bodyDiv w:val="1"/>
      <w:marLeft w:val="0"/>
      <w:marRight w:val="0"/>
      <w:marTop w:val="0"/>
      <w:marBottom w:val="0"/>
      <w:divBdr>
        <w:top w:val="none" w:sz="0" w:space="0" w:color="auto"/>
        <w:left w:val="none" w:sz="0" w:space="0" w:color="auto"/>
        <w:bottom w:val="none" w:sz="0" w:space="0" w:color="auto"/>
        <w:right w:val="none" w:sz="0" w:space="0" w:color="auto"/>
      </w:divBdr>
    </w:div>
    <w:div w:id="302468214">
      <w:bodyDiv w:val="1"/>
      <w:marLeft w:val="0"/>
      <w:marRight w:val="0"/>
      <w:marTop w:val="0"/>
      <w:marBottom w:val="0"/>
      <w:divBdr>
        <w:top w:val="none" w:sz="0" w:space="0" w:color="auto"/>
        <w:left w:val="none" w:sz="0" w:space="0" w:color="auto"/>
        <w:bottom w:val="none" w:sz="0" w:space="0" w:color="auto"/>
        <w:right w:val="none" w:sz="0" w:space="0" w:color="auto"/>
      </w:divBdr>
    </w:div>
    <w:div w:id="309866375">
      <w:bodyDiv w:val="1"/>
      <w:marLeft w:val="0"/>
      <w:marRight w:val="0"/>
      <w:marTop w:val="0"/>
      <w:marBottom w:val="0"/>
      <w:divBdr>
        <w:top w:val="none" w:sz="0" w:space="0" w:color="auto"/>
        <w:left w:val="none" w:sz="0" w:space="0" w:color="auto"/>
        <w:bottom w:val="none" w:sz="0" w:space="0" w:color="auto"/>
        <w:right w:val="none" w:sz="0" w:space="0" w:color="auto"/>
      </w:divBdr>
    </w:div>
    <w:div w:id="310523651">
      <w:bodyDiv w:val="1"/>
      <w:marLeft w:val="0"/>
      <w:marRight w:val="0"/>
      <w:marTop w:val="0"/>
      <w:marBottom w:val="0"/>
      <w:divBdr>
        <w:top w:val="none" w:sz="0" w:space="0" w:color="auto"/>
        <w:left w:val="none" w:sz="0" w:space="0" w:color="auto"/>
        <w:bottom w:val="none" w:sz="0" w:space="0" w:color="auto"/>
        <w:right w:val="none" w:sz="0" w:space="0" w:color="auto"/>
      </w:divBdr>
    </w:div>
    <w:div w:id="317005833">
      <w:bodyDiv w:val="1"/>
      <w:marLeft w:val="0"/>
      <w:marRight w:val="0"/>
      <w:marTop w:val="0"/>
      <w:marBottom w:val="0"/>
      <w:divBdr>
        <w:top w:val="none" w:sz="0" w:space="0" w:color="auto"/>
        <w:left w:val="none" w:sz="0" w:space="0" w:color="auto"/>
        <w:bottom w:val="none" w:sz="0" w:space="0" w:color="auto"/>
        <w:right w:val="none" w:sz="0" w:space="0" w:color="auto"/>
      </w:divBdr>
    </w:div>
    <w:div w:id="319651790">
      <w:bodyDiv w:val="1"/>
      <w:marLeft w:val="0"/>
      <w:marRight w:val="0"/>
      <w:marTop w:val="0"/>
      <w:marBottom w:val="0"/>
      <w:divBdr>
        <w:top w:val="none" w:sz="0" w:space="0" w:color="auto"/>
        <w:left w:val="none" w:sz="0" w:space="0" w:color="auto"/>
        <w:bottom w:val="none" w:sz="0" w:space="0" w:color="auto"/>
        <w:right w:val="none" w:sz="0" w:space="0" w:color="auto"/>
      </w:divBdr>
    </w:div>
    <w:div w:id="321782839">
      <w:bodyDiv w:val="1"/>
      <w:marLeft w:val="0"/>
      <w:marRight w:val="0"/>
      <w:marTop w:val="0"/>
      <w:marBottom w:val="0"/>
      <w:divBdr>
        <w:top w:val="none" w:sz="0" w:space="0" w:color="auto"/>
        <w:left w:val="none" w:sz="0" w:space="0" w:color="auto"/>
        <w:bottom w:val="none" w:sz="0" w:space="0" w:color="auto"/>
        <w:right w:val="none" w:sz="0" w:space="0" w:color="auto"/>
      </w:divBdr>
    </w:div>
    <w:div w:id="326595107">
      <w:bodyDiv w:val="1"/>
      <w:marLeft w:val="0"/>
      <w:marRight w:val="0"/>
      <w:marTop w:val="0"/>
      <w:marBottom w:val="0"/>
      <w:divBdr>
        <w:top w:val="none" w:sz="0" w:space="0" w:color="auto"/>
        <w:left w:val="none" w:sz="0" w:space="0" w:color="auto"/>
        <w:bottom w:val="none" w:sz="0" w:space="0" w:color="auto"/>
        <w:right w:val="none" w:sz="0" w:space="0" w:color="auto"/>
      </w:divBdr>
    </w:div>
    <w:div w:id="331180168">
      <w:bodyDiv w:val="1"/>
      <w:marLeft w:val="0"/>
      <w:marRight w:val="0"/>
      <w:marTop w:val="0"/>
      <w:marBottom w:val="0"/>
      <w:divBdr>
        <w:top w:val="none" w:sz="0" w:space="0" w:color="auto"/>
        <w:left w:val="none" w:sz="0" w:space="0" w:color="auto"/>
        <w:bottom w:val="none" w:sz="0" w:space="0" w:color="auto"/>
        <w:right w:val="none" w:sz="0" w:space="0" w:color="auto"/>
      </w:divBdr>
    </w:div>
    <w:div w:id="336199682">
      <w:bodyDiv w:val="1"/>
      <w:marLeft w:val="0"/>
      <w:marRight w:val="0"/>
      <w:marTop w:val="0"/>
      <w:marBottom w:val="0"/>
      <w:divBdr>
        <w:top w:val="none" w:sz="0" w:space="0" w:color="auto"/>
        <w:left w:val="none" w:sz="0" w:space="0" w:color="auto"/>
        <w:bottom w:val="none" w:sz="0" w:space="0" w:color="auto"/>
        <w:right w:val="none" w:sz="0" w:space="0" w:color="auto"/>
      </w:divBdr>
    </w:div>
    <w:div w:id="340082031">
      <w:bodyDiv w:val="1"/>
      <w:marLeft w:val="0"/>
      <w:marRight w:val="0"/>
      <w:marTop w:val="0"/>
      <w:marBottom w:val="0"/>
      <w:divBdr>
        <w:top w:val="none" w:sz="0" w:space="0" w:color="auto"/>
        <w:left w:val="none" w:sz="0" w:space="0" w:color="auto"/>
        <w:bottom w:val="none" w:sz="0" w:space="0" w:color="auto"/>
        <w:right w:val="none" w:sz="0" w:space="0" w:color="auto"/>
      </w:divBdr>
    </w:div>
    <w:div w:id="340594150">
      <w:bodyDiv w:val="1"/>
      <w:marLeft w:val="0"/>
      <w:marRight w:val="0"/>
      <w:marTop w:val="0"/>
      <w:marBottom w:val="0"/>
      <w:divBdr>
        <w:top w:val="none" w:sz="0" w:space="0" w:color="auto"/>
        <w:left w:val="none" w:sz="0" w:space="0" w:color="auto"/>
        <w:bottom w:val="none" w:sz="0" w:space="0" w:color="auto"/>
        <w:right w:val="none" w:sz="0" w:space="0" w:color="auto"/>
      </w:divBdr>
    </w:div>
    <w:div w:id="341393012">
      <w:bodyDiv w:val="1"/>
      <w:marLeft w:val="0"/>
      <w:marRight w:val="0"/>
      <w:marTop w:val="0"/>
      <w:marBottom w:val="0"/>
      <w:divBdr>
        <w:top w:val="none" w:sz="0" w:space="0" w:color="auto"/>
        <w:left w:val="none" w:sz="0" w:space="0" w:color="auto"/>
        <w:bottom w:val="none" w:sz="0" w:space="0" w:color="auto"/>
        <w:right w:val="none" w:sz="0" w:space="0" w:color="auto"/>
      </w:divBdr>
    </w:div>
    <w:div w:id="342558632">
      <w:bodyDiv w:val="1"/>
      <w:marLeft w:val="0"/>
      <w:marRight w:val="0"/>
      <w:marTop w:val="0"/>
      <w:marBottom w:val="0"/>
      <w:divBdr>
        <w:top w:val="none" w:sz="0" w:space="0" w:color="auto"/>
        <w:left w:val="none" w:sz="0" w:space="0" w:color="auto"/>
        <w:bottom w:val="none" w:sz="0" w:space="0" w:color="auto"/>
        <w:right w:val="none" w:sz="0" w:space="0" w:color="auto"/>
      </w:divBdr>
    </w:div>
    <w:div w:id="349068421">
      <w:bodyDiv w:val="1"/>
      <w:marLeft w:val="0"/>
      <w:marRight w:val="0"/>
      <w:marTop w:val="0"/>
      <w:marBottom w:val="0"/>
      <w:divBdr>
        <w:top w:val="none" w:sz="0" w:space="0" w:color="auto"/>
        <w:left w:val="none" w:sz="0" w:space="0" w:color="auto"/>
        <w:bottom w:val="none" w:sz="0" w:space="0" w:color="auto"/>
        <w:right w:val="none" w:sz="0" w:space="0" w:color="auto"/>
      </w:divBdr>
    </w:div>
    <w:div w:id="352852427">
      <w:bodyDiv w:val="1"/>
      <w:marLeft w:val="0"/>
      <w:marRight w:val="0"/>
      <w:marTop w:val="0"/>
      <w:marBottom w:val="0"/>
      <w:divBdr>
        <w:top w:val="none" w:sz="0" w:space="0" w:color="auto"/>
        <w:left w:val="none" w:sz="0" w:space="0" w:color="auto"/>
        <w:bottom w:val="none" w:sz="0" w:space="0" w:color="auto"/>
        <w:right w:val="none" w:sz="0" w:space="0" w:color="auto"/>
      </w:divBdr>
    </w:div>
    <w:div w:id="361054173">
      <w:bodyDiv w:val="1"/>
      <w:marLeft w:val="0"/>
      <w:marRight w:val="0"/>
      <w:marTop w:val="0"/>
      <w:marBottom w:val="0"/>
      <w:divBdr>
        <w:top w:val="none" w:sz="0" w:space="0" w:color="auto"/>
        <w:left w:val="none" w:sz="0" w:space="0" w:color="auto"/>
        <w:bottom w:val="none" w:sz="0" w:space="0" w:color="auto"/>
        <w:right w:val="none" w:sz="0" w:space="0" w:color="auto"/>
      </w:divBdr>
    </w:div>
    <w:div w:id="363101013">
      <w:bodyDiv w:val="1"/>
      <w:marLeft w:val="0"/>
      <w:marRight w:val="0"/>
      <w:marTop w:val="0"/>
      <w:marBottom w:val="0"/>
      <w:divBdr>
        <w:top w:val="none" w:sz="0" w:space="0" w:color="auto"/>
        <w:left w:val="none" w:sz="0" w:space="0" w:color="auto"/>
        <w:bottom w:val="none" w:sz="0" w:space="0" w:color="auto"/>
        <w:right w:val="none" w:sz="0" w:space="0" w:color="auto"/>
      </w:divBdr>
    </w:div>
    <w:div w:id="364252183">
      <w:bodyDiv w:val="1"/>
      <w:marLeft w:val="0"/>
      <w:marRight w:val="0"/>
      <w:marTop w:val="0"/>
      <w:marBottom w:val="0"/>
      <w:divBdr>
        <w:top w:val="none" w:sz="0" w:space="0" w:color="auto"/>
        <w:left w:val="none" w:sz="0" w:space="0" w:color="auto"/>
        <w:bottom w:val="none" w:sz="0" w:space="0" w:color="auto"/>
        <w:right w:val="none" w:sz="0" w:space="0" w:color="auto"/>
      </w:divBdr>
    </w:div>
    <w:div w:id="364448726">
      <w:bodyDiv w:val="1"/>
      <w:marLeft w:val="0"/>
      <w:marRight w:val="0"/>
      <w:marTop w:val="0"/>
      <w:marBottom w:val="0"/>
      <w:divBdr>
        <w:top w:val="none" w:sz="0" w:space="0" w:color="auto"/>
        <w:left w:val="none" w:sz="0" w:space="0" w:color="auto"/>
        <w:bottom w:val="none" w:sz="0" w:space="0" w:color="auto"/>
        <w:right w:val="none" w:sz="0" w:space="0" w:color="auto"/>
      </w:divBdr>
    </w:div>
    <w:div w:id="371074729">
      <w:bodyDiv w:val="1"/>
      <w:marLeft w:val="0"/>
      <w:marRight w:val="0"/>
      <w:marTop w:val="0"/>
      <w:marBottom w:val="0"/>
      <w:divBdr>
        <w:top w:val="none" w:sz="0" w:space="0" w:color="auto"/>
        <w:left w:val="none" w:sz="0" w:space="0" w:color="auto"/>
        <w:bottom w:val="none" w:sz="0" w:space="0" w:color="auto"/>
        <w:right w:val="none" w:sz="0" w:space="0" w:color="auto"/>
      </w:divBdr>
    </w:div>
    <w:div w:id="374042458">
      <w:bodyDiv w:val="1"/>
      <w:marLeft w:val="0"/>
      <w:marRight w:val="0"/>
      <w:marTop w:val="0"/>
      <w:marBottom w:val="0"/>
      <w:divBdr>
        <w:top w:val="none" w:sz="0" w:space="0" w:color="auto"/>
        <w:left w:val="none" w:sz="0" w:space="0" w:color="auto"/>
        <w:bottom w:val="none" w:sz="0" w:space="0" w:color="auto"/>
        <w:right w:val="none" w:sz="0" w:space="0" w:color="auto"/>
      </w:divBdr>
    </w:div>
    <w:div w:id="379743366">
      <w:bodyDiv w:val="1"/>
      <w:marLeft w:val="0"/>
      <w:marRight w:val="0"/>
      <w:marTop w:val="0"/>
      <w:marBottom w:val="0"/>
      <w:divBdr>
        <w:top w:val="none" w:sz="0" w:space="0" w:color="auto"/>
        <w:left w:val="none" w:sz="0" w:space="0" w:color="auto"/>
        <w:bottom w:val="none" w:sz="0" w:space="0" w:color="auto"/>
        <w:right w:val="none" w:sz="0" w:space="0" w:color="auto"/>
      </w:divBdr>
    </w:div>
    <w:div w:id="396782540">
      <w:bodyDiv w:val="1"/>
      <w:marLeft w:val="0"/>
      <w:marRight w:val="0"/>
      <w:marTop w:val="0"/>
      <w:marBottom w:val="0"/>
      <w:divBdr>
        <w:top w:val="none" w:sz="0" w:space="0" w:color="auto"/>
        <w:left w:val="none" w:sz="0" w:space="0" w:color="auto"/>
        <w:bottom w:val="none" w:sz="0" w:space="0" w:color="auto"/>
        <w:right w:val="none" w:sz="0" w:space="0" w:color="auto"/>
      </w:divBdr>
    </w:div>
    <w:div w:id="400252396">
      <w:bodyDiv w:val="1"/>
      <w:marLeft w:val="0"/>
      <w:marRight w:val="0"/>
      <w:marTop w:val="0"/>
      <w:marBottom w:val="0"/>
      <w:divBdr>
        <w:top w:val="none" w:sz="0" w:space="0" w:color="auto"/>
        <w:left w:val="none" w:sz="0" w:space="0" w:color="auto"/>
        <w:bottom w:val="none" w:sz="0" w:space="0" w:color="auto"/>
        <w:right w:val="none" w:sz="0" w:space="0" w:color="auto"/>
      </w:divBdr>
    </w:div>
    <w:div w:id="402217138">
      <w:bodyDiv w:val="1"/>
      <w:marLeft w:val="0"/>
      <w:marRight w:val="0"/>
      <w:marTop w:val="0"/>
      <w:marBottom w:val="0"/>
      <w:divBdr>
        <w:top w:val="none" w:sz="0" w:space="0" w:color="auto"/>
        <w:left w:val="none" w:sz="0" w:space="0" w:color="auto"/>
        <w:bottom w:val="none" w:sz="0" w:space="0" w:color="auto"/>
        <w:right w:val="none" w:sz="0" w:space="0" w:color="auto"/>
      </w:divBdr>
    </w:div>
    <w:div w:id="406339255">
      <w:bodyDiv w:val="1"/>
      <w:marLeft w:val="0"/>
      <w:marRight w:val="0"/>
      <w:marTop w:val="0"/>
      <w:marBottom w:val="0"/>
      <w:divBdr>
        <w:top w:val="none" w:sz="0" w:space="0" w:color="auto"/>
        <w:left w:val="none" w:sz="0" w:space="0" w:color="auto"/>
        <w:bottom w:val="none" w:sz="0" w:space="0" w:color="auto"/>
        <w:right w:val="none" w:sz="0" w:space="0" w:color="auto"/>
      </w:divBdr>
    </w:div>
    <w:div w:id="412050532">
      <w:bodyDiv w:val="1"/>
      <w:marLeft w:val="0"/>
      <w:marRight w:val="0"/>
      <w:marTop w:val="0"/>
      <w:marBottom w:val="0"/>
      <w:divBdr>
        <w:top w:val="none" w:sz="0" w:space="0" w:color="auto"/>
        <w:left w:val="none" w:sz="0" w:space="0" w:color="auto"/>
        <w:bottom w:val="none" w:sz="0" w:space="0" w:color="auto"/>
        <w:right w:val="none" w:sz="0" w:space="0" w:color="auto"/>
      </w:divBdr>
    </w:div>
    <w:div w:id="431433469">
      <w:bodyDiv w:val="1"/>
      <w:marLeft w:val="0"/>
      <w:marRight w:val="0"/>
      <w:marTop w:val="0"/>
      <w:marBottom w:val="0"/>
      <w:divBdr>
        <w:top w:val="none" w:sz="0" w:space="0" w:color="auto"/>
        <w:left w:val="none" w:sz="0" w:space="0" w:color="auto"/>
        <w:bottom w:val="none" w:sz="0" w:space="0" w:color="auto"/>
        <w:right w:val="none" w:sz="0" w:space="0" w:color="auto"/>
      </w:divBdr>
    </w:div>
    <w:div w:id="434790226">
      <w:bodyDiv w:val="1"/>
      <w:marLeft w:val="0"/>
      <w:marRight w:val="0"/>
      <w:marTop w:val="0"/>
      <w:marBottom w:val="0"/>
      <w:divBdr>
        <w:top w:val="none" w:sz="0" w:space="0" w:color="auto"/>
        <w:left w:val="none" w:sz="0" w:space="0" w:color="auto"/>
        <w:bottom w:val="none" w:sz="0" w:space="0" w:color="auto"/>
        <w:right w:val="none" w:sz="0" w:space="0" w:color="auto"/>
      </w:divBdr>
    </w:div>
    <w:div w:id="438180942">
      <w:bodyDiv w:val="1"/>
      <w:marLeft w:val="0"/>
      <w:marRight w:val="0"/>
      <w:marTop w:val="0"/>
      <w:marBottom w:val="0"/>
      <w:divBdr>
        <w:top w:val="none" w:sz="0" w:space="0" w:color="auto"/>
        <w:left w:val="none" w:sz="0" w:space="0" w:color="auto"/>
        <w:bottom w:val="none" w:sz="0" w:space="0" w:color="auto"/>
        <w:right w:val="none" w:sz="0" w:space="0" w:color="auto"/>
      </w:divBdr>
    </w:div>
    <w:div w:id="444273338">
      <w:bodyDiv w:val="1"/>
      <w:marLeft w:val="0"/>
      <w:marRight w:val="0"/>
      <w:marTop w:val="0"/>
      <w:marBottom w:val="0"/>
      <w:divBdr>
        <w:top w:val="none" w:sz="0" w:space="0" w:color="auto"/>
        <w:left w:val="none" w:sz="0" w:space="0" w:color="auto"/>
        <w:bottom w:val="none" w:sz="0" w:space="0" w:color="auto"/>
        <w:right w:val="none" w:sz="0" w:space="0" w:color="auto"/>
      </w:divBdr>
    </w:div>
    <w:div w:id="448475575">
      <w:bodyDiv w:val="1"/>
      <w:marLeft w:val="0"/>
      <w:marRight w:val="0"/>
      <w:marTop w:val="0"/>
      <w:marBottom w:val="0"/>
      <w:divBdr>
        <w:top w:val="none" w:sz="0" w:space="0" w:color="auto"/>
        <w:left w:val="none" w:sz="0" w:space="0" w:color="auto"/>
        <w:bottom w:val="none" w:sz="0" w:space="0" w:color="auto"/>
        <w:right w:val="none" w:sz="0" w:space="0" w:color="auto"/>
      </w:divBdr>
    </w:div>
    <w:div w:id="449784035">
      <w:bodyDiv w:val="1"/>
      <w:marLeft w:val="0"/>
      <w:marRight w:val="0"/>
      <w:marTop w:val="0"/>
      <w:marBottom w:val="0"/>
      <w:divBdr>
        <w:top w:val="none" w:sz="0" w:space="0" w:color="auto"/>
        <w:left w:val="none" w:sz="0" w:space="0" w:color="auto"/>
        <w:bottom w:val="none" w:sz="0" w:space="0" w:color="auto"/>
        <w:right w:val="none" w:sz="0" w:space="0" w:color="auto"/>
      </w:divBdr>
    </w:div>
    <w:div w:id="452675659">
      <w:bodyDiv w:val="1"/>
      <w:marLeft w:val="0"/>
      <w:marRight w:val="0"/>
      <w:marTop w:val="0"/>
      <w:marBottom w:val="0"/>
      <w:divBdr>
        <w:top w:val="none" w:sz="0" w:space="0" w:color="auto"/>
        <w:left w:val="none" w:sz="0" w:space="0" w:color="auto"/>
        <w:bottom w:val="none" w:sz="0" w:space="0" w:color="auto"/>
        <w:right w:val="none" w:sz="0" w:space="0" w:color="auto"/>
      </w:divBdr>
    </w:div>
    <w:div w:id="455872702">
      <w:bodyDiv w:val="1"/>
      <w:marLeft w:val="0"/>
      <w:marRight w:val="0"/>
      <w:marTop w:val="0"/>
      <w:marBottom w:val="0"/>
      <w:divBdr>
        <w:top w:val="none" w:sz="0" w:space="0" w:color="auto"/>
        <w:left w:val="none" w:sz="0" w:space="0" w:color="auto"/>
        <w:bottom w:val="none" w:sz="0" w:space="0" w:color="auto"/>
        <w:right w:val="none" w:sz="0" w:space="0" w:color="auto"/>
      </w:divBdr>
    </w:div>
    <w:div w:id="464011216">
      <w:bodyDiv w:val="1"/>
      <w:marLeft w:val="0"/>
      <w:marRight w:val="0"/>
      <w:marTop w:val="0"/>
      <w:marBottom w:val="0"/>
      <w:divBdr>
        <w:top w:val="none" w:sz="0" w:space="0" w:color="auto"/>
        <w:left w:val="none" w:sz="0" w:space="0" w:color="auto"/>
        <w:bottom w:val="none" w:sz="0" w:space="0" w:color="auto"/>
        <w:right w:val="none" w:sz="0" w:space="0" w:color="auto"/>
      </w:divBdr>
    </w:div>
    <w:div w:id="464279261">
      <w:bodyDiv w:val="1"/>
      <w:marLeft w:val="0"/>
      <w:marRight w:val="0"/>
      <w:marTop w:val="0"/>
      <w:marBottom w:val="0"/>
      <w:divBdr>
        <w:top w:val="none" w:sz="0" w:space="0" w:color="auto"/>
        <w:left w:val="none" w:sz="0" w:space="0" w:color="auto"/>
        <w:bottom w:val="none" w:sz="0" w:space="0" w:color="auto"/>
        <w:right w:val="none" w:sz="0" w:space="0" w:color="auto"/>
      </w:divBdr>
    </w:div>
    <w:div w:id="465588919">
      <w:bodyDiv w:val="1"/>
      <w:marLeft w:val="0"/>
      <w:marRight w:val="0"/>
      <w:marTop w:val="0"/>
      <w:marBottom w:val="0"/>
      <w:divBdr>
        <w:top w:val="none" w:sz="0" w:space="0" w:color="auto"/>
        <w:left w:val="none" w:sz="0" w:space="0" w:color="auto"/>
        <w:bottom w:val="none" w:sz="0" w:space="0" w:color="auto"/>
        <w:right w:val="none" w:sz="0" w:space="0" w:color="auto"/>
      </w:divBdr>
    </w:div>
    <w:div w:id="483816434">
      <w:bodyDiv w:val="1"/>
      <w:marLeft w:val="0"/>
      <w:marRight w:val="0"/>
      <w:marTop w:val="0"/>
      <w:marBottom w:val="0"/>
      <w:divBdr>
        <w:top w:val="none" w:sz="0" w:space="0" w:color="auto"/>
        <w:left w:val="none" w:sz="0" w:space="0" w:color="auto"/>
        <w:bottom w:val="none" w:sz="0" w:space="0" w:color="auto"/>
        <w:right w:val="none" w:sz="0" w:space="0" w:color="auto"/>
      </w:divBdr>
    </w:div>
    <w:div w:id="484663598">
      <w:bodyDiv w:val="1"/>
      <w:marLeft w:val="0"/>
      <w:marRight w:val="0"/>
      <w:marTop w:val="0"/>
      <w:marBottom w:val="0"/>
      <w:divBdr>
        <w:top w:val="none" w:sz="0" w:space="0" w:color="auto"/>
        <w:left w:val="none" w:sz="0" w:space="0" w:color="auto"/>
        <w:bottom w:val="none" w:sz="0" w:space="0" w:color="auto"/>
        <w:right w:val="none" w:sz="0" w:space="0" w:color="auto"/>
      </w:divBdr>
    </w:div>
    <w:div w:id="503713271">
      <w:bodyDiv w:val="1"/>
      <w:marLeft w:val="0"/>
      <w:marRight w:val="0"/>
      <w:marTop w:val="0"/>
      <w:marBottom w:val="0"/>
      <w:divBdr>
        <w:top w:val="none" w:sz="0" w:space="0" w:color="auto"/>
        <w:left w:val="none" w:sz="0" w:space="0" w:color="auto"/>
        <w:bottom w:val="none" w:sz="0" w:space="0" w:color="auto"/>
        <w:right w:val="none" w:sz="0" w:space="0" w:color="auto"/>
      </w:divBdr>
    </w:div>
    <w:div w:id="507214417">
      <w:bodyDiv w:val="1"/>
      <w:marLeft w:val="0"/>
      <w:marRight w:val="0"/>
      <w:marTop w:val="0"/>
      <w:marBottom w:val="0"/>
      <w:divBdr>
        <w:top w:val="none" w:sz="0" w:space="0" w:color="auto"/>
        <w:left w:val="none" w:sz="0" w:space="0" w:color="auto"/>
        <w:bottom w:val="none" w:sz="0" w:space="0" w:color="auto"/>
        <w:right w:val="none" w:sz="0" w:space="0" w:color="auto"/>
      </w:divBdr>
    </w:div>
    <w:div w:id="516429219">
      <w:bodyDiv w:val="1"/>
      <w:marLeft w:val="0"/>
      <w:marRight w:val="0"/>
      <w:marTop w:val="0"/>
      <w:marBottom w:val="0"/>
      <w:divBdr>
        <w:top w:val="none" w:sz="0" w:space="0" w:color="auto"/>
        <w:left w:val="none" w:sz="0" w:space="0" w:color="auto"/>
        <w:bottom w:val="none" w:sz="0" w:space="0" w:color="auto"/>
        <w:right w:val="none" w:sz="0" w:space="0" w:color="auto"/>
      </w:divBdr>
    </w:div>
    <w:div w:id="528448155">
      <w:bodyDiv w:val="1"/>
      <w:marLeft w:val="0"/>
      <w:marRight w:val="0"/>
      <w:marTop w:val="0"/>
      <w:marBottom w:val="0"/>
      <w:divBdr>
        <w:top w:val="none" w:sz="0" w:space="0" w:color="auto"/>
        <w:left w:val="none" w:sz="0" w:space="0" w:color="auto"/>
        <w:bottom w:val="none" w:sz="0" w:space="0" w:color="auto"/>
        <w:right w:val="none" w:sz="0" w:space="0" w:color="auto"/>
      </w:divBdr>
    </w:div>
    <w:div w:id="532961025">
      <w:bodyDiv w:val="1"/>
      <w:marLeft w:val="0"/>
      <w:marRight w:val="0"/>
      <w:marTop w:val="0"/>
      <w:marBottom w:val="0"/>
      <w:divBdr>
        <w:top w:val="none" w:sz="0" w:space="0" w:color="auto"/>
        <w:left w:val="none" w:sz="0" w:space="0" w:color="auto"/>
        <w:bottom w:val="none" w:sz="0" w:space="0" w:color="auto"/>
        <w:right w:val="none" w:sz="0" w:space="0" w:color="auto"/>
      </w:divBdr>
    </w:div>
    <w:div w:id="533343833">
      <w:bodyDiv w:val="1"/>
      <w:marLeft w:val="0"/>
      <w:marRight w:val="0"/>
      <w:marTop w:val="0"/>
      <w:marBottom w:val="0"/>
      <w:divBdr>
        <w:top w:val="none" w:sz="0" w:space="0" w:color="auto"/>
        <w:left w:val="none" w:sz="0" w:space="0" w:color="auto"/>
        <w:bottom w:val="none" w:sz="0" w:space="0" w:color="auto"/>
        <w:right w:val="none" w:sz="0" w:space="0" w:color="auto"/>
      </w:divBdr>
    </w:div>
    <w:div w:id="537012876">
      <w:bodyDiv w:val="1"/>
      <w:marLeft w:val="0"/>
      <w:marRight w:val="0"/>
      <w:marTop w:val="0"/>
      <w:marBottom w:val="0"/>
      <w:divBdr>
        <w:top w:val="none" w:sz="0" w:space="0" w:color="auto"/>
        <w:left w:val="none" w:sz="0" w:space="0" w:color="auto"/>
        <w:bottom w:val="none" w:sz="0" w:space="0" w:color="auto"/>
        <w:right w:val="none" w:sz="0" w:space="0" w:color="auto"/>
      </w:divBdr>
    </w:div>
    <w:div w:id="539588461">
      <w:bodyDiv w:val="1"/>
      <w:marLeft w:val="0"/>
      <w:marRight w:val="0"/>
      <w:marTop w:val="0"/>
      <w:marBottom w:val="0"/>
      <w:divBdr>
        <w:top w:val="none" w:sz="0" w:space="0" w:color="auto"/>
        <w:left w:val="none" w:sz="0" w:space="0" w:color="auto"/>
        <w:bottom w:val="none" w:sz="0" w:space="0" w:color="auto"/>
        <w:right w:val="none" w:sz="0" w:space="0" w:color="auto"/>
      </w:divBdr>
    </w:div>
    <w:div w:id="540168534">
      <w:bodyDiv w:val="1"/>
      <w:marLeft w:val="0"/>
      <w:marRight w:val="0"/>
      <w:marTop w:val="0"/>
      <w:marBottom w:val="0"/>
      <w:divBdr>
        <w:top w:val="none" w:sz="0" w:space="0" w:color="auto"/>
        <w:left w:val="none" w:sz="0" w:space="0" w:color="auto"/>
        <w:bottom w:val="none" w:sz="0" w:space="0" w:color="auto"/>
        <w:right w:val="none" w:sz="0" w:space="0" w:color="auto"/>
      </w:divBdr>
    </w:div>
    <w:div w:id="548764489">
      <w:bodyDiv w:val="1"/>
      <w:marLeft w:val="0"/>
      <w:marRight w:val="0"/>
      <w:marTop w:val="0"/>
      <w:marBottom w:val="0"/>
      <w:divBdr>
        <w:top w:val="none" w:sz="0" w:space="0" w:color="auto"/>
        <w:left w:val="none" w:sz="0" w:space="0" w:color="auto"/>
        <w:bottom w:val="none" w:sz="0" w:space="0" w:color="auto"/>
        <w:right w:val="none" w:sz="0" w:space="0" w:color="auto"/>
      </w:divBdr>
    </w:div>
    <w:div w:id="558903227">
      <w:bodyDiv w:val="1"/>
      <w:marLeft w:val="0"/>
      <w:marRight w:val="0"/>
      <w:marTop w:val="0"/>
      <w:marBottom w:val="0"/>
      <w:divBdr>
        <w:top w:val="none" w:sz="0" w:space="0" w:color="auto"/>
        <w:left w:val="none" w:sz="0" w:space="0" w:color="auto"/>
        <w:bottom w:val="none" w:sz="0" w:space="0" w:color="auto"/>
        <w:right w:val="none" w:sz="0" w:space="0" w:color="auto"/>
      </w:divBdr>
    </w:div>
    <w:div w:id="560210542">
      <w:bodyDiv w:val="1"/>
      <w:marLeft w:val="0"/>
      <w:marRight w:val="0"/>
      <w:marTop w:val="0"/>
      <w:marBottom w:val="0"/>
      <w:divBdr>
        <w:top w:val="none" w:sz="0" w:space="0" w:color="auto"/>
        <w:left w:val="none" w:sz="0" w:space="0" w:color="auto"/>
        <w:bottom w:val="none" w:sz="0" w:space="0" w:color="auto"/>
        <w:right w:val="none" w:sz="0" w:space="0" w:color="auto"/>
      </w:divBdr>
    </w:div>
    <w:div w:id="562299097">
      <w:bodyDiv w:val="1"/>
      <w:marLeft w:val="0"/>
      <w:marRight w:val="0"/>
      <w:marTop w:val="0"/>
      <w:marBottom w:val="0"/>
      <w:divBdr>
        <w:top w:val="none" w:sz="0" w:space="0" w:color="auto"/>
        <w:left w:val="none" w:sz="0" w:space="0" w:color="auto"/>
        <w:bottom w:val="none" w:sz="0" w:space="0" w:color="auto"/>
        <w:right w:val="none" w:sz="0" w:space="0" w:color="auto"/>
      </w:divBdr>
    </w:div>
    <w:div w:id="562761665">
      <w:bodyDiv w:val="1"/>
      <w:marLeft w:val="0"/>
      <w:marRight w:val="0"/>
      <w:marTop w:val="0"/>
      <w:marBottom w:val="0"/>
      <w:divBdr>
        <w:top w:val="none" w:sz="0" w:space="0" w:color="auto"/>
        <w:left w:val="none" w:sz="0" w:space="0" w:color="auto"/>
        <w:bottom w:val="none" w:sz="0" w:space="0" w:color="auto"/>
        <w:right w:val="none" w:sz="0" w:space="0" w:color="auto"/>
      </w:divBdr>
    </w:div>
    <w:div w:id="565259821">
      <w:bodyDiv w:val="1"/>
      <w:marLeft w:val="0"/>
      <w:marRight w:val="0"/>
      <w:marTop w:val="0"/>
      <w:marBottom w:val="0"/>
      <w:divBdr>
        <w:top w:val="none" w:sz="0" w:space="0" w:color="auto"/>
        <w:left w:val="none" w:sz="0" w:space="0" w:color="auto"/>
        <w:bottom w:val="none" w:sz="0" w:space="0" w:color="auto"/>
        <w:right w:val="none" w:sz="0" w:space="0" w:color="auto"/>
      </w:divBdr>
    </w:div>
    <w:div w:id="567035185">
      <w:bodyDiv w:val="1"/>
      <w:marLeft w:val="0"/>
      <w:marRight w:val="0"/>
      <w:marTop w:val="0"/>
      <w:marBottom w:val="0"/>
      <w:divBdr>
        <w:top w:val="none" w:sz="0" w:space="0" w:color="auto"/>
        <w:left w:val="none" w:sz="0" w:space="0" w:color="auto"/>
        <w:bottom w:val="none" w:sz="0" w:space="0" w:color="auto"/>
        <w:right w:val="none" w:sz="0" w:space="0" w:color="auto"/>
      </w:divBdr>
    </w:div>
    <w:div w:id="568921559">
      <w:bodyDiv w:val="1"/>
      <w:marLeft w:val="0"/>
      <w:marRight w:val="0"/>
      <w:marTop w:val="0"/>
      <w:marBottom w:val="0"/>
      <w:divBdr>
        <w:top w:val="none" w:sz="0" w:space="0" w:color="auto"/>
        <w:left w:val="none" w:sz="0" w:space="0" w:color="auto"/>
        <w:bottom w:val="none" w:sz="0" w:space="0" w:color="auto"/>
        <w:right w:val="none" w:sz="0" w:space="0" w:color="auto"/>
      </w:divBdr>
    </w:div>
    <w:div w:id="570047266">
      <w:bodyDiv w:val="1"/>
      <w:marLeft w:val="0"/>
      <w:marRight w:val="0"/>
      <w:marTop w:val="0"/>
      <w:marBottom w:val="0"/>
      <w:divBdr>
        <w:top w:val="none" w:sz="0" w:space="0" w:color="auto"/>
        <w:left w:val="none" w:sz="0" w:space="0" w:color="auto"/>
        <w:bottom w:val="none" w:sz="0" w:space="0" w:color="auto"/>
        <w:right w:val="none" w:sz="0" w:space="0" w:color="auto"/>
      </w:divBdr>
    </w:div>
    <w:div w:id="592907136">
      <w:bodyDiv w:val="1"/>
      <w:marLeft w:val="0"/>
      <w:marRight w:val="0"/>
      <w:marTop w:val="0"/>
      <w:marBottom w:val="0"/>
      <w:divBdr>
        <w:top w:val="none" w:sz="0" w:space="0" w:color="auto"/>
        <w:left w:val="none" w:sz="0" w:space="0" w:color="auto"/>
        <w:bottom w:val="none" w:sz="0" w:space="0" w:color="auto"/>
        <w:right w:val="none" w:sz="0" w:space="0" w:color="auto"/>
      </w:divBdr>
    </w:div>
    <w:div w:id="600068426">
      <w:bodyDiv w:val="1"/>
      <w:marLeft w:val="0"/>
      <w:marRight w:val="0"/>
      <w:marTop w:val="0"/>
      <w:marBottom w:val="0"/>
      <w:divBdr>
        <w:top w:val="none" w:sz="0" w:space="0" w:color="auto"/>
        <w:left w:val="none" w:sz="0" w:space="0" w:color="auto"/>
        <w:bottom w:val="none" w:sz="0" w:space="0" w:color="auto"/>
        <w:right w:val="none" w:sz="0" w:space="0" w:color="auto"/>
      </w:divBdr>
    </w:div>
    <w:div w:id="608198173">
      <w:bodyDiv w:val="1"/>
      <w:marLeft w:val="0"/>
      <w:marRight w:val="0"/>
      <w:marTop w:val="0"/>
      <w:marBottom w:val="0"/>
      <w:divBdr>
        <w:top w:val="none" w:sz="0" w:space="0" w:color="auto"/>
        <w:left w:val="none" w:sz="0" w:space="0" w:color="auto"/>
        <w:bottom w:val="none" w:sz="0" w:space="0" w:color="auto"/>
        <w:right w:val="none" w:sz="0" w:space="0" w:color="auto"/>
      </w:divBdr>
    </w:div>
    <w:div w:id="610432326">
      <w:bodyDiv w:val="1"/>
      <w:marLeft w:val="0"/>
      <w:marRight w:val="0"/>
      <w:marTop w:val="0"/>
      <w:marBottom w:val="0"/>
      <w:divBdr>
        <w:top w:val="none" w:sz="0" w:space="0" w:color="auto"/>
        <w:left w:val="none" w:sz="0" w:space="0" w:color="auto"/>
        <w:bottom w:val="none" w:sz="0" w:space="0" w:color="auto"/>
        <w:right w:val="none" w:sz="0" w:space="0" w:color="auto"/>
      </w:divBdr>
    </w:div>
    <w:div w:id="616790003">
      <w:bodyDiv w:val="1"/>
      <w:marLeft w:val="0"/>
      <w:marRight w:val="0"/>
      <w:marTop w:val="0"/>
      <w:marBottom w:val="0"/>
      <w:divBdr>
        <w:top w:val="none" w:sz="0" w:space="0" w:color="auto"/>
        <w:left w:val="none" w:sz="0" w:space="0" w:color="auto"/>
        <w:bottom w:val="none" w:sz="0" w:space="0" w:color="auto"/>
        <w:right w:val="none" w:sz="0" w:space="0" w:color="auto"/>
      </w:divBdr>
    </w:div>
    <w:div w:id="617104909">
      <w:bodyDiv w:val="1"/>
      <w:marLeft w:val="0"/>
      <w:marRight w:val="0"/>
      <w:marTop w:val="0"/>
      <w:marBottom w:val="0"/>
      <w:divBdr>
        <w:top w:val="none" w:sz="0" w:space="0" w:color="auto"/>
        <w:left w:val="none" w:sz="0" w:space="0" w:color="auto"/>
        <w:bottom w:val="none" w:sz="0" w:space="0" w:color="auto"/>
        <w:right w:val="none" w:sz="0" w:space="0" w:color="auto"/>
      </w:divBdr>
    </w:div>
    <w:div w:id="624970325">
      <w:bodyDiv w:val="1"/>
      <w:marLeft w:val="0"/>
      <w:marRight w:val="0"/>
      <w:marTop w:val="0"/>
      <w:marBottom w:val="0"/>
      <w:divBdr>
        <w:top w:val="none" w:sz="0" w:space="0" w:color="auto"/>
        <w:left w:val="none" w:sz="0" w:space="0" w:color="auto"/>
        <w:bottom w:val="none" w:sz="0" w:space="0" w:color="auto"/>
        <w:right w:val="none" w:sz="0" w:space="0" w:color="auto"/>
      </w:divBdr>
    </w:div>
    <w:div w:id="626468377">
      <w:bodyDiv w:val="1"/>
      <w:marLeft w:val="0"/>
      <w:marRight w:val="0"/>
      <w:marTop w:val="0"/>
      <w:marBottom w:val="0"/>
      <w:divBdr>
        <w:top w:val="none" w:sz="0" w:space="0" w:color="auto"/>
        <w:left w:val="none" w:sz="0" w:space="0" w:color="auto"/>
        <w:bottom w:val="none" w:sz="0" w:space="0" w:color="auto"/>
        <w:right w:val="none" w:sz="0" w:space="0" w:color="auto"/>
      </w:divBdr>
    </w:div>
    <w:div w:id="641078707">
      <w:bodyDiv w:val="1"/>
      <w:marLeft w:val="0"/>
      <w:marRight w:val="0"/>
      <w:marTop w:val="0"/>
      <w:marBottom w:val="0"/>
      <w:divBdr>
        <w:top w:val="none" w:sz="0" w:space="0" w:color="auto"/>
        <w:left w:val="none" w:sz="0" w:space="0" w:color="auto"/>
        <w:bottom w:val="none" w:sz="0" w:space="0" w:color="auto"/>
        <w:right w:val="none" w:sz="0" w:space="0" w:color="auto"/>
      </w:divBdr>
    </w:div>
    <w:div w:id="658733648">
      <w:bodyDiv w:val="1"/>
      <w:marLeft w:val="0"/>
      <w:marRight w:val="0"/>
      <w:marTop w:val="0"/>
      <w:marBottom w:val="0"/>
      <w:divBdr>
        <w:top w:val="none" w:sz="0" w:space="0" w:color="auto"/>
        <w:left w:val="none" w:sz="0" w:space="0" w:color="auto"/>
        <w:bottom w:val="none" w:sz="0" w:space="0" w:color="auto"/>
        <w:right w:val="none" w:sz="0" w:space="0" w:color="auto"/>
      </w:divBdr>
    </w:div>
    <w:div w:id="664208447">
      <w:bodyDiv w:val="1"/>
      <w:marLeft w:val="0"/>
      <w:marRight w:val="0"/>
      <w:marTop w:val="0"/>
      <w:marBottom w:val="0"/>
      <w:divBdr>
        <w:top w:val="none" w:sz="0" w:space="0" w:color="auto"/>
        <w:left w:val="none" w:sz="0" w:space="0" w:color="auto"/>
        <w:bottom w:val="none" w:sz="0" w:space="0" w:color="auto"/>
        <w:right w:val="none" w:sz="0" w:space="0" w:color="auto"/>
      </w:divBdr>
    </w:div>
    <w:div w:id="667098556">
      <w:bodyDiv w:val="1"/>
      <w:marLeft w:val="0"/>
      <w:marRight w:val="0"/>
      <w:marTop w:val="0"/>
      <w:marBottom w:val="0"/>
      <w:divBdr>
        <w:top w:val="none" w:sz="0" w:space="0" w:color="auto"/>
        <w:left w:val="none" w:sz="0" w:space="0" w:color="auto"/>
        <w:bottom w:val="none" w:sz="0" w:space="0" w:color="auto"/>
        <w:right w:val="none" w:sz="0" w:space="0" w:color="auto"/>
      </w:divBdr>
    </w:div>
    <w:div w:id="667949078">
      <w:bodyDiv w:val="1"/>
      <w:marLeft w:val="0"/>
      <w:marRight w:val="0"/>
      <w:marTop w:val="0"/>
      <w:marBottom w:val="0"/>
      <w:divBdr>
        <w:top w:val="none" w:sz="0" w:space="0" w:color="auto"/>
        <w:left w:val="none" w:sz="0" w:space="0" w:color="auto"/>
        <w:bottom w:val="none" w:sz="0" w:space="0" w:color="auto"/>
        <w:right w:val="none" w:sz="0" w:space="0" w:color="auto"/>
      </w:divBdr>
    </w:div>
    <w:div w:id="669211408">
      <w:bodyDiv w:val="1"/>
      <w:marLeft w:val="0"/>
      <w:marRight w:val="0"/>
      <w:marTop w:val="0"/>
      <w:marBottom w:val="0"/>
      <w:divBdr>
        <w:top w:val="none" w:sz="0" w:space="0" w:color="auto"/>
        <w:left w:val="none" w:sz="0" w:space="0" w:color="auto"/>
        <w:bottom w:val="none" w:sz="0" w:space="0" w:color="auto"/>
        <w:right w:val="none" w:sz="0" w:space="0" w:color="auto"/>
      </w:divBdr>
    </w:div>
    <w:div w:id="669214744">
      <w:bodyDiv w:val="1"/>
      <w:marLeft w:val="0"/>
      <w:marRight w:val="0"/>
      <w:marTop w:val="0"/>
      <w:marBottom w:val="0"/>
      <w:divBdr>
        <w:top w:val="none" w:sz="0" w:space="0" w:color="auto"/>
        <w:left w:val="none" w:sz="0" w:space="0" w:color="auto"/>
        <w:bottom w:val="none" w:sz="0" w:space="0" w:color="auto"/>
        <w:right w:val="none" w:sz="0" w:space="0" w:color="auto"/>
      </w:divBdr>
    </w:div>
    <w:div w:id="676230043">
      <w:bodyDiv w:val="1"/>
      <w:marLeft w:val="0"/>
      <w:marRight w:val="0"/>
      <w:marTop w:val="0"/>
      <w:marBottom w:val="0"/>
      <w:divBdr>
        <w:top w:val="none" w:sz="0" w:space="0" w:color="auto"/>
        <w:left w:val="none" w:sz="0" w:space="0" w:color="auto"/>
        <w:bottom w:val="none" w:sz="0" w:space="0" w:color="auto"/>
        <w:right w:val="none" w:sz="0" w:space="0" w:color="auto"/>
      </w:divBdr>
    </w:div>
    <w:div w:id="680862441">
      <w:bodyDiv w:val="1"/>
      <w:marLeft w:val="0"/>
      <w:marRight w:val="0"/>
      <w:marTop w:val="0"/>
      <w:marBottom w:val="0"/>
      <w:divBdr>
        <w:top w:val="none" w:sz="0" w:space="0" w:color="auto"/>
        <w:left w:val="none" w:sz="0" w:space="0" w:color="auto"/>
        <w:bottom w:val="none" w:sz="0" w:space="0" w:color="auto"/>
        <w:right w:val="none" w:sz="0" w:space="0" w:color="auto"/>
      </w:divBdr>
    </w:div>
    <w:div w:id="685400237">
      <w:bodyDiv w:val="1"/>
      <w:marLeft w:val="0"/>
      <w:marRight w:val="0"/>
      <w:marTop w:val="0"/>
      <w:marBottom w:val="0"/>
      <w:divBdr>
        <w:top w:val="none" w:sz="0" w:space="0" w:color="auto"/>
        <w:left w:val="none" w:sz="0" w:space="0" w:color="auto"/>
        <w:bottom w:val="none" w:sz="0" w:space="0" w:color="auto"/>
        <w:right w:val="none" w:sz="0" w:space="0" w:color="auto"/>
      </w:divBdr>
    </w:div>
    <w:div w:id="687220098">
      <w:bodyDiv w:val="1"/>
      <w:marLeft w:val="0"/>
      <w:marRight w:val="0"/>
      <w:marTop w:val="0"/>
      <w:marBottom w:val="0"/>
      <w:divBdr>
        <w:top w:val="none" w:sz="0" w:space="0" w:color="auto"/>
        <w:left w:val="none" w:sz="0" w:space="0" w:color="auto"/>
        <w:bottom w:val="none" w:sz="0" w:space="0" w:color="auto"/>
        <w:right w:val="none" w:sz="0" w:space="0" w:color="auto"/>
      </w:divBdr>
    </w:div>
    <w:div w:id="691106427">
      <w:bodyDiv w:val="1"/>
      <w:marLeft w:val="0"/>
      <w:marRight w:val="0"/>
      <w:marTop w:val="0"/>
      <w:marBottom w:val="0"/>
      <w:divBdr>
        <w:top w:val="none" w:sz="0" w:space="0" w:color="auto"/>
        <w:left w:val="none" w:sz="0" w:space="0" w:color="auto"/>
        <w:bottom w:val="none" w:sz="0" w:space="0" w:color="auto"/>
        <w:right w:val="none" w:sz="0" w:space="0" w:color="auto"/>
      </w:divBdr>
    </w:div>
    <w:div w:id="693000913">
      <w:bodyDiv w:val="1"/>
      <w:marLeft w:val="0"/>
      <w:marRight w:val="0"/>
      <w:marTop w:val="0"/>
      <w:marBottom w:val="0"/>
      <w:divBdr>
        <w:top w:val="none" w:sz="0" w:space="0" w:color="auto"/>
        <w:left w:val="none" w:sz="0" w:space="0" w:color="auto"/>
        <w:bottom w:val="none" w:sz="0" w:space="0" w:color="auto"/>
        <w:right w:val="none" w:sz="0" w:space="0" w:color="auto"/>
      </w:divBdr>
    </w:div>
    <w:div w:id="694233188">
      <w:bodyDiv w:val="1"/>
      <w:marLeft w:val="0"/>
      <w:marRight w:val="0"/>
      <w:marTop w:val="0"/>
      <w:marBottom w:val="0"/>
      <w:divBdr>
        <w:top w:val="none" w:sz="0" w:space="0" w:color="auto"/>
        <w:left w:val="none" w:sz="0" w:space="0" w:color="auto"/>
        <w:bottom w:val="none" w:sz="0" w:space="0" w:color="auto"/>
        <w:right w:val="none" w:sz="0" w:space="0" w:color="auto"/>
      </w:divBdr>
    </w:div>
    <w:div w:id="706219400">
      <w:bodyDiv w:val="1"/>
      <w:marLeft w:val="0"/>
      <w:marRight w:val="0"/>
      <w:marTop w:val="0"/>
      <w:marBottom w:val="0"/>
      <w:divBdr>
        <w:top w:val="none" w:sz="0" w:space="0" w:color="auto"/>
        <w:left w:val="none" w:sz="0" w:space="0" w:color="auto"/>
        <w:bottom w:val="none" w:sz="0" w:space="0" w:color="auto"/>
        <w:right w:val="none" w:sz="0" w:space="0" w:color="auto"/>
      </w:divBdr>
    </w:div>
    <w:div w:id="708529129">
      <w:bodyDiv w:val="1"/>
      <w:marLeft w:val="0"/>
      <w:marRight w:val="0"/>
      <w:marTop w:val="0"/>
      <w:marBottom w:val="0"/>
      <w:divBdr>
        <w:top w:val="none" w:sz="0" w:space="0" w:color="auto"/>
        <w:left w:val="none" w:sz="0" w:space="0" w:color="auto"/>
        <w:bottom w:val="none" w:sz="0" w:space="0" w:color="auto"/>
        <w:right w:val="none" w:sz="0" w:space="0" w:color="auto"/>
      </w:divBdr>
    </w:div>
    <w:div w:id="712852690">
      <w:bodyDiv w:val="1"/>
      <w:marLeft w:val="0"/>
      <w:marRight w:val="0"/>
      <w:marTop w:val="0"/>
      <w:marBottom w:val="0"/>
      <w:divBdr>
        <w:top w:val="none" w:sz="0" w:space="0" w:color="auto"/>
        <w:left w:val="none" w:sz="0" w:space="0" w:color="auto"/>
        <w:bottom w:val="none" w:sz="0" w:space="0" w:color="auto"/>
        <w:right w:val="none" w:sz="0" w:space="0" w:color="auto"/>
      </w:divBdr>
    </w:div>
    <w:div w:id="714742911">
      <w:bodyDiv w:val="1"/>
      <w:marLeft w:val="0"/>
      <w:marRight w:val="0"/>
      <w:marTop w:val="0"/>
      <w:marBottom w:val="0"/>
      <w:divBdr>
        <w:top w:val="none" w:sz="0" w:space="0" w:color="auto"/>
        <w:left w:val="none" w:sz="0" w:space="0" w:color="auto"/>
        <w:bottom w:val="none" w:sz="0" w:space="0" w:color="auto"/>
        <w:right w:val="none" w:sz="0" w:space="0" w:color="auto"/>
      </w:divBdr>
    </w:div>
    <w:div w:id="718018172">
      <w:bodyDiv w:val="1"/>
      <w:marLeft w:val="0"/>
      <w:marRight w:val="0"/>
      <w:marTop w:val="0"/>
      <w:marBottom w:val="0"/>
      <w:divBdr>
        <w:top w:val="none" w:sz="0" w:space="0" w:color="auto"/>
        <w:left w:val="none" w:sz="0" w:space="0" w:color="auto"/>
        <w:bottom w:val="none" w:sz="0" w:space="0" w:color="auto"/>
        <w:right w:val="none" w:sz="0" w:space="0" w:color="auto"/>
      </w:divBdr>
    </w:div>
    <w:div w:id="723144694">
      <w:bodyDiv w:val="1"/>
      <w:marLeft w:val="0"/>
      <w:marRight w:val="0"/>
      <w:marTop w:val="0"/>
      <w:marBottom w:val="0"/>
      <w:divBdr>
        <w:top w:val="none" w:sz="0" w:space="0" w:color="auto"/>
        <w:left w:val="none" w:sz="0" w:space="0" w:color="auto"/>
        <w:bottom w:val="none" w:sz="0" w:space="0" w:color="auto"/>
        <w:right w:val="none" w:sz="0" w:space="0" w:color="auto"/>
      </w:divBdr>
    </w:div>
    <w:div w:id="724792979">
      <w:bodyDiv w:val="1"/>
      <w:marLeft w:val="0"/>
      <w:marRight w:val="0"/>
      <w:marTop w:val="0"/>
      <w:marBottom w:val="0"/>
      <w:divBdr>
        <w:top w:val="none" w:sz="0" w:space="0" w:color="auto"/>
        <w:left w:val="none" w:sz="0" w:space="0" w:color="auto"/>
        <w:bottom w:val="none" w:sz="0" w:space="0" w:color="auto"/>
        <w:right w:val="none" w:sz="0" w:space="0" w:color="auto"/>
      </w:divBdr>
    </w:div>
    <w:div w:id="726994840">
      <w:bodyDiv w:val="1"/>
      <w:marLeft w:val="0"/>
      <w:marRight w:val="0"/>
      <w:marTop w:val="0"/>
      <w:marBottom w:val="0"/>
      <w:divBdr>
        <w:top w:val="none" w:sz="0" w:space="0" w:color="auto"/>
        <w:left w:val="none" w:sz="0" w:space="0" w:color="auto"/>
        <w:bottom w:val="none" w:sz="0" w:space="0" w:color="auto"/>
        <w:right w:val="none" w:sz="0" w:space="0" w:color="auto"/>
      </w:divBdr>
    </w:div>
    <w:div w:id="730226421">
      <w:bodyDiv w:val="1"/>
      <w:marLeft w:val="0"/>
      <w:marRight w:val="0"/>
      <w:marTop w:val="0"/>
      <w:marBottom w:val="0"/>
      <w:divBdr>
        <w:top w:val="none" w:sz="0" w:space="0" w:color="auto"/>
        <w:left w:val="none" w:sz="0" w:space="0" w:color="auto"/>
        <w:bottom w:val="none" w:sz="0" w:space="0" w:color="auto"/>
        <w:right w:val="none" w:sz="0" w:space="0" w:color="auto"/>
      </w:divBdr>
    </w:div>
    <w:div w:id="732120044">
      <w:bodyDiv w:val="1"/>
      <w:marLeft w:val="0"/>
      <w:marRight w:val="0"/>
      <w:marTop w:val="0"/>
      <w:marBottom w:val="0"/>
      <w:divBdr>
        <w:top w:val="none" w:sz="0" w:space="0" w:color="auto"/>
        <w:left w:val="none" w:sz="0" w:space="0" w:color="auto"/>
        <w:bottom w:val="none" w:sz="0" w:space="0" w:color="auto"/>
        <w:right w:val="none" w:sz="0" w:space="0" w:color="auto"/>
      </w:divBdr>
    </w:div>
    <w:div w:id="734815081">
      <w:bodyDiv w:val="1"/>
      <w:marLeft w:val="0"/>
      <w:marRight w:val="0"/>
      <w:marTop w:val="0"/>
      <w:marBottom w:val="0"/>
      <w:divBdr>
        <w:top w:val="none" w:sz="0" w:space="0" w:color="auto"/>
        <w:left w:val="none" w:sz="0" w:space="0" w:color="auto"/>
        <w:bottom w:val="none" w:sz="0" w:space="0" w:color="auto"/>
        <w:right w:val="none" w:sz="0" w:space="0" w:color="auto"/>
      </w:divBdr>
    </w:div>
    <w:div w:id="735663903">
      <w:bodyDiv w:val="1"/>
      <w:marLeft w:val="0"/>
      <w:marRight w:val="0"/>
      <w:marTop w:val="0"/>
      <w:marBottom w:val="0"/>
      <w:divBdr>
        <w:top w:val="none" w:sz="0" w:space="0" w:color="auto"/>
        <w:left w:val="none" w:sz="0" w:space="0" w:color="auto"/>
        <w:bottom w:val="none" w:sz="0" w:space="0" w:color="auto"/>
        <w:right w:val="none" w:sz="0" w:space="0" w:color="auto"/>
      </w:divBdr>
    </w:div>
    <w:div w:id="741175983">
      <w:bodyDiv w:val="1"/>
      <w:marLeft w:val="0"/>
      <w:marRight w:val="0"/>
      <w:marTop w:val="0"/>
      <w:marBottom w:val="0"/>
      <w:divBdr>
        <w:top w:val="none" w:sz="0" w:space="0" w:color="auto"/>
        <w:left w:val="none" w:sz="0" w:space="0" w:color="auto"/>
        <w:bottom w:val="none" w:sz="0" w:space="0" w:color="auto"/>
        <w:right w:val="none" w:sz="0" w:space="0" w:color="auto"/>
      </w:divBdr>
    </w:div>
    <w:div w:id="741417321">
      <w:bodyDiv w:val="1"/>
      <w:marLeft w:val="0"/>
      <w:marRight w:val="0"/>
      <w:marTop w:val="0"/>
      <w:marBottom w:val="0"/>
      <w:divBdr>
        <w:top w:val="none" w:sz="0" w:space="0" w:color="auto"/>
        <w:left w:val="none" w:sz="0" w:space="0" w:color="auto"/>
        <w:bottom w:val="none" w:sz="0" w:space="0" w:color="auto"/>
        <w:right w:val="none" w:sz="0" w:space="0" w:color="auto"/>
      </w:divBdr>
    </w:div>
    <w:div w:id="742022743">
      <w:bodyDiv w:val="1"/>
      <w:marLeft w:val="0"/>
      <w:marRight w:val="0"/>
      <w:marTop w:val="0"/>
      <w:marBottom w:val="0"/>
      <w:divBdr>
        <w:top w:val="none" w:sz="0" w:space="0" w:color="auto"/>
        <w:left w:val="none" w:sz="0" w:space="0" w:color="auto"/>
        <w:bottom w:val="none" w:sz="0" w:space="0" w:color="auto"/>
        <w:right w:val="none" w:sz="0" w:space="0" w:color="auto"/>
      </w:divBdr>
    </w:div>
    <w:div w:id="742719712">
      <w:bodyDiv w:val="1"/>
      <w:marLeft w:val="0"/>
      <w:marRight w:val="0"/>
      <w:marTop w:val="0"/>
      <w:marBottom w:val="0"/>
      <w:divBdr>
        <w:top w:val="none" w:sz="0" w:space="0" w:color="auto"/>
        <w:left w:val="none" w:sz="0" w:space="0" w:color="auto"/>
        <w:bottom w:val="none" w:sz="0" w:space="0" w:color="auto"/>
        <w:right w:val="none" w:sz="0" w:space="0" w:color="auto"/>
      </w:divBdr>
    </w:div>
    <w:div w:id="756438306">
      <w:bodyDiv w:val="1"/>
      <w:marLeft w:val="0"/>
      <w:marRight w:val="0"/>
      <w:marTop w:val="0"/>
      <w:marBottom w:val="0"/>
      <w:divBdr>
        <w:top w:val="none" w:sz="0" w:space="0" w:color="auto"/>
        <w:left w:val="none" w:sz="0" w:space="0" w:color="auto"/>
        <w:bottom w:val="none" w:sz="0" w:space="0" w:color="auto"/>
        <w:right w:val="none" w:sz="0" w:space="0" w:color="auto"/>
      </w:divBdr>
    </w:div>
    <w:div w:id="757360586">
      <w:bodyDiv w:val="1"/>
      <w:marLeft w:val="0"/>
      <w:marRight w:val="0"/>
      <w:marTop w:val="0"/>
      <w:marBottom w:val="0"/>
      <w:divBdr>
        <w:top w:val="none" w:sz="0" w:space="0" w:color="auto"/>
        <w:left w:val="none" w:sz="0" w:space="0" w:color="auto"/>
        <w:bottom w:val="none" w:sz="0" w:space="0" w:color="auto"/>
        <w:right w:val="none" w:sz="0" w:space="0" w:color="auto"/>
      </w:divBdr>
    </w:div>
    <w:div w:id="758989666">
      <w:bodyDiv w:val="1"/>
      <w:marLeft w:val="0"/>
      <w:marRight w:val="0"/>
      <w:marTop w:val="0"/>
      <w:marBottom w:val="0"/>
      <w:divBdr>
        <w:top w:val="none" w:sz="0" w:space="0" w:color="auto"/>
        <w:left w:val="none" w:sz="0" w:space="0" w:color="auto"/>
        <w:bottom w:val="none" w:sz="0" w:space="0" w:color="auto"/>
        <w:right w:val="none" w:sz="0" w:space="0" w:color="auto"/>
      </w:divBdr>
    </w:div>
    <w:div w:id="761028455">
      <w:bodyDiv w:val="1"/>
      <w:marLeft w:val="0"/>
      <w:marRight w:val="0"/>
      <w:marTop w:val="0"/>
      <w:marBottom w:val="0"/>
      <w:divBdr>
        <w:top w:val="none" w:sz="0" w:space="0" w:color="auto"/>
        <w:left w:val="none" w:sz="0" w:space="0" w:color="auto"/>
        <w:bottom w:val="none" w:sz="0" w:space="0" w:color="auto"/>
        <w:right w:val="none" w:sz="0" w:space="0" w:color="auto"/>
      </w:divBdr>
    </w:div>
    <w:div w:id="763645868">
      <w:bodyDiv w:val="1"/>
      <w:marLeft w:val="0"/>
      <w:marRight w:val="0"/>
      <w:marTop w:val="0"/>
      <w:marBottom w:val="0"/>
      <w:divBdr>
        <w:top w:val="none" w:sz="0" w:space="0" w:color="auto"/>
        <w:left w:val="none" w:sz="0" w:space="0" w:color="auto"/>
        <w:bottom w:val="none" w:sz="0" w:space="0" w:color="auto"/>
        <w:right w:val="none" w:sz="0" w:space="0" w:color="auto"/>
      </w:divBdr>
    </w:div>
    <w:div w:id="773937939">
      <w:bodyDiv w:val="1"/>
      <w:marLeft w:val="0"/>
      <w:marRight w:val="0"/>
      <w:marTop w:val="0"/>
      <w:marBottom w:val="0"/>
      <w:divBdr>
        <w:top w:val="none" w:sz="0" w:space="0" w:color="auto"/>
        <w:left w:val="none" w:sz="0" w:space="0" w:color="auto"/>
        <w:bottom w:val="none" w:sz="0" w:space="0" w:color="auto"/>
        <w:right w:val="none" w:sz="0" w:space="0" w:color="auto"/>
      </w:divBdr>
    </w:div>
    <w:div w:id="781996500">
      <w:bodyDiv w:val="1"/>
      <w:marLeft w:val="0"/>
      <w:marRight w:val="0"/>
      <w:marTop w:val="0"/>
      <w:marBottom w:val="0"/>
      <w:divBdr>
        <w:top w:val="none" w:sz="0" w:space="0" w:color="auto"/>
        <w:left w:val="none" w:sz="0" w:space="0" w:color="auto"/>
        <w:bottom w:val="none" w:sz="0" w:space="0" w:color="auto"/>
        <w:right w:val="none" w:sz="0" w:space="0" w:color="auto"/>
      </w:divBdr>
    </w:div>
    <w:div w:id="782266304">
      <w:bodyDiv w:val="1"/>
      <w:marLeft w:val="0"/>
      <w:marRight w:val="0"/>
      <w:marTop w:val="0"/>
      <w:marBottom w:val="0"/>
      <w:divBdr>
        <w:top w:val="none" w:sz="0" w:space="0" w:color="auto"/>
        <w:left w:val="none" w:sz="0" w:space="0" w:color="auto"/>
        <w:bottom w:val="none" w:sz="0" w:space="0" w:color="auto"/>
        <w:right w:val="none" w:sz="0" w:space="0" w:color="auto"/>
      </w:divBdr>
    </w:div>
    <w:div w:id="789976453">
      <w:bodyDiv w:val="1"/>
      <w:marLeft w:val="0"/>
      <w:marRight w:val="0"/>
      <w:marTop w:val="0"/>
      <w:marBottom w:val="0"/>
      <w:divBdr>
        <w:top w:val="none" w:sz="0" w:space="0" w:color="auto"/>
        <w:left w:val="none" w:sz="0" w:space="0" w:color="auto"/>
        <w:bottom w:val="none" w:sz="0" w:space="0" w:color="auto"/>
        <w:right w:val="none" w:sz="0" w:space="0" w:color="auto"/>
      </w:divBdr>
    </w:div>
    <w:div w:id="800264584">
      <w:bodyDiv w:val="1"/>
      <w:marLeft w:val="0"/>
      <w:marRight w:val="0"/>
      <w:marTop w:val="0"/>
      <w:marBottom w:val="0"/>
      <w:divBdr>
        <w:top w:val="none" w:sz="0" w:space="0" w:color="auto"/>
        <w:left w:val="none" w:sz="0" w:space="0" w:color="auto"/>
        <w:bottom w:val="none" w:sz="0" w:space="0" w:color="auto"/>
        <w:right w:val="none" w:sz="0" w:space="0" w:color="auto"/>
      </w:divBdr>
    </w:div>
    <w:div w:id="805390026">
      <w:bodyDiv w:val="1"/>
      <w:marLeft w:val="0"/>
      <w:marRight w:val="0"/>
      <w:marTop w:val="0"/>
      <w:marBottom w:val="0"/>
      <w:divBdr>
        <w:top w:val="none" w:sz="0" w:space="0" w:color="auto"/>
        <w:left w:val="none" w:sz="0" w:space="0" w:color="auto"/>
        <w:bottom w:val="none" w:sz="0" w:space="0" w:color="auto"/>
        <w:right w:val="none" w:sz="0" w:space="0" w:color="auto"/>
      </w:divBdr>
    </w:div>
    <w:div w:id="806355518">
      <w:bodyDiv w:val="1"/>
      <w:marLeft w:val="0"/>
      <w:marRight w:val="0"/>
      <w:marTop w:val="0"/>
      <w:marBottom w:val="0"/>
      <w:divBdr>
        <w:top w:val="none" w:sz="0" w:space="0" w:color="auto"/>
        <w:left w:val="none" w:sz="0" w:space="0" w:color="auto"/>
        <w:bottom w:val="none" w:sz="0" w:space="0" w:color="auto"/>
        <w:right w:val="none" w:sz="0" w:space="0" w:color="auto"/>
      </w:divBdr>
    </w:div>
    <w:div w:id="807283952">
      <w:bodyDiv w:val="1"/>
      <w:marLeft w:val="0"/>
      <w:marRight w:val="0"/>
      <w:marTop w:val="0"/>
      <w:marBottom w:val="0"/>
      <w:divBdr>
        <w:top w:val="none" w:sz="0" w:space="0" w:color="auto"/>
        <w:left w:val="none" w:sz="0" w:space="0" w:color="auto"/>
        <w:bottom w:val="none" w:sz="0" w:space="0" w:color="auto"/>
        <w:right w:val="none" w:sz="0" w:space="0" w:color="auto"/>
      </w:divBdr>
    </w:div>
    <w:div w:id="808205834">
      <w:bodyDiv w:val="1"/>
      <w:marLeft w:val="0"/>
      <w:marRight w:val="0"/>
      <w:marTop w:val="0"/>
      <w:marBottom w:val="0"/>
      <w:divBdr>
        <w:top w:val="none" w:sz="0" w:space="0" w:color="auto"/>
        <w:left w:val="none" w:sz="0" w:space="0" w:color="auto"/>
        <w:bottom w:val="none" w:sz="0" w:space="0" w:color="auto"/>
        <w:right w:val="none" w:sz="0" w:space="0" w:color="auto"/>
      </w:divBdr>
    </w:div>
    <w:div w:id="826747687">
      <w:bodyDiv w:val="1"/>
      <w:marLeft w:val="0"/>
      <w:marRight w:val="0"/>
      <w:marTop w:val="0"/>
      <w:marBottom w:val="0"/>
      <w:divBdr>
        <w:top w:val="none" w:sz="0" w:space="0" w:color="auto"/>
        <w:left w:val="none" w:sz="0" w:space="0" w:color="auto"/>
        <w:bottom w:val="none" w:sz="0" w:space="0" w:color="auto"/>
        <w:right w:val="none" w:sz="0" w:space="0" w:color="auto"/>
      </w:divBdr>
    </w:div>
    <w:div w:id="839468303">
      <w:bodyDiv w:val="1"/>
      <w:marLeft w:val="0"/>
      <w:marRight w:val="0"/>
      <w:marTop w:val="0"/>
      <w:marBottom w:val="0"/>
      <w:divBdr>
        <w:top w:val="none" w:sz="0" w:space="0" w:color="auto"/>
        <w:left w:val="none" w:sz="0" w:space="0" w:color="auto"/>
        <w:bottom w:val="none" w:sz="0" w:space="0" w:color="auto"/>
        <w:right w:val="none" w:sz="0" w:space="0" w:color="auto"/>
      </w:divBdr>
    </w:div>
    <w:div w:id="844712998">
      <w:bodyDiv w:val="1"/>
      <w:marLeft w:val="0"/>
      <w:marRight w:val="0"/>
      <w:marTop w:val="0"/>
      <w:marBottom w:val="0"/>
      <w:divBdr>
        <w:top w:val="none" w:sz="0" w:space="0" w:color="auto"/>
        <w:left w:val="none" w:sz="0" w:space="0" w:color="auto"/>
        <w:bottom w:val="none" w:sz="0" w:space="0" w:color="auto"/>
        <w:right w:val="none" w:sz="0" w:space="0" w:color="auto"/>
      </w:divBdr>
    </w:div>
    <w:div w:id="844829970">
      <w:bodyDiv w:val="1"/>
      <w:marLeft w:val="0"/>
      <w:marRight w:val="0"/>
      <w:marTop w:val="0"/>
      <w:marBottom w:val="0"/>
      <w:divBdr>
        <w:top w:val="none" w:sz="0" w:space="0" w:color="auto"/>
        <w:left w:val="none" w:sz="0" w:space="0" w:color="auto"/>
        <w:bottom w:val="none" w:sz="0" w:space="0" w:color="auto"/>
        <w:right w:val="none" w:sz="0" w:space="0" w:color="auto"/>
      </w:divBdr>
    </w:div>
    <w:div w:id="857499048">
      <w:bodyDiv w:val="1"/>
      <w:marLeft w:val="0"/>
      <w:marRight w:val="0"/>
      <w:marTop w:val="0"/>
      <w:marBottom w:val="0"/>
      <w:divBdr>
        <w:top w:val="none" w:sz="0" w:space="0" w:color="auto"/>
        <w:left w:val="none" w:sz="0" w:space="0" w:color="auto"/>
        <w:bottom w:val="none" w:sz="0" w:space="0" w:color="auto"/>
        <w:right w:val="none" w:sz="0" w:space="0" w:color="auto"/>
      </w:divBdr>
    </w:div>
    <w:div w:id="860320913">
      <w:bodyDiv w:val="1"/>
      <w:marLeft w:val="0"/>
      <w:marRight w:val="0"/>
      <w:marTop w:val="0"/>
      <w:marBottom w:val="0"/>
      <w:divBdr>
        <w:top w:val="none" w:sz="0" w:space="0" w:color="auto"/>
        <w:left w:val="none" w:sz="0" w:space="0" w:color="auto"/>
        <w:bottom w:val="none" w:sz="0" w:space="0" w:color="auto"/>
        <w:right w:val="none" w:sz="0" w:space="0" w:color="auto"/>
      </w:divBdr>
    </w:div>
    <w:div w:id="880748575">
      <w:bodyDiv w:val="1"/>
      <w:marLeft w:val="0"/>
      <w:marRight w:val="0"/>
      <w:marTop w:val="0"/>
      <w:marBottom w:val="0"/>
      <w:divBdr>
        <w:top w:val="none" w:sz="0" w:space="0" w:color="auto"/>
        <w:left w:val="none" w:sz="0" w:space="0" w:color="auto"/>
        <w:bottom w:val="none" w:sz="0" w:space="0" w:color="auto"/>
        <w:right w:val="none" w:sz="0" w:space="0" w:color="auto"/>
      </w:divBdr>
    </w:div>
    <w:div w:id="881407630">
      <w:bodyDiv w:val="1"/>
      <w:marLeft w:val="0"/>
      <w:marRight w:val="0"/>
      <w:marTop w:val="0"/>
      <w:marBottom w:val="0"/>
      <w:divBdr>
        <w:top w:val="none" w:sz="0" w:space="0" w:color="auto"/>
        <w:left w:val="none" w:sz="0" w:space="0" w:color="auto"/>
        <w:bottom w:val="none" w:sz="0" w:space="0" w:color="auto"/>
        <w:right w:val="none" w:sz="0" w:space="0" w:color="auto"/>
      </w:divBdr>
    </w:div>
    <w:div w:id="888031984">
      <w:bodyDiv w:val="1"/>
      <w:marLeft w:val="0"/>
      <w:marRight w:val="0"/>
      <w:marTop w:val="0"/>
      <w:marBottom w:val="0"/>
      <w:divBdr>
        <w:top w:val="none" w:sz="0" w:space="0" w:color="auto"/>
        <w:left w:val="none" w:sz="0" w:space="0" w:color="auto"/>
        <w:bottom w:val="none" w:sz="0" w:space="0" w:color="auto"/>
        <w:right w:val="none" w:sz="0" w:space="0" w:color="auto"/>
      </w:divBdr>
    </w:div>
    <w:div w:id="894269334">
      <w:bodyDiv w:val="1"/>
      <w:marLeft w:val="0"/>
      <w:marRight w:val="0"/>
      <w:marTop w:val="0"/>
      <w:marBottom w:val="0"/>
      <w:divBdr>
        <w:top w:val="none" w:sz="0" w:space="0" w:color="auto"/>
        <w:left w:val="none" w:sz="0" w:space="0" w:color="auto"/>
        <w:bottom w:val="none" w:sz="0" w:space="0" w:color="auto"/>
        <w:right w:val="none" w:sz="0" w:space="0" w:color="auto"/>
      </w:divBdr>
    </w:div>
    <w:div w:id="894436978">
      <w:bodyDiv w:val="1"/>
      <w:marLeft w:val="0"/>
      <w:marRight w:val="0"/>
      <w:marTop w:val="0"/>
      <w:marBottom w:val="0"/>
      <w:divBdr>
        <w:top w:val="none" w:sz="0" w:space="0" w:color="auto"/>
        <w:left w:val="none" w:sz="0" w:space="0" w:color="auto"/>
        <w:bottom w:val="none" w:sz="0" w:space="0" w:color="auto"/>
        <w:right w:val="none" w:sz="0" w:space="0" w:color="auto"/>
      </w:divBdr>
    </w:div>
    <w:div w:id="908419269">
      <w:bodyDiv w:val="1"/>
      <w:marLeft w:val="0"/>
      <w:marRight w:val="0"/>
      <w:marTop w:val="0"/>
      <w:marBottom w:val="0"/>
      <w:divBdr>
        <w:top w:val="none" w:sz="0" w:space="0" w:color="auto"/>
        <w:left w:val="none" w:sz="0" w:space="0" w:color="auto"/>
        <w:bottom w:val="none" w:sz="0" w:space="0" w:color="auto"/>
        <w:right w:val="none" w:sz="0" w:space="0" w:color="auto"/>
      </w:divBdr>
    </w:div>
    <w:div w:id="908732181">
      <w:bodyDiv w:val="1"/>
      <w:marLeft w:val="0"/>
      <w:marRight w:val="0"/>
      <w:marTop w:val="0"/>
      <w:marBottom w:val="0"/>
      <w:divBdr>
        <w:top w:val="none" w:sz="0" w:space="0" w:color="auto"/>
        <w:left w:val="none" w:sz="0" w:space="0" w:color="auto"/>
        <w:bottom w:val="none" w:sz="0" w:space="0" w:color="auto"/>
        <w:right w:val="none" w:sz="0" w:space="0" w:color="auto"/>
      </w:divBdr>
    </w:div>
    <w:div w:id="912475501">
      <w:bodyDiv w:val="1"/>
      <w:marLeft w:val="0"/>
      <w:marRight w:val="0"/>
      <w:marTop w:val="0"/>
      <w:marBottom w:val="0"/>
      <w:divBdr>
        <w:top w:val="none" w:sz="0" w:space="0" w:color="auto"/>
        <w:left w:val="none" w:sz="0" w:space="0" w:color="auto"/>
        <w:bottom w:val="none" w:sz="0" w:space="0" w:color="auto"/>
        <w:right w:val="none" w:sz="0" w:space="0" w:color="auto"/>
      </w:divBdr>
    </w:div>
    <w:div w:id="913324124">
      <w:bodyDiv w:val="1"/>
      <w:marLeft w:val="0"/>
      <w:marRight w:val="0"/>
      <w:marTop w:val="0"/>
      <w:marBottom w:val="0"/>
      <w:divBdr>
        <w:top w:val="none" w:sz="0" w:space="0" w:color="auto"/>
        <w:left w:val="none" w:sz="0" w:space="0" w:color="auto"/>
        <w:bottom w:val="none" w:sz="0" w:space="0" w:color="auto"/>
        <w:right w:val="none" w:sz="0" w:space="0" w:color="auto"/>
      </w:divBdr>
    </w:div>
    <w:div w:id="921835031">
      <w:bodyDiv w:val="1"/>
      <w:marLeft w:val="0"/>
      <w:marRight w:val="0"/>
      <w:marTop w:val="0"/>
      <w:marBottom w:val="0"/>
      <w:divBdr>
        <w:top w:val="none" w:sz="0" w:space="0" w:color="auto"/>
        <w:left w:val="none" w:sz="0" w:space="0" w:color="auto"/>
        <w:bottom w:val="none" w:sz="0" w:space="0" w:color="auto"/>
        <w:right w:val="none" w:sz="0" w:space="0" w:color="auto"/>
      </w:divBdr>
    </w:div>
    <w:div w:id="941453459">
      <w:bodyDiv w:val="1"/>
      <w:marLeft w:val="0"/>
      <w:marRight w:val="0"/>
      <w:marTop w:val="0"/>
      <w:marBottom w:val="0"/>
      <w:divBdr>
        <w:top w:val="none" w:sz="0" w:space="0" w:color="auto"/>
        <w:left w:val="none" w:sz="0" w:space="0" w:color="auto"/>
        <w:bottom w:val="none" w:sz="0" w:space="0" w:color="auto"/>
        <w:right w:val="none" w:sz="0" w:space="0" w:color="auto"/>
      </w:divBdr>
    </w:div>
    <w:div w:id="941841162">
      <w:bodyDiv w:val="1"/>
      <w:marLeft w:val="0"/>
      <w:marRight w:val="0"/>
      <w:marTop w:val="0"/>
      <w:marBottom w:val="0"/>
      <w:divBdr>
        <w:top w:val="none" w:sz="0" w:space="0" w:color="auto"/>
        <w:left w:val="none" w:sz="0" w:space="0" w:color="auto"/>
        <w:bottom w:val="none" w:sz="0" w:space="0" w:color="auto"/>
        <w:right w:val="none" w:sz="0" w:space="0" w:color="auto"/>
      </w:divBdr>
    </w:div>
    <w:div w:id="947390677">
      <w:bodyDiv w:val="1"/>
      <w:marLeft w:val="0"/>
      <w:marRight w:val="0"/>
      <w:marTop w:val="0"/>
      <w:marBottom w:val="0"/>
      <w:divBdr>
        <w:top w:val="none" w:sz="0" w:space="0" w:color="auto"/>
        <w:left w:val="none" w:sz="0" w:space="0" w:color="auto"/>
        <w:bottom w:val="none" w:sz="0" w:space="0" w:color="auto"/>
        <w:right w:val="none" w:sz="0" w:space="0" w:color="auto"/>
      </w:divBdr>
    </w:div>
    <w:div w:id="952833283">
      <w:bodyDiv w:val="1"/>
      <w:marLeft w:val="0"/>
      <w:marRight w:val="0"/>
      <w:marTop w:val="0"/>
      <w:marBottom w:val="0"/>
      <w:divBdr>
        <w:top w:val="none" w:sz="0" w:space="0" w:color="auto"/>
        <w:left w:val="none" w:sz="0" w:space="0" w:color="auto"/>
        <w:bottom w:val="none" w:sz="0" w:space="0" w:color="auto"/>
        <w:right w:val="none" w:sz="0" w:space="0" w:color="auto"/>
      </w:divBdr>
    </w:div>
    <w:div w:id="963732926">
      <w:bodyDiv w:val="1"/>
      <w:marLeft w:val="0"/>
      <w:marRight w:val="0"/>
      <w:marTop w:val="0"/>
      <w:marBottom w:val="0"/>
      <w:divBdr>
        <w:top w:val="none" w:sz="0" w:space="0" w:color="auto"/>
        <w:left w:val="none" w:sz="0" w:space="0" w:color="auto"/>
        <w:bottom w:val="none" w:sz="0" w:space="0" w:color="auto"/>
        <w:right w:val="none" w:sz="0" w:space="0" w:color="auto"/>
      </w:divBdr>
    </w:div>
    <w:div w:id="963999358">
      <w:bodyDiv w:val="1"/>
      <w:marLeft w:val="0"/>
      <w:marRight w:val="0"/>
      <w:marTop w:val="0"/>
      <w:marBottom w:val="0"/>
      <w:divBdr>
        <w:top w:val="none" w:sz="0" w:space="0" w:color="auto"/>
        <w:left w:val="none" w:sz="0" w:space="0" w:color="auto"/>
        <w:bottom w:val="none" w:sz="0" w:space="0" w:color="auto"/>
        <w:right w:val="none" w:sz="0" w:space="0" w:color="auto"/>
      </w:divBdr>
    </w:div>
    <w:div w:id="970940210">
      <w:bodyDiv w:val="1"/>
      <w:marLeft w:val="0"/>
      <w:marRight w:val="0"/>
      <w:marTop w:val="0"/>
      <w:marBottom w:val="0"/>
      <w:divBdr>
        <w:top w:val="none" w:sz="0" w:space="0" w:color="auto"/>
        <w:left w:val="none" w:sz="0" w:space="0" w:color="auto"/>
        <w:bottom w:val="none" w:sz="0" w:space="0" w:color="auto"/>
        <w:right w:val="none" w:sz="0" w:space="0" w:color="auto"/>
      </w:divBdr>
    </w:div>
    <w:div w:id="974065429">
      <w:bodyDiv w:val="1"/>
      <w:marLeft w:val="0"/>
      <w:marRight w:val="0"/>
      <w:marTop w:val="0"/>
      <w:marBottom w:val="0"/>
      <w:divBdr>
        <w:top w:val="none" w:sz="0" w:space="0" w:color="auto"/>
        <w:left w:val="none" w:sz="0" w:space="0" w:color="auto"/>
        <w:bottom w:val="none" w:sz="0" w:space="0" w:color="auto"/>
        <w:right w:val="none" w:sz="0" w:space="0" w:color="auto"/>
      </w:divBdr>
    </w:div>
    <w:div w:id="977148617">
      <w:bodyDiv w:val="1"/>
      <w:marLeft w:val="0"/>
      <w:marRight w:val="0"/>
      <w:marTop w:val="0"/>
      <w:marBottom w:val="0"/>
      <w:divBdr>
        <w:top w:val="none" w:sz="0" w:space="0" w:color="auto"/>
        <w:left w:val="none" w:sz="0" w:space="0" w:color="auto"/>
        <w:bottom w:val="none" w:sz="0" w:space="0" w:color="auto"/>
        <w:right w:val="none" w:sz="0" w:space="0" w:color="auto"/>
      </w:divBdr>
    </w:div>
    <w:div w:id="978338944">
      <w:bodyDiv w:val="1"/>
      <w:marLeft w:val="0"/>
      <w:marRight w:val="0"/>
      <w:marTop w:val="0"/>
      <w:marBottom w:val="0"/>
      <w:divBdr>
        <w:top w:val="none" w:sz="0" w:space="0" w:color="auto"/>
        <w:left w:val="none" w:sz="0" w:space="0" w:color="auto"/>
        <w:bottom w:val="none" w:sz="0" w:space="0" w:color="auto"/>
        <w:right w:val="none" w:sz="0" w:space="0" w:color="auto"/>
      </w:divBdr>
    </w:div>
    <w:div w:id="983780965">
      <w:bodyDiv w:val="1"/>
      <w:marLeft w:val="0"/>
      <w:marRight w:val="0"/>
      <w:marTop w:val="0"/>
      <w:marBottom w:val="0"/>
      <w:divBdr>
        <w:top w:val="none" w:sz="0" w:space="0" w:color="auto"/>
        <w:left w:val="none" w:sz="0" w:space="0" w:color="auto"/>
        <w:bottom w:val="none" w:sz="0" w:space="0" w:color="auto"/>
        <w:right w:val="none" w:sz="0" w:space="0" w:color="auto"/>
      </w:divBdr>
    </w:div>
    <w:div w:id="996031013">
      <w:bodyDiv w:val="1"/>
      <w:marLeft w:val="0"/>
      <w:marRight w:val="0"/>
      <w:marTop w:val="0"/>
      <w:marBottom w:val="0"/>
      <w:divBdr>
        <w:top w:val="none" w:sz="0" w:space="0" w:color="auto"/>
        <w:left w:val="none" w:sz="0" w:space="0" w:color="auto"/>
        <w:bottom w:val="none" w:sz="0" w:space="0" w:color="auto"/>
        <w:right w:val="none" w:sz="0" w:space="0" w:color="auto"/>
      </w:divBdr>
    </w:div>
    <w:div w:id="997346405">
      <w:bodyDiv w:val="1"/>
      <w:marLeft w:val="0"/>
      <w:marRight w:val="0"/>
      <w:marTop w:val="0"/>
      <w:marBottom w:val="0"/>
      <w:divBdr>
        <w:top w:val="none" w:sz="0" w:space="0" w:color="auto"/>
        <w:left w:val="none" w:sz="0" w:space="0" w:color="auto"/>
        <w:bottom w:val="none" w:sz="0" w:space="0" w:color="auto"/>
        <w:right w:val="none" w:sz="0" w:space="0" w:color="auto"/>
      </w:divBdr>
    </w:div>
    <w:div w:id="999045850">
      <w:bodyDiv w:val="1"/>
      <w:marLeft w:val="0"/>
      <w:marRight w:val="0"/>
      <w:marTop w:val="0"/>
      <w:marBottom w:val="0"/>
      <w:divBdr>
        <w:top w:val="none" w:sz="0" w:space="0" w:color="auto"/>
        <w:left w:val="none" w:sz="0" w:space="0" w:color="auto"/>
        <w:bottom w:val="none" w:sz="0" w:space="0" w:color="auto"/>
        <w:right w:val="none" w:sz="0" w:space="0" w:color="auto"/>
      </w:divBdr>
    </w:div>
    <w:div w:id="1018658348">
      <w:bodyDiv w:val="1"/>
      <w:marLeft w:val="0"/>
      <w:marRight w:val="0"/>
      <w:marTop w:val="0"/>
      <w:marBottom w:val="0"/>
      <w:divBdr>
        <w:top w:val="none" w:sz="0" w:space="0" w:color="auto"/>
        <w:left w:val="none" w:sz="0" w:space="0" w:color="auto"/>
        <w:bottom w:val="none" w:sz="0" w:space="0" w:color="auto"/>
        <w:right w:val="none" w:sz="0" w:space="0" w:color="auto"/>
      </w:divBdr>
    </w:div>
    <w:div w:id="1018704371">
      <w:bodyDiv w:val="1"/>
      <w:marLeft w:val="0"/>
      <w:marRight w:val="0"/>
      <w:marTop w:val="0"/>
      <w:marBottom w:val="0"/>
      <w:divBdr>
        <w:top w:val="none" w:sz="0" w:space="0" w:color="auto"/>
        <w:left w:val="none" w:sz="0" w:space="0" w:color="auto"/>
        <w:bottom w:val="none" w:sz="0" w:space="0" w:color="auto"/>
        <w:right w:val="none" w:sz="0" w:space="0" w:color="auto"/>
      </w:divBdr>
    </w:div>
    <w:div w:id="1023937119">
      <w:bodyDiv w:val="1"/>
      <w:marLeft w:val="0"/>
      <w:marRight w:val="0"/>
      <w:marTop w:val="0"/>
      <w:marBottom w:val="0"/>
      <w:divBdr>
        <w:top w:val="none" w:sz="0" w:space="0" w:color="auto"/>
        <w:left w:val="none" w:sz="0" w:space="0" w:color="auto"/>
        <w:bottom w:val="none" w:sz="0" w:space="0" w:color="auto"/>
        <w:right w:val="none" w:sz="0" w:space="0" w:color="auto"/>
      </w:divBdr>
    </w:div>
    <w:div w:id="1032458983">
      <w:bodyDiv w:val="1"/>
      <w:marLeft w:val="0"/>
      <w:marRight w:val="0"/>
      <w:marTop w:val="0"/>
      <w:marBottom w:val="0"/>
      <w:divBdr>
        <w:top w:val="none" w:sz="0" w:space="0" w:color="auto"/>
        <w:left w:val="none" w:sz="0" w:space="0" w:color="auto"/>
        <w:bottom w:val="none" w:sz="0" w:space="0" w:color="auto"/>
        <w:right w:val="none" w:sz="0" w:space="0" w:color="auto"/>
      </w:divBdr>
    </w:div>
    <w:div w:id="1035542088">
      <w:bodyDiv w:val="1"/>
      <w:marLeft w:val="0"/>
      <w:marRight w:val="0"/>
      <w:marTop w:val="0"/>
      <w:marBottom w:val="0"/>
      <w:divBdr>
        <w:top w:val="none" w:sz="0" w:space="0" w:color="auto"/>
        <w:left w:val="none" w:sz="0" w:space="0" w:color="auto"/>
        <w:bottom w:val="none" w:sz="0" w:space="0" w:color="auto"/>
        <w:right w:val="none" w:sz="0" w:space="0" w:color="auto"/>
      </w:divBdr>
    </w:div>
    <w:div w:id="1036462718">
      <w:bodyDiv w:val="1"/>
      <w:marLeft w:val="0"/>
      <w:marRight w:val="0"/>
      <w:marTop w:val="0"/>
      <w:marBottom w:val="0"/>
      <w:divBdr>
        <w:top w:val="none" w:sz="0" w:space="0" w:color="auto"/>
        <w:left w:val="none" w:sz="0" w:space="0" w:color="auto"/>
        <w:bottom w:val="none" w:sz="0" w:space="0" w:color="auto"/>
        <w:right w:val="none" w:sz="0" w:space="0" w:color="auto"/>
      </w:divBdr>
    </w:div>
    <w:div w:id="1057704738">
      <w:bodyDiv w:val="1"/>
      <w:marLeft w:val="0"/>
      <w:marRight w:val="0"/>
      <w:marTop w:val="0"/>
      <w:marBottom w:val="0"/>
      <w:divBdr>
        <w:top w:val="none" w:sz="0" w:space="0" w:color="auto"/>
        <w:left w:val="none" w:sz="0" w:space="0" w:color="auto"/>
        <w:bottom w:val="none" w:sz="0" w:space="0" w:color="auto"/>
        <w:right w:val="none" w:sz="0" w:space="0" w:color="auto"/>
      </w:divBdr>
    </w:div>
    <w:div w:id="1060444973">
      <w:bodyDiv w:val="1"/>
      <w:marLeft w:val="0"/>
      <w:marRight w:val="0"/>
      <w:marTop w:val="0"/>
      <w:marBottom w:val="0"/>
      <w:divBdr>
        <w:top w:val="none" w:sz="0" w:space="0" w:color="auto"/>
        <w:left w:val="none" w:sz="0" w:space="0" w:color="auto"/>
        <w:bottom w:val="none" w:sz="0" w:space="0" w:color="auto"/>
        <w:right w:val="none" w:sz="0" w:space="0" w:color="auto"/>
      </w:divBdr>
    </w:div>
    <w:div w:id="1062602286">
      <w:bodyDiv w:val="1"/>
      <w:marLeft w:val="0"/>
      <w:marRight w:val="0"/>
      <w:marTop w:val="0"/>
      <w:marBottom w:val="0"/>
      <w:divBdr>
        <w:top w:val="none" w:sz="0" w:space="0" w:color="auto"/>
        <w:left w:val="none" w:sz="0" w:space="0" w:color="auto"/>
        <w:bottom w:val="none" w:sz="0" w:space="0" w:color="auto"/>
        <w:right w:val="none" w:sz="0" w:space="0" w:color="auto"/>
      </w:divBdr>
    </w:div>
    <w:div w:id="1072043665">
      <w:bodyDiv w:val="1"/>
      <w:marLeft w:val="0"/>
      <w:marRight w:val="0"/>
      <w:marTop w:val="0"/>
      <w:marBottom w:val="0"/>
      <w:divBdr>
        <w:top w:val="none" w:sz="0" w:space="0" w:color="auto"/>
        <w:left w:val="none" w:sz="0" w:space="0" w:color="auto"/>
        <w:bottom w:val="none" w:sz="0" w:space="0" w:color="auto"/>
        <w:right w:val="none" w:sz="0" w:space="0" w:color="auto"/>
      </w:divBdr>
    </w:div>
    <w:div w:id="1074668460">
      <w:bodyDiv w:val="1"/>
      <w:marLeft w:val="0"/>
      <w:marRight w:val="0"/>
      <w:marTop w:val="0"/>
      <w:marBottom w:val="0"/>
      <w:divBdr>
        <w:top w:val="none" w:sz="0" w:space="0" w:color="auto"/>
        <w:left w:val="none" w:sz="0" w:space="0" w:color="auto"/>
        <w:bottom w:val="none" w:sz="0" w:space="0" w:color="auto"/>
        <w:right w:val="none" w:sz="0" w:space="0" w:color="auto"/>
      </w:divBdr>
    </w:div>
    <w:div w:id="1079712301">
      <w:bodyDiv w:val="1"/>
      <w:marLeft w:val="0"/>
      <w:marRight w:val="0"/>
      <w:marTop w:val="0"/>
      <w:marBottom w:val="0"/>
      <w:divBdr>
        <w:top w:val="none" w:sz="0" w:space="0" w:color="auto"/>
        <w:left w:val="none" w:sz="0" w:space="0" w:color="auto"/>
        <w:bottom w:val="none" w:sz="0" w:space="0" w:color="auto"/>
        <w:right w:val="none" w:sz="0" w:space="0" w:color="auto"/>
      </w:divBdr>
    </w:div>
    <w:div w:id="1086072330">
      <w:bodyDiv w:val="1"/>
      <w:marLeft w:val="0"/>
      <w:marRight w:val="0"/>
      <w:marTop w:val="0"/>
      <w:marBottom w:val="0"/>
      <w:divBdr>
        <w:top w:val="none" w:sz="0" w:space="0" w:color="auto"/>
        <w:left w:val="none" w:sz="0" w:space="0" w:color="auto"/>
        <w:bottom w:val="none" w:sz="0" w:space="0" w:color="auto"/>
        <w:right w:val="none" w:sz="0" w:space="0" w:color="auto"/>
      </w:divBdr>
    </w:div>
    <w:div w:id="1101343369">
      <w:bodyDiv w:val="1"/>
      <w:marLeft w:val="0"/>
      <w:marRight w:val="0"/>
      <w:marTop w:val="0"/>
      <w:marBottom w:val="0"/>
      <w:divBdr>
        <w:top w:val="none" w:sz="0" w:space="0" w:color="auto"/>
        <w:left w:val="none" w:sz="0" w:space="0" w:color="auto"/>
        <w:bottom w:val="none" w:sz="0" w:space="0" w:color="auto"/>
        <w:right w:val="none" w:sz="0" w:space="0" w:color="auto"/>
      </w:divBdr>
    </w:div>
    <w:div w:id="1110199579">
      <w:bodyDiv w:val="1"/>
      <w:marLeft w:val="0"/>
      <w:marRight w:val="0"/>
      <w:marTop w:val="0"/>
      <w:marBottom w:val="0"/>
      <w:divBdr>
        <w:top w:val="none" w:sz="0" w:space="0" w:color="auto"/>
        <w:left w:val="none" w:sz="0" w:space="0" w:color="auto"/>
        <w:bottom w:val="none" w:sz="0" w:space="0" w:color="auto"/>
        <w:right w:val="none" w:sz="0" w:space="0" w:color="auto"/>
      </w:divBdr>
    </w:div>
    <w:div w:id="1116675928">
      <w:bodyDiv w:val="1"/>
      <w:marLeft w:val="0"/>
      <w:marRight w:val="0"/>
      <w:marTop w:val="0"/>
      <w:marBottom w:val="0"/>
      <w:divBdr>
        <w:top w:val="none" w:sz="0" w:space="0" w:color="auto"/>
        <w:left w:val="none" w:sz="0" w:space="0" w:color="auto"/>
        <w:bottom w:val="none" w:sz="0" w:space="0" w:color="auto"/>
        <w:right w:val="none" w:sz="0" w:space="0" w:color="auto"/>
      </w:divBdr>
    </w:div>
    <w:div w:id="1118521773">
      <w:bodyDiv w:val="1"/>
      <w:marLeft w:val="0"/>
      <w:marRight w:val="0"/>
      <w:marTop w:val="0"/>
      <w:marBottom w:val="0"/>
      <w:divBdr>
        <w:top w:val="none" w:sz="0" w:space="0" w:color="auto"/>
        <w:left w:val="none" w:sz="0" w:space="0" w:color="auto"/>
        <w:bottom w:val="none" w:sz="0" w:space="0" w:color="auto"/>
        <w:right w:val="none" w:sz="0" w:space="0" w:color="auto"/>
      </w:divBdr>
    </w:div>
    <w:div w:id="1123890189">
      <w:bodyDiv w:val="1"/>
      <w:marLeft w:val="0"/>
      <w:marRight w:val="0"/>
      <w:marTop w:val="0"/>
      <w:marBottom w:val="0"/>
      <w:divBdr>
        <w:top w:val="none" w:sz="0" w:space="0" w:color="auto"/>
        <w:left w:val="none" w:sz="0" w:space="0" w:color="auto"/>
        <w:bottom w:val="none" w:sz="0" w:space="0" w:color="auto"/>
        <w:right w:val="none" w:sz="0" w:space="0" w:color="auto"/>
      </w:divBdr>
    </w:div>
    <w:div w:id="1136870148">
      <w:bodyDiv w:val="1"/>
      <w:marLeft w:val="0"/>
      <w:marRight w:val="0"/>
      <w:marTop w:val="0"/>
      <w:marBottom w:val="0"/>
      <w:divBdr>
        <w:top w:val="none" w:sz="0" w:space="0" w:color="auto"/>
        <w:left w:val="none" w:sz="0" w:space="0" w:color="auto"/>
        <w:bottom w:val="none" w:sz="0" w:space="0" w:color="auto"/>
        <w:right w:val="none" w:sz="0" w:space="0" w:color="auto"/>
      </w:divBdr>
    </w:div>
    <w:div w:id="1152527216">
      <w:bodyDiv w:val="1"/>
      <w:marLeft w:val="0"/>
      <w:marRight w:val="0"/>
      <w:marTop w:val="0"/>
      <w:marBottom w:val="0"/>
      <w:divBdr>
        <w:top w:val="none" w:sz="0" w:space="0" w:color="auto"/>
        <w:left w:val="none" w:sz="0" w:space="0" w:color="auto"/>
        <w:bottom w:val="none" w:sz="0" w:space="0" w:color="auto"/>
        <w:right w:val="none" w:sz="0" w:space="0" w:color="auto"/>
      </w:divBdr>
    </w:div>
    <w:div w:id="1153259197">
      <w:bodyDiv w:val="1"/>
      <w:marLeft w:val="0"/>
      <w:marRight w:val="0"/>
      <w:marTop w:val="0"/>
      <w:marBottom w:val="0"/>
      <w:divBdr>
        <w:top w:val="none" w:sz="0" w:space="0" w:color="auto"/>
        <w:left w:val="none" w:sz="0" w:space="0" w:color="auto"/>
        <w:bottom w:val="none" w:sz="0" w:space="0" w:color="auto"/>
        <w:right w:val="none" w:sz="0" w:space="0" w:color="auto"/>
      </w:divBdr>
    </w:div>
    <w:div w:id="1153450274">
      <w:bodyDiv w:val="1"/>
      <w:marLeft w:val="0"/>
      <w:marRight w:val="0"/>
      <w:marTop w:val="0"/>
      <w:marBottom w:val="0"/>
      <w:divBdr>
        <w:top w:val="none" w:sz="0" w:space="0" w:color="auto"/>
        <w:left w:val="none" w:sz="0" w:space="0" w:color="auto"/>
        <w:bottom w:val="none" w:sz="0" w:space="0" w:color="auto"/>
        <w:right w:val="none" w:sz="0" w:space="0" w:color="auto"/>
      </w:divBdr>
    </w:div>
    <w:div w:id="1157499794">
      <w:bodyDiv w:val="1"/>
      <w:marLeft w:val="0"/>
      <w:marRight w:val="0"/>
      <w:marTop w:val="0"/>
      <w:marBottom w:val="0"/>
      <w:divBdr>
        <w:top w:val="none" w:sz="0" w:space="0" w:color="auto"/>
        <w:left w:val="none" w:sz="0" w:space="0" w:color="auto"/>
        <w:bottom w:val="none" w:sz="0" w:space="0" w:color="auto"/>
        <w:right w:val="none" w:sz="0" w:space="0" w:color="auto"/>
      </w:divBdr>
    </w:div>
    <w:div w:id="1163080549">
      <w:bodyDiv w:val="1"/>
      <w:marLeft w:val="0"/>
      <w:marRight w:val="0"/>
      <w:marTop w:val="0"/>
      <w:marBottom w:val="0"/>
      <w:divBdr>
        <w:top w:val="none" w:sz="0" w:space="0" w:color="auto"/>
        <w:left w:val="none" w:sz="0" w:space="0" w:color="auto"/>
        <w:bottom w:val="none" w:sz="0" w:space="0" w:color="auto"/>
        <w:right w:val="none" w:sz="0" w:space="0" w:color="auto"/>
      </w:divBdr>
    </w:div>
    <w:div w:id="1170366392">
      <w:bodyDiv w:val="1"/>
      <w:marLeft w:val="0"/>
      <w:marRight w:val="0"/>
      <w:marTop w:val="0"/>
      <w:marBottom w:val="0"/>
      <w:divBdr>
        <w:top w:val="none" w:sz="0" w:space="0" w:color="auto"/>
        <w:left w:val="none" w:sz="0" w:space="0" w:color="auto"/>
        <w:bottom w:val="none" w:sz="0" w:space="0" w:color="auto"/>
        <w:right w:val="none" w:sz="0" w:space="0" w:color="auto"/>
      </w:divBdr>
    </w:div>
    <w:div w:id="1171680143">
      <w:bodyDiv w:val="1"/>
      <w:marLeft w:val="0"/>
      <w:marRight w:val="0"/>
      <w:marTop w:val="0"/>
      <w:marBottom w:val="0"/>
      <w:divBdr>
        <w:top w:val="none" w:sz="0" w:space="0" w:color="auto"/>
        <w:left w:val="none" w:sz="0" w:space="0" w:color="auto"/>
        <w:bottom w:val="none" w:sz="0" w:space="0" w:color="auto"/>
        <w:right w:val="none" w:sz="0" w:space="0" w:color="auto"/>
      </w:divBdr>
    </w:div>
    <w:div w:id="1178425910">
      <w:bodyDiv w:val="1"/>
      <w:marLeft w:val="0"/>
      <w:marRight w:val="0"/>
      <w:marTop w:val="0"/>
      <w:marBottom w:val="0"/>
      <w:divBdr>
        <w:top w:val="none" w:sz="0" w:space="0" w:color="auto"/>
        <w:left w:val="none" w:sz="0" w:space="0" w:color="auto"/>
        <w:bottom w:val="none" w:sz="0" w:space="0" w:color="auto"/>
        <w:right w:val="none" w:sz="0" w:space="0" w:color="auto"/>
      </w:divBdr>
    </w:div>
    <w:div w:id="1187334269">
      <w:bodyDiv w:val="1"/>
      <w:marLeft w:val="0"/>
      <w:marRight w:val="0"/>
      <w:marTop w:val="0"/>
      <w:marBottom w:val="0"/>
      <w:divBdr>
        <w:top w:val="none" w:sz="0" w:space="0" w:color="auto"/>
        <w:left w:val="none" w:sz="0" w:space="0" w:color="auto"/>
        <w:bottom w:val="none" w:sz="0" w:space="0" w:color="auto"/>
        <w:right w:val="none" w:sz="0" w:space="0" w:color="auto"/>
      </w:divBdr>
    </w:div>
    <w:div w:id="1190528936">
      <w:bodyDiv w:val="1"/>
      <w:marLeft w:val="0"/>
      <w:marRight w:val="0"/>
      <w:marTop w:val="0"/>
      <w:marBottom w:val="0"/>
      <w:divBdr>
        <w:top w:val="none" w:sz="0" w:space="0" w:color="auto"/>
        <w:left w:val="none" w:sz="0" w:space="0" w:color="auto"/>
        <w:bottom w:val="none" w:sz="0" w:space="0" w:color="auto"/>
        <w:right w:val="none" w:sz="0" w:space="0" w:color="auto"/>
      </w:divBdr>
    </w:div>
    <w:div w:id="1191606642">
      <w:bodyDiv w:val="1"/>
      <w:marLeft w:val="0"/>
      <w:marRight w:val="0"/>
      <w:marTop w:val="0"/>
      <w:marBottom w:val="0"/>
      <w:divBdr>
        <w:top w:val="none" w:sz="0" w:space="0" w:color="auto"/>
        <w:left w:val="none" w:sz="0" w:space="0" w:color="auto"/>
        <w:bottom w:val="none" w:sz="0" w:space="0" w:color="auto"/>
        <w:right w:val="none" w:sz="0" w:space="0" w:color="auto"/>
      </w:divBdr>
    </w:div>
    <w:div w:id="1199011094">
      <w:bodyDiv w:val="1"/>
      <w:marLeft w:val="0"/>
      <w:marRight w:val="0"/>
      <w:marTop w:val="0"/>
      <w:marBottom w:val="0"/>
      <w:divBdr>
        <w:top w:val="none" w:sz="0" w:space="0" w:color="auto"/>
        <w:left w:val="none" w:sz="0" w:space="0" w:color="auto"/>
        <w:bottom w:val="none" w:sz="0" w:space="0" w:color="auto"/>
        <w:right w:val="none" w:sz="0" w:space="0" w:color="auto"/>
      </w:divBdr>
    </w:div>
    <w:div w:id="1202405058">
      <w:bodyDiv w:val="1"/>
      <w:marLeft w:val="0"/>
      <w:marRight w:val="0"/>
      <w:marTop w:val="0"/>
      <w:marBottom w:val="0"/>
      <w:divBdr>
        <w:top w:val="none" w:sz="0" w:space="0" w:color="auto"/>
        <w:left w:val="none" w:sz="0" w:space="0" w:color="auto"/>
        <w:bottom w:val="none" w:sz="0" w:space="0" w:color="auto"/>
        <w:right w:val="none" w:sz="0" w:space="0" w:color="auto"/>
      </w:divBdr>
    </w:div>
    <w:div w:id="1202593245">
      <w:bodyDiv w:val="1"/>
      <w:marLeft w:val="0"/>
      <w:marRight w:val="0"/>
      <w:marTop w:val="0"/>
      <w:marBottom w:val="0"/>
      <w:divBdr>
        <w:top w:val="none" w:sz="0" w:space="0" w:color="auto"/>
        <w:left w:val="none" w:sz="0" w:space="0" w:color="auto"/>
        <w:bottom w:val="none" w:sz="0" w:space="0" w:color="auto"/>
        <w:right w:val="none" w:sz="0" w:space="0" w:color="auto"/>
      </w:divBdr>
    </w:div>
    <w:div w:id="1204637235">
      <w:bodyDiv w:val="1"/>
      <w:marLeft w:val="0"/>
      <w:marRight w:val="0"/>
      <w:marTop w:val="0"/>
      <w:marBottom w:val="0"/>
      <w:divBdr>
        <w:top w:val="none" w:sz="0" w:space="0" w:color="auto"/>
        <w:left w:val="none" w:sz="0" w:space="0" w:color="auto"/>
        <w:bottom w:val="none" w:sz="0" w:space="0" w:color="auto"/>
        <w:right w:val="none" w:sz="0" w:space="0" w:color="auto"/>
      </w:divBdr>
    </w:div>
    <w:div w:id="1205094089">
      <w:bodyDiv w:val="1"/>
      <w:marLeft w:val="0"/>
      <w:marRight w:val="0"/>
      <w:marTop w:val="0"/>
      <w:marBottom w:val="0"/>
      <w:divBdr>
        <w:top w:val="none" w:sz="0" w:space="0" w:color="auto"/>
        <w:left w:val="none" w:sz="0" w:space="0" w:color="auto"/>
        <w:bottom w:val="none" w:sz="0" w:space="0" w:color="auto"/>
        <w:right w:val="none" w:sz="0" w:space="0" w:color="auto"/>
      </w:divBdr>
    </w:div>
    <w:div w:id="1208564174">
      <w:bodyDiv w:val="1"/>
      <w:marLeft w:val="0"/>
      <w:marRight w:val="0"/>
      <w:marTop w:val="0"/>
      <w:marBottom w:val="0"/>
      <w:divBdr>
        <w:top w:val="none" w:sz="0" w:space="0" w:color="auto"/>
        <w:left w:val="none" w:sz="0" w:space="0" w:color="auto"/>
        <w:bottom w:val="none" w:sz="0" w:space="0" w:color="auto"/>
        <w:right w:val="none" w:sz="0" w:space="0" w:color="auto"/>
      </w:divBdr>
    </w:div>
    <w:div w:id="1210456582">
      <w:bodyDiv w:val="1"/>
      <w:marLeft w:val="0"/>
      <w:marRight w:val="0"/>
      <w:marTop w:val="0"/>
      <w:marBottom w:val="0"/>
      <w:divBdr>
        <w:top w:val="none" w:sz="0" w:space="0" w:color="auto"/>
        <w:left w:val="none" w:sz="0" w:space="0" w:color="auto"/>
        <w:bottom w:val="none" w:sz="0" w:space="0" w:color="auto"/>
        <w:right w:val="none" w:sz="0" w:space="0" w:color="auto"/>
      </w:divBdr>
    </w:div>
    <w:div w:id="1222709614">
      <w:bodyDiv w:val="1"/>
      <w:marLeft w:val="0"/>
      <w:marRight w:val="0"/>
      <w:marTop w:val="0"/>
      <w:marBottom w:val="0"/>
      <w:divBdr>
        <w:top w:val="none" w:sz="0" w:space="0" w:color="auto"/>
        <w:left w:val="none" w:sz="0" w:space="0" w:color="auto"/>
        <w:bottom w:val="none" w:sz="0" w:space="0" w:color="auto"/>
        <w:right w:val="none" w:sz="0" w:space="0" w:color="auto"/>
      </w:divBdr>
    </w:div>
    <w:div w:id="1235093902">
      <w:bodyDiv w:val="1"/>
      <w:marLeft w:val="0"/>
      <w:marRight w:val="0"/>
      <w:marTop w:val="0"/>
      <w:marBottom w:val="0"/>
      <w:divBdr>
        <w:top w:val="none" w:sz="0" w:space="0" w:color="auto"/>
        <w:left w:val="none" w:sz="0" w:space="0" w:color="auto"/>
        <w:bottom w:val="none" w:sz="0" w:space="0" w:color="auto"/>
        <w:right w:val="none" w:sz="0" w:space="0" w:color="auto"/>
      </w:divBdr>
    </w:div>
    <w:div w:id="1240749619">
      <w:bodyDiv w:val="1"/>
      <w:marLeft w:val="0"/>
      <w:marRight w:val="0"/>
      <w:marTop w:val="0"/>
      <w:marBottom w:val="0"/>
      <w:divBdr>
        <w:top w:val="none" w:sz="0" w:space="0" w:color="auto"/>
        <w:left w:val="none" w:sz="0" w:space="0" w:color="auto"/>
        <w:bottom w:val="none" w:sz="0" w:space="0" w:color="auto"/>
        <w:right w:val="none" w:sz="0" w:space="0" w:color="auto"/>
      </w:divBdr>
    </w:div>
    <w:div w:id="1247762420">
      <w:bodyDiv w:val="1"/>
      <w:marLeft w:val="0"/>
      <w:marRight w:val="0"/>
      <w:marTop w:val="0"/>
      <w:marBottom w:val="0"/>
      <w:divBdr>
        <w:top w:val="none" w:sz="0" w:space="0" w:color="auto"/>
        <w:left w:val="none" w:sz="0" w:space="0" w:color="auto"/>
        <w:bottom w:val="none" w:sz="0" w:space="0" w:color="auto"/>
        <w:right w:val="none" w:sz="0" w:space="0" w:color="auto"/>
      </w:divBdr>
    </w:div>
    <w:div w:id="1248418674">
      <w:bodyDiv w:val="1"/>
      <w:marLeft w:val="0"/>
      <w:marRight w:val="0"/>
      <w:marTop w:val="0"/>
      <w:marBottom w:val="0"/>
      <w:divBdr>
        <w:top w:val="none" w:sz="0" w:space="0" w:color="auto"/>
        <w:left w:val="none" w:sz="0" w:space="0" w:color="auto"/>
        <w:bottom w:val="none" w:sz="0" w:space="0" w:color="auto"/>
        <w:right w:val="none" w:sz="0" w:space="0" w:color="auto"/>
      </w:divBdr>
    </w:div>
    <w:div w:id="1255163507">
      <w:bodyDiv w:val="1"/>
      <w:marLeft w:val="0"/>
      <w:marRight w:val="0"/>
      <w:marTop w:val="0"/>
      <w:marBottom w:val="0"/>
      <w:divBdr>
        <w:top w:val="none" w:sz="0" w:space="0" w:color="auto"/>
        <w:left w:val="none" w:sz="0" w:space="0" w:color="auto"/>
        <w:bottom w:val="none" w:sz="0" w:space="0" w:color="auto"/>
        <w:right w:val="none" w:sz="0" w:space="0" w:color="auto"/>
      </w:divBdr>
    </w:div>
    <w:div w:id="1260605764">
      <w:bodyDiv w:val="1"/>
      <w:marLeft w:val="0"/>
      <w:marRight w:val="0"/>
      <w:marTop w:val="0"/>
      <w:marBottom w:val="0"/>
      <w:divBdr>
        <w:top w:val="none" w:sz="0" w:space="0" w:color="auto"/>
        <w:left w:val="none" w:sz="0" w:space="0" w:color="auto"/>
        <w:bottom w:val="none" w:sz="0" w:space="0" w:color="auto"/>
        <w:right w:val="none" w:sz="0" w:space="0" w:color="auto"/>
      </w:divBdr>
    </w:div>
    <w:div w:id="1263537356">
      <w:bodyDiv w:val="1"/>
      <w:marLeft w:val="0"/>
      <w:marRight w:val="0"/>
      <w:marTop w:val="0"/>
      <w:marBottom w:val="0"/>
      <w:divBdr>
        <w:top w:val="none" w:sz="0" w:space="0" w:color="auto"/>
        <w:left w:val="none" w:sz="0" w:space="0" w:color="auto"/>
        <w:bottom w:val="none" w:sz="0" w:space="0" w:color="auto"/>
        <w:right w:val="none" w:sz="0" w:space="0" w:color="auto"/>
      </w:divBdr>
    </w:div>
    <w:div w:id="1273830182">
      <w:bodyDiv w:val="1"/>
      <w:marLeft w:val="0"/>
      <w:marRight w:val="0"/>
      <w:marTop w:val="0"/>
      <w:marBottom w:val="0"/>
      <w:divBdr>
        <w:top w:val="none" w:sz="0" w:space="0" w:color="auto"/>
        <w:left w:val="none" w:sz="0" w:space="0" w:color="auto"/>
        <w:bottom w:val="none" w:sz="0" w:space="0" w:color="auto"/>
        <w:right w:val="none" w:sz="0" w:space="0" w:color="auto"/>
      </w:divBdr>
    </w:div>
    <w:div w:id="1274092348">
      <w:bodyDiv w:val="1"/>
      <w:marLeft w:val="0"/>
      <w:marRight w:val="0"/>
      <w:marTop w:val="0"/>
      <w:marBottom w:val="0"/>
      <w:divBdr>
        <w:top w:val="none" w:sz="0" w:space="0" w:color="auto"/>
        <w:left w:val="none" w:sz="0" w:space="0" w:color="auto"/>
        <w:bottom w:val="none" w:sz="0" w:space="0" w:color="auto"/>
        <w:right w:val="none" w:sz="0" w:space="0" w:color="auto"/>
      </w:divBdr>
      <w:divsChild>
        <w:div w:id="1108625685">
          <w:marLeft w:val="0"/>
          <w:marRight w:val="0"/>
          <w:marTop w:val="30"/>
          <w:marBottom w:val="0"/>
          <w:divBdr>
            <w:top w:val="none" w:sz="0" w:space="0" w:color="auto"/>
            <w:left w:val="none" w:sz="0" w:space="0" w:color="auto"/>
            <w:bottom w:val="none" w:sz="0" w:space="0" w:color="auto"/>
            <w:right w:val="none" w:sz="0" w:space="0" w:color="auto"/>
          </w:divBdr>
        </w:div>
        <w:div w:id="1375502110">
          <w:marLeft w:val="0"/>
          <w:marRight w:val="0"/>
          <w:marTop w:val="30"/>
          <w:marBottom w:val="0"/>
          <w:divBdr>
            <w:top w:val="none" w:sz="0" w:space="0" w:color="auto"/>
            <w:left w:val="none" w:sz="0" w:space="0" w:color="auto"/>
            <w:bottom w:val="none" w:sz="0" w:space="0" w:color="auto"/>
            <w:right w:val="none" w:sz="0" w:space="0" w:color="auto"/>
          </w:divBdr>
          <w:divsChild>
            <w:div w:id="1013992911">
              <w:marLeft w:val="0"/>
              <w:marRight w:val="0"/>
              <w:marTop w:val="0"/>
              <w:marBottom w:val="0"/>
              <w:divBdr>
                <w:top w:val="none" w:sz="0" w:space="0" w:color="auto"/>
                <w:left w:val="none" w:sz="0" w:space="0" w:color="auto"/>
                <w:bottom w:val="none" w:sz="0" w:space="0" w:color="auto"/>
                <w:right w:val="none" w:sz="0" w:space="0" w:color="auto"/>
              </w:divBdr>
            </w:div>
            <w:div w:id="481434091">
              <w:marLeft w:val="0"/>
              <w:marRight w:val="0"/>
              <w:marTop w:val="0"/>
              <w:marBottom w:val="0"/>
              <w:divBdr>
                <w:top w:val="none" w:sz="0" w:space="0" w:color="auto"/>
                <w:left w:val="none" w:sz="0" w:space="0" w:color="auto"/>
                <w:bottom w:val="none" w:sz="0" w:space="0" w:color="auto"/>
                <w:right w:val="none" w:sz="0" w:space="0" w:color="auto"/>
              </w:divBdr>
            </w:div>
          </w:divsChild>
        </w:div>
        <w:div w:id="866407509">
          <w:marLeft w:val="0"/>
          <w:marRight w:val="0"/>
          <w:marTop w:val="0"/>
          <w:marBottom w:val="0"/>
          <w:divBdr>
            <w:top w:val="none" w:sz="0" w:space="0" w:color="auto"/>
            <w:left w:val="none" w:sz="0" w:space="0" w:color="auto"/>
            <w:bottom w:val="none" w:sz="0" w:space="0" w:color="auto"/>
            <w:right w:val="none" w:sz="0" w:space="0" w:color="auto"/>
          </w:divBdr>
          <w:divsChild>
            <w:div w:id="1057049119">
              <w:marLeft w:val="0"/>
              <w:marRight w:val="0"/>
              <w:marTop w:val="100"/>
              <w:marBottom w:val="100"/>
              <w:divBdr>
                <w:top w:val="none" w:sz="0" w:space="0" w:color="auto"/>
                <w:left w:val="none" w:sz="0" w:space="0" w:color="auto"/>
                <w:bottom w:val="none" w:sz="0" w:space="0" w:color="auto"/>
                <w:right w:val="none" w:sz="0" w:space="0" w:color="auto"/>
              </w:divBdr>
              <w:divsChild>
                <w:div w:id="624391088">
                  <w:marLeft w:val="0"/>
                  <w:marRight w:val="0"/>
                  <w:marTop w:val="0"/>
                  <w:marBottom w:val="0"/>
                  <w:divBdr>
                    <w:top w:val="none" w:sz="0" w:space="0" w:color="auto"/>
                    <w:left w:val="none" w:sz="0" w:space="0" w:color="auto"/>
                    <w:bottom w:val="none" w:sz="0" w:space="0" w:color="auto"/>
                    <w:right w:val="none" w:sz="0" w:space="0" w:color="auto"/>
                  </w:divBdr>
                  <w:divsChild>
                    <w:div w:id="580063434">
                      <w:marLeft w:val="0"/>
                      <w:marRight w:val="0"/>
                      <w:marTop w:val="0"/>
                      <w:marBottom w:val="0"/>
                      <w:divBdr>
                        <w:top w:val="none" w:sz="0" w:space="0" w:color="auto"/>
                        <w:left w:val="none" w:sz="0" w:space="0" w:color="auto"/>
                        <w:bottom w:val="none" w:sz="0" w:space="0" w:color="auto"/>
                        <w:right w:val="none" w:sz="0" w:space="0" w:color="auto"/>
                      </w:divBdr>
                      <w:divsChild>
                        <w:div w:id="1856339491">
                          <w:marLeft w:val="0"/>
                          <w:marRight w:val="0"/>
                          <w:marTop w:val="0"/>
                          <w:marBottom w:val="0"/>
                          <w:divBdr>
                            <w:top w:val="single" w:sz="6" w:space="8" w:color="E0E0E0"/>
                            <w:left w:val="single" w:sz="6" w:space="7" w:color="E0E0E0"/>
                            <w:bottom w:val="single" w:sz="6" w:space="4" w:color="E0E0E0"/>
                            <w:right w:val="single" w:sz="6" w:space="8" w:color="E0E0E0"/>
                          </w:divBdr>
                          <w:divsChild>
                            <w:div w:id="1451195800">
                              <w:marLeft w:val="0"/>
                              <w:marRight w:val="0"/>
                              <w:marTop w:val="0"/>
                              <w:marBottom w:val="0"/>
                              <w:divBdr>
                                <w:top w:val="none" w:sz="0" w:space="0" w:color="auto"/>
                                <w:left w:val="none" w:sz="0" w:space="0" w:color="auto"/>
                                <w:bottom w:val="none" w:sz="0" w:space="0" w:color="auto"/>
                                <w:right w:val="none" w:sz="0" w:space="0" w:color="auto"/>
                              </w:divBdr>
                              <w:divsChild>
                                <w:div w:id="1763839132">
                                  <w:marLeft w:val="0"/>
                                  <w:marRight w:val="0"/>
                                  <w:marTop w:val="0"/>
                                  <w:marBottom w:val="0"/>
                                  <w:divBdr>
                                    <w:top w:val="none" w:sz="0" w:space="0" w:color="auto"/>
                                    <w:left w:val="none" w:sz="0" w:space="0" w:color="auto"/>
                                    <w:bottom w:val="none" w:sz="0" w:space="0" w:color="auto"/>
                                    <w:right w:val="none" w:sz="0" w:space="0" w:color="auto"/>
                                  </w:divBdr>
                                  <w:divsChild>
                                    <w:div w:id="1139805086">
                                      <w:marLeft w:val="0"/>
                                      <w:marRight w:val="0"/>
                                      <w:marTop w:val="0"/>
                                      <w:marBottom w:val="0"/>
                                      <w:divBdr>
                                        <w:top w:val="none" w:sz="0" w:space="0" w:color="auto"/>
                                        <w:left w:val="none" w:sz="0" w:space="0" w:color="auto"/>
                                        <w:bottom w:val="none" w:sz="0" w:space="0" w:color="auto"/>
                                        <w:right w:val="none" w:sz="0" w:space="0" w:color="auto"/>
                                      </w:divBdr>
                                    </w:div>
                                    <w:div w:id="96412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2416378">
          <w:marLeft w:val="0"/>
          <w:marRight w:val="0"/>
          <w:marTop w:val="30"/>
          <w:marBottom w:val="0"/>
          <w:divBdr>
            <w:top w:val="none" w:sz="0" w:space="0" w:color="auto"/>
            <w:left w:val="none" w:sz="0" w:space="0" w:color="auto"/>
            <w:bottom w:val="none" w:sz="0" w:space="0" w:color="auto"/>
            <w:right w:val="none" w:sz="0" w:space="0" w:color="auto"/>
          </w:divBdr>
        </w:div>
        <w:div w:id="317611902">
          <w:marLeft w:val="0"/>
          <w:marRight w:val="0"/>
          <w:marTop w:val="30"/>
          <w:marBottom w:val="0"/>
          <w:divBdr>
            <w:top w:val="none" w:sz="0" w:space="0" w:color="auto"/>
            <w:left w:val="none" w:sz="0" w:space="0" w:color="auto"/>
            <w:bottom w:val="none" w:sz="0" w:space="0" w:color="auto"/>
            <w:right w:val="none" w:sz="0" w:space="0" w:color="auto"/>
          </w:divBdr>
          <w:divsChild>
            <w:div w:id="598410150">
              <w:marLeft w:val="0"/>
              <w:marRight w:val="0"/>
              <w:marTop w:val="0"/>
              <w:marBottom w:val="0"/>
              <w:divBdr>
                <w:top w:val="none" w:sz="0" w:space="0" w:color="auto"/>
                <w:left w:val="none" w:sz="0" w:space="0" w:color="auto"/>
                <w:bottom w:val="none" w:sz="0" w:space="0" w:color="auto"/>
                <w:right w:val="none" w:sz="0" w:space="0" w:color="auto"/>
              </w:divBdr>
            </w:div>
            <w:div w:id="2077587825">
              <w:marLeft w:val="0"/>
              <w:marRight w:val="0"/>
              <w:marTop w:val="0"/>
              <w:marBottom w:val="0"/>
              <w:divBdr>
                <w:top w:val="none" w:sz="0" w:space="0" w:color="auto"/>
                <w:left w:val="none" w:sz="0" w:space="0" w:color="auto"/>
                <w:bottom w:val="none" w:sz="0" w:space="0" w:color="auto"/>
                <w:right w:val="none" w:sz="0" w:space="0" w:color="auto"/>
              </w:divBdr>
            </w:div>
          </w:divsChild>
        </w:div>
        <w:div w:id="1883639499">
          <w:marLeft w:val="0"/>
          <w:marRight w:val="0"/>
          <w:marTop w:val="0"/>
          <w:marBottom w:val="0"/>
          <w:divBdr>
            <w:top w:val="none" w:sz="0" w:space="0" w:color="auto"/>
            <w:left w:val="none" w:sz="0" w:space="0" w:color="auto"/>
            <w:bottom w:val="none" w:sz="0" w:space="0" w:color="auto"/>
            <w:right w:val="none" w:sz="0" w:space="0" w:color="auto"/>
          </w:divBdr>
          <w:divsChild>
            <w:div w:id="152793486">
              <w:marLeft w:val="0"/>
              <w:marRight w:val="0"/>
              <w:marTop w:val="100"/>
              <w:marBottom w:val="100"/>
              <w:divBdr>
                <w:top w:val="none" w:sz="0" w:space="0" w:color="auto"/>
                <w:left w:val="none" w:sz="0" w:space="0" w:color="auto"/>
                <w:bottom w:val="none" w:sz="0" w:space="0" w:color="auto"/>
                <w:right w:val="none" w:sz="0" w:space="0" w:color="auto"/>
              </w:divBdr>
            </w:div>
          </w:divsChild>
        </w:div>
        <w:div w:id="418596908">
          <w:marLeft w:val="0"/>
          <w:marRight w:val="0"/>
          <w:marTop w:val="180"/>
          <w:marBottom w:val="0"/>
          <w:divBdr>
            <w:top w:val="none" w:sz="0" w:space="0" w:color="auto"/>
            <w:left w:val="none" w:sz="0" w:space="0" w:color="auto"/>
            <w:bottom w:val="none" w:sz="0" w:space="0" w:color="auto"/>
            <w:right w:val="none" w:sz="0" w:space="0" w:color="auto"/>
          </w:divBdr>
        </w:div>
      </w:divsChild>
    </w:div>
    <w:div w:id="1277983890">
      <w:bodyDiv w:val="1"/>
      <w:marLeft w:val="0"/>
      <w:marRight w:val="0"/>
      <w:marTop w:val="0"/>
      <w:marBottom w:val="0"/>
      <w:divBdr>
        <w:top w:val="none" w:sz="0" w:space="0" w:color="auto"/>
        <w:left w:val="none" w:sz="0" w:space="0" w:color="auto"/>
        <w:bottom w:val="none" w:sz="0" w:space="0" w:color="auto"/>
        <w:right w:val="none" w:sz="0" w:space="0" w:color="auto"/>
      </w:divBdr>
    </w:div>
    <w:div w:id="1278951719">
      <w:bodyDiv w:val="1"/>
      <w:marLeft w:val="0"/>
      <w:marRight w:val="0"/>
      <w:marTop w:val="0"/>
      <w:marBottom w:val="0"/>
      <w:divBdr>
        <w:top w:val="none" w:sz="0" w:space="0" w:color="auto"/>
        <w:left w:val="none" w:sz="0" w:space="0" w:color="auto"/>
        <w:bottom w:val="none" w:sz="0" w:space="0" w:color="auto"/>
        <w:right w:val="none" w:sz="0" w:space="0" w:color="auto"/>
      </w:divBdr>
    </w:div>
    <w:div w:id="1288660329">
      <w:bodyDiv w:val="1"/>
      <w:marLeft w:val="0"/>
      <w:marRight w:val="0"/>
      <w:marTop w:val="0"/>
      <w:marBottom w:val="0"/>
      <w:divBdr>
        <w:top w:val="none" w:sz="0" w:space="0" w:color="auto"/>
        <w:left w:val="none" w:sz="0" w:space="0" w:color="auto"/>
        <w:bottom w:val="none" w:sz="0" w:space="0" w:color="auto"/>
        <w:right w:val="none" w:sz="0" w:space="0" w:color="auto"/>
      </w:divBdr>
    </w:div>
    <w:div w:id="1292246102">
      <w:bodyDiv w:val="1"/>
      <w:marLeft w:val="0"/>
      <w:marRight w:val="0"/>
      <w:marTop w:val="0"/>
      <w:marBottom w:val="0"/>
      <w:divBdr>
        <w:top w:val="none" w:sz="0" w:space="0" w:color="auto"/>
        <w:left w:val="none" w:sz="0" w:space="0" w:color="auto"/>
        <w:bottom w:val="none" w:sz="0" w:space="0" w:color="auto"/>
        <w:right w:val="none" w:sz="0" w:space="0" w:color="auto"/>
      </w:divBdr>
    </w:div>
    <w:div w:id="1300528374">
      <w:bodyDiv w:val="1"/>
      <w:marLeft w:val="0"/>
      <w:marRight w:val="0"/>
      <w:marTop w:val="0"/>
      <w:marBottom w:val="0"/>
      <w:divBdr>
        <w:top w:val="none" w:sz="0" w:space="0" w:color="auto"/>
        <w:left w:val="none" w:sz="0" w:space="0" w:color="auto"/>
        <w:bottom w:val="none" w:sz="0" w:space="0" w:color="auto"/>
        <w:right w:val="none" w:sz="0" w:space="0" w:color="auto"/>
      </w:divBdr>
    </w:div>
    <w:div w:id="1304776780">
      <w:bodyDiv w:val="1"/>
      <w:marLeft w:val="0"/>
      <w:marRight w:val="0"/>
      <w:marTop w:val="0"/>
      <w:marBottom w:val="0"/>
      <w:divBdr>
        <w:top w:val="none" w:sz="0" w:space="0" w:color="auto"/>
        <w:left w:val="none" w:sz="0" w:space="0" w:color="auto"/>
        <w:bottom w:val="none" w:sz="0" w:space="0" w:color="auto"/>
        <w:right w:val="none" w:sz="0" w:space="0" w:color="auto"/>
      </w:divBdr>
    </w:div>
    <w:div w:id="1305159053">
      <w:bodyDiv w:val="1"/>
      <w:marLeft w:val="0"/>
      <w:marRight w:val="0"/>
      <w:marTop w:val="0"/>
      <w:marBottom w:val="0"/>
      <w:divBdr>
        <w:top w:val="none" w:sz="0" w:space="0" w:color="auto"/>
        <w:left w:val="none" w:sz="0" w:space="0" w:color="auto"/>
        <w:bottom w:val="none" w:sz="0" w:space="0" w:color="auto"/>
        <w:right w:val="none" w:sz="0" w:space="0" w:color="auto"/>
      </w:divBdr>
    </w:div>
    <w:div w:id="1311323319">
      <w:bodyDiv w:val="1"/>
      <w:marLeft w:val="0"/>
      <w:marRight w:val="0"/>
      <w:marTop w:val="0"/>
      <w:marBottom w:val="0"/>
      <w:divBdr>
        <w:top w:val="none" w:sz="0" w:space="0" w:color="auto"/>
        <w:left w:val="none" w:sz="0" w:space="0" w:color="auto"/>
        <w:bottom w:val="none" w:sz="0" w:space="0" w:color="auto"/>
        <w:right w:val="none" w:sz="0" w:space="0" w:color="auto"/>
      </w:divBdr>
    </w:div>
    <w:div w:id="1312980501">
      <w:bodyDiv w:val="1"/>
      <w:marLeft w:val="0"/>
      <w:marRight w:val="0"/>
      <w:marTop w:val="0"/>
      <w:marBottom w:val="0"/>
      <w:divBdr>
        <w:top w:val="none" w:sz="0" w:space="0" w:color="auto"/>
        <w:left w:val="none" w:sz="0" w:space="0" w:color="auto"/>
        <w:bottom w:val="none" w:sz="0" w:space="0" w:color="auto"/>
        <w:right w:val="none" w:sz="0" w:space="0" w:color="auto"/>
      </w:divBdr>
    </w:div>
    <w:div w:id="1321619162">
      <w:bodyDiv w:val="1"/>
      <w:marLeft w:val="0"/>
      <w:marRight w:val="0"/>
      <w:marTop w:val="0"/>
      <w:marBottom w:val="0"/>
      <w:divBdr>
        <w:top w:val="none" w:sz="0" w:space="0" w:color="auto"/>
        <w:left w:val="none" w:sz="0" w:space="0" w:color="auto"/>
        <w:bottom w:val="none" w:sz="0" w:space="0" w:color="auto"/>
        <w:right w:val="none" w:sz="0" w:space="0" w:color="auto"/>
      </w:divBdr>
    </w:div>
    <w:div w:id="1322002858">
      <w:bodyDiv w:val="1"/>
      <w:marLeft w:val="0"/>
      <w:marRight w:val="0"/>
      <w:marTop w:val="0"/>
      <w:marBottom w:val="0"/>
      <w:divBdr>
        <w:top w:val="none" w:sz="0" w:space="0" w:color="auto"/>
        <w:left w:val="none" w:sz="0" w:space="0" w:color="auto"/>
        <w:bottom w:val="none" w:sz="0" w:space="0" w:color="auto"/>
        <w:right w:val="none" w:sz="0" w:space="0" w:color="auto"/>
      </w:divBdr>
    </w:div>
    <w:div w:id="1326546641">
      <w:bodyDiv w:val="1"/>
      <w:marLeft w:val="0"/>
      <w:marRight w:val="0"/>
      <w:marTop w:val="0"/>
      <w:marBottom w:val="0"/>
      <w:divBdr>
        <w:top w:val="none" w:sz="0" w:space="0" w:color="auto"/>
        <w:left w:val="none" w:sz="0" w:space="0" w:color="auto"/>
        <w:bottom w:val="none" w:sz="0" w:space="0" w:color="auto"/>
        <w:right w:val="none" w:sz="0" w:space="0" w:color="auto"/>
      </w:divBdr>
    </w:div>
    <w:div w:id="1331103156">
      <w:bodyDiv w:val="1"/>
      <w:marLeft w:val="0"/>
      <w:marRight w:val="0"/>
      <w:marTop w:val="0"/>
      <w:marBottom w:val="0"/>
      <w:divBdr>
        <w:top w:val="none" w:sz="0" w:space="0" w:color="auto"/>
        <w:left w:val="none" w:sz="0" w:space="0" w:color="auto"/>
        <w:bottom w:val="none" w:sz="0" w:space="0" w:color="auto"/>
        <w:right w:val="none" w:sz="0" w:space="0" w:color="auto"/>
      </w:divBdr>
    </w:div>
    <w:div w:id="1335455905">
      <w:bodyDiv w:val="1"/>
      <w:marLeft w:val="0"/>
      <w:marRight w:val="0"/>
      <w:marTop w:val="0"/>
      <w:marBottom w:val="0"/>
      <w:divBdr>
        <w:top w:val="none" w:sz="0" w:space="0" w:color="auto"/>
        <w:left w:val="none" w:sz="0" w:space="0" w:color="auto"/>
        <w:bottom w:val="none" w:sz="0" w:space="0" w:color="auto"/>
        <w:right w:val="none" w:sz="0" w:space="0" w:color="auto"/>
      </w:divBdr>
    </w:div>
    <w:div w:id="1338731544">
      <w:bodyDiv w:val="1"/>
      <w:marLeft w:val="0"/>
      <w:marRight w:val="0"/>
      <w:marTop w:val="0"/>
      <w:marBottom w:val="0"/>
      <w:divBdr>
        <w:top w:val="none" w:sz="0" w:space="0" w:color="auto"/>
        <w:left w:val="none" w:sz="0" w:space="0" w:color="auto"/>
        <w:bottom w:val="none" w:sz="0" w:space="0" w:color="auto"/>
        <w:right w:val="none" w:sz="0" w:space="0" w:color="auto"/>
      </w:divBdr>
    </w:div>
    <w:div w:id="1341158194">
      <w:bodyDiv w:val="1"/>
      <w:marLeft w:val="0"/>
      <w:marRight w:val="0"/>
      <w:marTop w:val="0"/>
      <w:marBottom w:val="0"/>
      <w:divBdr>
        <w:top w:val="none" w:sz="0" w:space="0" w:color="auto"/>
        <w:left w:val="none" w:sz="0" w:space="0" w:color="auto"/>
        <w:bottom w:val="none" w:sz="0" w:space="0" w:color="auto"/>
        <w:right w:val="none" w:sz="0" w:space="0" w:color="auto"/>
      </w:divBdr>
    </w:div>
    <w:div w:id="1352686510">
      <w:bodyDiv w:val="1"/>
      <w:marLeft w:val="0"/>
      <w:marRight w:val="0"/>
      <w:marTop w:val="0"/>
      <w:marBottom w:val="0"/>
      <w:divBdr>
        <w:top w:val="none" w:sz="0" w:space="0" w:color="auto"/>
        <w:left w:val="none" w:sz="0" w:space="0" w:color="auto"/>
        <w:bottom w:val="none" w:sz="0" w:space="0" w:color="auto"/>
        <w:right w:val="none" w:sz="0" w:space="0" w:color="auto"/>
      </w:divBdr>
    </w:div>
    <w:div w:id="1354066940">
      <w:bodyDiv w:val="1"/>
      <w:marLeft w:val="0"/>
      <w:marRight w:val="0"/>
      <w:marTop w:val="0"/>
      <w:marBottom w:val="0"/>
      <w:divBdr>
        <w:top w:val="none" w:sz="0" w:space="0" w:color="auto"/>
        <w:left w:val="none" w:sz="0" w:space="0" w:color="auto"/>
        <w:bottom w:val="none" w:sz="0" w:space="0" w:color="auto"/>
        <w:right w:val="none" w:sz="0" w:space="0" w:color="auto"/>
      </w:divBdr>
    </w:div>
    <w:div w:id="1354189497">
      <w:bodyDiv w:val="1"/>
      <w:marLeft w:val="0"/>
      <w:marRight w:val="0"/>
      <w:marTop w:val="0"/>
      <w:marBottom w:val="0"/>
      <w:divBdr>
        <w:top w:val="none" w:sz="0" w:space="0" w:color="auto"/>
        <w:left w:val="none" w:sz="0" w:space="0" w:color="auto"/>
        <w:bottom w:val="none" w:sz="0" w:space="0" w:color="auto"/>
        <w:right w:val="none" w:sz="0" w:space="0" w:color="auto"/>
      </w:divBdr>
    </w:div>
    <w:div w:id="1362363084">
      <w:bodyDiv w:val="1"/>
      <w:marLeft w:val="0"/>
      <w:marRight w:val="0"/>
      <w:marTop w:val="0"/>
      <w:marBottom w:val="0"/>
      <w:divBdr>
        <w:top w:val="none" w:sz="0" w:space="0" w:color="auto"/>
        <w:left w:val="none" w:sz="0" w:space="0" w:color="auto"/>
        <w:bottom w:val="none" w:sz="0" w:space="0" w:color="auto"/>
        <w:right w:val="none" w:sz="0" w:space="0" w:color="auto"/>
      </w:divBdr>
    </w:div>
    <w:div w:id="1362781881">
      <w:bodyDiv w:val="1"/>
      <w:marLeft w:val="0"/>
      <w:marRight w:val="0"/>
      <w:marTop w:val="0"/>
      <w:marBottom w:val="0"/>
      <w:divBdr>
        <w:top w:val="none" w:sz="0" w:space="0" w:color="auto"/>
        <w:left w:val="none" w:sz="0" w:space="0" w:color="auto"/>
        <w:bottom w:val="none" w:sz="0" w:space="0" w:color="auto"/>
        <w:right w:val="none" w:sz="0" w:space="0" w:color="auto"/>
      </w:divBdr>
    </w:div>
    <w:div w:id="1374115071">
      <w:bodyDiv w:val="1"/>
      <w:marLeft w:val="0"/>
      <w:marRight w:val="0"/>
      <w:marTop w:val="0"/>
      <w:marBottom w:val="0"/>
      <w:divBdr>
        <w:top w:val="none" w:sz="0" w:space="0" w:color="auto"/>
        <w:left w:val="none" w:sz="0" w:space="0" w:color="auto"/>
        <w:bottom w:val="none" w:sz="0" w:space="0" w:color="auto"/>
        <w:right w:val="none" w:sz="0" w:space="0" w:color="auto"/>
      </w:divBdr>
    </w:div>
    <w:div w:id="1377965936">
      <w:bodyDiv w:val="1"/>
      <w:marLeft w:val="0"/>
      <w:marRight w:val="0"/>
      <w:marTop w:val="0"/>
      <w:marBottom w:val="0"/>
      <w:divBdr>
        <w:top w:val="none" w:sz="0" w:space="0" w:color="auto"/>
        <w:left w:val="none" w:sz="0" w:space="0" w:color="auto"/>
        <w:bottom w:val="none" w:sz="0" w:space="0" w:color="auto"/>
        <w:right w:val="none" w:sz="0" w:space="0" w:color="auto"/>
      </w:divBdr>
    </w:div>
    <w:div w:id="1379813883">
      <w:bodyDiv w:val="1"/>
      <w:marLeft w:val="0"/>
      <w:marRight w:val="0"/>
      <w:marTop w:val="0"/>
      <w:marBottom w:val="0"/>
      <w:divBdr>
        <w:top w:val="none" w:sz="0" w:space="0" w:color="auto"/>
        <w:left w:val="none" w:sz="0" w:space="0" w:color="auto"/>
        <w:bottom w:val="none" w:sz="0" w:space="0" w:color="auto"/>
        <w:right w:val="none" w:sz="0" w:space="0" w:color="auto"/>
      </w:divBdr>
    </w:div>
    <w:div w:id="1385367950">
      <w:bodyDiv w:val="1"/>
      <w:marLeft w:val="0"/>
      <w:marRight w:val="0"/>
      <w:marTop w:val="0"/>
      <w:marBottom w:val="0"/>
      <w:divBdr>
        <w:top w:val="none" w:sz="0" w:space="0" w:color="auto"/>
        <w:left w:val="none" w:sz="0" w:space="0" w:color="auto"/>
        <w:bottom w:val="none" w:sz="0" w:space="0" w:color="auto"/>
        <w:right w:val="none" w:sz="0" w:space="0" w:color="auto"/>
      </w:divBdr>
    </w:div>
    <w:div w:id="1394625560">
      <w:bodyDiv w:val="1"/>
      <w:marLeft w:val="0"/>
      <w:marRight w:val="0"/>
      <w:marTop w:val="0"/>
      <w:marBottom w:val="0"/>
      <w:divBdr>
        <w:top w:val="none" w:sz="0" w:space="0" w:color="auto"/>
        <w:left w:val="none" w:sz="0" w:space="0" w:color="auto"/>
        <w:bottom w:val="none" w:sz="0" w:space="0" w:color="auto"/>
        <w:right w:val="none" w:sz="0" w:space="0" w:color="auto"/>
      </w:divBdr>
    </w:div>
    <w:div w:id="1396204976">
      <w:bodyDiv w:val="1"/>
      <w:marLeft w:val="0"/>
      <w:marRight w:val="0"/>
      <w:marTop w:val="0"/>
      <w:marBottom w:val="0"/>
      <w:divBdr>
        <w:top w:val="none" w:sz="0" w:space="0" w:color="auto"/>
        <w:left w:val="none" w:sz="0" w:space="0" w:color="auto"/>
        <w:bottom w:val="none" w:sz="0" w:space="0" w:color="auto"/>
        <w:right w:val="none" w:sz="0" w:space="0" w:color="auto"/>
      </w:divBdr>
    </w:div>
    <w:div w:id="1396276078">
      <w:bodyDiv w:val="1"/>
      <w:marLeft w:val="0"/>
      <w:marRight w:val="0"/>
      <w:marTop w:val="0"/>
      <w:marBottom w:val="0"/>
      <w:divBdr>
        <w:top w:val="none" w:sz="0" w:space="0" w:color="auto"/>
        <w:left w:val="none" w:sz="0" w:space="0" w:color="auto"/>
        <w:bottom w:val="none" w:sz="0" w:space="0" w:color="auto"/>
        <w:right w:val="none" w:sz="0" w:space="0" w:color="auto"/>
      </w:divBdr>
    </w:div>
    <w:div w:id="1400521394">
      <w:bodyDiv w:val="1"/>
      <w:marLeft w:val="0"/>
      <w:marRight w:val="0"/>
      <w:marTop w:val="0"/>
      <w:marBottom w:val="0"/>
      <w:divBdr>
        <w:top w:val="none" w:sz="0" w:space="0" w:color="auto"/>
        <w:left w:val="none" w:sz="0" w:space="0" w:color="auto"/>
        <w:bottom w:val="none" w:sz="0" w:space="0" w:color="auto"/>
        <w:right w:val="none" w:sz="0" w:space="0" w:color="auto"/>
      </w:divBdr>
    </w:div>
    <w:div w:id="1403257231">
      <w:bodyDiv w:val="1"/>
      <w:marLeft w:val="0"/>
      <w:marRight w:val="0"/>
      <w:marTop w:val="0"/>
      <w:marBottom w:val="0"/>
      <w:divBdr>
        <w:top w:val="none" w:sz="0" w:space="0" w:color="auto"/>
        <w:left w:val="none" w:sz="0" w:space="0" w:color="auto"/>
        <w:bottom w:val="none" w:sz="0" w:space="0" w:color="auto"/>
        <w:right w:val="none" w:sz="0" w:space="0" w:color="auto"/>
      </w:divBdr>
    </w:div>
    <w:div w:id="1411931078">
      <w:bodyDiv w:val="1"/>
      <w:marLeft w:val="0"/>
      <w:marRight w:val="0"/>
      <w:marTop w:val="0"/>
      <w:marBottom w:val="0"/>
      <w:divBdr>
        <w:top w:val="none" w:sz="0" w:space="0" w:color="auto"/>
        <w:left w:val="none" w:sz="0" w:space="0" w:color="auto"/>
        <w:bottom w:val="none" w:sz="0" w:space="0" w:color="auto"/>
        <w:right w:val="none" w:sz="0" w:space="0" w:color="auto"/>
      </w:divBdr>
    </w:div>
    <w:div w:id="1425690587">
      <w:bodyDiv w:val="1"/>
      <w:marLeft w:val="0"/>
      <w:marRight w:val="0"/>
      <w:marTop w:val="0"/>
      <w:marBottom w:val="0"/>
      <w:divBdr>
        <w:top w:val="none" w:sz="0" w:space="0" w:color="auto"/>
        <w:left w:val="none" w:sz="0" w:space="0" w:color="auto"/>
        <w:bottom w:val="none" w:sz="0" w:space="0" w:color="auto"/>
        <w:right w:val="none" w:sz="0" w:space="0" w:color="auto"/>
      </w:divBdr>
    </w:div>
    <w:div w:id="1431896896">
      <w:bodyDiv w:val="1"/>
      <w:marLeft w:val="0"/>
      <w:marRight w:val="0"/>
      <w:marTop w:val="0"/>
      <w:marBottom w:val="0"/>
      <w:divBdr>
        <w:top w:val="none" w:sz="0" w:space="0" w:color="auto"/>
        <w:left w:val="none" w:sz="0" w:space="0" w:color="auto"/>
        <w:bottom w:val="none" w:sz="0" w:space="0" w:color="auto"/>
        <w:right w:val="none" w:sz="0" w:space="0" w:color="auto"/>
      </w:divBdr>
    </w:div>
    <w:div w:id="1435320806">
      <w:bodyDiv w:val="1"/>
      <w:marLeft w:val="0"/>
      <w:marRight w:val="0"/>
      <w:marTop w:val="0"/>
      <w:marBottom w:val="0"/>
      <w:divBdr>
        <w:top w:val="none" w:sz="0" w:space="0" w:color="auto"/>
        <w:left w:val="none" w:sz="0" w:space="0" w:color="auto"/>
        <w:bottom w:val="none" w:sz="0" w:space="0" w:color="auto"/>
        <w:right w:val="none" w:sz="0" w:space="0" w:color="auto"/>
      </w:divBdr>
    </w:div>
    <w:div w:id="1440296055">
      <w:bodyDiv w:val="1"/>
      <w:marLeft w:val="0"/>
      <w:marRight w:val="0"/>
      <w:marTop w:val="0"/>
      <w:marBottom w:val="0"/>
      <w:divBdr>
        <w:top w:val="none" w:sz="0" w:space="0" w:color="auto"/>
        <w:left w:val="none" w:sz="0" w:space="0" w:color="auto"/>
        <w:bottom w:val="none" w:sz="0" w:space="0" w:color="auto"/>
        <w:right w:val="none" w:sz="0" w:space="0" w:color="auto"/>
      </w:divBdr>
    </w:div>
    <w:div w:id="1443913295">
      <w:bodyDiv w:val="1"/>
      <w:marLeft w:val="0"/>
      <w:marRight w:val="0"/>
      <w:marTop w:val="0"/>
      <w:marBottom w:val="0"/>
      <w:divBdr>
        <w:top w:val="none" w:sz="0" w:space="0" w:color="auto"/>
        <w:left w:val="none" w:sz="0" w:space="0" w:color="auto"/>
        <w:bottom w:val="none" w:sz="0" w:space="0" w:color="auto"/>
        <w:right w:val="none" w:sz="0" w:space="0" w:color="auto"/>
      </w:divBdr>
    </w:div>
    <w:div w:id="1444882043">
      <w:bodyDiv w:val="1"/>
      <w:marLeft w:val="0"/>
      <w:marRight w:val="0"/>
      <w:marTop w:val="0"/>
      <w:marBottom w:val="0"/>
      <w:divBdr>
        <w:top w:val="none" w:sz="0" w:space="0" w:color="auto"/>
        <w:left w:val="none" w:sz="0" w:space="0" w:color="auto"/>
        <w:bottom w:val="none" w:sz="0" w:space="0" w:color="auto"/>
        <w:right w:val="none" w:sz="0" w:space="0" w:color="auto"/>
      </w:divBdr>
    </w:div>
    <w:div w:id="1465808319">
      <w:bodyDiv w:val="1"/>
      <w:marLeft w:val="0"/>
      <w:marRight w:val="0"/>
      <w:marTop w:val="0"/>
      <w:marBottom w:val="0"/>
      <w:divBdr>
        <w:top w:val="none" w:sz="0" w:space="0" w:color="auto"/>
        <w:left w:val="none" w:sz="0" w:space="0" w:color="auto"/>
        <w:bottom w:val="none" w:sz="0" w:space="0" w:color="auto"/>
        <w:right w:val="none" w:sz="0" w:space="0" w:color="auto"/>
      </w:divBdr>
    </w:div>
    <w:div w:id="1471627910">
      <w:bodyDiv w:val="1"/>
      <w:marLeft w:val="0"/>
      <w:marRight w:val="0"/>
      <w:marTop w:val="0"/>
      <w:marBottom w:val="0"/>
      <w:divBdr>
        <w:top w:val="none" w:sz="0" w:space="0" w:color="auto"/>
        <w:left w:val="none" w:sz="0" w:space="0" w:color="auto"/>
        <w:bottom w:val="none" w:sz="0" w:space="0" w:color="auto"/>
        <w:right w:val="none" w:sz="0" w:space="0" w:color="auto"/>
      </w:divBdr>
    </w:div>
    <w:div w:id="1482307550">
      <w:bodyDiv w:val="1"/>
      <w:marLeft w:val="0"/>
      <w:marRight w:val="0"/>
      <w:marTop w:val="0"/>
      <w:marBottom w:val="0"/>
      <w:divBdr>
        <w:top w:val="none" w:sz="0" w:space="0" w:color="auto"/>
        <w:left w:val="none" w:sz="0" w:space="0" w:color="auto"/>
        <w:bottom w:val="none" w:sz="0" w:space="0" w:color="auto"/>
        <w:right w:val="none" w:sz="0" w:space="0" w:color="auto"/>
      </w:divBdr>
    </w:div>
    <w:div w:id="1484199624">
      <w:bodyDiv w:val="1"/>
      <w:marLeft w:val="0"/>
      <w:marRight w:val="0"/>
      <w:marTop w:val="0"/>
      <w:marBottom w:val="0"/>
      <w:divBdr>
        <w:top w:val="none" w:sz="0" w:space="0" w:color="auto"/>
        <w:left w:val="none" w:sz="0" w:space="0" w:color="auto"/>
        <w:bottom w:val="none" w:sz="0" w:space="0" w:color="auto"/>
        <w:right w:val="none" w:sz="0" w:space="0" w:color="auto"/>
      </w:divBdr>
    </w:div>
    <w:div w:id="1496411419">
      <w:bodyDiv w:val="1"/>
      <w:marLeft w:val="0"/>
      <w:marRight w:val="0"/>
      <w:marTop w:val="0"/>
      <w:marBottom w:val="0"/>
      <w:divBdr>
        <w:top w:val="none" w:sz="0" w:space="0" w:color="auto"/>
        <w:left w:val="none" w:sz="0" w:space="0" w:color="auto"/>
        <w:bottom w:val="none" w:sz="0" w:space="0" w:color="auto"/>
        <w:right w:val="none" w:sz="0" w:space="0" w:color="auto"/>
      </w:divBdr>
    </w:div>
    <w:div w:id="1498811294">
      <w:bodyDiv w:val="1"/>
      <w:marLeft w:val="0"/>
      <w:marRight w:val="0"/>
      <w:marTop w:val="0"/>
      <w:marBottom w:val="0"/>
      <w:divBdr>
        <w:top w:val="none" w:sz="0" w:space="0" w:color="auto"/>
        <w:left w:val="none" w:sz="0" w:space="0" w:color="auto"/>
        <w:bottom w:val="none" w:sz="0" w:space="0" w:color="auto"/>
        <w:right w:val="none" w:sz="0" w:space="0" w:color="auto"/>
      </w:divBdr>
    </w:div>
    <w:div w:id="1505972359">
      <w:bodyDiv w:val="1"/>
      <w:marLeft w:val="0"/>
      <w:marRight w:val="0"/>
      <w:marTop w:val="0"/>
      <w:marBottom w:val="0"/>
      <w:divBdr>
        <w:top w:val="none" w:sz="0" w:space="0" w:color="auto"/>
        <w:left w:val="none" w:sz="0" w:space="0" w:color="auto"/>
        <w:bottom w:val="none" w:sz="0" w:space="0" w:color="auto"/>
        <w:right w:val="none" w:sz="0" w:space="0" w:color="auto"/>
      </w:divBdr>
    </w:div>
    <w:div w:id="1509248410">
      <w:bodyDiv w:val="1"/>
      <w:marLeft w:val="0"/>
      <w:marRight w:val="0"/>
      <w:marTop w:val="0"/>
      <w:marBottom w:val="0"/>
      <w:divBdr>
        <w:top w:val="none" w:sz="0" w:space="0" w:color="auto"/>
        <w:left w:val="none" w:sz="0" w:space="0" w:color="auto"/>
        <w:bottom w:val="none" w:sz="0" w:space="0" w:color="auto"/>
        <w:right w:val="none" w:sz="0" w:space="0" w:color="auto"/>
      </w:divBdr>
    </w:div>
    <w:div w:id="1514879462">
      <w:bodyDiv w:val="1"/>
      <w:marLeft w:val="0"/>
      <w:marRight w:val="0"/>
      <w:marTop w:val="0"/>
      <w:marBottom w:val="0"/>
      <w:divBdr>
        <w:top w:val="none" w:sz="0" w:space="0" w:color="auto"/>
        <w:left w:val="none" w:sz="0" w:space="0" w:color="auto"/>
        <w:bottom w:val="none" w:sz="0" w:space="0" w:color="auto"/>
        <w:right w:val="none" w:sz="0" w:space="0" w:color="auto"/>
      </w:divBdr>
    </w:div>
    <w:div w:id="1530296390">
      <w:bodyDiv w:val="1"/>
      <w:marLeft w:val="0"/>
      <w:marRight w:val="0"/>
      <w:marTop w:val="0"/>
      <w:marBottom w:val="0"/>
      <w:divBdr>
        <w:top w:val="none" w:sz="0" w:space="0" w:color="auto"/>
        <w:left w:val="none" w:sz="0" w:space="0" w:color="auto"/>
        <w:bottom w:val="none" w:sz="0" w:space="0" w:color="auto"/>
        <w:right w:val="none" w:sz="0" w:space="0" w:color="auto"/>
      </w:divBdr>
    </w:div>
    <w:div w:id="1534924187">
      <w:bodyDiv w:val="1"/>
      <w:marLeft w:val="0"/>
      <w:marRight w:val="0"/>
      <w:marTop w:val="0"/>
      <w:marBottom w:val="0"/>
      <w:divBdr>
        <w:top w:val="none" w:sz="0" w:space="0" w:color="auto"/>
        <w:left w:val="none" w:sz="0" w:space="0" w:color="auto"/>
        <w:bottom w:val="none" w:sz="0" w:space="0" w:color="auto"/>
        <w:right w:val="none" w:sz="0" w:space="0" w:color="auto"/>
      </w:divBdr>
    </w:div>
    <w:div w:id="1538816159">
      <w:bodyDiv w:val="1"/>
      <w:marLeft w:val="0"/>
      <w:marRight w:val="0"/>
      <w:marTop w:val="0"/>
      <w:marBottom w:val="0"/>
      <w:divBdr>
        <w:top w:val="none" w:sz="0" w:space="0" w:color="auto"/>
        <w:left w:val="none" w:sz="0" w:space="0" w:color="auto"/>
        <w:bottom w:val="none" w:sz="0" w:space="0" w:color="auto"/>
        <w:right w:val="none" w:sz="0" w:space="0" w:color="auto"/>
      </w:divBdr>
    </w:div>
    <w:div w:id="1561403865">
      <w:bodyDiv w:val="1"/>
      <w:marLeft w:val="0"/>
      <w:marRight w:val="0"/>
      <w:marTop w:val="0"/>
      <w:marBottom w:val="0"/>
      <w:divBdr>
        <w:top w:val="none" w:sz="0" w:space="0" w:color="auto"/>
        <w:left w:val="none" w:sz="0" w:space="0" w:color="auto"/>
        <w:bottom w:val="none" w:sz="0" w:space="0" w:color="auto"/>
        <w:right w:val="none" w:sz="0" w:space="0" w:color="auto"/>
      </w:divBdr>
    </w:div>
    <w:div w:id="1569076049">
      <w:bodyDiv w:val="1"/>
      <w:marLeft w:val="0"/>
      <w:marRight w:val="0"/>
      <w:marTop w:val="0"/>
      <w:marBottom w:val="0"/>
      <w:divBdr>
        <w:top w:val="none" w:sz="0" w:space="0" w:color="auto"/>
        <w:left w:val="none" w:sz="0" w:space="0" w:color="auto"/>
        <w:bottom w:val="none" w:sz="0" w:space="0" w:color="auto"/>
        <w:right w:val="none" w:sz="0" w:space="0" w:color="auto"/>
      </w:divBdr>
    </w:div>
    <w:div w:id="1580285513">
      <w:bodyDiv w:val="1"/>
      <w:marLeft w:val="0"/>
      <w:marRight w:val="0"/>
      <w:marTop w:val="0"/>
      <w:marBottom w:val="0"/>
      <w:divBdr>
        <w:top w:val="none" w:sz="0" w:space="0" w:color="auto"/>
        <w:left w:val="none" w:sz="0" w:space="0" w:color="auto"/>
        <w:bottom w:val="none" w:sz="0" w:space="0" w:color="auto"/>
        <w:right w:val="none" w:sz="0" w:space="0" w:color="auto"/>
      </w:divBdr>
    </w:div>
    <w:div w:id="1594774984">
      <w:bodyDiv w:val="1"/>
      <w:marLeft w:val="0"/>
      <w:marRight w:val="0"/>
      <w:marTop w:val="0"/>
      <w:marBottom w:val="0"/>
      <w:divBdr>
        <w:top w:val="none" w:sz="0" w:space="0" w:color="auto"/>
        <w:left w:val="none" w:sz="0" w:space="0" w:color="auto"/>
        <w:bottom w:val="none" w:sz="0" w:space="0" w:color="auto"/>
        <w:right w:val="none" w:sz="0" w:space="0" w:color="auto"/>
      </w:divBdr>
    </w:div>
    <w:div w:id="1607419611">
      <w:bodyDiv w:val="1"/>
      <w:marLeft w:val="0"/>
      <w:marRight w:val="0"/>
      <w:marTop w:val="0"/>
      <w:marBottom w:val="0"/>
      <w:divBdr>
        <w:top w:val="none" w:sz="0" w:space="0" w:color="auto"/>
        <w:left w:val="none" w:sz="0" w:space="0" w:color="auto"/>
        <w:bottom w:val="none" w:sz="0" w:space="0" w:color="auto"/>
        <w:right w:val="none" w:sz="0" w:space="0" w:color="auto"/>
      </w:divBdr>
    </w:div>
    <w:div w:id="1621522738">
      <w:bodyDiv w:val="1"/>
      <w:marLeft w:val="0"/>
      <w:marRight w:val="0"/>
      <w:marTop w:val="0"/>
      <w:marBottom w:val="0"/>
      <w:divBdr>
        <w:top w:val="none" w:sz="0" w:space="0" w:color="auto"/>
        <w:left w:val="none" w:sz="0" w:space="0" w:color="auto"/>
        <w:bottom w:val="none" w:sz="0" w:space="0" w:color="auto"/>
        <w:right w:val="none" w:sz="0" w:space="0" w:color="auto"/>
      </w:divBdr>
    </w:div>
    <w:div w:id="1622150138">
      <w:bodyDiv w:val="1"/>
      <w:marLeft w:val="0"/>
      <w:marRight w:val="0"/>
      <w:marTop w:val="0"/>
      <w:marBottom w:val="0"/>
      <w:divBdr>
        <w:top w:val="none" w:sz="0" w:space="0" w:color="auto"/>
        <w:left w:val="none" w:sz="0" w:space="0" w:color="auto"/>
        <w:bottom w:val="none" w:sz="0" w:space="0" w:color="auto"/>
        <w:right w:val="none" w:sz="0" w:space="0" w:color="auto"/>
      </w:divBdr>
    </w:div>
    <w:div w:id="1627933030">
      <w:bodyDiv w:val="1"/>
      <w:marLeft w:val="0"/>
      <w:marRight w:val="0"/>
      <w:marTop w:val="0"/>
      <w:marBottom w:val="0"/>
      <w:divBdr>
        <w:top w:val="none" w:sz="0" w:space="0" w:color="auto"/>
        <w:left w:val="none" w:sz="0" w:space="0" w:color="auto"/>
        <w:bottom w:val="none" w:sz="0" w:space="0" w:color="auto"/>
        <w:right w:val="none" w:sz="0" w:space="0" w:color="auto"/>
      </w:divBdr>
    </w:div>
    <w:div w:id="1628661018">
      <w:bodyDiv w:val="1"/>
      <w:marLeft w:val="0"/>
      <w:marRight w:val="0"/>
      <w:marTop w:val="0"/>
      <w:marBottom w:val="0"/>
      <w:divBdr>
        <w:top w:val="none" w:sz="0" w:space="0" w:color="auto"/>
        <w:left w:val="none" w:sz="0" w:space="0" w:color="auto"/>
        <w:bottom w:val="none" w:sz="0" w:space="0" w:color="auto"/>
        <w:right w:val="none" w:sz="0" w:space="0" w:color="auto"/>
      </w:divBdr>
    </w:div>
    <w:div w:id="1632856362">
      <w:bodyDiv w:val="1"/>
      <w:marLeft w:val="0"/>
      <w:marRight w:val="0"/>
      <w:marTop w:val="0"/>
      <w:marBottom w:val="0"/>
      <w:divBdr>
        <w:top w:val="none" w:sz="0" w:space="0" w:color="auto"/>
        <w:left w:val="none" w:sz="0" w:space="0" w:color="auto"/>
        <w:bottom w:val="none" w:sz="0" w:space="0" w:color="auto"/>
        <w:right w:val="none" w:sz="0" w:space="0" w:color="auto"/>
      </w:divBdr>
    </w:div>
    <w:div w:id="1638535035">
      <w:bodyDiv w:val="1"/>
      <w:marLeft w:val="0"/>
      <w:marRight w:val="0"/>
      <w:marTop w:val="0"/>
      <w:marBottom w:val="0"/>
      <w:divBdr>
        <w:top w:val="none" w:sz="0" w:space="0" w:color="auto"/>
        <w:left w:val="none" w:sz="0" w:space="0" w:color="auto"/>
        <w:bottom w:val="none" w:sz="0" w:space="0" w:color="auto"/>
        <w:right w:val="none" w:sz="0" w:space="0" w:color="auto"/>
      </w:divBdr>
    </w:div>
    <w:div w:id="1640767025">
      <w:bodyDiv w:val="1"/>
      <w:marLeft w:val="0"/>
      <w:marRight w:val="0"/>
      <w:marTop w:val="0"/>
      <w:marBottom w:val="0"/>
      <w:divBdr>
        <w:top w:val="none" w:sz="0" w:space="0" w:color="auto"/>
        <w:left w:val="none" w:sz="0" w:space="0" w:color="auto"/>
        <w:bottom w:val="none" w:sz="0" w:space="0" w:color="auto"/>
        <w:right w:val="none" w:sz="0" w:space="0" w:color="auto"/>
      </w:divBdr>
    </w:div>
    <w:div w:id="1643655171">
      <w:bodyDiv w:val="1"/>
      <w:marLeft w:val="0"/>
      <w:marRight w:val="0"/>
      <w:marTop w:val="0"/>
      <w:marBottom w:val="0"/>
      <w:divBdr>
        <w:top w:val="none" w:sz="0" w:space="0" w:color="auto"/>
        <w:left w:val="none" w:sz="0" w:space="0" w:color="auto"/>
        <w:bottom w:val="none" w:sz="0" w:space="0" w:color="auto"/>
        <w:right w:val="none" w:sz="0" w:space="0" w:color="auto"/>
      </w:divBdr>
    </w:div>
    <w:div w:id="1646930150">
      <w:bodyDiv w:val="1"/>
      <w:marLeft w:val="0"/>
      <w:marRight w:val="0"/>
      <w:marTop w:val="0"/>
      <w:marBottom w:val="0"/>
      <w:divBdr>
        <w:top w:val="none" w:sz="0" w:space="0" w:color="auto"/>
        <w:left w:val="none" w:sz="0" w:space="0" w:color="auto"/>
        <w:bottom w:val="none" w:sz="0" w:space="0" w:color="auto"/>
        <w:right w:val="none" w:sz="0" w:space="0" w:color="auto"/>
      </w:divBdr>
    </w:div>
    <w:div w:id="1647588192">
      <w:bodyDiv w:val="1"/>
      <w:marLeft w:val="0"/>
      <w:marRight w:val="0"/>
      <w:marTop w:val="0"/>
      <w:marBottom w:val="0"/>
      <w:divBdr>
        <w:top w:val="none" w:sz="0" w:space="0" w:color="auto"/>
        <w:left w:val="none" w:sz="0" w:space="0" w:color="auto"/>
        <w:bottom w:val="none" w:sz="0" w:space="0" w:color="auto"/>
        <w:right w:val="none" w:sz="0" w:space="0" w:color="auto"/>
      </w:divBdr>
    </w:div>
    <w:div w:id="1659653989">
      <w:bodyDiv w:val="1"/>
      <w:marLeft w:val="0"/>
      <w:marRight w:val="0"/>
      <w:marTop w:val="0"/>
      <w:marBottom w:val="0"/>
      <w:divBdr>
        <w:top w:val="none" w:sz="0" w:space="0" w:color="auto"/>
        <w:left w:val="none" w:sz="0" w:space="0" w:color="auto"/>
        <w:bottom w:val="none" w:sz="0" w:space="0" w:color="auto"/>
        <w:right w:val="none" w:sz="0" w:space="0" w:color="auto"/>
      </w:divBdr>
    </w:div>
    <w:div w:id="1660570507">
      <w:bodyDiv w:val="1"/>
      <w:marLeft w:val="0"/>
      <w:marRight w:val="0"/>
      <w:marTop w:val="0"/>
      <w:marBottom w:val="0"/>
      <w:divBdr>
        <w:top w:val="none" w:sz="0" w:space="0" w:color="auto"/>
        <w:left w:val="none" w:sz="0" w:space="0" w:color="auto"/>
        <w:bottom w:val="none" w:sz="0" w:space="0" w:color="auto"/>
        <w:right w:val="none" w:sz="0" w:space="0" w:color="auto"/>
      </w:divBdr>
    </w:div>
    <w:div w:id="1668946239">
      <w:bodyDiv w:val="1"/>
      <w:marLeft w:val="0"/>
      <w:marRight w:val="0"/>
      <w:marTop w:val="0"/>
      <w:marBottom w:val="0"/>
      <w:divBdr>
        <w:top w:val="none" w:sz="0" w:space="0" w:color="auto"/>
        <w:left w:val="none" w:sz="0" w:space="0" w:color="auto"/>
        <w:bottom w:val="none" w:sz="0" w:space="0" w:color="auto"/>
        <w:right w:val="none" w:sz="0" w:space="0" w:color="auto"/>
      </w:divBdr>
    </w:div>
    <w:div w:id="1670908747">
      <w:bodyDiv w:val="1"/>
      <w:marLeft w:val="0"/>
      <w:marRight w:val="0"/>
      <w:marTop w:val="0"/>
      <w:marBottom w:val="0"/>
      <w:divBdr>
        <w:top w:val="none" w:sz="0" w:space="0" w:color="auto"/>
        <w:left w:val="none" w:sz="0" w:space="0" w:color="auto"/>
        <w:bottom w:val="none" w:sz="0" w:space="0" w:color="auto"/>
        <w:right w:val="none" w:sz="0" w:space="0" w:color="auto"/>
      </w:divBdr>
    </w:div>
    <w:div w:id="1677533917">
      <w:bodyDiv w:val="1"/>
      <w:marLeft w:val="0"/>
      <w:marRight w:val="0"/>
      <w:marTop w:val="0"/>
      <w:marBottom w:val="0"/>
      <w:divBdr>
        <w:top w:val="none" w:sz="0" w:space="0" w:color="auto"/>
        <w:left w:val="none" w:sz="0" w:space="0" w:color="auto"/>
        <w:bottom w:val="none" w:sz="0" w:space="0" w:color="auto"/>
        <w:right w:val="none" w:sz="0" w:space="0" w:color="auto"/>
      </w:divBdr>
    </w:div>
    <w:div w:id="1678844973">
      <w:bodyDiv w:val="1"/>
      <w:marLeft w:val="0"/>
      <w:marRight w:val="0"/>
      <w:marTop w:val="0"/>
      <w:marBottom w:val="0"/>
      <w:divBdr>
        <w:top w:val="none" w:sz="0" w:space="0" w:color="auto"/>
        <w:left w:val="none" w:sz="0" w:space="0" w:color="auto"/>
        <w:bottom w:val="none" w:sz="0" w:space="0" w:color="auto"/>
        <w:right w:val="none" w:sz="0" w:space="0" w:color="auto"/>
      </w:divBdr>
    </w:div>
    <w:div w:id="1683243936">
      <w:bodyDiv w:val="1"/>
      <w:marLeft w:val="0"/>
      <w:marRight w:val="0"/>
      <w:marTop w:val="0"/>
      <w:marBottom w:val="0"/>
      <w:divBdr>
        <w:top w:val="none" w:sz="0" w:space="0" w:color="auto"/>
        <w:left w:val="none" w:sz="0" w:space="0" w:color="auto"/>
        <w:bottom w:val="none" w:sz="0" w:space="0" w:color="auto"/>
        <w:right w:val="none" w:sz="0" w:space="0" w:color="auto"/>
      </w:divBdr>
    </w:div>
    <w:div w:id="1686636094">
      <w:bodyDiv w:val="1"/>
      <w:marLeft w:val="0"/>
      <w:marRight w:val="0"/>
      <w:marTop w:val="0"/>
      <w:marBottom w:val="0"/>
      <w:divBdr>
        <w:top w:val="none" w:sz="0" w:space="0" w:color="auto"/>
        <w:left w:val="none" w:sz="0" w:space="0" w:color="auto"/>
        <w:bottom w:val="none" w:sz="0" w:space="0" w:color="auto"/>
        <w:right w:val="none" w:sz="0" w:space="0" w:color="auto"/>
      </w:divBdr>
    </w:div>
    <w:div w:id="1692873417">
      <w:bodyDiv w:val="1"/>
      <w:marLeft w:val="0"/>
      <w:marRight w:val="0"/>
      <w:marTop w:val="0"/>
      <w:marBottom w:val="0"/>
      <w:divBdr>
        <w:top w:val="none" w:sz="0" w:space="0" w:color="auto"/>
        <w:left w:val="none" w:sz="0" w:space="0" w:color="auto"/>
        <w:bottom w:val="none" w:sz="0" w:space="0" w:color="auto"/>
        <w:right w:val="none" w:sz="0" w:space="0" w:color="auto"/>
      </w:divBdr>
    </w:div>
    <w:div w:id="1695770699">
      <w:bodyDiv w:val="1"/>
      <w:marLeft w:val="0"/>
      <w:marRight w:val="0"/>
      <w:marTop w:val="0"/>
      <w:marBottom w:val="0"/>
      <w:divBdr>
        <w:top w:val="none" w:sz="0" w:space="0" w:color="auto"/>
        <w:left w:val="none" w:sz="0" w:space="0" w:color="auto"/>
        <w:bottom w:val="none" w:sz="0" w:space="0" w:color="auto"/>
        <w:right w:val="none" w:sz="0" w:space="0" w:color="auto"/>
      </w:divBdr>
    </w:div>
    <w:div w:id="1701315569">
      <w:bodyDiv w:val="1"/>
      <w:marLeft w:val="0"/>
      <w:marRight w:val="0"/>
      <w:marTop w:val="0"/>
      <w:marBottom w:val="0"/>
      <w:divBdr>
        <w:top w:val="none" w:sz="0" w:space="0" w:color="auto"/>
        <w:left w:val="none" w:sz="0" w:space="0" w:color="auto"/>
        <w:bottom w:val="none" w:sz="0" w:space="0" w:color="auto"/>
        <w:right w:val="none" w:sz="0" w:space="0" w:color="auto"/>
      </w:divBdr>
    </w:div>
    <w:div w:id="1702898295">
      <w:bodyDiv w:val="1"/>
      <w:marLeft w:val="0"/>
      <w:marRight w:val="0"/>
      <w:marTop w:val="0"/>
      <w:marBottom w:val="0"/>
      <w:divBdr>
        <w:top w:val="none" w:sz="0" w:space="0" w:color="auto"/>
        <w:left w:val="none" w:sz="0" w:space="0" w:color="auto"/>
        <w:bottom w:val="none" w:sz="0" w:space="0" w:color="auto"/>
        <w:right w:val="none" w:sz="0" w:space="0" w:color="auto"/>
      </w:divBdr>
    </w:div>
    <w:div w:id="1704211845">
      <w:bodyDiv w:val="1"/>
      <w:marLeft w:val="0"/>
      <w:marRight w:val="0"/>
      <w:marTop w:val="0"/>
      <w:marBottom w:val="0"/>
      <w:divBdr>
        <w:top w:val="none" w:sz="0" w:space="0" w:color="auto"/>
        <w:left w:val="none" w:sz="0" w:space="0" w:color="auto"/>
        <w:bottom w:val="none" w:sz="0" w:space="0" w:color="auto"/>
        <w:right w:val="none" w:sz="0" w:space="0" w:color="auto"/>
      </w:divBdr>
    </w:div>
    <w:div w:id="1707099299">
      <w:bodyDiv w:val="1"/>
      <w:marLeft w:val="0"/>
      <w:marRight w:val="0"/>
      <w:marTop w:val="0"/>
      <w:marBottom w:val="0"/>
      <w:divBdr>
        <w:top w:val="none" w:sz="0" w:space="0" w:color="auto"/>
        <w:left w:val="none" w:sz="0" w:space="0" w:color="auto"/>
        <w:bottom w:val="none" w:sz="0" w:space="0" w:color="auto"/>
        <w:right w:val="none" w:sz="0" w:space="0" w:color="auto"/>
      </w:divBdr>
    </w:div>
    <w:div w:id="1711489631">
      <w:bodyDiv w:val="1"/>
      <w:marLeft w:val="0"/>
      <w:marRight w:val="0"/>
      <w:marTop w:val="0"/>
      <w:marBottom w:val="0"/>
      <w:divBdr>
        <w:top w:val="none" w:sz="0" w:space="0" w:color="auto"/>
        <w:left w:val="none" w:sz="0" w:space="0" w:color="auto"/>
        <w:bottom w:val="none" w:sz="0" w:space="0" w:color="auto"/>
        <w:right w:val="none" w:sz="0" w:space="0" w:color="auto"/>
      </w:divBdr>
    </w:div>
    <w:div w:id="1714116479">
      <w:bodyDiv w:val="1"/>
      <w:marLeft w:val="0"/>
      <w:marRight w:val="0"/>
      <w:marTop w:val="0"/>
      <w:marBottom w:val="0"/>
      <w:divBdr>
        <w:top w:val="none" w:sz="0" w:space="0" w:color="auto"/>
        <w:left w:val="none" w:sz="0" w:space="0" w:color="auto"/>
        <w:bottom w:val="none" w:sz="0" w:space="0" w:color="auto"/>
        <w:right w:val="none" w:sz="0" w:space="0" w:color="auto"/>
      </w:divBdr>
    </w:div>
    <w:div w:id="1717585834">
      <w:bodyDiv w:val="1"/>
      <w:marLeft w:val="0"/>
      <w:marRight w:val="0"/>
      <w:marTop w:val="0"/>
      <w:marBottom w:val="0"/>
      <w:divBdr>
        <w:top w:val="none" w:sz="0" w:space="0" w:color="auto"/>
        <w:left w:val="none" w:sz="0" w:space="0" w:color="auto"/>
        <w:bottom w:val="none" w:sz="0" w:space="0" w:color="auto"/>
        <w:right w:val="none" w:sz="0" w:space="0" w:color="auto"/>
      </w:divBdr>
    </w:div>
    <w:div w:id="1719429261">
      <w:bodyDiv w:val="1"/>
      <w:marLeft w:val="0"/>
      <w:marRight w:val="0"/>
      <w:marTop w:val="0"/>
      <w:marBottom w:val="0"/>
      <w:divBdr>
        <w:top w:val="none" w:sz="0" w:space="0" w:color="auto"/>
        <w:left w:val="none" w:sz="0" w:space="0" w:color="auto"/>
        <w:bottom w:val="none" w:sz="0" w:space="0" w:color="auto"/>
        <w:right w:val="none" w:sz="0" w:space="0" w:color="auto"/>
      </w:divBdr>
    </w:div>
    <w:div w:id="1726760143">
      <w:bodyDiv w:val="1"/>
      <w:marLeft w:val="0"/>
      <w:marRight w:val="0"/>
      <w:marTop w:val="0"/>
      <w:marBottom w:val="0"/>
      <w:divBdr>
        <w:top w:val="none" w:sz="0" w:space="0" w:color="auto"/>
        <w:left w:val="none" w:sz="0" w:space="0" w:color="auto"/>
        <w:bottom w:val="none" w:sz="0" w:space="0" w:color="auto"/>
        <w:right w:val="none" w:sz="0" w:space="0" w:color="auto"/>
      </w:divBdr>
    </w:div>
    <w:div w:id="1726829620">
      <w:bodyDiv w:val="1"/>
      <w:marLeft w:val="0"/>
      <w:marRight w:val="0"/>
      <w:marTop w:val="0"/>
      <w:marBottom w:val="0"/>
      <w:divBdr>
        <w:top w:val="none" w:sz="0" w:space="0" w:color="auto"/>
        <w:left w:val="none" w:sz="0" w:space="0" w:color="auto"/>
        <w:bottom w:val="none" w:sz="0" w:space="0" w:color="auto"/>
        <w:right w:val="none" w:sz="0" w:space="0" w:color="auto"/>
      </w:divBdr>
    </w:div>
    <w:div w:id="1727340896">
      <w:bodyDiv w:val="1"/>
      <w:marLeft w:val="0"/>
      <w:marRight w:val="0"/>
      <w:marTop w:val="0"/>
      <w:marBottom w:val="0"/>
      <w:divBdr>
        <w:top w:val="none" w:sz="0" w:space="0" w:color="auto"/>
        <w:left w:val="none" w:sz="0" w:space="0" w:color="auto"/>
        <w:bottom w:val="none" w:sz="0" w:space="0" w:color="auto"/>
        <w:right w:val="none" w:sz="0" w:space="0" w:color="auto"/>
      </w:divBdr>
    </w:div>
    <w:div w:id="1736197040">
      <w:bodyDiv w:val="1"/>
      <w:marLeft w:val="0"/>
      <w:marRight w:val="0"/>
      <w:marTop w:val="0"/>
      <w:marBottom w:val="0"/>
      <w:divBdr>
        <w:top w:val="none" w:sz="0" w:space="0" w:color="auto"/>
        <w:left w:val="none" w:sz="0" w:space="0" w:color="auto"/>
        <w:bottom w:val="none" w:sz="0" w:space="0" w:color="auto"/>
        <w:right w:val="none" w:sz="0" w:space="0" w:color="auto"/>
      </w:divBdr>
    </w:div>
    <w:div w:id="1736852780">
      <w:bodyDiv w:val="1"/>
      <w:marLeft w:val="0"/>
      <w:marRight w:val="0"/>
      <w:marTop w:val="0"/>
      <w:marBottom w:val="0"/>
      <w:divBdr>
        <w:top w:val="none" w:sz="0" w:space="0" w:color="auto"/>
        <w:left w:val="none" w:sz="0" w:space="0" w:color="auto"/>
        <w:bottom w:val="none" w:sz="0" w:space="0" w:color="auto"/>
        <w:right w:val="none" w:sz="0" w:space="0" w:color="auto"/>
      </w:divBdr>
    </w:div>
    <w:div w:id="1738702619">
      <w:bodyDiv w:val="1"/>
      <w:marLeft w:val="0"/>
      <w:marRight w:val="0"/>
      <w:marTop w:val="0"/>
      <w:marBottom w:val="0"/>
      <w:divBdr>
        <w:top w:val="none" w:sz="0" w:space="0" w:color="auto"/>
        <w:left w:val="none" w:sz="0" w:space="0" w:color="auto"/>
        <w:bottom w:val="none" w:sz="0" w:space="0" w:color="auto"/>
        <w:right w:val="none" w:sz="0" w:space="0" w:color="auto"/>
      </w:divBdr>
    </w:div>
    <w:div w:id="1738746467">
      <w:bodyDiv w:val="1"/>
      <w:marLeft w:val="0"/>
      <w:marRight w:val="0"/>
      <w:marTop w:val="0"/>
      <w:marBottom w:val="0"/>
      <w:divBdr>
        <w:top w:val="none" w:sz="0" w:space="0" w:color="auto"/>
        <w:left w:val="none" w:sz="0" w:space="0" w:color="auto"/>
        <w:bottom w:val="none" w:sz="0" w:space="0" w:color="auto"/>
        <w:right w:val="none" w:sz="0" w:space="0" w:color="auto"/>
      </w:divBdr>
    </w:div>
    <w:div w:id="1741781193">
      <w:bodyDiv w:val="1"/>
      <w:marLeft w:val="0"/>
      <w:marRight w:val="0"/>
      <w:marTop w:val="0"/>
      <w:marBottom w:val="0"/>
      <w:divBdr>
        <w:top w:val="none" w:sz="0" w:space="0" w:color="auto"/>
        <w:left w:val="none" w:sz="0" w:space="0" w:color="auto"/>
        <w:bottom w:val="none" w:sz="0" w:space="0" w:color="auto"/>
        <w:right w:val="none" w:sz="0" w:space="0" w:color="auto"/>
      </w:divBdr>
    </w:div>
    <w:div w:id="1743913558">
      <w:bodyDiv w:val="1"/>
      <w:marLeft w:val="0"/>
      <w:marRight w:val="0"/>
      <w:marTop w:val="0"/>
      <w:marBottom w:val="0"/>
      <w:divBdr>
        <w:top w:val="none" w:sz="0" w:space="0" w:color="auto"/>
        <w:left w:val="none" w:sz="0" w:space="0" w:color="auto"/>
        <w:bottom w:val="none" w:sz="0" w:space="0" w:color="auto"/>
        <w:right w:val="none" w:sz="0" w:space="0" w:color="auto"/>
      </w:divBdr>
    </w:div>
    <w:div w:id="1745293470">
      <w:bodyDiv w:val="1"/>
      <w:marLeft w:val="0"/>
      <w:marRight w:val="0"/>
      <w:marTop w:val="0"/>
      <w:marBottom w:val="0"/>
      <w:divBdr>
        <w:top w:val="none" w:sz="0" w:space="0" w:color="auto"/>
        <w:left w:val="none" w:sz="0" w:space="0" w:color="auto"/>
        <w:bottom w:val="none" w:sz="0" w:space="0" w:color="auto"/>
        <w:right w:val="none" w:sz="0" w:space="0" w:color="auto"/>
      </w:divBdr>
    </w:div>
    <w:div w:id="1745952090">
      <w:bodyDiv w:val="1"/>
      <w:marLeft w:val="0"/>
      <w:marRight w:val="0"/>
      <w:marTop w:val="0"/>
      <w:marBottom w:val="0"/>
      <w:divBdr>
        <w:top w:val="none" w:sz="0" w:space="0" w:color="auto"/>
        <w:left w:val="none" w:sz="0" w:space="0" w:color="auto"/>
        <w:bottom w:val="none" w:sz="0" w:space="0" w:color="auto"/>
        <w:right w:val="none" w:sz="0" w:space="0" w:color="auto"/>
      </w:divBdr>
    </w:div>
    <w:div w:id="1746957037">
      <w:bodyDiv w:val="1"/>
      <w:marLeft w:val="0"/>
      <w:marRight w:val="0"/>
      <w:marTop w:val="0"/>
      <w:marBottom w:val="0"/>
      <w:divBdr>
        <w:top w:val="none" w:sz="0" w:space="0" w:color="auto"/>
        <w:left w:val="none" w:sz="0" w:space="0" w:color="auto"/>
        <w:bottom w:val="none" w:sz="0" w:space="0" w:color="auto"/>
        <w:right w:val="none" w:sz="0" w:space="0" w:color="auto"/>
      </w:divBdr>
    </w:div>
    <w:div w:id="1750538013">
      <w:bodyDiv w:val="1"/>
      <w:marLeft w:val="0"/>
      <w:marRight w:val="0"/>
      <w:marTop w:val="0"/>
      <w:marBottom w:val="0"/>
      <w:divBdr>
        <w:top w:val="none" w:sz="0" w:space="0" w:color="auto"/>
        <w:left w:val="none" w:sz="0" w:space="0" w:color="auto"/>
        <w:bottom w:val="none" w:sz="0" w:space="0" w:color="auto"/>
        <w:right w:val="none" w:sz="0" w:space="0" w:color="auto"/>
      </w:divBdr>
    </w:div>
    <w:div w:id="1758480962">
      <w:bodyDiv w:val="1"/>
      <w:marLeft w:val="0"/>
      <w:marRight w:val="0"/>
      <w:marTop w:val="0"/>
      <w:marBottom w:val="0"/>
      <w:divBdr>
        <w:top w:val="none" w:sz="0" w:space="0" w:color="auto"/>
        <w:left w:val="none" w:sz="0" w:space="0" w:color="auto"/>
        <w:bottom w:val="none" w:sz="0" w:space="0" w:color="auto"/>
        <w:right w:val="none" w:sz="0" w:space="0" w:color="auto"/>
      </w:divBdr>
    </w:div>
    <w:div w:id="1761217598">
      <w:bodyDiv w:val="1"/>
      <w:marLeft w:val="0"/>
      <w:marRight w:val="0"/>
      <w:marTop w:val="0"/>
      <w:marBottom w:val="0"/>
      <w:divBdr>
        <w:top w:val="none" w:sz="0" w:space="0" w:color="auto"/>
        <w:left w:val="none" w:sz="0" w:space="0" w:color="auto"/>
        <w:bottom w:val="none" w:sz="0" w:space="0" w:color="auto"/>
        <w:right w:val="none" w:sz="0" w:space="0" w:color="auto"/>
      </w:divBdr>
    </w:div>
    <w:div w:id="1767114973">
      <w:bodyDiv w:val="1"/>
      <w:marLeft w:val="0"/>
      <w:marRight w:val="0"/>
      <w:marTop w:val="0"/>
      <w:marBottom w:val="0"/>
      <w:divBdr>
        <w:top w:val="none" w:sz="0" w:space="0" w:color="auto"/>
        <w:left w:val="none" w:sz="0" w:space="0" w:color="auto"/>
        <w:bottom w:val="none" w:sz="0" w:space="0" w:color="auto"/>
        <w:right w:val="none" w:sz="0" w:space="0" w:color="auto"/>
      </w:divBdr>
    </w:div>
    <w:div w:id="1780225230">
      <w:bodyDiv w:val="1"/>
      <w:marLeft w:val="0"/>
      <w:marRight w:val="0"/>
      <w:marTop w:val="0"/>
      <w:marBottom w:val="0"/>
      <w:divBdr>
        <w:top w:val="none" w:sz="0" w:space="0" w:color="auto"/>
        <w:left w:val="none" w:sz="0" w:space="0" w:color="auto"/>
        <w:bottom w:val="none" w:sz="0" w:space="0" w:color="auto"/>
        <w:right w:val="none" w:sz="0" w:space="0" w:color="auto"/>
      </w:divBdr>
    </w:div>
    <w:div w:id="1794011415">
      <w:bodyDiv w:val="1"/>
      <w:marLeft w:val="0"/>
      <w:marRight w:val="0"/>
      <w:marTop w:val="0"/>
      <w:marBottom w:val="0"/>
      <w:divBdr>
        <w:top w:val="none" w:sz="0" w:space="0" w:color="auto"/>
        <w:left w:val="none" w:sz="0" w:space="0" w:color="auto"/>
        <w:bottom w:val="none" w:sz="0" w:space="0" w:color="auto"/>
        <w:right w:val="none" w:sz="0" w:space="0" w:color="auto"/>
      </w:divBdr>
    </w:div>
    <w:div w:id="1812868347">
      <w:bodyDiv w:val="1"/>
      <w:marLeft w:val="0"/>
      <w:marRight w:val="0"/>
      <w:marTop w:val="0"/>
      <w:marBottom w:val="0"/>
      <w:divBdr>
        <w:top w:val="none" w:sz="0" w:space="0" w:color="auto"/>
        <w:left w:val="none" w:sz="0" w:space="0" w:color="auto"/>
        <w:bottom w:val="none" w:sz="0" w:space="0" w:color="auto"/>
        <w:right w:val="none" w:sz="0" w:space="0" w:color="auto"/>
      </w:divBdr>
    </w:div>
    <w:div w:id="1816410576">
      <w:bodyDiv w:val="1"/>
      <w:marLeft w:val="0"/>
      <w:marRight w:val="0"/>
      <w:marTop w:val="0"/>
      <w:marBottom w:val="0"/>
      <w:divBdr>
        <w:top w:val="none" w:sz="0" w:space="0" w:color="auto"/>
        <w:left w:val="none" w:sz="0" w:space="0" w:color="auto"/>
        <w:bottom w:val="none" w:sz="0" w:space="0" w:color="auto"/>
        <w:right w:val="none" w:sz="0" w:space="0" w:color="auto"/>
      </w:divBdr>
    </w:div>
    <w:div w:id="1817411001">
      <w:bodyDiv w:val="1"/>
      <w:marLeft w:val="0"/>
      <w:marRight w:val="0"/>
      <w:marTop w:val="0"/>
      <w:marBottom w:val="0"/>
      <w:divBdr>
        <w:top w:val="none" w:sz="0" w:space="0" w:color="auto"/>
        <w:left w:val="none" w:sz="0" w:space="0" w:color="auto"/>
        <w:bottom w:val="none" w:sz="0" w:space="0" w:color="auto"/>
        <w:right w:val="none" w:sz="0" w:space="0" w:color="auto"/>
      </w:divBdr>
    </w:div>
    <w:div w:id="1818061592">
      <w:bodyDiv w:val="1"/>
      <w:marLeft w:val="0"/>
      <w:marRight w:val="0"/>
      <w:marTop w:val="0"/>
      <w:marBottom w:val="0"/>
      <w:divBdr>
        <w:top w:val="none" w:sz="0" w:space="0" w:color="auto"/>
        <w:left w:val="none" w:sz="0" w:space="0" w:color="auto"/>
        <w:bottom w:val="none" w:sz="0" w:space="0" w:color="auto"/>
        <w:right w:val="none" w:sz="0" w:space="0" w:color="auto"/>
      </w:divBdr>
    </w:div>
    <w:div w:id="1820415952">
      <w:bodyDiv w:val="1"/>
      <w:marLeft w:val="0"/>
      <w:marRight w:val="0"/>
      <w:marTop w:val="0"/>
      <w:marBottom w:val="0"/>
      <w:divBdr>
        <w:top w:val="none" w:sz="0" w:space="0" w:color="auto"/>
        <w:left w:val="none" w:sz="0" w:space="0" w:color="auto"/>
        <w:bottom w:val="none" w:sz="0" w:space="0" w:color="auto"/>
        <w:right w:val="none" w:sz="0" w:space="0" w:color="auto"/>
      </w:divBdr>
    </w:div>
    <w:div w:id="1827746587">
      <w:bodyDiv w:val="1"/>
      <w:marLeft w:val="0"/>
      <w:marRight w:val="0"/>
      <w:marTop w:val="0"/>
      <w:marBottom w:val="0"/>
      <w:divBdr>
        <w:top w:val="none" w:sz="0" w:space="0" w:color="auto"/>
        <w:left w:val="none" w:sz="0" w:space="0" w:color="auto"/>
        <w:bottom w:val="none" w:sz="0" w:space="0" w:color="auto"/>
        <w:right w:val="none" w:sz="0" w:space="0" w:color="auto"/>
      </w:divBdr>
    </w:div>
    <w:div w:id="1830629498">
      <w:bodyDiv w:val="1"/>
      <w:marLeft w:val="0"/>
      <w:marRight w:val="0"/>
      <w:marTop w:val="0"/>
      <w:marBottom w:val="0"/>
      <w:divBdr>
        <w:top w:val="none" w:sz="0" w:space="0" w:color="auto"/>
        <w:left w:val="none" w:sz="0" w:space="0" w:color="auto"/>
        <w:bottom w:val="none" w:sz="0" w:space="0" w:color="auto"/>
        <w:right w:val="none" w:sz="0" w:space="0" w:color="auto"/>
      </w:divBdr>
    </w:div>
    <w:div w:id="1832941630">
      <w:bodyDiv w:val="1"/>
      <w:marLeft w:val="0"/>
      <w:marRight w:val="0"/>
      <w:marTop w:val="0"/>
      <w:marBottom w:val="0"/>
      <w:divBdr>
        <w:top w:val="none" w:sz="0" w:space="0" w:color="auto"/>
        <w:left w:val="none" w:sz="0" w:space="0" w:color="auto"/>
        <w:bottom w:val="none" w:sz="0" w:space="0" w:color="auto"/>
        <w:right w:val="none" w:sz="0" w:space="0" w:color="auto"/>
      </w:divBdr>
    </w:div>
    <w:div w:id="1833251677">
      <w:bodyDiv w:val="1"/>
      <w:marLeft w:val="0"/>
      <w:marRight w:val="0"/>
      <w:marTop w:val="0"/>
      <w:marBottom w:val="0"/>
      <w:divBdr>
        <w:top w:val="none" w:sz="0" w:space="0" w:color="auto"/>
        <w:left w:val="none" w:sz="0" w:space="0" w:color="auto"/>
        <w:bottom w:val="none" w:sz="0" w:space="0" w:color="auto"/>
        <w:right w:val="none" w:sz="0" w:space="0" w:color="auto"/>
      </w:divBdr>
    </w:div>
    <w:div w:id="1834222126">
      <w:bodyDiv w:val="1"/>
      <w:marLeft w:val="0"/>
      <w:marRight w:val="0"/>
      <w:marTop w:val="0"/>
      <w:marBottom w:val="0"/>
      <w:divBdr>
        <w:top w:val="none" w:sz="0" w:space="0" w:color="auto"/>
        <w:left w:val="none" w:sz="0" w:space="0" w:color="auto"/>
        <w:bottom w:val="none" w:sz="0" w:space="0" w:color="auto"/>
        <w:right w:val="none" w:sz="0" w:space="0" w:color="auto"/>
      </w:divBdr>
    </w:div>
    <w:div w:id="1835997024">
      <w:bodyDiv w:val="1"/>
      <w:marLeft w:val="0"/>
      <w:marRight w:val="0"/>
      <w:marTop w:val="0"/>
      <w:marBottom w:val="0"/>
      <w:divBdr>
        <w:top w:val="none" w:sz="0" w:space="0" w:color="auto"/>
        <w:left w:val="none" w:sz="0" w:space="0" w:color="auto"/>
        <w:bottom w:val="none" w:sz="0" w:space="0" w:color="auto"/>
        <w:right w:val="none" w:sz="0" w:space="0" w:color="auto"/>
      </w:divBdr>
    </w:div>
    <w:div w:id="1836804201">
      <w:bodyDiv w:val="1"/>
      <w:marLeft w:val="0"/>
      <w:marRight w:val="0"/>
      <w:marTop w:val="0"/>
      <w:marBottom w:val="0"/>
      <w:divBdr>
        <w:top w:val="none" w:sz="0" w:space="0" w:color="auto"/>
        <w:left w:val="none" w:sz="0" w:space="0" w:color="auto"/>
        <w:bottom w:val="none" w:sz="0" w:space="0" w:color="auto"/>
        <w:right w:val="none" w:sz="0" w:space="0" w:color="auto"/>
      </w:divBdr>
    </w:div>
    <w:div w:id="1845784874">
      <w:bodyDiv w:val="1"/>
      <w:marLeft w:val="0"/>
      <w:marRight w:val="0"/>
      <w:marTop w:val="0"/>
      <w:marBottom w:val="0"/>
      <w:divBdr>
        <w:top w:val="none" w:sz="0" w:space="0" w:color="auto"/>
        <w:left w:val="none" w:sz="0" w:space="0" w:color="auto"/>
        <w:bottom w:val="none" w:sz="0" w:space="0" w:color="auto"/>
        <w:right w:val="none" w:sz="0" w:space="0" w:color="auto"/>
      </w:divBdr>
    </w:div>
    <w:div w:id="1850825854">
      <w:bodyDiv w:val="1"/>
      <w:marLeft w:val="0"/>
      <w:marRight w:val="0"/>
      <w:marTop w:val="0"/>
      <w:marBottom w:val="0"/>
      <w:divBdr>
        <w:top w:val="none" w:sz="0" w:space="0" w:color="auto"/>
        <w:left w:val="none" w:sz="0" w:space="0" w:color="auto"/>
        <w:bottom w:val="none" w:sz="0" w:space="0" w:color="auto"/>
        <w:right w:val="none" w:sz="0" w:space="0" w:color="auto"/>
      </w:divBdr>
    </w:div>
    <w:div w:id="1851605787">
      <w:bodyDiv w:val="1"/>
      <w:marLeft w:val="0"/>
      <w:marRight w:val="0"/>
      <w:marTop w:val="0"/>
      <w:marBottom w:val="0"/>
      <w:divBdr>
        <w:top w:val="none" w:sz="0" w:space="0" w:color="auto"/>
        <w:left w:val="none" w:sz="0" w:space="0" w:color="auto"/>
        <w:bottom w:val="none" w:sz="0" w:space="0" w:color="auto"/>
        <w:right w:val="none" w:sz="0" w:space="0" w:color="auto"/>
      </w:divBdr>
    </w:div>
    <w:div w:id="1854028621">
      <w:bodyDiv w:val="1"/>
      <w:marLeft w:val="0"/>
      <w:marRight w:val="0"/>
      <w:marTop w:val="0"/>
      <w:marBottom w:val="0"/>
      <w:divBdr>
        <w:top w:val="none" w:sz="0" w:space="0" w:color="auto"/>
        <w:left w:val="none" w:sz="0" w:space="0" w:color="auto"/>
        <w:bottom w:val="none" w:sz="0" w:space="0" w:color="auto"/>
        <w:right w:val="none" w:sz="0" w:space="0" w:color="auto"/>
      </w:divBdr>
    </w:div>
    <w:div w:id="1855723405">
      <w:bodyDiv w:val="1"/>
      <w:marLeft w:val="0"/>
      <w:marRight w:val="0"/>
      <w:marTop w:val="0"/>
      <w:marBottom w:val="0"/>
      <w:divBdr>
        <w:top w:val="none" w:sz="0" w:space="0" w:color="auto"/>
        <w:left w:val="none" w:sz="0" w:space="0" w:color="auto"/>
        <w:bottom w:val="none" w:sz="0" w:space="0" w:color="auto"/>
        <w:right w:val="none" w:sz="0" w:space="0" w:color="auto"/>
      </w:divBdr>
    </w:div>
    <w:div w:id="1855993951">
      <w:bodyDiv w:val="1"/>
      <w:marLeft w:val="0"/>
      <w:marRight w:val="0"/>
      <w:marTop w:val="0"/>
      <w:marBottom w:val="0"/>
      <w:divBdr>
        <w:top w:val="none" w:sz="0" w:space="0" w:color="auto"/>
        <w:left w:val="none" w:sz="0" w:space="0" w:color="auto"/>
        <w:bottom w:val="none" w:sz="0" w:space="0" w:color="auto"/>
        <w:right w:val="none" w:sz="0" w:space="0" w:color="auto"/>
      </w:divBdr>
    </w:div>
    <w:div w:id="1860048466">
      <w:bodyDiv w:val="1"/>
      <w:marLeft w:val="0"/>
      <w:marRight w:val="0"/>
      <w:marTop w:val="0"/>
      <w:marBottom w:val="0"/>
      <w:divBdr>
        <w:top w:val="none" w:sz="0" w:space="0" w:color="auto"/>
        <w:left w:val="none" w:sz="0" w:space="0" w:color="auto"/>
        <w:bottom w:val="none" w:sz="0" w:space="0" w:color="auto"/>
        <w:right w:val="none" w:sz="0" w:space="0" w:color="auto"/>
      </w:divBdr>
    </w:div>
    <w:div w:id="1862622887">
      <w:bodyDiv w:val="1"/>
      <w:marLeft w:val="0"/>
      <w:marRight w:val="0"/>
      <w:marTop w:val="0"/>
      <w:marBottom w:val="0"/>
      <w:divBdr>
        <w:top w:val="none" w:sz="0" w:space="0" w:color="auto"/>
        <w:left w:val="none" w:sz="0" w:space="0" w:color="auto"/>
        <w:bottom w:val="none" w:sz="0" w:space="0" w:color="auto"/>
        <w:right w:val="none" w:sz="0" w:space="0" w:color="auto"/>
      </w:divBdr>
    </w:div>
    <w:div w:id="1864854473">
      <w:bodyDiv w:val="1"/>
      <w:marLeft w:val="0"/>
      <w:marRight w:val="0"/>
      <w:marTop w:val="0"/>
      <w:marBottom w:val="0"/>
      <w:divBdr>
        <w:top w:val="none" w:sz="0" w:space="0" w:color="auto"/>
        <w:left w:val="none" w:sz="0" w:space="0" w:color="auto"/>
        <w:bottom w:val="none" w:sz="0" w:space="0" w:color="auto"/>
        <w:right w:val="none" w:sz="0" w:space="0" w:color="auto"/>
      </w:divBdr>
    </w:div>
    <w:div w:id="1878470818">
      <w:bodyDiv w:val="1"/>
      <w:marLeft w:val="0"/>
      <w:marRight w:val="0"/>
      <w:marTop w:val="0"/>
      <w:marBottom w:val="0"/>
      <w:divBdr>
        <w:top w:val="none" w:sz="0" w:space="0" w:color="auto"/>
        <w:left w:val="none" w:sz="0" w:space="0" w:color="auto"/>
        <w:bottom w:val="none" w:sz="0" w:space="0" w:color="auto"/>
        <w:right w:val="none" w:sz="0" w:space="0" w:color="auto"/>
      </w:divBdr>
    </w:div>
    <w:div w:id="1887793946">
      <w:bodyDiv w:val="1"/>
      <w:marLeft w:val="0"/>
      <w:marRight w:val="0"/>
      <w:marTop w:val="0"/>
      <w:marBottom w:val="0"/>
      <w:divBdr>
        <w:top w:val="none" w:sz="0" w:space="0" w:color="auto"/>
        <w:left w:val="none" w:sz="0" w:space="0" w:color="auto"/>
        <w:bottom w:val="none" w:sz="0" w:space="0" w:color="auto"/>
        <w:right w:val="none" w:sz="0" w:space="0" w:color="auto"/>
      </w:divBdr>
    </w:div>
    <w:div w:id="1892766637">
      <w:bodyDiv w:val="1"/>
      <w:marLeft w:val="0"/>
      <w:marRight w:val="0"/>
      <w:marTop w:val="0"/>
      <w:marBottom w:val="0"/>
      <w:divBdr>
        <w:top w:val="none" w:sz="0" w:space="0" w:color="auto"/>
        <w:left w:val="none" w:sz="0" w:space="0" w:color="auto"/>
        <w:bottom w:val="none" w:sz="0" w:space="0" w:color="auto"/>
        <w:right w:val="none" w:sz="0" w:space="0" w:color="auto"/>
      </w:divBdr>
    </w:div>
    <w:div w:id="1896819665">
      <w:bodyDiv w:val="1"/>
      <w:marLeft w:val="0"/>
      <w:marRight w:val="0"/>
      <w:marTop w:val="0"/>
      <w:marBottom w:val="0"/>
      <w:divBdr>
        <w:top w:val="none" w:sz="0" w:space="0" w:color="auto"/>
        <w:left w:val="none" w:sz="0" w:space="0" w:color="auto"/>
        <w:bottom w:val="none" w:sz="0" w:space="0" w:color="auto"/>
        <w:right w:val="none" w:sz="0" w:space="0" w:color="auto"/>
      </w:divBdr>
    </w:div>
    <w:div w:id="1900239455">
      <w:bodyDiv w:val="1"/>
      <w:marLeft w:val="0"/>
      <w:marRight w:val="0"/>
      <w:marTop w:val="0"/>
      <w:marBottom w:val="0"/>
      <w:divBdr>
        <w:top w:val="none" w:sz="0" w:space="0" w:color="auto"/>
        <w:left w:val="none" w:sz="0" w:space="0" w:color="auto"/>
        <w:bottom w:val="none" w:sz="0" w:space="0" w:color="auto"/>
        <w:right w:val="none" w:sz="0" w:space="0" w:color="auto"/>
      </w:divBdr>
    </w:div>
    <w:div w:id="1900743984">
      <w:bodyDiv w:val="1"/>
      <w:marLeft w:val="0"/>
      <w:marRight w:val="0"/>
      <w:marTop w:val="0"/>
      <w:marBottom w:val="0"/>
      <w:divBdr>
        <w:top w:val="none" w:sz="0" w:space="0" w:color="auto"/>
        <w:left w:val="none" w:sz="0" w:space="0" w:color="auto"/>
        <w:bottom w:val="none" w:sz="0" w:space="0" w:color="auto"/>
        <w:right w:val="none" w:sz="0" w:space="0" w:color="auto"/>
      </w:divBdr>
    </w:div>
    <w:div w:id="1902057939">
      <w:bodyDiv w:val="1"/>
      <w:marLeft w:val="0"/>
      <w:marRight w:val="0"/>
      <w:marTop w:val="0"/>
      <w:marBottom w:val="0"/>
      <w:divBdr>
        <w:top w:val="none" w:sz="0" w:space="0" w:color="auto"/>
        <w:left w:val="none" w:sz="0" w:space="0" w:color="auto"/>
        <w:bottom w:val="none" w:sz="0" w:space="0" w:color="auto"/>
        <w:right w:val="none" w:sz="0" w:space="0" w:color="auto"/>
      </w:divBdr>
    </w:div>
    <w:div w:id="1902860553">
      <w:bodyDiv w:val="1"/>
      <w:marLeft w:val="0"/>
      <w:marRight w:val="0"/>
      <w:marTop w:val="0"/>
      <w:marBottom w:val="0"/>
      <w:divBdr>
        <w:top w:val="none" w:sz="0" w:space="0" w:color="auto"/>
        <w:left w:val="none" w:sz="0" w:space="0" w:color="auto"/>
        <w:bottom w:val="none" w:sz="0" w:space="0" w:color="auto"/>
        <w:right w:val="none" w:sz="0" w:space="0" w:color="auto"/>
      </w:divBdr>
    </w:div>
    <w:div w:id="1902978779">
      <w:bodyDiv w:val="1"/>
      <w:marLeft w:val="0"/>
      <w:marRight w:val="0"/>
      <w:marTop w:val="0"/>
      <w:marBottom w:val="0"/>
      <w:divBdr>
        <w:top w:val="none" w:sz="0" w:space="0" w:color="auto"/>
        <w:left w:val="none" w:sz="0" w:space="0" w:color="auto"/>
        <w:bottom w:val="none" w:sz="0" w:space="0" w:color="auto"/>
        <w:right w:val="none" w:sz="0" w:space="0" w:color="auto"/>
      </w:divBdr>
    </w:div>
    <w:div w:id="1904680784">
      <w:bodyDiv w:val="1"/>
      <w:marLeft w:val="0"/>
      <w:marRight w:val="0"/>
      <w:marTop w:val="0"/>
      <w:marBottom w:val="0"/>
      <w:divBdr>
        <w:top w:val="none" w:sz="0" w:space="0" w:color="auto"/>
        <w:left w:val="none" w:sz="0" w:space="0" w:color="auto"/>
        <w:bottom w:val="none" w:sz="0" w:space="0" w:color="auto"/>
        <w:right w:val="none" w:sz="0" w:space="0" w:color="auto"/>
      </w:divBdr>
    </w:div>
    <w:div w:id="1905870158">
      <w:bodyDiv w:val="1"/>
      <w:marLeft w:val="0"/>
      <w:marRight w:val="0"/>
      <w:marTop w:val="0"/>
      <w:marBottom w:val="0"/>
      <w:divBdr>
        <w:top w:val="none" w:sz="0" w:space="0" w:color="auto"/>
        <w:left w:val="none" w:sz="0" w:space="0" w:color="auto"/>
        <w:bottom w:val="none" w:sz="0" w:space="0" w:color="auto"/>
        <w:right w:val="none" w:sz="0" w:space="0" w:color="auto"/>
      </w:divBdr>
    </w:div>
    <w:div w:id="1921861872">
      <w:bodyDiv w:val="1"/>
      <w:marLeft w:val="0"/>
      <w:marRight w:val="0"/>
      <w:marTop w:val="0"/>
      <w:marBottom w:val="0"/>
      <w:divBdr>
        <w:top w:val="none" w:sz="0" w:space="0" w:color="auto"/>
        <w:left w:val="none" w:sz="0" w:space="0" w:color="auto"/>
        <w:bottom w:val="none" w:sz="0" w:space="0" w:color="auto"/>
        <w:right w:val="none" w:sz="0" w:space="0" w:color="auto"/>
      </w:divBdr>
    </w:div>
    <w:div w:id="1922181113">
      <w:bodyDiv w:val="1"/>
      <w:marLeft w:val="0"/>
      <w:marRight w:val="0"/>
      <w:marTop w:val="0"/>
      <w:marBottom w:val="0"/>
      <w:divBdr>
        <w:top w:val="none" w:sz="0" w:space="0" w:color="auto"/>
        <w:left w:val="none" w:sz="0" w:space="0" w:color="auto"/>
        <w:bottom w:val="none" w:sz="0" w:space="0" w:color="auto"/>
        <w:right w:val="none" w:sz="0" w:space="0" w:color="auto"/>
      </w:divBdr>
    </w:div>
    <w:div w:id="1930312440">
      <w:bodyDiv w:val="1"/>
      <w:marLeft w:val="0"/>
      <w:marRight w:val="0"/>
      <w:marTop w:val="0"/>
      <w:marBottom w:val="0"/>
      <w:divBdr>
        <w:top w:val="none" w:sz="0" w:space="0" w:color="auto"/>
        <w:left w:val="none" w:sz="0" w:space="0" w:color="auto"/>
        <w:bottom w:val="none" w:sz="0" w:space="0" w:color="auto"/>
        <w:right w:val="none" w:sz="0" w:space="0" w:color="auto"/>
      </w:divBdr>
    </w:div>
    <w:div w:id="1944528272">
      <w:bodyDiv w:val="1"/>
      <w:marLeft w:val="0"/>
      <w:marRight w:val="0"/>
      <w:marTop w:val="0"/>
      <w:marBottom w:val="0"/>
      <w:divBdr>
        <w:top w:val="none" w:sz="0" w:space="0" w:color="auto"/>
        <w:left w:val="none" w:sz="0" w:space="0" w:color="auto"/>
        <w:bottom w:val="none" w:sz="0" w:space="0" w:color="auto"/>
        <w:right w:val="none" w:sz="0" w:space="0" w:color="auto"/>
      </w:divBdr>
    </w:div>
    <w:div w:id="1951012286">
      <w:bodyDiv w:val="1"/>
      <w:marLeft w:val="0"/>
      <w:marRight w:val="0"/>
      <w:marTop w:val="0"/>
      <w:marBottom w:val="0"/>
      <w:divBdr>
        <w:top w:val="none" w:sz="0" w:space="0" w:color="auto"/>
        <w:left w:val="none" w:sz="0" w:space="0" w:color="auto"/>
        <w:bottom w:val="none" w:sz="0" w:space="0" w:color="auto"/>
        <w:right w:val="none" w:sz="0" w:space="0" w:color="auto"/>
      </w:divBdr>
    </w:div>
    <w:div w:id="1976137769">
      <w:bodyDiv w:val="1"/>
      <w:marLeft w:val="0"/>
      <w:marRight w:val="0"/>
      <w:marTop w:val="0"/>
      <w:marBottom w:val="0"/>
      <w:divBdr>
        <w:top w:val="none" w:sz="0" w:space="0" w:color="auto"/>
        <w:left w:val="none" w:sz="0" w:space="0" w:color="auto"/>
        <w:bottom w:val="none" w:sz="0" w:space="0" w:color="auto"/>
        <w:right w:val="none" w:sz="0" w:space="0" w:color="auto"/>
      </w:divBdr>
    </w:div>
    <w:div w:id="1976332884">
      <w:bodyDiv w:val="1"/>
      <w:marLeft w:val="0"/>
      <w:marRight w:val="0"/>
      <w:marTop w:val="0"/>
      <w:marBottom w:val="0"/>
      <w:divBdr>
        <w:top w:val="none" w:sz="0" w:space="0" w:color="auto"/>
        <w:left w:val="none" w:sz="0" w:space="0" w:color="auto"/>
        <w:bottom w:val="none" w:sz="0" w:space="0" w:color="auto"/>
        <w:right w:val="none" w:sz="0" w:space="0" w:color="auto"/>
      </w:divBdr>
    </w:div>
    <w:div w:id="1978293855">
      <w:bodyDiv w:val="1"/>
      <w:marLeft w:val="0"/>
      <w:marRight w:val="0"/>
      <w:marTop w:val="0"/>
      <w:marBottom w:val="0"/>
      <w:divBdr>
        <w:top w:val="none" w:sz="0" w:space="0" w:color="auto"/>
        <w:left w:val="none" w:sz="0" w:space="0" w:color="auto"/>
        <w:bottom w:val="none" w:sz="0" w:space="0" w:color="auto"/>
        <w:right w:val="none" w:sz="0" w:space="0" w:color="auto"/>
      </w:divBdr>
    </w:div>
    <w:div w:id="1990859684">
      <w:bodyDiv w:val="1"/>
      <w:marLeft w:val="0"/>
      <w:marRight w:val="0"/>
      <w:marTop w:val="0"/>
      <w:marBottom w:val="0"/>
      <w:divBdr>
        <w:top w:val="none" w:sz="0" w:space="0" w:color="auto"/>
        <w:left w:val="none" w:sz="0" w:space="0" w:color="auto"/>
        <w:bottom w:val="none" w:sz="0" w:space="0" w:color="auto"/>
        <w:right w:val="none" w:sz="0" w:space="0" w:color="auto"/>
      </w:divBdr>
    </w:div>
    <w:div w:id="1997221012">
      <w:bodyDiv w:val="1"/>
      <w:marLeft w:val="0"/>
      <w:marRight w:val="0"/>
      <w:marTop w:val="0"/>
      <w:marBottom w:val="0"/>
      <w:divBdr>
        <w:top w:val="none" w:sz="0" w:space="0" w:color="auto"/>
        <w:left w:val="none" w:sz="0" w:space="0" w:color="auto"/>
        <w:bottom w:val="none" w:sz="0" w:space="0" w:color="auto"/>
        <w:right w:val="none" w:sz="0" w:space="0" w:color="auto"/>
      </w:divBdr>
    </w:div>
    <w:div w:id="2004581473">
      <w:bodyDiv w:val="1"/>
      <w:marLeft w:val="0"/>
      <w:marRight w:val="0"/>
      <w:marTop w:val="0"/>
      <w:marBottom w:val="0"/>
      <w:divBdr>
        <w:top w:val="none" w:sz="0" w:space="0" w:color="auto"/>
        <w:left w:val="none" w:sz="0" w:space="0" w:color="auto"/>
        <w:bottom w:val="none" w:sz="0" w:space="0" w:color="auto"/>
        <w:right w:val="none" w:sz="0" w:space="0" w:color="auto"/>
      </w:divBdr>
    </w:div>
    <w:div w:id="2008751440">
      <w:bodyDiv w:val="1"/>
      <w:marLeft w:val="0"/>
      <w:marRight w:val="0"/>
      <w:marTop w:val="0"/>
      <w:marBottom w:val="0"/>
      <w:divBdr>
        <w:top w:val="none" w:sz="0" w:space="0" w:color="auto"/>
        <w:left w:val="none" w:sz="0" w:space="0" w:color="auto"/>
        <w:bottom w:val="none" w:sz="0" w:space="0" w:color="auto"/>
        <w:right w:val="none" w:sz="0" w:space="0" w:color="auto"/>
      </w:divBdr>
    </w:div>
    <w:div w:id="2012292017">
      <w:bodyDiv w:val="1"/>
      <w:marLeft w:val="0"/>
      <w:marRight w:val="0"/>
      <w:marTop w:val="0"/>
      <w:marBottom w:val="0"/>
      <w:divBdr>
        <w:top w:val="none" w:sz="0" w:space="0" w:color="auto"/>
        <w:left w:val="none" w:sz="0" w:space="0" w:color="auto"/>
        <w:bottom w:val="none" w:sz="0" w:space="0" w:color="auto"/>
        <w:right w:val="none" w:sz="0" w:space="0" w:color="auto"/>
      </w:divBdr>
    </w:div>
    <w:div w:id="2013483788">
      <w:bodyDiv w:val="1"/>
      <w:marLeft w:val="0"/>
      <w:marRight w:val="0"/>
      <w:marTop w:val="0"/>
      <w:marBottom w:val="0"/>
      <w:divBdr>
        <w:top w:val="none" w:sz="0" w:space="0" w:color="auto"/>
        <w:left w:val="none" w:sz="0" w:space="0" w:color="auto"/>
        <w:bottom w:val="none" w:sz="0" w:space="0" w:color="auto"/>
        <w:right w:val="none" w:sz="0" w:space="0" w:color="auto"/>
      </w:divBdr>
    </w:div>
    <w:div w:id="2016763738">
      <w:bodyDiv w:val="1"/>
      <w:marLeft w:val="0"/>
      <w:marRight w:val="0"/>
      <w:marTop w:val="0"/>
      <w:marBottom w:val="0"/>
      <w:divBdr>
        <w:top w:val="none" w:sz="0" w:space="0" w:color="auto"/>
        <w:left w:val="none" w:sz="0" w:space="0" w:color="auto"/>
        <w:bottom w:val="none" w:sz="0" w:space="0" w:color="auto"/>
        <w:right w:val="none" w:sz="0" w:space="0" w:color="auto"/>
      </w:divBdr>
    </w:div>
    <w:div w:id="2017221205">
      <w:bodyDiv w:val="1"/>
      <w:marLeft w:val="0"/>
      <w:marRight w:val="0"/>
      <w:marTop w:val="0"/>
      <w:marBottom w:val="0"/>
      <w:divBdr>
        <w:top w:val="none" w:sz="0" w:space="0" w:color="auto"/>
        <w:left w:val="none" w:sz="0" w:space="0" w:color="auto"/>
        <w:bottom w:val="none" w:sz="0" w:space="0" w:color="auto"/>
        <w:right w:val="none" w:sz="0" w:space="0" w:color="auto"/>
      </w:divBdr>
    </w:div>
    <w:div w:id="2021735720">
      <w:bodyDiv w:val="1"/>
      <w:marLeft w:val="0"/>
      <w:marRight w:val="0"/>
      <w:marTop w:val="0"/>
      <w:marBottom w:val="0"/>
      <w:divBdr>
        <w:top w:val="none" w:sz="0" w:space="0" w:color="auto"/>
        <w:left w:val="none" w:sz="0" w:space="0" w:color="auto"/>
        <w:bottom w:val="none" w:sz="0" w:space="0" w:color="auto"/>
        <w:right w:val="none" w:sz="0" w:space="0" w:color="auto"/>
      </w:divBdr>
    </w:div>
    <w:div w:id="2026979930">
      <w:bodyDiv w:val="1"/>
      <w:marLeft w:val="0"/>
      <w:marRight w:val="0"/>
      <w:marTop w:val="0"/>
      <w:marBottom w:val="0"/>
      <w:divBdr>
        <w:top w:val="none" w:sz="0" w:space="0" w:color="auto"/>
        <w:left w:val="none" w:sz="0" w:space="0" w:color="auto"/>
        <w:bottom w:val="none" w:sz="0" w:space="0" w:color="auto"/>
        <w:right w:val="none" w:sz="0" w:space="0" w:color="auto"/>
      </w:divBdr>
    </w:div>
    <w:div w:id="2027168478">
      <w:bodyDiv w:val="1"/>
      <w:marLeft w:val="0"/>
      <w:marRight w:val="0"/>
      <w:marTop w:val="0"/>
      <w:marBottom w:val="0"/>
      <w:divBdr>
        <w:top w:val="none" w:sz="0" w:space="0" w:color="auto"/>
        <w:left w:val="none" w:sz="0" w:space="0" w:color="auto"/>
        <w:bottom w:val="none" w:sz="0" w:space="0" w:color="auto"/>
        <w:right w:val="none" w:sz="0" w:space="0" w:color="auto"/>
      </w:divBdr>
    </w:div>
    <w:div w:id="2038963215">
      <w:bodyDiv w:val="1"/>
      <w:marLeft w:val="0"/>
      <w:marRight w:val="0"/>
      <w:marTop w:val="0"/>
      <w:marBottom w:val="0"/>
      <w:divBdr>
        <w:top w:val="none" w:sz="0" w:space="0" w:color="auto"/>
        <w:left w:val="none" w:sz="0" w:space="0" w:color="auto"/>
        <w:bottom w:val="none" w:sz="0" w:space="0" w:color="auto"/>
        <w:right w:val="none" w:sz="0" w:space="0" w:color="auto"/>
      </w:divBdr>
    </w:div>
    <w:div w:id="2046052472">
      <w:bodyDiv w:val="1"/>
      <w:marLeft w:val="0"/>
      <w:marRight w:val="0"/>
      <w:marTop w:val="0"/>
      <w:marBottom w:val="0"/>
      <w:divBdr>
        <w:top w:val="none" w:sz="0" w:space="0" w:color="auto"/>
        <w:left w:val="none" w:sz="0" w:space="0" w:color="auto"/>
        <w:bottom w:val="none" w:sz="0" w:space="0" w:color="auto"/>
        <w:right w:val="none" w:sz="0" w:space="0" w:color="auto"/>
      </w:divBdr>
    </w:div>
    <w:div w:id="2048481037">
      <w:bodyDiv w:val="1"/>
      <w:marLeft w:val="0"/>
      <w:marRight w:val="0"/>
      <w:marTop w:val="0"/>
      <w:marBottom w:val="0"/>
      <w:divBdr>
        <w:top w:val="none" w:sz="0" w:space="0" w:color="auto"/>
        <w:left w:val="none" w:sz="0" w:space="0" w:color="auto"/>
        <w:bottom w:val="none" w:sz="0" w:space="0" w:color="auto"/>
        <w:right w:val="none" w:sz="0" w:space="0" w:color="auto"/>
      </w:divBdr>
    </w:div>
    <w:div w:id="2058889092">
      <w:bodyDiv w:val="1"/>
      <w:marLeft w:val="0"/>
      <w:marRight w:val="0"/>
      <w:marTop w:val="0"/>
      <w:marBottom w:val="0"/>
      <w:divBdr>
        <w:top w:val="none" w:sz="0" w:space="0" w:color="auto"/>
        <w:left w:val="none" w:sz="0" w:space="0" w:color="auto"/>
        <w:bottom w:val="none" w:sz="0" w:space="0" w:color="auto"/>
        <w:right w:val="none" w:sz="0" w:space="0" w:color="auto"/>
      </w:divBdr>
    </w:div>
    <w:div w:id="2064479819">
      <w:bodyDiv w:val="1"/>
      <w:marLeft w:val="0"/>
      <w:marRight w:val="0"/>
      <w:marTop w:val="0"/>
      <w:marBottom w:val="0"/>
      <w:divBdr>
        <w:top w:val="none" w:sz="0" w:space="0" w:color="auto"/>
        <w:left w:val="none" w:sz="0" w:space="0" w:color="auto"/>
        <w:bottom w:val="none" w:sz="0" w:space="0" w:color="auto"/>
        <w:right w:val="none" w:sz="0" w:space="0" w:color="auto"/>
      </w:divBdr>
    </w:div>
    <w:div w:id="2067140146">
      <w:bodyDiv w:val="1"/>
      <w:marLeft w:val="0"/>
      <w:marRight w:val="0"/>
      <w:marTop w:val="0"/>
      <w:marBottom w:val="0"/>
      <w:divBdr>
        <w:top w:val="none" w:sz="0" w:space="0" w:color="auto"/>
        <w:left w:val="none" w:sz="0" w:space="0" w:color="auto"/>
        <w:bottom w:val="none" w:sz="0" w:space="0" w:color="auto"/>
        <w:right w:val="none" w:sz="0" w:space="0" w:color="auto"/>
      </w:divBdr>
    </w:div>
    <w:div w:id="2068071431">
      <w:bodyDiv w:val="1"/>
      <w:marLeft w:val="0"/>
      <w:marRight w:val="0"/>
      <w:marTop w:val="0"/>
      <w:marBottom w:val="0"/>
      <w:divBdr>
        <w:top w:val="none" w:sz="0" w:space="0" w:color="auto"/>
        <w:left w:val="none" w:sz="0" w:space="0" w:color="auto"/>
        <w:bottom w:val="none" w:sz="0" w:space="0" w:color="auto"/>
        <w:right w:val="none" w:sz="0" w:space="0" w:color="auto"/>
      </w:divBdr>
    </w:div>
    <w:div w:id="2077245661">
      <w:bodyDiv w:val="1"/>
      <w:marLeft w:val="0"/>
      <w:marRight w:val="0"/>
      <w:marTop w:val="0"/>
      <w:marBottom w:val="0"/>
      <w:divBdr>
        <w:top w:val="none" w:sz="0" w:space="0" w:color="auto"/>
        <w:left w:val="none" w:sz="0" w:space="0" w:color="auto"/>
        <w:bottom w:val="none" w:sz="0" w:space="0" w:color="auto"/>
        <w:right w:val="none" w:sz="0" w:space="0" w:color="auto"/>
      </w:divBdr>
    </w:div>
    <w:div w:id="2079589413">
      <w:bodyDiv w:val="1"/>
      <w:marLeft w:val="0"/>
      <w:marRight w:val="0"/>
      <w:marTop w:val="0"/>
      <w:marBottom w:val="0"/>
      <w:divBdr>
        <w:top w:val="none" w:sz="0" w:space="0" w:color="auto"/>
        <w:left w:val="none" w:sz="0" w:space="0" w:color="auto"/>
        <w:bottom w:val="none" w:sz="0" w:space="0" w:color="auto"/>
        <w:right w:val="none" w:sz="0" w:space="0" w:color="auto"/>
      </w:divBdr>
    </w:div>
    <w:div w:id="2079934955">
      <w:bodyDiv w:val="1"/>
      <w:marLeft w:val="0"/>
      <w:marRight w:val="0"/>
      <w:marTop w:val="0"/>
      <w:marBottom w:val="0"/>
      <w:divBdr>
        <w:top w:val="none" w:sz="0" w:space="0" w:color="auto"/>
        <w:left w:val="none" w:sz="0" w:space="0" w:color="auto"/>
        <w:bottom w:val="none" w:sz="0" w:space="0" w:color="auto"/>
        <w:right w:val="none" w:sz="0" w:space="0" w:color="auto"/>
      </w:divBdr>
    </w:div>
    <w:div w:id="2083328011">
      <w:bodyDiv w:val="1"/>
      <w:marLeft w:val="0"/>
      <w:marRight w:val="0"/>
      <w:marTop w:val="0"/>
      <w:marBottom w:val="0"/>
      <w:divBdr>
        <w:top w:val="none" w:sz="0" w:space="0" w:color="auto"/>
        <w:left w:val="none" w:sz="0" w:space="0" w:color="auto"/>
        <w:bottom w:val="none" w:sz="0" w:space="0" w:color="auto"/>
        <w:right w:val="none" w:sz="0" w:space="0" w:color="auto"/>
      </w:divBdr>
    </w:div>
    <w:div w:id="2087067358">
      <w:bodyDiv w:val="1"/>
      <w:marLeft w:val="0"/>
      <w:marRight w:val="0"/>
      <w:marTop w:val="0"/>
      <w:marBottom w:val="0"/>
      <w:divBdr>
        <w:top w:val="none" w:sz="0" w:space="0" w:color="auto"/>
        <w:left w:val="none" w:sz="0" w:space="0" w:color="auto"/>
        <w:bottom w:val="none" w:sz="0" w:space="0" w:color="auto"/>
        <w:right w:val="none" w:sz="0" w:space="0" w:color="auto"/>
      </w:divBdr>
    </w:div>
    <w:div w:id="2091268695">
      <w:bodyDiv w:val="1"/>
      <w:marLeft w:val="0"/>
      <w:marRight w:val="0"/>
      <w:marTop w:val="0"/>
      <w:marBottom w:val="0"/>
      <w:divBdr>
        <w:top w:val="none" w:sz="0" w:space="0" w:color="auto"/>
        <w:left w:val="none" w:sz="0" w:space="0" w:color="auto"/>
        <w:bottom w:val="none" w:sz="0" w:space="0" w:color="auto"/>
        <w:right w:val="none" w:sz="0" w:space="0" w:color="auto"/>
      </w:divBdr>
    </w:div>
    <w:div w:id="2092966374">
      <w:bodyDiv w:val="1"/>
      <w:marLeft w:val="0"/>
      <w:marRight w:val="0"/>
      <w:marTop w:val="0"/>
      <w:marBottom w:val="0"/>
      <w:divBdr>
        <w:top w:val="none" w:sz="0" w:space="0" w:color="auto"/>
        <w:left w:val="none" w:sz="0" w:space="0" w:color="auto"/>
        <w:bottom w:val="none" w:sz="0" w:space="0" w:color="auto"/>
        <w:right w:val="none" w:sz="0" w:space="0" w:color="auto"/>
      </w:divBdr>
    </w:div>
    <w:div w:id="2093820575">
      <w:bodyDiv w:val="1"/>
      <w:marLeft w:val="0"/>
      <w:marRight w:val="0"/>
      <w:marTop w:val="0"/>
      <w:marBottom w:val="0"/>
      <w:divBdr>
        <w:top w:val="none" w:sz="0" w:space="0" w:color="auto"/>
        <w:left w:val="none" w:sz="0" w:space="0" w:color="auto"/>
        <w:bottom w:val="none" w:sz="0" w:space="0" w:color="auto"/>
        <w:right w:val="none" w:sz="0" w:space="0" w:color="auto"/>
      </w:divBdr>
    </w:div>
    <w:div w:id="2096508302">
      <w:bodyDiv w:val="1"/>
      <w:marLeft w:val="0"/>
      <w:marRight w:val="0"/>
      <w:marTop w:val="0"/>
      <w:marBottom w:val="0"/>
      <w:divBdr>
        <w:top w:val="none" w:sz="0" w:space="0" w:color="auto"/>
        <w:left w:val="none" w:sz="0" w:space="0" w:color="auto"/>
        <w:bottom w:val="none" w:sz="0" w:space="0" w:color="auto"/>
        <w:right w:val="none" w:sz="0" w:space="0" w:color="auto"/>
      </w:divBdr>
    </w:div>
    <w:div w:id="2098284815">
      <w:bodyDiv w:val="1"/>
      <w:marLeft w:val="0"/>
      <w:marRight w:val="0"/>
      <w:marTop w:val="0"/>
      <w:marBottom w:val="0"/>
      <w:divBdr>
        <w:top w:val="none" w:sz="0" w:space="0" w:color="auto"/>
        <w:left w:val="none" w:sz="0" w:space="0" w:color="auto"/>
        <w:bottom w:val="none" w:sz="0" w:space="0" w:color="auto"/>
        <w:right w:val="none" w:sz="0" w:space="0" w:color="auto"/>
      </w:divBdr>
    </w:div>
    <w:div w:id="2108384949">
      <w:bodyDiv w:val="1"/>
      <w:marLeft w:val="0"/>
      <w:marRight w:val="0"/>
      <w:marTop w:val="0"/>
      <w:marBottom w:val="0"/>
      <w:divBdr>
        <w:top w:val="none" w:sz="0" w:space="0" w:color="auto"/>
        <w:left w:val="none" w:sz="0" w:space="0" w:color="auto"/>
        <w:bottom w:val="none" w:sz="0" w:space="0" w:color="auto"/>
        <w:right w:val="none" w:sz="0" w:space="0" w:color="auto"/>
      </w:divBdr>
    </w:div>
    <w:div w:id="2118407845">
      <w:bodyDiv w:val="1"/>
      <w:marLeft w:val="0"/>
      <w:marRight w:val="0"/>
      <w:marTop w:val="0"/>
      <w:marBottom w:val="0"/>
      <w:divBdr>
        <w:top w:val="none" w:sz="0" w:space="0" w:color="auto"/>
        <w:left w:val="none" w:sz="0" w:space="0" w:color="auto"/>
        <w:bottom w:val="none" w:sz="0" w:space="0" w:color="auto"/>
        <w:right w:val="none" w:sz="0" w:space="0" w:color="auto"/>
      </w:divBdr>
    </w:div>
    <w:div w:id="2119986280">
      <w:bodyDiv w:val="1"/>
      <w:marLeft w:val="0"/>
      <w:marRight w:val="0"/>
      <w:marTop w:val="0"/>
      <w:marBottom w:val="0"/>
      <w:divBdr>
        <w:top w:val="none" w:sz="0" w:space="0" w:color="auto"/>
        <w:left w:val="none" w:sz="0" w:space="0" w:color="auto"/>
        <w:bottom w:val="none" w:sz="0" w:space="0" w:color="auto"/>
        <w:right w:val="none" w:sz="0" w:space="0" w:color="auto"/>
      </w:divBdr>
    </w:div>
    <w:div w:id="2122453933">
      <w:bodyDiv w:val="1"/>
      <w:marLeft w:val="0"/>
      <w:marRight w:val="0"/>
      <w:marTop w:val="0"/>
      <w:marBottom w:val="0"/>
      <w:divBdr>
        <w:top w:val="none" w:sz="0" w:space="0" w:color="auto"/>
        <w:left w:val="none" w:sz="0" w:space="0" w:color="auto"/>
        <w:bottom w:val="none" w:sz="0" w:space="0" w:color="auto"/>
        <w:right w:val="none" w:sz="0" w:space="0" w:color="auto"/>
      </w:divBdr>
    </w:div>
    <w:div w:id="214226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em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Lam58</b:Tag>
    <b:SourceType>JournalArticle</b:SourceType>
    <b:Guid>{2979C8DE-AA1E-4A56-8F2B-96EA9DC89D8A}</b:Guid>
    <b:Title>Return on Capital Employed</b:Title>
    <b:Year>1958</b:Year>
    <b:Author>
      <b:Author>
        <b:NameList>
          <b:Person>
            <b:Last>Lammie</b:Last>
            <b:First>H,</b:First>
            <b:Middle>R.</b:Middle>
          </b:Person>
        </b:NameList>
      </b:Author>
    </b:Author>
    <b:JournalName>Journal of Accountancy</b:JournalName>
    <b:Pages>35</b:Pages>
    <b:Volume>106</b:Volume>
    <b:Issue>2</b:Issue>
    <b:RefOrder>42</b:RefOrder>
  </b:Source>
  <b:Source>
    <b:Tag>Atr09</b:Tag>
    <b:SourceType>Book</b:SourceType>
    <b:Guid>{1AC3FDA5-4451-443B-A84A-746C376D88AD}</b:Guid>
    <b:Title>Financial Management for Decision Makers</b:Title>
    <b:Year>2009</b:Year>
    <b:Author>
      <b:Author>
        <b:NameList>
          <b:Person>
            <b:Last>Atrill</b:Last>
            <b:First>P.</b:First>
          </b:Person>
        </b:NameList>
      </b:Author>
    </b:Author>
    <b:City>Harlow</b:City>
    <b:Publisher>Prentice Hall</b:Publisher>
    <b:Edition>5th</b:Edition>
    <b:RefOrder>11</b:RefOrder>
  </b:Source>
  <b:Source>
    <b:Tag>LSE19</b:Tag>
    <b:SourceType>InternetSite</b:SourceType>
    <b:Guid>{1DBBFCBA-E3C9-4AD7-8923-A495B0D2A9D3}</b:Guid>
    <b:Title>Stocks</b:Title>
    <b:Year>2019</b:Year>
    <b:Author>
      <b:Author>
        <b:Corporate>LSE</b:Corporate>
      </b:Author>
    </b:Author>
    <b:YearAccessed>2019</b:YearAccessed>
    <b:MonthAccessed>January</b:MonthAccessed>
    <b:DayAccessed>5th</b:DayAccessed>
    <b:URL>https://www.londonstockexchange.com/exchange/prices-and-markets/stocks/summary/company-summary/GB00B1VZ0M25GBGBXSET1.html</b:URL>
    <b:RefOrder>3</b:RefOrder>
  </b:Source>
  <b:Source>
    <b:Tag>Har19</b:Tag>
    <b:SourceType>InternetSite</b:SourceType>
    <b:Guid>{BB109E67-AB9D-4F40-890C-ED72D46DE067}</b:Guid>
    <b:Author>
      <b:Author>
        <b:Corporate>Hargreaves Lansdown</b:Corporate>
      </b:Author>
    </b:Author>
    <b:Title>The HL Business</b:Title>
    <b:Year>2019</b:Year>
    <b:YearAccessed>2019</b:YearAccessed>
    <b:MonthAccessed>January</b:MonthAccessed>
    <b:DayAccessed>7th</b:DayAccessed>
    <b:URL>https://www.hl.co.uk/investor-relations/the-hl-business</b:URL>
    <b:RefOrder>4</b:RefOrder>
  </b:Source>
  <b:Source>
    <b:Tag>FT18</b:Tag>
    <b:SourceType>InternetSite</b:SourceType>
    <b:Guid>{BDB111AB-7BE4-4506-9D35-061C395884C9}</b:Guid>
    <b:Author>
      <b:Author>
        <b:Corporate>Financial Times</b:Corporate>
      </b:Author>
    </b:Author>
    <b:Title>fastFT</b:Title>
    <b:Year>2018</b:Year>
    <b:YearAccessed>2019</b:YearAccessed>
    <b:MonthAccessed>January</b:MonthAccessed>
    <b:DayAccessed>8th</b:DayAccessed>
    <b:URL>https://www.ft.com/content/e4d4f070-5802-11e8-b8b2-d6ceb45fa9d0</b:URL>
    <b:RefOrder>6</b:RefOrder>
  </b:Source>
  <b:Source>
    <b:Tag>FCA15</b:Tag>
    <b:SourceType>Report</b:SourceType>
    <b:Guid>{E3E8BE93-FC3F-41CD-A466-7D50B12DD300}</b:Guid>
    <b:Title>Cash Savings Market Study Report: part 1</b:Title>
    <b:Year>2015</b:Year>
    <b:Author>
      <b:Author>
        <b:Corporate>FCA</b:Corporate>
      </b:Author>
    </b:Author>
    <b:Publisher>FCA</b:Publisher>
    <b:City>London</b:City>
    <b:RefOrder>7</b:RefOrder>
  </b:Source>
  <b:Source>
    <b:Tag>LSE18</b:Tag>
    <b:SourceType>InternetSite</b:SourceType>
    <b:Guid>{EFE6C430-EA92-4EAF-BABA-C9011F4907E8}</b:Guid>
    <b:Title>At A Glance</b:Title>
    <b:Year>2018</b:Year>
    <b:Author>
      <b:Author>
        <b:Corporate>LSE</b:Corporate>
      </b:Author>
    </b:Author>
    <b:YearAccessed>2019</b:YearAccessed>
    <b:MonthAccessed>January</b:MonthAccessed>
    <b:DayAccessed>9th</b:DayAccessed>
    <b:URL>https://www.lseg.com/markets-products-and-services/our-markets/london-stock-exchange/ftse-100-stocks-listed-london/glance</b:URL>
    <b:RefOrder>2</b:RefOrder>
  </b:Source>
  <b:Source>
    <b:Tag>LSE181</b:Tag>
    <b:SourceType>InternetSite</b:SourceType>
    <b:Guid>{47947022-8E5C-41D2-80D5-886466AAEF0A}</b:Guid>
    <b:Author>
      <b:Author>
        <b:Corporate>LSEG</b:Corporate>
      </b:Author>
    </b:Author>
    <b:Title>FTSE 100: LONDON'S GLOBAL BENCHMARK</b:Title>
    <b:Year>2018</b:Year>
    <b:YearAccessed>2019</b:YearAccessed>
    <b:MonthAccessed>January</b:MonthAccessed>
    <b:DayAccessed>9th</b:DayAccessed>
    <b:URL>https://www.lseg.com/markets-products-and-services/our-markets/london-stock-exchange/ftse-100-stocks-listed-london/ftse-100-londons-global-benchmark</b:URL>
    <b:RefOrder>1</b:RefOrder>
  </b:Source>
  <b:Source>
    <b:Tag>FT181</b:Tag>
    <b:SourceType>InternetSite</b:SourceType>
    <b:Guid>{6FDA5186-34E6-49C4-956D-C9A7839F29D8}</b:Guid>
    <b:Author>
      <b:Author>
        <b:Corporate>FT</b:Corporate>
      </b:Author>
    </b:Author>
    <b:Title>Brexit</b:Title>
    <b:Year>2018</b:Year>
    <b:YearAccessed>2019</b:YearAccessed>
    <b:MonthAccessed>January</b:MonthAccessed>
    <b:DayAccessed>9th</b:DayAccessed>
    <b:URL>https://www.ft.com/content/88cdec40-b03c-11e8-8d14-6f049d06439c</b:URL>
    <b:RefOrder>8</b:RefOrder>
  </b:Source>
  <b:Source>
    <b:Tag>Sou18</b:Tag>
    <b:SourceType>InternetSite</b:SourceType>
    <b:Guid>{B7A71476-9B12-4AAA-83B7-2FB42CBD5CDD}</b:Guid>
    <b:Author>
      <b:Author>
        <b:Corporate>South West Business</b:Corporate>
      </b:Author>
    </b:Author>
    <b:Title>Manufacturing News</b:Title>
    <b:Year>2018</b:Year>
    <b:YearAccessed>2019</b:YearAccessed>
    <b:MonthAccessed>January</b:MonthAccessed>
    <b:DayAccessed>7th</b:DayAccessed>
    <b:URL>http://www.southwestbusiness.co.uk/sectors/manufacturing/the-top-150-companies-in-the-west-2018-25012018075815/</b:URL>
    <b:RefOrder>9</b:RefOrder>
  </b:Source>
  <b:Source>
    <b:Tag>Har18</b:Tag>
    <b:SourceType>Report</b:SourceType>
    <b:Guid>{9D0806A3-4B59-4424-879D-F7D0D5390A35}</b:Guid>
    <b:Title>Annual Report 2018</b:Title>
    <b:Year>2018</b:Year>
    <b:Author>
      <b:Author>
        <b:Corporate>Hargreaves Lansdown</b:Corporate>
      </b:Author>
    </b:Author>
    <b:Publisher>Hargreaves Lansdown</b:Publisher>
    <b:City>Bristol</b:City>
    <b:RefOrder>5</b:RefOrder>
  </b:Source>
  <b:Source>
    <b:Tag>Har181</b:Tag>
    <b:SourceType>InternetSite</b:SourceType>
    <b:Guid>{F7DF7A93-2CFE-4614-833B-0A47ED173BDC}</b:Guid>
    <b:Title>Key Financial Data</b:Title>
    <b:Year>2018</b:Year>
    <b:Author>
      <b:Author>
        <b:Corporate>Hargreaves Lansdown</b:Corporate>
      </b:Author>
    </b:Author>
    <b:YearAccessed>2019</b:YearAccessed>
    <b:MonthAccessed>January</b:MonthAccessed>
    <b:DayAccessed>10th</b:DayAccessed>
    <b:URL>https://www.hl.co.uk/investor-relations/key-financial-data</b:URL>
    <b:RefOrder>41</b:RefOrder>
  </b:Source>
  <b:Source>
    <b:Tag>Ros14</b:Tag>
    <b:SourceType>JournalArticle</b:SourceType>
    <b:Guid>{85C8B993-0DB5-4C99-B889-0261256A18CA}</b:Guid>
    <b:Title>The New Ways to Raise Capital: An Exploratory Study of Crowdfunding</b:Title>
    <b:Year>2014</b:Year>
    <b:Author>
      <b:Author>
        <b:NameList>
          <b:Person>
            <b:Last>Rossi</b:Last>
            <b:First>M.</b:First>
          </b:Person>
        </b:NameList>
      </b:Author>
    </b:Author>
    <b:JournalName>International Journal of Financial Research</b:JournalName>
    <b:Pages>8-18</b:Pages>
    <b:Volume>5</b:Volume>
    <b:Issue>2</b:Issue>
    <b:RefOrder>10</b:RefOrder>
  </b:Source>
  <b:Source>
    <b:Tag>Inv19</b:Tag>
    <b:SourceType>InternetSite</b:SourceType>
    <b:Guid>{1FEBA233-0A34-48A0-8B0F-AF891F396529}</b:Guid>
    <b:Title>Markets &amp; Shares</b:Title>
    <b:Year>2019</b:Year>
    <b:Author>
      <b:Author>
        <b:Corporate>Investing.com</b:Corporate>
      </b:Author>
    </b:Author>
    <b:YearAccessed>2019</b:YearAccessed>
    <b:MonthAccessed>January</b:MonthAccessed>
    <b:DayAccessed>10th</b:DayAccessed>
    <b:URL>https://uk.investing.com/equities/hargreaves-ratios</b:URL>
    <b:RefOrder>12</b:RefOrder>
  </b:Source>
  <b:Source>
    <b:Tag>Sal11</b:Tag>
    <b:SourceType>JournalArticle</b:SourceType>
    <b:Guid>{61FF3F28-5AE9-4FA5-933F-748CDCFA3792}</b:Guid>
    <b:Title>Impacts of Liquidity Ratios on Profitability</b:Title>
    <b:Year>2011</b:Year>
    <b:Author>
      <b:Author>
        <b:NameList>
          <b:Person>
            <b:Last>Saleem</b:Last>
            <b:First>Q.</b:First>
          </b:Person>
          <b:Person>
            <b:Last>Rehman</b:Last>
            <b:First>R,</b:First>
            <b:Middle>U.</b:Middle>
          </b:Person>
        </b:NameList>
      </b:Author>
    </b:Author>
    <b:JournalName>Interdisciplinary Journal of Research in Business</b:JournalName>
    <b:Pages>95-98</b:Pages>
    <b:Volume>1</b:Volume>
    <b:Issue>7</b:Issue>
    <b:RefOrder>14</b:RefOrder>
  </b:Source>
  <b:Source>
    <b:Tag>Inv18</b:Tag>
    <b:SourceType>InternetSite</b:SourceType>
    <b:Guid>{35CB3186-4E43-4863-A397-55AA7B866FBA}</b:Guid>
    <b:Title>Gearing</b:Title>
    <b:Year>2018</b:Year>
    <b:Author>
      <b:Author>
        <b:Corporate>Investopedia</b:Corporate>
      </b:Author>
    </b:Author>
    <b:YearAccessed>2019</b:YearAccessed>
    <b:MonthAccessed>January</b:MonthAccessed>
    <b:DayAccessed>4th</b:DayAccessed>
    <b:URL>https://www.investopedia.com/terms/g/gearing.asp</b:URL>
    <b:RefOrder>15</b:RefOrder>
  </b:Source>
  <b:Source>
    <b:Tag>Hal04</b:Tag>
    <b:SourceType>JournalArticle</b:SourceType>
    <b:Guid>{F2419BA5-7233-45F2-A94F-4E41A5CD1DCC}</b:Guid>
    <b:Title>Efficiency Measurement of the Greek Commercial Banks with use of Financial Ratios</b:Title>
    <b:Year>2004</b:Year>
    <b:Author>
      <b:Author>
        <b:NameList>
          <b:Person>
            <b:Last>Halkos</b:Last>
            <b:First>G,</b:First>
            <b:Middle>E.</b:Middle>
          </b:Person>
          <b:Person>
            <b:Last>Salamouris</b:Last>
            <b:First>D,</b:First>
            <b:Middle>S.</b:Middle>
          </b:Person>
        </b:NameList>
      </b:Author>
    </b:Author>
    <b:JournalName>Management Accounting Research</b:JournalName>
    <b:Pages>201-224</b:Pages>
    <b:Volume>15</b:Volume>
    <b:Issue>2</b:Issue>
    <b:RefOrder>17</b:RefOrder>
  </b:Source>
  <b:Source>
    <b:Tag>Hay09</b:Tag>
    <b:SourceType>JournalArticle</b:SourceType>
    <b:Guid>{279B9034-E7AC-4743-8A76-10591C2C29BC}</b:Guid>
    <b:Author>
      <b:Author>
        <b:NameList>
          <b:Person>
            <b:Last>Hays</b:Last>
            <b:First>F,H.</b:First>
          </b:Person>
          <b:Person>
            <b:Last>De Lurgio</b:Last>
            <b:First>S,</b:First>
            <b:Middle>A.</b:Middle>
          </b:Person>
          <b:Person>
            <b:Last>Gilbert Jr</b:Last>
            <b:First>A,</b:First>
            <b:Middle>H.</b:Middle>
          </b:Person>
        </b:NameList>
      </b:Author>
    </b:Author>
    <b:Title>Efficiency Ratios and Community Bank Performance</b:Title>
    <b:JournalName>Journal of Finance and Accountancy</b:JournalName>
    <b:Year>2009</b:Year>
    <b:Pages>1-15</b:Pages>
    <b:Volume>1</b:Volume>
    <b:Issue>1</b:Issue>
    <b:RefOrder>18</b:RefOrder>
  </b:Source>
  <b:Source>
    <b:Tag>Ora90</b:Tag>
    <b:SourceType>JournalArticle</b:SourceType>
    <b:Guid>{D5A4FDCE-DAF7-48EB-9591-D59DD7987667}</b:Guid>
    <b:Author>
      <b:Author>
        <b:NameList>
          <b:Person>
            <b:Last>Oral</b:Last>
            <b:First>M.</b:First>
          </b:Person>
          <b:Person>
            <b:Last>Yolalan</b:Last>
            <b:First>R.</b:First>
          </b:Person>
        </b:NameList>
      </b:Author>
    </b:Author>
    <b:Title>An empirical study on measuring operating efficiency and profitability of bank branches</b:Title>
    <b:JournalName>European Journal of Operational Research</b:JournalName>
    <b:Year>1990</b:Year>
    <b:Pages>282-294</b:Pages>
    <b:Volume>46</b:Volume>
    <b:Issue>3</b:Issue>
    <b:RefOrder>16</b:RefOrder>
  </b:Source>
  <b:Source>
    <b:Tag>ONS18</b:Tag>
    <b:SourceType>Report</b:SourceType>
    <b:Guid>{17089504-F89A-49DA-8FEC-E6106EA53314}</b:Guid>
    <b:Author>
      <b:Author>
        <b:Corporate>ONS</b:Corporate>
      </b:Author>
    </b:Author>
    <b:Title>Profitability of UK companies: April to June 2018</b:Title>
    <b:Year>2018</b:Year>
    <b:Publisher>Office for National Statistics</b:Publisher>
    <b:City>Newport</b:City>
    <b:RefOrder>13</b:RefOrder>
  </b:Source>
  <b:Source>
    <b:Tag>Inv181</b:Tag>
    <b:SourceType>InternetSite</b:SourceType>
    <b:Guid>{ECA583A8-D8A8-421A-80B7-AB80899E766C}</b:Guid>
    <b:Title>Investing Strategy</b:Title>
    <b:Year>2018</b:Year>
    <b:Author>
      <b:Author>
        <b:Corporate>Investopedia</b:Corporate>
      </b:Author>
    </b:Author>
    <b:YearAccessed>2019</b:YearAccessed>
    <b:MonthAccessed>January</b:MonthAccessed>
    <b:DayAccessed>11th</b:DayAccessed>
    <b:URL>https://www.investopedia.com/articles/investing/082015/3-biggest-misconceptions-dividend-stocks.asp</b:URL>
    <b:RefOrder>19</b:RefOrder>
  </b:Source>
  <b:Source>
    <b:Tag>Fae15</b:Tag>
    <b:SourceType>JournalArticle</b:SourceType>
    <b:Guid>{06D25364-1F1E-48E2-BEF0-49AF01448C52}</b:Guid>
    <b:Title>Understanding the Limitations of Financial Ratios</b:Title>
    <b:Year>2015</b:Year>
    <b:Author>
      <b:Author>
        <b:NameList>
          <b:Person>
            <b:Last>Faello</b:Last>
            <b:First>J.</b:First>
          </b:Person>
        </b:NameList>
      </b:Author>
    </b:Author>
    <b:JournalName>Academy of Accounting and Financial Studies Journal</b:JournalName>
    <b:Pages>75</b:Pages>
    <b:Volume>19</b:Volume>
    <b:Issue>3</b:Issue>
    <b:RefOrder>21</b:RefOrder>
  </b:Source>
  <b:Source>
    <b:Tag>ONS17</b:Tag>
    <b:SourceType>Report</b:SourceType>
    <b:Guid>{3149182D-BCD9-4803-AB33-A3A9B09A7FAA}</b:Guid>
    <b:Title>Ownership of UK quoted shares: 2016</b:Title>
    <b:Year>2017</b:Year>
    <b:Author>
      <b:Author>
        <b:Corporate>ONS</b:Corporate>
      </b:Author>
    </b:Author>
    <b:Publisher>Office for National Statistics</b:Publisher>
    <b:City>Newport</b:City>
    <b:RefOrder>20</b:RefOrder>
  </b:Source>
  <b:Source>
    <b:Tag>Dru54</b:Tag>
    <b:SourceType>Book</b:SourceType>
    <b:Guid>{5B963EA8-572F-48A6-9C38-8153F8370E6F}</b:Guid>
    <b:Title>The Practice of Management</b:Title>
    <b:Year>1954</b:Year>
    <b:Publisher>Harper &amp; Brothers</b:Publisher>
    <b:City>New York</b:City>
    <b:Author>
      <b:Author>
        <b:NameList>
          <b:Person>
            <b:Last>Drucker</b:Last>
            <b:First>P,</b:First>
            <b:Middle>F.</b:Middle>
          </b:Person>
        </b:NameList>
      </b:Author>
    </b:Author>
    <b:Edition>1st</b:Edition>
    <b:RefOrder>22</b:RefOrder>
  </b:Source>
  <b:Source>
    <b:Tag>Den14</b:Tag>
    <b:SourceType>InternetSite</b:SourceType>
    <b:Guid>{AD212D61-BEB8-4448-B313-8755AD4AD66B}</b:Guid>
    <b:Title>Forbes.com</b:Title>
    <b:Year>2014</b:Year>
    <b:Author>
      <b:Author>
        <b:NameList>
          <b:Person>
            <b:Last>Denning</b:Last>
            <b:First>S.</b:First>
          </b:Person>
        </b:NameList>
      </b:Author>
    </b:Author>
    <b:YearAccessed>2019</b:YearAccessed>
    <b:MonthAccessed>January</b:MonthAccessed>
    <b:DayAccessed>17th</b:DayAccessed>
    <b:URL>https://www.forbes.com/sites/stevedenning/2014/06/17/why-the-worlds-dumbest-idea-is-finally-dying/#4aba1798104e</b:URL>
    <b:RefOrder>24</b:RefOrder>
  </b:Source>
  <b:Source>
    <b:Tag>Fri70</b:Tag>
    <b:SourceType>ArticleInAPeriodical</b:SourceType>
    <b:Guid>{1D034BEE-D2F1-4EC4-BA3A-3D41A1758FC2}</b:Guid>
    <b:Title>A Friednzan doctrine</b:Title>
    <b:Year>1970</b:Year>
    <b:Author>
      <b:Author>
        <b:NameList>
          <b:Person>
            <b:Last>Friedman</b:Last>
            <b:First>F.</b:First>
          </b:Person>
        </b:NameList>
      </b:Author>
    </b:Author>
    <b:PeriodicalTitle>The New York Times Magazine</b:PeriodicalTitle>
    <b:Month>September</b:Month>
    <b:Day>13th</b:Day>
    <b:Pages>17</b:Pages>
    <b:RefOrder>23</b:RefOrder>
  </b:Source>
  <b:Source>
    <b:Tag>Eme03</b:Tag>
    <b:SourceType>JournalArticle</b:SourceType>
    <b:Guid>{1892EEE9-5D42-44AF-9A08-81B516CDD222}</b:Guid>
    <b:Title>The Blended Value Proposition: Integrating Social and Financial Returns</b:Title>
    <b:Year>2003</b:Year>
    <b:Pages>35-51</b:Pages>
    <b:Author>
      <b:Author>
        <b:NameList>
          <b:Person>
            <b:Last>Emerson</b:Last>
            <b:First>J.</b:First>
          </b:Person>
        </b:NameList>
      </b:Author>
    </b:Author>
    <b:JournalName>California Management Review</b:JournalName>
    <b:Volume>45</b:Volume>
    <b:Issue>4</b:Issue>
    <b:RefOrder>25</b:RefOrder>
  </b:Source>
  <b:Source>
    <b:Tag>Hil01</b:Tag>
    <b:SourceType>JournalArticle</b:SourceType>
    <b:Guid>{ADB31575-87F4-46C3-9BA7-F94528ADE5AB}</b:Guid>
    <b:Author>
      <b:Author>
        <b:NameList>
          <b:Person>
            <b:Last>Hillman</b:Last>
            <b:First>A,</b:First>
            <b:Middle>J.</b:Middle>
          </b:Person>
          <b:Person>
            <b:Last>Keim</b:Last>
            <b:First>G,</b:First>
            <b:Middle>D.</b:Middle>
          </b:Person>
        </b:NameList>
      </b:Author>
    </b:Author>
    <b:Title>Shareholder Value, Stakeholder Management, and Social Issues: What's the Bottom Line?</b:Title>
    <b:JournalName>Strategic Management Journal</b:JournalName>
    <b:Year>2001</b:Year>
    <b:Pages>125-139</b:Pages>
    <b:Volume>22</b:Volume>
    <b:Issue>2</b:Issue>
    <b:RefOrder>26</b:RefOrder>
  </b:Source>
  <b:Source>
    <b:Tag>Dud72</b:Tag>
    <b:SourceType>JournalArticle</b:SourceType>
    <b:Guid>{AC0B8D18-84FE-4F94-9121-75DDC971454B}</b:Guid>
    <b:Author>
      <b:Author>
        <b:NameList>
          <b:Person>
            <b:Last>Dudley Jr</b:Last>
            <b:First>C,</b:First>
            <b:Middle>L.</b:Middle>
          </b:Person>
        </b:NameList>
      </b:Author>
    </b:Author>
    <b:Title>A Note on Reinvestment Assumptions in Choosing Between Net Present Value and Internal Rate of Return</b:Title>
    <b:JournalName>The Journal of Finance</b:JournalName>
    <b:Year>1972</b:Year>
    <b:Pages>907-915</b:Pages>
    <b:Volume>27</b:Volume>
    <b:Issue>4</b:Issue>
    <b:RefOrder>30</b:RefOrder>
  </b:Source>
  <b:Source>
    <b:Tag>Sun95</b:Tag>
    <b:SourceType>JournalArticle</b:SourceType>
    <b:Guid>{1E689468-A46D-457D-BC40-3F31DDE289E5}</b:Guid>
    <b:Author>
      <b:Author>
        <b:NameList>
          <b:Person>
            <b:Last>Sunde</b:Last>
            <b:First>L.</b:First>
          </b:Person>
          <b:Person>
            <b:Last>Lichtenberg</b:Last>
            <b:First>S.</b:First>
          </b:Person>
        </b:NameList>
      </b:Author>
    </b:Author>
    <b:Title>Net-Present-Value Cost/Time Tradeoff</b:Title>
    <b:JournalName>Internation Journal of Project Management</b:JournalName>
    <b:Year>1995</b:Year>
    <b:Pages>45-49</b:Pages>
    <b:Volume>13</b:Volume>
    <b:Issue>1</b:Issue>
    <b:RefOrder>31</b:RefOrder>
  </b:Source>
  <b:Source>
    <b:Tag>Har161</b:Tag>
    <b:SourceType>InternetSite</b:SourceType>
    <b:Guid>{0696AF46-BE13-40E1-93FE-6AD50FB3A811}</b:Guid>
    <b:Author>
      <b:Author>
        <b:Corporate>Harvard Business Review</b:Corporate>
      </b:Author>
    </b:Author>
    <b:Title>Financial Analysis</b:Title>
    <b:Year>2016</b:Year>
    <b:YearAccessed>2019</b:YearAccessed>
    <b:MonthAccessed>January</b:MonthAccessed>
    <b:DayAccessed>17th</b:DayAccessed>
    <b:URL>https://hbr.org/2016/03/a-refresher-on-internal-rate-of-return</b:URL>
    <b:RefOrder>32</b:RefOrder>
  </b:Source>
  <b:Source>
    <b:Tag>CFI15</b:Tag>
    <b:SourceType>InternetSite</b:SourceType>
    <b:Guid>{DFFA0F9E-698A-4B37-A360-FB5A9D30B366}</b:Guid>
    <b:Author>
      <b:Author>
        <b:Corporate>CFI</b:Corporate>
      </b:Author>
    </b:Author>
    <b:Title>Resources</b:Title>
    <b:Year>2015</b:Year>
    <b:YearAccessed>2019</b:YearAccessed>
    <b:MonthAccessed>January</b:MonthAccessed>
    <b:DayAccessed>17th</b:DayAccessed>
    <b:URL>https://corporatefinanceinstitute.com/resources/knowledge/finance/hurdle-rate-definition/</b:URL>
    <b:RefOrder>33</b:RefOrder>
  </b:Source>
  <b:Source>
    <b:Tag>Wik19</b:Tag>
    <b:SourceType>InternetSite</b:SourceType>
    <b:Guid>{2F5670A3-A9CE-4340-9764-35E8F346722D}</b:Guid>
    <b:Author>
      <b:Author>
        <b:Corporate>Wikipedia</b:Corporate>
      </b:Author>
    </b:Author>
    <b:Title>MARR</b:Title>
    <b:YearAccessed>2019</b:YearAccessed>
    <b:MonthAccessed>January</b:MonthAccessed>
    <b:DayAccessed>17th</b:DayAccessed>
    <b:URL>https://en.wikipedia.org/wiki/Minimum_acceptable_rate_of_return</b:URL>
    <b:RefOrder>34</b:RefOrder>
  </b:Source>
  <b:Source>
    <b:Tag>Pik96</b:Tag>
    <b:SourceType>JournalArticle</b:SourceType>
    <b:Guid>{61A17AD9-D555-4427-AF43-6613A755C636}</b:Guid>
    <b:Title>A Longitudinal Survey on Capital Budgeting Practices</b:Title>
    <b:Year>1996</b:Year>
    <b:Author>
      <b:Author>
        <b:NameList>
          <b:Person>
            <b:Last>Pike</b:Last>
            <b:First>R.</b:First>
          </b:Person>
        </b:NameList>
      </b:Author>
    </b:Author>
    <b:JournalName>Journal of Business Finance &amp; Accounting</b:JournalName>
    <b:Pages>79-92</b:Pages>
    <b:Volume>23</b:Volume>
    <b:Issue>1</b:Issue>
    <b:RefOrder>27</b:RefOrder>
  </b:Source>
  <b:Source>
    <b:Tag>Rya02</b:Tag>
    <b:SourceType>JournalArticle</b:SourceType>
    <b:Guid>{7532DC5C-5D00-4459-A448-888C8C9D140F}</b:Guid>
    <b:Author>
      <b:Author>
        <b:NameList>
          <b:Person>
            <b:Last>Ryan</b:Last>
            <b:First>P,</b:First>
            <b:Middle>A.</b:Middle>
          </b:Person>
          <b:Person>
            <b:Last>Ryan</b:Last>
            <b:First>G,</b:First>
            <b:Middle>P.</b:Middle>
          </b:Person>
        </b:NameList>
      </b:Author>
    </b:Author>
    <b:Title>Capital Budgeting Practices of the Fortune 1000: How Things Have Changed</b:Title>
    <b:JournalName>Journal of Business and Management</b:JournalName>
    <b:Year>2002</b:Year>
    <b:Pages>355-364</b:Pages>
    <b:Volume>8</b:Volume>
    <b:Issue>4</b:Issue>
    <b:RefOrder>28</b:RefOrder>
  </b:Source>
  <b:Source>
    <b:Tag>Ros141</b:Tag>
    <b:SourceType>JournalArticle</b:SourceType>
    <b:Guid>{B8D2C037-B183-4A64-9178-5215AF96581C}</b:Guid>
    <b:Author>
      <b:Author>
        <b:NameList>
          <b:Person>
            <b:Last>Rossi</b:Last>
            <b:First>M</b:First>
          </b:Person>
        </b:NameList>
      </b:Author>
    </b:Author>
    <b:Title>Capital Budgeting in Europe: Confronting Theory with Practice</b:Title>
    <b:JournalName>International Journal of Managerial and Financial Accounting</b:JournalName>
    <b:Year>2014</b:Year>
    <b:Pages>341-356</b:Pages>
    <b:Volume>6</b:Volume>
    <b:Issue>4</b:Issue>
    <b:RefOrder>29</b:RefOrder>
  </b:Source>
  <b:Source>
    <b:Tag>ONS181</b:Tag>
    <b:SourceType>InternetSite</b:SourceType>
    <b:Guid>{FBCF9234-6692-49AF-83CB-9D19D48742F8}</b:Guid>
    <b:Title>Retail Industry</b:Title>
    <b:Year>2018</b:Year>
    <b:Author>
      <b:Author>
        <b:Corporate>ONS</b:Corporate>
      </b:Author>
    </b:Author>
    <b:YearAccessed>2019</b:YearAccessed>
    <b:MonthAccessed>January</b:MonthAccessed>
    <b:DayAccessed>17th</b:DayAccessed>
    <b:URL>https://www.ons.gov.uk/businessindustryandtrade/retailindustry/articles/comparingbricksandmortarstoresalestoonlineretailsales/august2018</b:URL>
    <b:RefOrder>35</b:RefOrder>
  </b:Source>
  <b:Source>
    <b:Tag>Gov151</b:Tag>
    <b:SourceType>InternetSite</b:SourceType>
    <b:Guid>{1383054E-D1D9-44F6-84D5-BAB9C3263E12}</b:Guid>
    <b:Title>Modern Gov</b:Title>
    <b:Year>2015</b:Year>
    <b:YearAccessed>2019</b:YearAccessed>
    <b:MonthAccessed>January</b:MonthAccessed>
    <b:DayAccessed>17th</b:DayAccessed>
    <b:URL>https://moderngov.dover.gov.uk/Data/Cabinet/20040927/Agenda/$Agenda05_AppendixC.doc.pdf</b:URL>
    <b:Author>
      <b:Author>
        <b:Corporate>Gov.uk</b:Corporate>
      </b:Author>
    </b:Author>
    <b:RefOrder>36</b:RefOrder>
  </b:Source>
  <b:Source>
    <b:Tag>Gov19</b:Tag>
    <b:SourceType>InternetSite</b:SourceType>
    <b:Guid>{58593DFE-45B0-4ADA-838A-5876492FAC3C}</b:Guid>
    <b:Author>
      <b:Author>
        <b:Corporate>Gov.uk</b:Corporate>
      </b:Author>
    </b:Author>
    <b:Title>Department for Business, Energy &amp; Industrial Strategy</b:Title>
    <b:Year>2019</b:Year>
    <b:YearAccessed>2019</b:YearAccessed>
    <b:MonthAccessed>January</b:MonthAccessed>
    <b:DayAccessed>17th</b:DayAccessed>
    <b:URL>https://www.gov.uk/business-finance-support?keywords=&amp;types_of_support%5B%5D=finance&amp;types_of_support%5B%5D=equity&amp;types_of_support%5B%5D=grant&amp;types_of_support%5B%5D=loan&amp;business_stages%5B%5D=established&amp;industries%5B%5D=manufacturing&amp;business_sizes%5B%</b:URL>
    <b:RefOrder>37</b:RefOrder>
  </b:Source>
  <b:Source>
    <b:Tag>Fra10</b:Tag>
    <b:SourceType>Report</b:SourceType>
    <b:Guid>{C8EF62D3-3AE9-4AC7-86B0-F66337008959}</b:Guid>
    <b:Title>A Portfolio Approach to Venture Capital Financing</b:Title>
    <b:Year>2010</b:Year>
    <b:Author>
      <b:Author>
        <b:NameList>
          <b:Person>
            <b:Last>Francois</b:Last>
            <b:First>P.</b:First>
          </b:Person>
          <b:Person>
            <b:Last>Hubner</b:Last>
            <b:First>G.</b:First>
          </b:Person>
        </b:NameList>
      </b:Author>
    </b:Author>
    <b:Publisher>EDHEC</b:Publisher>
    <b:City>Montreal</b:City>
    <b:RefOrder>38</b:RefOrder>
  </b:Source>
  <b:Source>
    <b:Tag>Gov18</b:Tag>
    <b:SourceType>InternetSite</b:SourceType>
    <b:Guid>{396F0FC2-2088-4632-B85C-E8ABB3561750}</b:Guid>
    <b:Title>Investment Appraisal</b:Title>
    <b:Year>2018</b:Year>
    <b:Author>
      <b:Author>
        <b:Corporate>Gov.scot</b:Corporate>
      </b:Author>
    </b:Author>
    <b:YearAccessed>2019</b:YearAccessed>
    <b:MonthAccessed>January</b:MonthAccessed>
    <b:DayAccessed>17th</b:DayAccessed>
    <b:URL>https://www.mygov.scot/investment-appraisal/</b:URL>
    <b:RefOrder>39</b:RefOrder>
  </b:Source>
  <b:Source>
    <b:Tag>Col07</b:Tag>
    <b:SourceType>JournalArticle</b:SourceType>
    <b:Guid>{A79D8348-38A3-4E3D-B717-289B498E5539}</b:Guid>
    <b:Title>Risk and Decision Making by Finance Executives: A Survey Study</b:Title>
    <b:Year>2007</b:Year>
    <b:Author>
      <b:Author>
        <b:NameList>
          <b:Person>
            <b:Last>Coleman</b:Last>
            <b:First>L.</b:First>
          </b:Person>
        </b:NameList>
      </b:Author>
    </b:Author>
    <b:JournalName>International Journal of Managerial Finance</b:JournalName>
    <b:Pages>108-124</b:Pages>
    <b:Volume>3</b:Volume>
    <b:Issue>1</b:Issue>
    <b:RefOrder>40</b:RefOrder>
  </b:Source>
</b:Sources>
</file>

<file path=customXml/itemProps1.xml><?xml version="1.0" encoding="utf-8"?>
<ds:datastoreItem xmlns:ds="http://schemas.openxmlformats.org/officeDocument/2006/customXml" ds:itemID="{3A8958E5-9D2B-4431-9760-E7937330E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7245</Words>
  <Characters>41300</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Taylor</dc:creator>
  <cp:keywords/>
  <dc:description/>
  <cp:lastModifiedBy>James Taylor</cp:lastModifiedBy>
  <cp:revision>5</cp:revision>
  <dcterms:created xsi:type="dcterms:W3CDTF">2019-01-18T20:18:00Z</dcterms:created>
  <dcterms:modified xsi:type="dcterms:W3CDTF">2019-01-18T20:22:00Z</dcterms:modified>
</cp:coreProperties>
</file>