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670F" w:rsidRPr="00A85BFE" w:rsidRDefault="0055670F" w:rsidP="0055670F">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6B5C6CE7" wp14:editId="53CAC78A">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55670F" w:rsidRPr="00A406E5" w:rsidRDefault="0055670F" w:rsidP="0055670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5670F" w:rsidRPr="00A406E5" w:rsidTr="003B0C9B">
        <w:tc>
          <w:tcPr>
            <w:tcW w:w="9922" w:type="dxa"/>
            <w:shd w:val="clear" w:color="auto" w:fill="C0C0C0"/>
          </w:tcPr>
          <w:p w:rsidR="0055670F" w:rsidRPr="00A406E5" w:rsidRDefault="0055670F" w:rsidP="003B0C9B">
            <w:pPr>
              <w:pStyle w:val="Heading4"/>
              <w:rPr>
                <w:rFonts w:ascii="Arial" w:hAnsi="Arial" w:cs="Arial"/>
                <w:b/>
                <w:bCs/>
              </w:rPr>
            </w:pPr>
            <w:r w:rsidRPr="6D4D0207">
              <w:rPr>
                <w:rFonts w:ascii="Arial" w:hAnsi="Arial" w:cs="Arial"/>
                <w:b/>
                <w:bCs/>
              </w:rPr>
              <w:t xml:space="preserve">LEVEL 6 ASSESSMENT SPECIFICATION </w:t>
            </w:r>
          </w:p>
        </w:tc>
      </w:tr>
    </w:tbl>
    <w:p w:rsidR="0055670F" w:rsidRPr="00A406E5" w:rsidRDefault="0055670F" w:rsidP="0055670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Student name:</w:t>
            </w:r>
          </w:p>
        </w:tc>
        <w:tc>
          <w:tcPr>
            <w:tcW w:w="3293" w:type="dxa"/>
          </w:tcPr>
          <w:p w:rsidR="0055670F" w:rsidRPr="00A406E5" w:rsidRDefault="0055670F" w:rsidP="003B0C9B">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Genevieve George</w:t>
            </w:r>
          </w:p>
        </w:tc>
        <w:tc>
          <w:tcPr>
            <w:tcW w:w="2268" w:type="dxa"/>
            <w:shd w:val="clear" w:color="auto" w:fill="D9D9D9" w:themeFill="background1" w:themeFillShade="D9"/>
          </w:tcPr>
          <w:p w:rsidR="0055670F" w:rsidRPr="00A406E5" w:rsidRDefault="0055670F" w:rsidP="003B0C9B">
            <w:pPr>
              <w:spacing w:before="120" w:after="120"/>
              <w:jc w:val="both"/>
              <w:rPr>
                <w:rFonts w:ascii="Arial" w:hAnsi="Arial" w:cs="Arial"/>
                <w:b/>
                <w:bCs/>
              </w:rPr>
            </w:pPr>
            <w:r w:rsidRPr="6D4D0207">
              <w:rPr>
                <w:rFonts w:ascii="Arial" w:hAnsi="Arial" w:cs="Arial"/>
                <w:b/>
                <w:bCs/>
              </w:rPr>
              <w:t>Student ID number:</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1401017</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55670F" w:rsidRPr="00A406E5" w:rsidRDefault="0055670F" w:rsidP="003B0C9B">
            <w:pPr>
              <w:spacing w:before="120" w:after="120"/>
              <w:jc w:val="both"/>
              <w:rPr>
                <w:rFonts w:ascii="Arial" w:hAnsi="Arial" w:cs="Arial"/>
                <w:b/>
              </w:rPr>
            </w:pPr>
            <w:r>
              <w:rPr>
                <w:rFonts w:ascii="Arial" w:hAnsi="Arial" w:cs="Arial"/>
                <w:b/>
              </w:rPr>
              <w:t>Secondary PGCE</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55670F" w:rsidRPr="00A406E5" w:rsidRDefault="0055670F" w:rsidP="003B0C9B">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Module code:</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55670F" w:rsidRPr="004D5E9B" w:rsidRDefault="0055670F" w:rsidP="003B0C9B">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50%</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Lecturer:</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55670F" w:rsidRPr="00A406E5" w:rsidRDefault="0055670F" w:rsidP="003B0C9B">
            <w:pPr>
              <w:spacing w:before="120" w:after="120"/>
              <w:jc w:val="both"/>
              <w:rPr>
                <w:rFonts w:ascii="Arial" w:hAnsi="Arial" w:cs="Arial"/>
                <w:b/>
                <w:bCs/>
              </w:rPr>
            </w:pPr>
            <w:r w:rsidRPr="6D4D0207">
              <w:rPr>
                <w:rFonts w:ascii="Arial" w:hAnsi="Arial" w:cs="Arial"/>
                <w:b/>
                <w:bCs/>
              </w:rPr>
              <w:t>Internal Verifier:</w:t>
            </w:r>
          </w:p>
        </w:tc>
        <w:tc>
          <w:tcPr>
            <w:tcW w:w="2268" w:type="dxa"/>
          </w:tcPr>
          <w:p w:rsidR="0055670F" w:rsidRPr="00A406E5" w:rsidRDefault="0055670F" w:rsidP="003B0C9B">
            <w:pPr>
              <w:spacing w:before="120" w:after="120"/>
              <w:jc w:val="both"/>
              <w:rPr>
                <w:rFonts w:ascii="Arial" w:hAnsi="Arial" w:cs="Arial"/>
                <w:b/>
              </w:rPr>
            </w:pP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Assignment Title:</w:t>
            </w:r>
          </w:p>
        </w:tc>
        <w:tc>
          <w:tcPr>
            <w:tcW w:w="3293" w:type="dxa"/>
          </w:tcPr>
          <w:p w:rsidR="0055670F" w:rsidRPr="00A406E5" w:rsidRDefault="0055670F" w:rsidP="003B0C9B">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Word count (or equivalent):</w:t>
            </w:r>
          </w:p>
        </w:tc>
        <w:tc>
          <w:tcPr>
            <w:tcW w:w="2268" w:type="dxa"/>
          </w:tcPr>
          <w:p w:rsidR="0055670F" w:rsidRDefault="0055670F" w:rsidP="003B0C9B">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1,518</w:t>
            </w:r>
          </w:p>
          <w:p w:rsidR="0055670F" w:rsidRPr="006E02E8" w:rsidRDefault="0055670F" w:rsidP="003B0C9B">
            <w:pPr>
              <w:pStyle w:val="ListParagraph"/>
              <w:numPr>
                <w:ilvl w:val="0"/>
                <w:numId w:val="1"/>
              </w:numPr>
              <w:spacing w:before="120" w:after="120"/>
              <w:jc w:val="both"/>
              <w:rPr>
                <w:rFonts w:ascii="Arial" w:hAnsi="Arial" w:cs="Arial"/>
                <w:b/>
                <w:sz w:val="22"/>
                <w:szCs w:val="22"/>
              </w:rPr>
            </w:pPr>
            <w:r>
              <w:rPr>
                <w:rFonts w:ascii="Arial" w:hAnsi="Arial" w:cs="Arial"/>
                <w:b/>
                <w:sz w:val="22"/>
                <w:szCs w:val="22"/>
              </w:rPr>
              <w:t>= 1,962</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55670F" w:rsidRPr="00A406E5" w:rsidRDefault="0055670F" w:rsidP="003B0C9B">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55670F" w:rsidRPr="00A406E5" w:rsidRDefault="0055670F" w:rsidP="003B0C9B">
            <w:pPr>
              <w:spacing w:before="120" w:after="120"/>
              <w:jc w:val="both"/>
              <w:rPr>
                <w:rFonts w:ascii="Arial" w:hAnsi="Arial" w:cs="Arial"/>
                <w:b/>
              </w:rPr>
            </w:pPr>
            <w:r>
              <w:rPr>
                <w:rFonts w:ascii="Arial" w:hAnsi="Arial" w:cs="Arial"/>
                <w:b/>
              </w:rPr>
              <w:t>17 December 2018</w:t>
            </w:r>
          </w:p>
        </w:tc>
      </w:tr>
      <w:tr w:rsidR="0055670F" w:rsidRPr="00A406E5" w:rsidTr="003B0C9B">
        <w:tc>
          <w:tcPr>
            <w:tcW w:w="2093" w:type="dxa"/>
            <w:shd w:val="clear" w:color="auto" w:fill="auto"/>
          </w:tcPr>
          <w:p w:rsidR="0055670F" w:rsidRPr="00A406E5" w:rsidRDefault="0055670F" w:rsidP="003B0C9B">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55670F" w:rsidRPr="00A406E5" w:rsidRDefault="0055670F" w:rsidP="003B0C9B">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5670F" w:rsidRPr="00A406E5" w:rsidRDefault="0055670F" w:rsidP="003B0C9B">
            <w:pPr>
              <w:spacing w:before="120" w:after="120"/>
              <w:jc w:val="both"/>
              <w:rPr>
                <w:rFonts w:ascii="Arial" w:hAnsi="Arial" w:cs="Arial"/>
                <w:b/>
                <w:bCs/>
              </w:rPr>
            </w:pPr>
            <w:r w:rsidRPr="6D4D0207">
              <w:rPr>
                <w:rFonts w:ascii="Arial" w:hAnsi="Arial" w:cs="Arial"/>
                <w:b/>
                <w:bCs/>
              </w:rPr>
              <w:t xml:space="preserve">Alternative submission method (if applicable): </w:t>
            </w:r>
          </w:p>
          <w:p w:rsidR="0055670F" w:rsidRPr="00A406E5" w:rsidRDefault="0055670F" w:rsidP="003B0C9B">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55670F" w:rsidRPr="00A406E5" w:rsidTr="003B0C9B">
        <w:tc>
          <w:tcPr>
            <w:tcW w:w="2093" w:type="dxa"/>
            <w:shd w:val="clear" w:color="auto" w:fill="auto"/>
          </w:tcPr>
          <w:p w:rsidR="0055670F" w:rsidRPr="00A406E5" w:rsidRDefault="0055670F" w:rsidP="003B0C9B">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55670F" w:rsidRPr="00A406E5" w:rsidRDefault="0055670F" w:rsidP="003B0C9B">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rsidR="0055670F" w:rsidRPr="00A406E5" w:rsidRDefault="0055670F" w:rsidP="0055670F">
      <w:pPr>
        <w:rPr>
          <w:rFonts w:ascii="Arial" w:hAnsi="Arial" w:cs="Arial"/>
          <w:sz w:val="32"/>
        </w:rPr>
      </w:pPr>
    </w:p>
    <w:p w:rsidR="009E4C38" w:rsidRDefault="009E4C38" w:rsidP="00736413">
      <w:pPr>
        <w:jc w:val="both"/>
      </w:pPr>
    </w:p>
    <w:p w:rsidR="009E4C38" w:rsidRDefault="009E4C38" w:rsidP="00736413">
      <w:pPr>
        <w:jc w:val="both"/>
      </w:pPr>
    </w:p>
    <w:p w:rsidR="009E4C38" w:rsidRDefault="009E4C38" w:rsidP="00736413">
      <w:pPr>
        <w:jc w:val="both"/>
      </w:pPr>
    </w:p>
    <w:p w:rsidR="003644A2" w:rsidRPr="0055670F" w:rsidRDefault="003644A2" w:rsidP="00736413">
      <w:pPr>
        <w:jc w:val="both"/>
        <w:rPr>
          <w:u w:val="single"/>
        </w:rPr>
      </w:pPr>
      <w:r w:rsidRPr="0055670F">
        <w:rPr>
          <w:u w:val="single"/>
        </w:rPr>
        <w:lastRenderedPageBreak/>
        <w:t>Part B(</w:t>
      </w:r>
      <w:proofErr w:type="spellStart"/>
      <w:r w:rsidRPr="0055670F">
        <w:rPr>
          <w:u w:val="single"/>
        </w:rPr>
        <w:t>i</w:t>
      </w:r>
      <w:proofErr w:type="spellEnd"/>
      <w:r w:rsidRPr="0055670F">
        <w:rPr>
          <w:u w:val="single"/>
        </w:rPr>
        <w:t>)</w:t>
      </w:r>
    </w:p>
    <w:p w:rsidR="003644A2" w:rsidRPr="00736413" w:rsidRDefault="003644A2" w:rsidP="00736413">
      <w:pPr>
        <w:spacing w:line="480" w:lineRule="auto"/>
        <w:jc w:val="both"/>
      </w:pPr>
      <w:r w:rsidRPr="00736413">
        <w:tab/>
        <w:t xml:space="preserve">When constructing the microteach lesson, </w:t>
      </w:r>
      <w:proofErr w:type="gramStart"/>
      <w:r w:rsidRPr="00736413">
        <w:t>a number of</w:t>
      </w:r>
      <w:proofErr w:type="gramEnd"/>
      <w:r w:rsidRPr="00736413">
        <w:t xml:space="preserve"> elements were used in the planning of the scheme of work, lesson plan and the actual lesson. The</w:t>
      </w:r>
      <w:r w:rsidR="000B3FD9" w:rsidRPr="00736413">
        <w:t xml:space="preserve"> </w:t>
      </w:r>
      <w:r w:rsidRPr="00736413">
        <w:t xml:space="preserve">elements that </w:t>
      </w:r>
      <w:r w:rsidR="000B3FD9" w:rsidRPr="00736413">
        <w:t xml:space="preserve">underpin </w:t>
      </w:r>
      <w:r w:rsidRPr="00736413">
        <w:t xml:space="preserve">the exercise were Curriculum Cymreig, the Literacy and Numeracy Framework (LNF) and differentiation and learning. Within differentiation and learning, </w:t>
      </w:r>
      <w:r w:rsidR="000B3FD9" w:rsidRPr="00736413">
        <w:t xml:space="preserve">pedagogy and </w:t>
      </w:r>
      <w:r w:rsidR="00691B26" w:rsidRPr="00736413">
        <w:t xml:space="preserve">learning theory </w:t>
      </w:r>
      <w:r w:rsidR="000B3FD9" w:rsidRPr="00736413">
        <w:t>were an important part of the thinking process.</w:t>
      </w:r>
    </w:p>
    <w:p w:rsidR="00FA108C" w:rsidRPr="00736413" w:rsidRDefault="00691B26" w:rsidP="00736413">
      <w:pPr>
        <w:spacing w:line="480" w:lineRule="auto"/>
        <w:jc w:val="both"/>
      </w:pPr>
      <w:r w:rsidRPr="00736413">
        <w:tab/>
      </w:r>
      <w:r w:rsidR="00E10D65" w:rsidRPr="00736413">
        <w:t>Curriculum Cymreig, now a statutory requirement</w:t>
      </w:r>
      <w:r w:rsidR="006C50E7" w:rsidRPr="00736413">
        <w:t xml:space="preserve"> across all subject areas in schools in Wales, was designed to provide all learners with a sense of belonging and understanding what it is to be living and learning in Wales</w:t>
      </w:r>
      <w:sdt>
        <w:sdtPr>
          <w:id w:val="-165876551"/>
          <w:citation/>
        </w:sdtPr>
        <w:sdtEndPr/>
        <w:sdtContent>
          <w:r w:rsidR="006C50E7" w:rsidRPr="00736413">
            <w:fldChar w:fldCharType="begin"/>
          </w:r>
          <w:r w:rsidR="006C50E7" w:rsidRPr="00736413">
            <w:instrText xml:space="preserve"> CITATION Cur03 \l 1033 </w:instrText>
          </w:r>
          <w:r w:rsidR="006C50E7" w:rsidRPr="00736413">
            <w:fldChar w:fldCharType="separate"/>
          </w:r>
          <w:r w:rsidR="006C50E7" w:rsidRPr="00736413">
            <w:t xml:space="preserve"> ( Curriculum and Assessment Authority for Wales (ACCAC), 2003)</w:t>
          </w:r>
          <w:r w:rsidR="006C50E7" w:rsidRPr="00736413">
            <w:fldChar w:fldCharType="end"/>
          </w:r>
        </w:sdtContent>
      </w:sdt>
      <w:r w:rsidR="006C50E7" w:rsidRPr="00736413">
        <w:t>.</w:t>
      </w:r>
      <w:r w:rsidR="004A0268" w:rsidRPr="00736413">
        <w:t xml:space="preserve"> Therefore, Curriculum Cymreig not only develops the use of the Welsh language in education, but also Welsh history and culture along with the economy and environment (ACCAC, 2003). Within the lesson that was taught as part of the microteach exercise there was a distinct lack of the cultural and historical elements of Curriculum Cymreig as the lesson did not lend itself to those. However, the lesson did </w:t>
      </w:r>
      <w:r w:rsidR="0012524D" w:rsidRPr="00736413">
        <w:t xml:space="preserve">cater for the linguistic aspect of Curriculum Cymreig in several ways. There was certainly </w:t>
      </w:r>
      <w:r w:rsidR="00DB0D4F" w:rsidRPr="00736413">
        <w:t>use of incidental Welsh within the lesson, with learners being greeted and occasionally praised in Welsh. It was also recognized that learners have different levels of Welsh fluency and the use of ‘Amcanion Dysgu’ being displayed alongside ‘learning objectives’ on the PowerPoint provided all learners with access to a Welsh language presence</w:t>
      </w:r>
      <w:r w:rsidR="005A0901" w:rsidRPr="00736413">
        <w:t xml:space="preserve"> (ACCAC, 2003)</w:t>
      </w:r>
      <w:r w:rsidR="00DB0D4F" w:rsidRPr="00736413">
        <w:t>.</w:t>
      </w:r>
    </w:p>
    <w:p w:rsidR="00691B26" w:rsidRPr="00736413" w:rsidRDefault="00DB0D4F" w:rsidP="00736413">
      <w:pPr>
        <w:spacing w:line="480" w:lineRule="auto"/>
        <w:ind w:firstLine="720"/>
        <w:jc w:val="both"/>
      </w:pPr>
      <w:r w:rsidRPr="00736413">
        <w:t xml:space="preserve"> Lesson three in the scheme of work showcased a more effective use of Curriculum Cymreig, focusing not only on the linguistic aspect</w:t>
      </w:r>
      <w:r w:rsidR="005A0901" w:rsidRPr="00736413">
        <w:t xml:space="preserve">, but upon the cultural and historical aspects too. The lesson was designed to provide learners with the understanding that there was a Welsh presence in the </w:t>
      </w:r>
      <w:r w:rsidR="009235ED" w:rsidRPr="00736413">
        <w:t>C</w:t>
      </w:r>
      <w:r w:rsidR="005A0901" w:rsidRPr="00736413">
        <w:t>rusades</w:t>
      </w:r>
      <w:sdt>
        <w:sdtPr>
          <w:id w:val="2119092229"/>
          <w:citation/>
        </w:sdtPr>
        <w:sdtEndPr/>
        <w:sdtContent>
          <w:r w:rsidR="00A564C6" w:rsidRPr="00736413">
            <w:fldChar w:fldCharType="begin"/>
          </w:r>
          <w:r w:rsidR="00A564C6" w:rsidRPr="00736413">
            <w:instrText xml:space="preserve"> CITATION NGf09 \l 1033 </w:instrText>
          </w:r>
          <w:r w:rsidR="00A564C6" w:rsidRPr="00736413">
            <w:fldChar w:fldCharType="separate"/>
          </w:r>
          <w:r w:rsidR="00A564C6" w:rsidRPr="00736413">
            <w:t xml:space="preserve"> (Cymru, 2009)</w:t>
          </w:r>
          <w:r w:rsidR="00A564C6" w:rsidRPr="00736413">
            <w:fldChar w:fldCharType="end"/>
          </w:r>
        </w:sdtContent>
      </w:sdt>
      <w:r w:rsidR="005A0901" w:rsidRPr="00736413">
        <w:t xml:space="preserve">. By using Gerald of </w:t>
      </w:r>
      <w:proofErr w:type="gramStart"/>
      <w:r w:rsidR="005A0901" w:rsidRPr="00736413">
        <w:t>Wales</w:t>
      </w:r>
      <w:proofErr w:type="gramEnd"/>
      <w:r w:rsidR="005A0901" w:rsidRPr="00736413">
        <w:t xml:space="preserve"> the learner is exposed to past and present links with Wales and the wider world</w:t>
      </w:r>
      <w:r w:rsidR="00A564C6" w:rsidRPr="00736413">
        <w:t xml:space="preserve">, in addition to understanding the importance of religion during that period (ACCAC, 2003). </w:t>
      </w:r>
      <w:r w:rsidR="009235ED" w:rsidRPr="00736413">
        <w:t xml:space="preserve">The homework task for this lesson further emphasizes the Welsh presence during the Crusades by instructing learners complete a small research piece on any Welsh crusader. The inclusion of Welsh history within the Crusades can be particularly effective as very often in history, the role of </w:t>
      </w:r>
      <w:r w:rsidR="009235ED" w:rsidRPr="00736413">
        <w:lastRenderedPageBreak/>
        <w:t xml:space="preserve">the Wales is often marginalized and absorbed into </w:t>
      </w:r>
      <w:r w:rsidR="00E14D73" w:rsidRPr="00736413">
        <w:t>that of English or British history. In teaching history in this way, it can be very hard for learners to forge an identity based on the history of their nation</w:t>
      </w:r>
      <w:sdt>
        <w:sdtPr>
          <w:id w:val="200056203"/>
          <w:citation/>
        </w:sdtPr>
        <w:sdtEndPr/>
        <w:sdtContent>
          <w:r w:rsidR="00E14D73" w:rsidRPr="00736413">
            <w:fldChar w:fldCharType="begin"/>
          </w:r>
          <w:r w:rsidR="00E14D73" w:rsidRPr="00736413">
            <w:instrText xml:space="preserve"> CITATION KBa09 \l 1033 </w:instrText>
          </w:r>
          <w:r w:rsidR="00E14D73" w:rsidRPr="00736413">
            <w:fldChar w:fldCharType="separate"/>
          </w:r>
          <w:r w:rsidR="00E14D73" w:rsidRPr="00736413">
            <w:t xml:space="preserve"> (Barton, 2009)</w:t>
          </w:r>
          <w:r w:rsidR="00E14D73" w:rsidRPr="00736413">
            <w:fldChar w:fldCharType="end"/>
          </w:r>
        </w:sdtContent>
      </w:sdt>
      <w:r w:rsidR="00E14D73" w:rsidRPr="00736413">
        <w:t>.</w:t>
      </w:r>
    </w:p>
    <w:p w:rsidR="003520C6" w:rsidRPr="00736413" w:rsidRDefault="00A341EC" w:rsidP="00736413">
      <w:pPr>
        <w:spacing w:line="480" w:lineRule="auto"/>
        <w:jc w:val="both"/>
      </w:pPr>
      <w:r w:rsidRPr="00736413">
        <w:tab/>
        <w:t>The Literacy and Numeracy Framework (LNF) was also an important factor to think about when creating the scheme of work and chosen lesson.</w:t>
      </w:r>
      <w:r w:rsidR="0054089B" w:rsidRPr="00736413">
        <w:t xml:space="preserve"> </w:t>
      </w:r>
      <w:r w:rsidR="00925448" w:rsidRPr="00736413">
        <w:t>The oracy stream of the LNF is featured throughout the scheme of work.</w:t>
      </w:r>
      <w:r w:rsidR="0054089B" w:rsidRPr="00736413">
        <w:t xml:space="preserve"> This element of the </w:t>
      </w:r>
      <w:r w:rsidR="000B3FD9" w:rsidRPr="00736413">
        <w:t>l</w:t>
      </w:r>
      <w:r w:rsidR="0054089B" w:rsidRPr="00736413">
        <w:t xml:space="preserve">iteracy framework cannot be understated as it not only helps </w:t>
      </w:r>
      <w:r w:rsidR="000B3FD9" w:rsidRPr="00736413">
        <w:t>learners</w:t>
      </w:r>
      <w:r w:rsidR="0054089B" w:rsidRPr="00736413">
        <w:t xml:space="preserve"> develop their speaking, listening and communication skills within an educational setting, it also enables learners to become ‘confident individuals whose voices can be heard</w:t>
      </w:r>
      <w:r w:rsidR="004E4C99" w:rsidRPr="00736413">
        <w:t xml:space="preserve">’ (LLC </w:t>
      </w:r>
      <w:proofErr w:type="spellStart"/>
      <w:r w:rsidR="004E4C99" w:rsidRPr="00736413">
        <w:t>AoLE</w:t>
      </w:r>
      <w:proofErr w:type="spellEnd"/>
      <w:r w:rsidR="004E4C99" w:rsidRPr="00736413">
        <w:t xml:space="preserve"> Group, 2017). </w:t>
      </w:r>
      <w:r w:rsidR="007375B9" w:rsidRPr="00736413">
        <w:t>Oracy in the classroom is also an excellent way for learners to develop their language skills along with their social skills</w:t>
      </w:r>
      <w:r w:rsidR="00FA108C" w:rsidRPr="00736413">
        <w:t>,</w:t>
      </w:r>
      <w:r w:rsidR="007375B9" w:rsidRPr="00736413">
        <w:t xml:space="preserve"> and therefore</w:t>
      </w:r>
      <w:r w:rsidR="00FA108C" w:rsidRPr="00736413">
        <w:t>,</w:t>
      </w:r>
      <w:r w:rsidR="007375B9" w:rsidRPr="00736413">
        <w:t xml:space="preserve"> group work and role play activities can be seen throughout the scheme of work to ensure that these skills have the opportunity to grow</w:t>
      </w:r>
      <w:sdt>
        <w:sdtPr>
          <w:id w:val="564451150"/>
          <w:citation/>
        </w:sdtPr>
        <w:sdtEndPr/>
        <w:sdtContent>
          <w:r w:rsidR="007375B9" w:rsidRPr="00736413">
            <w:fldChar w:fldCharType="begin"/>
          </w:r>
          <w:r w:rsidR="007375B9" w:rsidRPr="00736413">
            <w:instrText xml:space="preserve"> CITATION Wal05 \l 1033 </w:instrText>
          </w:r>
          <w:r w:rsidR="007375B9" w:rsidRPr="00736413">
            <w:fldChar w:fldCharType="separate"/>
          </w:r>
          <w:r w:rsidR="007375B9" w:rsidRPr="00736413">
            <w:t xml:space="preserve"> (Walford, 2005)</w:t>
          </w:r>
          <w:r w:rsidR="007375B9" w:rsidRPr="00736413">
            <w:fldChar w:fldCharType="end"/>
          </w:r>
        </w:sdtContent>
      </w:sdt>
      <w:r w:rsidR="007375B9" w:rsidRPr="00736413">
        <w:t xml:space="preserve">. </w:t>
      </w:r>
      <w:r w:rsidR="00306D8E" w:rsidRPr="00736413">
        <w:t>Group</w:t>
      </w:r>
      <w:r w:rsidR="00925448" w:rsidRPr="00736413">
        <w:t xml:space="preserve"> work and role play activities not only </w:t>
      </w:r>
      <w:r w:rsidR="00FA108C" w:rsidRPr="00736413">
        <w:t>develop learner’s</w:t>
      </w:r>
      <w:r w:rsidR="00925448" w:rsidRPr="00736413">
        <w:t xml:space="preserve"> </w:t>
      </w:r>
      <w:r w:rsidR="00306D8E" w:rsidRPr="00736413">
        <w:t>language, speaking and listening</w:t>
      </w:r>
      <w:r w:rsidR="00925448" w:rsidRPr="00736413">
        <w:t xml:space="preserve"> skills, but</w:t>
      </w:r>
      <w:r w:rsidR="00FA108C" w:rsidRPr="00736413">
        <w:t xml:space="preserve"> also</w:t>
      </w:r>
      <w:r w:rsidR="00925448" w:rsidRPr="00736413">
        <w:t xml:space="preserve"> their discussion and collaboration skills</w:t>
      </w:r>
      <w:sdt>
        <w:sdtPr>
          <w:id w:val="964156885"/>
          <w:citation/>
        </w:sdtPr>
        <w:sdtEndPr/>
        <w:sdtContent>
          <w:r w:rsidR="000B3FD9" w:rsidRPr="00736413">
            <w:fldChar w:fldCharType="begin"/>
          </w:r>
          <w:r w:rsidR="000B3FD9" w:rsidRPr="00736413">
            <w:instrText xml:space="preserve"> CITATION Wel14 \l 1033 </w:instrText>
          </w:r>
          <w:r w:rsidR="000B3FD9" w:rsidRPr="00736413">
            <w:fldChar w:fldCharType="separate"/>
          </w:r>
          <w:r w:rsidR="000B3FD9" w:rsidRPr="00736413">
            <w:t xml:space="preserve"> (Welsh Government, 2014)</w:t>
          </w:r>
          <w:r w:rsidR="000B3FD9" w:rsidRPr="00736413">
            <w:fldChar w:fldCharType="end"/>
          </w:r>
        </w:sdtContent>
      </w:sdt>
      <w:r w:rsidR="00925448" w:rsidRPr="00736413">
        <w:t>.</w:t>
      </w:r>
      <w:r w:rsidR="00EE5BB1" w:rsidRPr="00736413">
        <w:t xml:space="preserve"> This was initially a point of contention</w:t>
      </w:r>
      <w:r w:rsidR="00FA108C" w:rsidRPr="00736413">
        <w:t xml:space="preserve"> when deciding whether to include much group work within the microteach</w:t>
      </w:r>
      <w:r w:rsidR="003520C6" w:rsidRPr="00736413">
        <w:t>.</w:t>
      </w:r>
      <w:r w:rsidR="00EE5BB1" w:rsidRPr="00736413">
        <w:t xml:space="preserve"> </w:t>
      </w:r>
      <w:r w:rsidR="003520C6" w:rsidRPr="00736413">
        <w:t>A</w:t>
      </w:r>
      <w:r w:rsidR="00EE5BB1" w:rsidRPr="00736413">
        <w:t xml:space="preserve">lthough </w:t>
      </w:r>
      <w:r w:rsidR="00FA108C" w:rsidRPr="00736413">
        <w:t>it</w:t>
      </w:r>
      <w:r w:rsidR="00EE5BB1" w:rsidRPr="00736413">
        <w:t xml:space="preserve"> is an excellent way to incorporate oracy into the classroom, there ha</w:t>
      </w:r>
      <w:r w:rsidR="003520C6" w:rsidRPr="00736413">
        <w:t>s</w:t>
      </w:r>
      <w:r w:rsidR="00EE5BB1" w:rsidRPr="00736413">
        <w:t xml:space="preserve"> been a debate throughout the years over the value of group work because of some of the problems it can create, including concerns over pupil contributions and whether it can affect the coverage of content</w:t>
      </w:r>
      <w:r w:rsidR="003520C6" w:rsidRPr="00736413">
        <w:t xml:space="preserve"> in a lesson</w:t>
      </w:r>
      <w:sdt>
        <w:sdtPr>
          <w:id w:val="-1377149693"/>
          <w:citation/>
        </w:sdtPr>
        <w:sdtEndPr/>
        <w:sdtContent>
          <w:r w:rsidR="00EE5BB1" w:rsidRPr="00736413">
            <w:fldChar w:fldCharType="begin"/>
          </w:r>
          <w:r w:rsidR="00EE5BB1" w:rsidRPr="00736413">
            <w:instrText xml:space="preserve"> CITATION Art15 \l 1033 </w:instrText>
          </w:r>
          <w:r w:rsidR="00EE5BB1" w:rsidRPr="00736413">
            <w:fldChar w:fldCharType="separate"/>
          </w:r>
          <w:r w:rsidR="00EE5BB1" w:rsidRPr="00736413">
            <w:t xml:space="preserve"> (Arthur, et al., 2015)</w:t>
          </w:r>
          <w:r w:rsidR="00EE5BB1" w:rsidRPr="00736413">
            <w:fldChar w:fldCharType="end"/>
          </w:r>
        </w:sdtContent>
      </w:sdt>
      <w:r w:rsidR="00EE5BB1" w:rsidRPr="00736413">
        <w:t>. Ultimately, it was decided that group work would be an important inclusion in the scheme of work</w:t>
      </w:r>
      <w:r w:rsidR="003520C6" w:rsidRPr="00736413">
        <w:t xml:space="preserve"> due the positive effects it can have on the </w:t>
      </w:r>
      <w:proofErr w:type="gramStart"/>
      <w:r w:rsidR="003520C6" w:rsidRPr="00736413">
        <w:t>learners</w:t>
      </w:r>
      <w:proofErr w:type="gramEnd"/>
      <w:r w:rsidR="003520C6" w:rsidRPr="00736413">
        <w:t xml:space="preserve"> development and learning</w:t>
      </w:r>
      <w:r w:rsidR="00EE5BB1" w:rsidRPr="00736413">
        <w:t>.</w:t>
      </w:r>
      <w:r w:rsidR="00925448" w:rsidRPr="00736413">
        <w:t xml:space="preserve"> </w:t>
      </w:r>
      <w:r w:rsidR="000B3FD9" w:rsidRPr="00736413">
        <w:t>The reading strand of the framework was used to create some of the activities</w:t>
      </w:r>
      <w:r w:rsidR="002D5A45" w:rsidRPr="00736413">
        <w:t xml:space="preserve">, </w:t>
      </w:r>
      <w:r w:rsidR="000B3FD9" w:rsidRPr="00736413">
        <w:t xml:space="preserve">including one that requires learners to use evidence from crusaders describing life on crusade, an activity that could potentially fit within the comprehension </w:t>
      </w:r>
      <w:r w:rsidR="002D5A45" w:rsidRPr="00736413">
        <w:t>element of the reading strand. Within the taught lesson, more emphasis could have been given to the LNF,</w:t>
      </w:r>
      <w:r w:rsidR="00306D8E" w:rsidRPr="00736413">
        <w:t xml:space="preserve"> </w:t>
      </w:r>
      <w:r w:rsidR="002D5A45" w:rsidRPr="00736413">
        <w:t>however there were opportunities to ensure the grammar, punctuation and spelling element of the writing strand of the LNF</w:t>
      </w:r>
      <w:sdt>
        <w:sdtPr>
          <w:id w:val="-1745948055"/>
          <w:citation/>
        </w:sdtPr>
        <w:sdtEndPr/>
        <w:sdtContent>
          <w:r w:rsidR="002D5A45" w:rsidRPr="00736413">
            <w:fldChar w:fldCharType="begin"/>
          </w:r>
          <w:r w:rsidR="002D5A45" w:rsidRPr="00736413">
            <w:instrText xml:space="preserve"> CITATION Wel14 \l 1033 </w:instrText>
          </w:r>
          <w:r w:rsidR="002D5A45" w:rsidRPr="00736413">
            <w:fldChar w:fldCharType="separate"/>
          </w:r>
          <w:r w:rsidR="002D5A45" w:rsidRPr="00736413">
            <w:t xml:space="preserve"> (Welsh Government, 2014)</w:t>
          </w:r>
          <w:r w:rsidR="002D5A45" w:rsidRPr="00736413">
            <w:fldChar w:fldCharType="end"/>
          </w:r>
        </w:sdtContent>
      </w:sdt>
      <w:r w:rsidR="002D5A45" w:rsidRPr="00736413">
        <w:t>.</w:t>
      </w:r>
      <w:r w:rsidR="00306D8E" w:rsidRPr="00736413">
        <w:t xml:space="preserve"> </w:t>
      </w:r>
    </w:p>
    <w:p w:rsidR="00A341EC" w:rsidRPr="00736413" w:rsidRDefault="00EE5BB1" w:rsidP="00736413">
      <w:pPr>
        <w:spacing w:line="480" w:lineRule="auto"/>
        <w:ind w:firstLine="720"/>
        <w:jc w:val="both"/>
      </w:pPr>
      <w:r w:rsidRPr="00736413">
        <w:lastRenderedPageBreak/>
        <w:t xml:space="preserve">Finally, due to the importance of the LNF, </w:t>
      </w:r>
      <w:r w:rsidR="00A66E84" w:rsidRPr="00736413">
        <w:t xml:space="preserve">an element of numeracy was added to </w:t>
      </w:r>
      <w:r w:rsidRPr="00736413">
        <w:t xml:space="preserve">the scheme of work. </w:t>
      </w:r>
      <w:r w:rsidR="00A66E84" w:rsidRPr="00736413">
        <w:t>One lesson in the scheme of work requires learners to measure the distance that crusaders would have had to travel, a skill which comes under the ‘using measuring skills’ in the LNF framework</w:t>
      </w:r>
      <w:sdt>
        <w:sdtPr>
          <w:id w:val="342905990"/>
          <w:citation/>
        </w:sdtPr>
        <w:sdtEndPr/>
        <w:sdtContent>
          <w:r w:rsidR="00A66E84" w:rsidRPr="00736413">
            <w:fldChar w:fldCharType="begin"/>
          </w:r>
          <w:r w:rsidR="00A66E84" w:rsidRPr="00736413">
            <w:instrText xml:space="preserve"> CITATION Wel14 \l 1033 </w:instrText>
          </w:r>
          <w:r w:rsidR="00A66E84" w:rsidRPr="00736413">
            <w:fldChar w:fldCharType="separate"/>
          </w:r>
          <w:r w:rsidR="00A66E84" w:rsidRPr="00736413">
            <w:t xml:space="preserve"> (Welsh Government, 2014)</w:t>
          </w:r>
          <w:r w:rsidR="00A66E84" w:rsidRPr="00736413">
            <w:fldChar w:fldCharType="end"/>
          </w:r>
        </w:sdtContent>
      </w:sdt>
      <w:r w:rsidR="00A66E84" w:rsidRPr="00736413">
        <w:t xml:space="preserve">. Initially, </w:t>
      </w:r>
      <w:r w:rsidR="004C4E00" w:rsidRPr="00736413">
        <w:t>there was going to be a lesson that included differences is the amount of people who took part in the Crusades, but after reading</w:t>
      </w:r>
      <w:r w:rsidR="00A66E84" w:rsidRPr="00736413">
        <w:t xml:space="preserve"> Ian Phillips</w:t>
      </w:r>
      <w:r w:rsidR="004C4E00" w:rsidRPr="00736413">
        <w:t xml:space="preserve">’ </w:t>
      </w:r>
      <w:r w:rsidR="00A66E84" w:rsidRPr="00736413">
        <w:t xml:space="preserve">(2002) </w:t>
      </w:r>
      <w:r w:rsidR="004C4E00" w:rsidRPr="00736413">
        <w:t>article about numeracy within history it was decided that it would be incorporated in another way. Phillips stated that rather than inserting numeracy to meet requirements, mathematics could be used to enrich history and provide learners with access to numeracy that aids historical thinking</w:t>
      </w:r>
      <w:sdt>
        <w:sdtPr>
          <w:id w:val="487513648"/>
          <w:citation/>
        </w:sdtPr>
        <w:sdtEndPr/>
        <w:sdtContent>
          <w:r w:rsidR="004C4E00" w:rsidRPr="00736413">
            <w:fldChar w:fldCharType="begin"/>
          </w:r>
          <w:r w:rsidR="004C4E00" w:rsidRPr="00736413">
            <w:instrText xml:space="preserve"> CITATION Phi02 \l 1033 </w:instrText>
          </w:r>
          <w:r w:rsidR="004C4E00" w:rsidRPr="00736413">
            <w:fldChar w:fldCharType="separate"/>
          </w:r>
          <w:r w:rsidR="004C4E00" w:rsidRPr="00736413">
            <w:t xml:space="preserve"> (Phillips, 2002)</w:t>
          </w:r>
          <w:r w:rsidR="004C4E00" w:rsidRPr="00736413">
            <w:fldChar w:fldCharType="end"/>
          </w:r>
        </w:sdtContent>
      </w:sdt>
      <w:r w:rsidR="004C4E00" w:rsidRPr="00736413">
        <w:t xml:space="preserve">. </w:t>
      </w:r>
    </w:p>
    <w:p w:rsidR="003520C6" w:rsidRPr="00736413" w:rsidRDefault="004C4E00" w:rsidP="00736413">
      <w:pPr>
        <w:spacing w:line="480" w:lineRule="auto"/>
        <w:jc w:val="both"/>
      </w:pPr>
      <w:r w:rsidRPr="00736413">
        <w:tab/>
        <w:t xml:space="preserve">Differentiation and learning </w:t>
      </w:r>
      <w:r w:rsidR="00873814" w:rsidRPr="00736413">
        <w:t>were</w:t>
      </w:r>
      <w:r w:rsidR="00C93B15" w:rsidRPr="00736413">
        <w:t xml:space="preserve"> applied to the microteach lesson through scaffolding</w:t>
      </w:r>
      <w:r w:rsidR="009F44F1" w:rsidRPr="00736413">
        <w:t xml:space="preserve"> and tailoring questions to meet </w:t>
      </w:r>
      <w:proofErr w:type="spellStart"/>
      <w:r w:rsidR="009F44F1" w:rsidRPr="00736413">
        <w:t>students</w:t>
      </w:r>
      <w:proofErr w:type="spellEnd"/>
      <w:r w:rsidR="009F44F1" w:rsidRPr="00736413">
        <w:t xml:space="preserve"> needs. </w:t>
      </w:r>
      <w:r w:rsidR="00363F1D" w:rsidRPr="00736413">
        <w:t xml:space="preserve">The use of scaffolding during the lesson was mainly influenced by Vygotsky’s theory on the zone of proximal development. The theory states that the zone of proximal development is the gap between a </w:t>
      </w:r>
      <w:r w:rsidR="00873814" w:rsidRPr="00736413">
        <w:t>learner’s</w:t>
      </w:r>
      <w:r w:rsidR="00363F1D" w:rsidRPr="00736413">
        <w:t xml:space="preserve"> actual developmental level and the learner</w:t>
      </w:r>
      <w:r w:rsidR="00873814" w:rsidRPr="00736413">
        <w:t>’</w:t>
      </w:r>
      <w:r w:rsidR="00363F1D" w:rsidRPr="00736413">
        <w:t>s potential developmental level</w:t>
      </w:r>
      <w:sdt>
        <w:sdtPr>
          <w:id w:val="-741024363"/>
          <w:citation/>
        </w:sdtPr>
        <w:sdtEndPr/>
        <w:sdtContent>
          <w:r w:rsidR="00363F1D" w:rsidRPr="00736413">
            <w:fldChar w:fldCharType="begin"/>
          </w:r>
          <w:r w:rsidR="00363F1D" w:rsidRPr="00736413">
            <w:instrText xml:space="preserve"> CITATION Abt18 \l 1033 </w:instrText>
          </w:r>
          <w:r w:rsidR="00363F1D" w:rsidRPr="00736413">
            <w:fldChar w:fldCharType="separate"/>
          </w:r>
          <w:r w:rsidR="00363F1D" w:rsidRPr="00736413">
            <w:t xml:space="preserve"> (Abtahi, 2018)</w:t>
          </w:r>
          <w:r w:rsidR="00363F1D" w:rsidRPr="00736413">
            <w:fldChar w:fldCharType="end"/>
          </w:r>
        </w:sdtContent>
      </w:sdt>
      <w:r w:rsidR="00363F1D" w:rsidRPr="00736413">
        <w:t xml:space="preserve">. </w:t>
      </w:r>
      <w:r w:rsidR="0095686D" w:rsidRPr="00736413">
        <w:t xml:space="preserve">Vygotsky suggested that </w:t>
      </w:r>
      <w:proofErr w:type="gramStart"/>
      <w:r w:rsidR="0095686D" w:rsidRPr="00736413">
        <w:t>in order to</w:t>
      </w:r>
      <w:proofErr w:type="gramEnd"/>
      <w:r w:rsidR="0095686D" w:rsidRPr="00736413">
        <w:t xml:space="preserve"> bridge this gap, someone of the same age or a higher age can help the learner development reach a higher level through scaffolding thought processes</w:t>
      </w:r>
      <w:sdt>
        <w:sdtPr>
          <w:id w:val="-119688307"/>
          <w:citation/>
        </w:sdtPr>
        <w:sdtEndPr/>
        <w:sdtContent>
          <w:r w:rsidR="0095686D" w:rsidRPr="00736413">
            <w:fldChar w:fldCharType="begin"/>
          </w:r>
          <w:r w:rsidR="0095686D" w:rsidRPr="00736413">
            <w:instrText xml:space="preserve"> CITATION Muj05 \l 1033 </w:instrText>
          </w:r>
          <w:r w:rsidR="0095686D" w:rsidRPr="00736413">
            <w:fldChar w:fldCharType="separate"/>
          </w:r>
          <w:r w:rsidR="0095686D" w:rsidRPr="00736413">
            <w:t xml:space="preserve"> (Mujis, 2005)</w:t>
          </w:r>
          <w:r w:rsidR="0095686D" w:rsidRPr="00736413">
            <w:fldChar w:fldCharType="end"/>
          </w:r>
        </w:sdtContent>
      </w:sdt>
      <w:r w:rsidR="0095686D" w:rsidRPr="00736413">
        <w:t xml:space="preserve">. </w:t>
      </w:r>
      <w:r w:rsidR="00873814" w:rsidRPr="00736413">
        <w:t xml:space="preserve">Within an educational context, these would be teachers, other adults and peers. One of the activities in the lesson required pupils </w:t>
      </w:r>
      <w:r w:rsidR="00427D60" w:rsidRPr="00736413">
        <w:t xml:space="preserve">to complete a table by making judgements about the significance of consequences of the Crusades. Scaffolding from the teacher was available in the form of worksheets that had prompting questions on them and a list of things to think about </w:t>
      </w:r>
      <w:proofErr w:type="gramStart"/>
      <w:r w:rsidR="00427D60" w:rsidRPr="00736413">
        <w:t>in order for</w:t>
      </w:r>
      <w:proofErr w:type="gramEnd"/>
      <w:r w:rsidR="00427D60" w:rsidRPr="00736413">
        <w:t xml:space="preserve"> them to complete the activity.</w:t>
      </w:r>
      <w:r w:rsidR="00124376" w:rsidRPr="00736413">
        <w:t xml:space="preserve"> It was intended that learners were allowed space to come up with their own sentences without struggling to think of something to write</w:t>
      </w:r>
      <w:sdt>
        <w:sdtPr>
          <w:id w:val="2085180242"/>
          <w:citation/>
        </w:sdtPr>
        <w:sdtEndPr/>
        <w:sdtContent>
          <w:r w:rsidR="00124376" w:rsidRPr="00736413">
            <w:fldChar w:fldCharType="begin"/>
          </w:r>
          <w:r w:rsidR="00124376" w:rsidRPr="00736413">
            <w:instrText xml:space="preserve"> CITATION Art15 \l 1033 </w:instrText>
          </w:r>
          <w:r w:rsidR="00124376" w:rsidRPr="00736413">
            <w:fldChar w:fldCharType="separate"/>
          </w:r>
          <w:r w:rsidR="00124376" w:rsidRPr="00736413">
            <w:t xml:space="preserve"> (Arthur, et al., 2015)</w:t>
          </w:r>
          <w:r w:rsidR="00124376" w:rsidRPr="00736413">
            <w:fldChar w:fldCharType="end"/>
          </w:r>
        </w:sdtContent>
      </w:sdt>
      <w:r w:rsidR="00124376" w:rsidRPr="00736413">
        <w:t>.</w:t>
      </w:r>
      <w:r w:rsidR="00427D60" w:rsidRPr="00736413">
        <w:t xml:space="preserve"> </w:t>
      </w:r>
      <w:r w:rsidR="006C3678" w:rsidRPr="00736413">
        <w:t xml:space="preserve">This also removed the need for differentiation by outcome, requiring high expectations by all, therefore not hindering the progress of higher ability learners. </w:t>
      </w:r>
      <w:r w:rsidR="00427D60" w:rsidRPr="00736413">
        <w:t xml:space="preserve">A second layer of scaffolding was present in the form of peers </w:t>
      </w:r>
      <w:r w:rsidR="00124376" w:rsidRPr="00736413">
        <w:t>and was added to the lesson after reading Arthur et. al (2002). A</w:t>
      </w:r>
      <w:r w:rsidR="00427D60" w:rsidRPr="00736413">
        <w:t>s this was a group activity, learners were able to develop their thinking based on other learners</w:t>
      </w:r>
      <w:r w:rsidR="00124376" w:rsidRPr="00736413">
        <w:t>’</w:t>
      </w:r>
      <w:r w:rsidR="00427D60" w:rsidRPr="00736413">
        <w:t xml:space="preserve"> ideas</w:t>
      </w:r>
      <w:r w:rsidR="00124376" w:rsidRPr="00736413">
        <w:t xml:space="preserve"> and support without the differentiation being too obvious</w:t>
      </w:r>
      <w:sdt>
        <w:sdtPr>
          <w:id w:val="1610236679"/>
          <w:citation/>
        </w:sdtPr>
        <w:sdtEndPr/>
        <w:sdtContent>
          <w:r w:rsidR="00124376" w:rsidRPr="00736413">
            <w:fldChar w:fldCharType="begin"/>
          </w:r>
          <w:r w:rsidR="00124376" w:rsidRPr="00736413">
            <w:instrText xml:space="preserve"> CITATION Art15 \l 1033 </w:instrText>
          </w:r>
          <w:r w:rsidR="00124376" w:rsidRPr="00736413">
            <w:fldChar w:fldCharType="separate"/>
          </w:r>
          <w:r w:rsidR="00124376" w:rsidRPr="00736413">
            <w:t xml:space="preserve"> (Arthur, et al., 2015)</w:t>
          </w:r>
          <w:r w:rsidR="00124376" w:rsidRPr="00736413">
            <w:fldChar w:fldCharType="end"/>
          </w:r>
        </w:sdtContent>
      </w:sdt>
      <w:r w:rsidR="00124376" w:rsidRPr="00736413">
        <w:t xml:space="preserve">. </w:t>
      </w:r>
      <w:r w:rsidR="00FA108C" w:rsidRPr="00736413">
        <w:t xml:space="preserve">This also fits in with Piaget’s theory, which is partially based around social transmission, which suggests </w:t>
      </w:r>
      <w:r w:rsidR="00FA108C" w:rsidRPr="00736413">
        <w:lastRenderedPageBreak/>
        <w:t>that as learners interact with each other, they also have the potential to learn from each other</w:t>
      </w:r>
      <w:sdt>
        <w:sdtPr>
          <w:id w:val="105313482"/>
          <w:citation/>
        </w:sdtPr>
        <w:sdtEndPr/>
        <w:sdtContent>
          <w:r w:rsidR="00FA108C" w:rsidRPr="00736413">
            <w:fldChar w:fldCharType="begin"/>
          </w:r>
          <w:r w:rsidR="00FA108C" w:rsidRPr="00736413">
            <w:instrText xml:space="preserve"> CITATION Muj05 \l 1033 </w:instrText>
          </w:r>
          <w:r w:rsidR="00FA108C" w:rsidRPr="00736413">
            <w:fldChar w:fldCharType="separate"/>
          </w:r>
          <w:r w:rsidR="00FA108C" w:rsidRPr="00736413">
            <w:t xml:space="preserve"> (Mujis, 2005)</w:t>
          </w:r>
          <w:r w:rsidR="00FA108C" w:rsidRPr="00736413">
            <w:fldChar w:fldCharType="end"/>
          </w:r>
        </w:sdtContent>
      </w:sdt>
      <w:r w:rsidR="00FA108C" w:rsidRPr="00736413">
        <w:t>.</w:t>
      </w:r>
      <w:r w:rsidR="003520C6" w:rsidRPr="00736413">
        <w:t xml:space="preserve"> Another learning theory that was </w:t>
      </w:r>
      <w:proofErr w:type="gramStart"/>
      <w:r w:rsidR="003520C6" w:rsidRPr="00736413">
        <w:t>taken into account</w:t>
      </w:r>
      <w:proofErr w:type="gramEnd"/>
      <w:r w:rsidR="003520C6" w:rsidRPr="00736413">
        <w:t xml:space="preserve"> whilst planning the lesson was cognitive theory and the important role memory has in learning processes</w:t>
      </w:r>
      <w:sdt>
        <w:sdtPr>
          <w:id w:val="752474483"/>
          <w:citation/>
        </w:sdtPr>
        <w:sdtEndPr/>
        <w:sdtContent>
          <w:r w:rsidR="003520C6" w:rsidRPr="00736413">
            <w:fldChar w:fldCharType="begin"/>
          </w:r>
          <w:r w:rsidR="003520C6" w:rsidRPr="00736413">
            <w:instrText xml:space="preserve"> CITATION Muj05 \l 1033 </w:instrText>
          </w:r>
          <w:r w:rsidR="003520C6" w:rsidRPr="00736413">
            <w:fldChar w:fldCharType="separate"/>
          </w:r>
          <w:r w:rsidR="003520C6" w:rsidRPr="00736413">
            <w:t xml:space="preserve"> (Mujis, 2005)</w:t>
          </w:r>
          <w:r w:rsidR="003520C6" w:rsidRPr="00736413">
            <w:fldChar w:fldCharType="end"/>
          </w:r>
        </w:sdtContent>
      </w:sdt>
      <w:r w:rsidR="003520C6" w:rsidRPr="00736413">
        <w:t xml:space="preserve">. The starter activity for the lesson involved a thirty second video clip that </w:t>
      </w:r>
      <w:r w:rsidR="00BE5853" w:rsidRPr="00736413">
        <w:t xml:space="preserve">was played twice </w:t>
      </w:r>
      <w:proofErr w:type="gramStart"/>
      <w:r w:rsidR="00BE5853" w:rsidRPr="00736413">
        <w:t>in order to</w:t>
      </w:r>
      <w:proofErr w:type="gramEnd"/>
      <w:r w:rsidR="00BE5853" w:rsidRPr="00736413">
        <w:t xml:space="preserve"> stimulate the working memory. </w:t>
      </w:r>
    </w:p>
    <w:p w:rsidR="004C4E00" w:rsidRPr="00736413" w:rsidRDefault="00124376" w:rsidP="00736413">
      <w:pPr>
        <w:spacing w:line="480" w:lineRule="auto"/>
        <w:ind w:firstLine="720"/>
        <w:jc w:val="both"/>
      </w:pPr>
      <w:r w:rsidRPr="00736413">
        <w:t xml:space="preserve">It is clear through the lesson plan that questions tailored towards individual needs was also an intention of the lesson. </w:t>
      </w:r>
      <w:r w:rsidR="008C3E1F" w:rsidRPr="00736413">
        <w:t>When researching effective questioning to suit individual’s needs, the use of Bloom</w:t>
      </w:r>
      <w:r w:rsidR="00213EDD" w:rsidRPr="00736413">
        <w:t>’</w:t>
      </w:r>
      <w:r w:rsidR="008C3E1F" w:rsidRPr="00736413">
        <w:t>s Taxonomy was extremely useful</w:t>
      </w:r>
      <w:r w:rsidR="00213EDD" w:rsidRPr="00736413">
        <w:t xml:space="preserve"> in differentiation and modelling</w:t>
      </w:r>
      <w:r w:rsidR="008C3E1F" w:rsidRPr="00736413">
        <w:t xml:space="preserve"> as it can help all learners </w:t>
      </w:r>
      <w:proofErr w:type="gramStart"/>
      <w:r w:rsidR="008C3E1F" w:rsidRPr="00736413">
        <w:t>make a contribution</w:t>
      </w:r>
      <w:proofErr w:type="gramEnd"/>
      <w:r w:rsidR="008C3E1F" w:rsidRPr="00736413">
        <w:t xml:space="preserve"> to the lesson. It can do this through the awareness of the teacher of the different intellectual demands in the classroom</w:t>
      </w:r>
      <w:sdt>
        <w:sdtPr>
          <w:id w:val="-1040119176"/>
          <w:citation/>
        </w:sdtPr>
        <w:sdtEndPr/>
        <w:sdtContent>
          <w:r w:rsidR="008C3E1F" w:rsidRPr="00736413">
            <w:fldChar w:fldCharType="begin"/>
          </w:r>
          <w:r w:rsidR="008C3E1F" w:rsidRPr="00736413">
            <w:instrText xml:space="preserve"> CITATION Phi10 \l 1033 </w:instrText>
          </w:r>
          <w:r w:rsidR="008C3E1F" w:rsidRPr="00736413">
            <w:fldChar w:fldCharType="separate"/>
          </w:r>
          <w:r w:rsidR="008C3E1F" w:rsidRPr="00736413">
            <w:t xml:space="preserve"> (Phillips, 2010)</w:t>
          </w:r>
          <w:r w:rsidR="008C3E1F" w:rsidRPr="00736413">
            <w:fldChar w:fldCharType="end"/>
          </w:r>
        </w:sdtContent>
      </w:sdt>
      <w:r w:rsidR="008C3E1F" w:rsidRPr="00736413">
        <w:t xml:space="preserve">. </w:t>
      </w:r>
      <w:r w:rsidR="00213EDD" w:rsidRPr="00736413">
        <w:t>Bloom’s Taxonomy allows both lower and higher ability learners to answer questions on the same level of questioning. An</w:t>
      </w:r>
      <w:r w:rsidR="00E71FE9" w:rsidRPr="00736413">
        <w:t xml:space="preserve"> </w:t>
      </w:r>
      <w:r w:rsidR="00213EDD" w:rsidRPr="00736413">
        <w:t>example</w:t>
      </w:r>
      <w:r w:rsidR="00E71FE9" w:rsidRPr="00736413">
        <w:t xml:space="preserve"> of this is</w:t>
      </w:r>
      <w:r w:rsidR="00213EDD" w:rsidRPr="00736413">
        <w:t xml:space="preserve"> </w:t>
      </w:r>
      <w:r w:rsidR="00E71FE9" w:rsidRPr="00736413">
        <w:t>both types of learners being asked different types of questions for the evaluation element of the taxonomy,</w:t>
      </w:r>
      <w:r w:rsidR="00213EDD" w:rsidRPr="00736413">
        <w:t xml:space="preserve"> </w:t>
      </w:r>
      <w:r w:rsidR="00E71FE9" w:rsidRPr="00736413">
        <w:t>such as ‘do you think…is a good or bad thing?’ and ‘how effective is…?’</w:t>
      </w:r>
      <w:sdt>
        <w:sdtPr>
          <w:id w:val="-533502101"/>
          <w:citation/>
        </w:sdtPr>
        <w:sdtEndPr/>
        <w:sdtContent>
          <w:r w:rsidR="00E71FE9" w:rsidRPr="00736413">
            <w:fldChar w:fldCharType="begin"/>
          </w:r>
          <w:r w:rsidR="00E71FE9" w:rsidRPr="00736413">
            <w:instrText xml:space="preserve"> CITATION Ged18 \l 1033 </w:instrText>
          </w:r>
          <w:r w:rsidR="00E71FE9" w:rsidRPr="00736413">
            <w:fldChar w:fldCharType="separate"/>
          </w:r>
          <w:r w:rsidR="00E71FE9" w:rsidRPr="00736413">
            <w:t xml:space="preserve"> (Ged Creativity Consultant, 2018)</w:t>
          </w:r>
          <w:r w:rsidR="00E71FE9" w:rsidRPr="00736413">
            <w:fldChar w:fldCharType="end"/>
          </w:r>
        </w:sdtContent>
      </w:sdt>
      <w:r w:rsidR="00213EDD" w:rsidRPr="00736413">
        <w:t xml:space="preserve">. </w:t>
      </w:r>
    </w:p>
    <w:p w:rsidR="00BE5853" w:rsidRPr="00736413" w:rsidRDefault="00BE5853" w:rsidP="00736413">
      <w:pPr>
        <w:spacing w:line="480" w:lineRule="auto"/>
        <w:ind w:firstLine="720"/>
        <w:jc w:val="both"/>
      </w:pPr>
      <w:r w:rsidRPr="00736413">
        <w:t>An important factor to aim for whilst constructing the lesson was pedagogical content knowledge, as this can have a strong impact upon learner’s learning and studies have shown that there is a relationship between teachers’ knowledge and students’ gains</w:t>
      </w:r>
      <w:sdt>
        <w:sdtPr>
          <w:id w:val="-1620829716"/>
          <w:citation/>
        </w:sdtPr>
        <w:sdtEndPr/>
        <w:sdtContent>
          <w:r w:rsidR="0034733A" w:rsidRPr="00736413">
            <w:fldChar w:fldCharType="begin"/>
          </w:r>
          <w:r w:rsidR="0034733A" w:rsidRPr="00736413">
            <w:instrText xml:space="preserve"> CITATION Alo14 \l 1033 </w:instrText>
          </w:r>
          <w:r w:rsidR="0034733A" w:rsidRPr="00736413">
            <w:fldChar w:fldCharType="separate"/>
          </w:r>
          <w:r w:rsidR="0034733A" w:rsidRPr="00736413">
            <w:t xml:space="preserve"> (Aloisi, et al., 2014)</w:t>
          </w:r>
          <w:r w:rsidR="0034733A" w:rsidRPr="00736413">
            <w:fldChar w:fldCharType="end"/>
          </w:r>
        </w:sdtContent>
      </w:sdt>
      <w:r w:rsidRPr="00736413">
        <w:t>.</w:t>
      </w:r>
      <w:r w:rsidR="00416B4F" w:rsidRPr="00736413">
        <w:t xml:space="preserve"> Therefore, there was engagement with the topic and an attempt was made to understand the knowledge of the Crusades through this.</w:t>
      </w:r>
      <w:r w:rsidRPr="00736413">
        <w:t xml:space="preserve"> </w:t>
      </w:r>
      <w:r w:rsidR="00F32DDE" w:rsidRPr="00736413">
        <w:t xml:space="preserve">Along with </w:t>
      </w:r>
      <w:r w:rsidR="00416B4F" w:rsidRPr="00736413">
        <w:t>pedagogical content knowledge</w:t>
      </w:r>
      <w:r w:rsidR="00F32DDE" w:rsidRPr="00736413">
        <w:t xml:space="preserve">, </w:t>
      </w:r>
      <w:r w:rsidR="00416B4F" w:rsidRPr="00736413">
        <w:t xml:space="preserve">giving learners </w:t>
      </w:r>
      <w:r w:rsidR="00F32DDE" w:rsidRPr="00736413">
        <w:t>clear learning objectives and instruction is considered good pedagogy and can have an impact on the rest of the lesson, so this was clearly identified within the lesson plan</w:t>
      </w:r>
      <w:sdt>
        <w:sdtPr>
          <w:id w:val="-1806384368"/>
          <w:citation/>
        </w:sdtPr>
        <w:sdtEndPr/>
        <w:sdtContent>
          <w:r w:rsidR="00F32DDE" w:rsidRPr="00736413">
            <w:fldChar w:fldCharType="begin"/>
          </w:r>
          <w:r w:rsidR="00F32DDE" w:rsidRPr="00736413">
            <w:instrText xml:space="preserve"> CITATION Alo14 \l 1033 </w:instrText>
          </w:r>
          <w:r w:rsidR="00F32DDE" w:rsidRPr="00736413">
            <w:fldChar w:fldCharType="separate"/>
          </w:r>
          <w:r w:rsidR="00F32DDE" w:rsidRPr="00736413">
            <w:t xml:space="preserve"> (Aloisi, et al., 2014)</w:t>
          </w:r>
          <w:r w:rsidR="00F32DDE" w:rsidRPr="00736413">
            <w:fldChar w:fldCharType="end"/>
          </w:r>
        </w:sdtContent>
      </w:sdt>
      <w:r w:rsidR="00F32DDE" w:rsidRPr="00736413">
        <w:t>.</w:t>
      </w:r>
    </w:p>
    <w:p w:rsidR="0055670F" w:rsidRDefault="00F32DDE" w:rsidP="0055670F">
      <w:pPr>
        <w:spacing w:line="480" w:lineRule="auto"/>
        <w:ind w:firstLine="720"/>
        <w:jc w:val="both"/>
      </w:pPr>
      <w:r w:rsidRPr="00736413">
        <w:t xml:space="preserve">In conclusion, there were several elements that underpinned the microteach activity, including use of Curriculum Cymreig, the Literacy and Numeracy Framework, differentiation and an aspect of pedagogy. These were used, along with several learning theories, </w:t>
      </w:r>
      <w:proofErr w:type="gramStart"/>
      <w:r w:rsidRPr="00736413">
        <w:t>in an attempt to</w:t>
      </w:r>
      <w:proofErr w:type="gramEnd"/>
      <w:r w:rsidRPr="00736413">
        <w:t xml:space="preserve"> deliver a lesson and scheme of work that would produce good learning outcomes for all learners.</w:t>
      </w:r>
    </w:p>
    <w:p w:rsidR="00F32DDE" w:rsidRPr="0055670F" w:rsidRDefault="00F32DDE" w:rsidP="0055670F">
      <w:pPr>
        <w:spacing w:line="480" w:lineRule="auto"/>
        <w:ind w:firstLine="720"/>
        <w:jc w:val="both"/>
      </w:pPr>
      <w:r w:rsidRPr="0055670F">
        <w:rPr>
          <w:u w:val="single"/>
        </w:rPr>
        <w:lastRenderedPageBreak/>
        <w:t>Part B(ii)</w:t>
      </w:r>
    </w:p>
    <w:p w:rsidR="00F32DDE" w:rsidRPr="00736413" w:rsidRDefault="00F32DDE" w:rsidP="00736413">
      <w:pPr>
        <w:spacing w:line="480" w:lineRule="auto"/>
        <w:jc w:val="both"/>
      </w:pPr>
      <w:r w:rsidRPr="00736413">
        <w:tab/>
        <w:t xml:space="preserve">The </w:t>
      </w:r>
      <w:r w:rsidR="003B3DD8" w:rsidRPr="00736413">
        <w:t xml:space="preserve">scheme of work and the lesson delivered within the microteach were designed around the Crusades. The scheme of work guided learners through the topic with lessons including what the Crusades were, why people went on Crusade, Gerald of Wales and life on Crusade. The taught lesson was the fifth in a </w:t>
      </w:r>
      <w:proofErr w:type="gramStart"/>
      <w:r w:rsidR="003B3DD8" w:rsidRPr="00736413">
        <w:t>six lesson</w:t>
      </w:r>
      <w:proofErr w:type="gramEnd"/>
      <w:r w:rsidR="003B3DD8" w:rsidRPr="00736413">
        <w:t xml:space="preserve"> scheme of work and was concerned with what the consequences of the Crusades were and whether the motives of crusaders were met. The final lesson required learners to write a newspaper article about the consequences of the Crusades on Europe. </w:t>
      </w:r>
    </w:p>
    <w:p w:rsidR="00C44B4F" w:rsidRPr="00736413" w:rsidRDefault="003B3DD8" w:rsidP="00736413">
      <w:pPr>
        <w:spacing w:line="480" w:lineRule="auto"/>
        <w:jc w:val="both"/>
      </w:pPr>
      <w:r w:rsidRPr="00736413">
        <w:tab/>
        <w:t xml:space="preserve">The scheme of work, lesson plan and taught lesson did contain </w:t>
      </w:r>
      <w:proofErr w:type="gramStart"/>
      <w:r w:rsidRPr="00736413">
        <w:t>a number of</w:t>
      </w:r>
      <w:proofErr w:type="gramEnd"/>
      <w:r w:rsidRPr="00736413">
        <w:t xml:space="preserve"> positive features. </w:t>
      </w:r>
      <w:r w:rsidR="0080058E" w:rsidRPr="00736413">
        <w:t xml:space="preserve">The use of a video clip was effective </w:t>
      </w:r>
      <w:r w:rsidR="007C31EB" w:rsidRPr="00736413">
        <w:t>in</w:t>
      </w:r>
      <w:r w:rsidR="0080058E" w:rsidRPr="00736413">
        <w:t xml:space="preserve"> settl</w:t>
      </w:r>
      <w:r w:rsidR="007C31EB" w:rsidRPr="00736413">
        <w:t>ing</w:t>
      </w:r>
      <w:r w:rsidR="0080058E" w:rsidRPr="00736413">
        <w:t xml:space="preserve"> pupils and grab their attention, particularly as the intended audience of the video clip was young learners</w:t>
      </w:r>
      <w:r w:rsidR="007C31EB" w:rsidRPr="00736413">
        <w:t>. As previously mentioned, memory plays an important role in the learning process and the playing of the video clip twice reinforced this</w:t>
      </w:r>
      <w:sdt>
        <w:sdtPr>
          <w:id w:val="-422562850"/>
          <w:citation/>
        </w:sdtPr>
        <w:sdtEndPr/>
        <w:sdtContent>
          <w:r w:rsidR="007C31EB" w:rsidRPr="00736413">
            <w:fldChar w:fldCharType="begin"/>
          </w:r>
          <w:r w:rsidR="007C31EB" w:rsidRPr="00736413">
            <w:instrText xml:space="preserve"> CITATION Muj05 \l 1033 </w:instrText>
          </w:r>
          <w:r w:rsidR="007C31EB" w:rsidRPr="00736413">
            <w:fldChar w:fldCharType="separate"/>
          </w:r>
          <w:r w:rsidR="007C31EB" w:rsidRPr="00736413">
            <w:t xml:space="preserve"> </w:t>
          </w:r>
          <w:r w:rsidR="007C31EB" w:rsidRPr="00736413">
            <w:rPr>
              <w:lang w:val="en-US"/>
            </w:rPr>
            <w:t>(Mujis, 2005)</w:t>
          </w:r>
          <w:r w:rsidR="007C31EB" w:rsidRPr="00736413">
            <w:fldChar w:fldCharType="end"/>
          </w:r>
        </w:sdtContent>
      </w:sdt>
      <w:r w:rsidR="007C31EB" w:rsidRPr="00736413">
        <w:t xml:space="preserve">. </w:t>
      </w:r>
      <w:proofErr w:type="gramStart"/>
      <w:r w:rsidR="00094034" w:rsidRPr="00736413">
        <w:t>In light of</w:t>
      </w:r>
      <w:proofErr w:type="gramEnd"/>
      <w:r w:rsidR="00094034" w:rsidRPr="00736413">
        <w:t xml:space="preserve"> the first </w:t>
      </w:r>
      <w:r w:rsidR="00D12CD1" w:rsidRPr="00736413">
        <w:t>P</w:t>
      </w:r>
      <w:r w:rsidR="00094034" w:rsidRPr="00736413">
        <w:t xml:space="preserve">rofessional </w:t>
      </w:r>
      <w:r w:rsidR="00D12CD1" w:rsidRPr="00736413">
        <w:t>T</w:t>
      </w:r>
      <w:r w:rsidR="00094034" w:rsidRPr="00736413">
        <w:t xml:space="preserve">eaching </w:t>
      </w:r>
      <w:r w:rsidR="00D12CD1" w:rsidRPr="00736413">
        <w:t>E</w:t>
      </w:r>
      <w:r w:rsidR="00094034" w:rsidRPr="00736413">
        <w:t xml:space="preserve">xperience (PTE), video clips can be also be useful for introducing learners to the basics of a topic or lesson. </w:t>
      </w:r>
      <w:r w:rsidR="007C31EB" w:rsidRPr="00736413">
        <w:t>Learners then had to memorise as many of the objects in the video and write them out on a table. Some of these sheets were scaffolded through the presence of the first letter of each object to aid learners’ memorie</w:t>
      </w:r>
      <w:r w:rsidR="00094034" w:rsidRPr="00736413">
        <w:t>s.</w:t>
      </w:r>
      <w:r w:rsidR="007C31EB" w:rsidRPr="00736413">
        <w:t xml:space="preserve"> A second positive feature of the lesson was </w:t>
      </w:r>
      <w:r w:rsidR="00831CED" w:rsidRPr="00736413">
        <w:t>the use of clear learning objectives. The learning objectives were split in to three different levels, based off different levels of the Bloom’s Taxonomy hierarchy, and learners were expected to describe, explain and evaluate</w:t>
      </w:r>
      <w:sdt>
        <w:sdtPr>
          <w:id w:val="-682053688"/>
          <w:citation/>
        </w:sdtPr>
        <w:sdtEndPr/>
        <w:sdtContent>
          <w:r w:rsidR="00831CED" w:rsidRPr="00736413">
            <w:fldChar w:fldCharType="begin"/>
          </w:r>
          <w:r w:rsidR="00831CED" w:rsidRPr="00736413">
            <w:instrText xml:space="preserve"> CITATION Ged18 \l 1033 </w:instrText>
          </w:r>
          <w:r w:rsidR="00831CED" w:rsidRPr="00736413">
            <w:fldChar w:fldCharType="separate"/>
          </w:r>
          <w:r w:rsidR="00831CED" w:rsidRPr="00736413">
            <w:t xml:space="preserve"> </w:t>
          </w:r>
          <w:r w:rsidR="00831CED" w:rsidRPr="00736413">
            <w:rPr>
              <w:lang w:val="en-US"/>
            </w:rPr>
            <w:t>(Ged Creativity Consultant, 2018)</w:t>
          </w:r>
          <w:r w:rsidR="00831CED" w:rsidRPr="00736413">
            <w:fldChar w:fldCharType="end"/>
          </w:r>
        </w:sdtContent>
      </w:sdt>
      <w:r w:rsidR="00831CED" w:rsidRPr="00736413">
        <w:t xml:space="preserve">. </w:t>
      </w:r>
      <w:r w:rsidR="00113AF5" w:rsidRPr="00736413">
        <w:t>By splitting the learning objectives into three rather than one, learners are not limited by what they can get from the lesson but are also more likely to remain enthusiastic and engaged with what they are learning</w:t>
      </w:r>
      <w:sdt>
        <w:sdtPr>
          <w:id w:val="80885605"/>
          <w:citation/>
        </w:sdtPr>
        <w:sdtEndPr/>
        <w:sdtContent>
          <w:r w:rsidR="00113AF5" w:rsidRPr="00736413">
            <w:fldChar w:fldCharType="begin"/>
          </w:r>
          <w:r w:rsidR="00113AF5" w:rsidRPr="00736413">
            <w:instrText xml:space="preserve"> CITATION Art15 \l 1033 </w:instrText>
          </w:r>
          <w:r w:rsidR="00113AF5" w:rsidRPr="00736413">
            <w:fldChar w:fldCharType="separate"/>
          </w:r>
          <w:r w:rsidR="00113AF5" w:rsidRPr="00736413">
            <w:t xml:space="preserve"> </w:t>
          </w:r>
          <w:r w:rsidR="00113AF5" w:rsidRPr="00736413">
            <w:rPr>
              <w:lang w:val="en-US"/>
            </w:rPr>
            <w:t>(Arthur, et al., 2015)</w:t>
          </w:r>
          <w:r w:rsidR="00113AF5" w:rsidRPr="00736413">
            <w:fldChar w:fldCharType="end"/>
          </w:r>
        </w:sdtContent>
      </w:sdt>
      <w:r w:rsidR="00113AF5" w:rsidRPr="00736413">
        <w:t xml:space="preserve">. </w:t>
      </w:r>
      <w:r w:rsidR="00094034" w:rsidRPr="00736413">
        <w:t xml:space="preserve">This point has been emphasised throughout PTE one, especially in terms of behaviour. Where learners have been instructed to spend the lesson </w:t>
      </w:r>
      <w:r w:rsidR="0021505C" w:rsidRPr="00736413">
        <w:t xml:space="preserve">learning about one aspect of a topic, many of them become restless and some attitudes to learning decline. During the majority of lessons, there have been more than one learning objective and these lessons are split up in to more tasks and </w:t>
      </w:r>
      <w:proofErr w:type="gramStart"/>
      <w:r w:rsidR="0021505C" w:rsidRPr="00736413">
        <w:t>learners</w:t>
      </w:r>
      <w:proofErr w:type="gramEnd"/>
      <w:r w:rsidR="0021505C" w:rsidRPr="00736413">
        <w:t xml:space="preserve"> attitudes to learning are more positive due to this diversity. </w:t>
      </w:r>
    </w:p>
    <w:p w:rsidR="003B3DD8" w:rsidRPr="00736413" w:rsidRDefault="00113AF5" w:rsidP="00736413">
      <w:pPr>
        <w:spacing w:line="480" w:lineRule="auto"/>
        <w:ind w:firstLine="720"/>
        <w:jc w:val="both"/>
      </w:pPr>
      <w:r w:rsidRPr="00736413">
        <w:lastRenderedPageBreak/>
        <w:t xml:space="preserve">A further positive feature to the lesson was using scaffolding for some learners when thinking about the second order concept of significance. </w:t>
      </w:r>
      <w:r w:rsidR="006455F2" w:rsidRPr="00736413">
        <w:t>Historical significance is concerned with making judgements about how important an event, a person or a factor is. As it can be a difficult concept to navigate, particularly for year 8 learners, scaffolding was put in place for some learners that attempted to draw out responses that were related to contemporary significance and casual significance. Contemporary significance prompted scaffolding questions that made learners think about whether something was importan</w:t>
      </w:r>
      <w:r w:rsidR="008A2C88" w:rsidRPr="00736413">
        <w:t>t</w:t>
      </w:r>
      <w:r w:rsidR="006455F2" w:rsidRPr="00736413">
        <w:t xml:space="preserve"> at the time</w:t>
      </w:r>
      <w:sdt>
        <w:sdtPr>
          <w:id w:val="736743488"/>
          <w:citation/>
        </w:sdtPr>
        <w:sdtEndPr/>
        <w:sdtContent>
          <w:r w:rsidR="008A2C88" w:rsidRPr="00736413">
            <w:fldChar w:fldCharType="begin"/>
          </w:r>
          <w:r w:rsidR="008A2C88" w:rsidRPr="00736413">
            <w:instrText xml:space="preserve"> CITATION Bur14 \l 1033 </w:instrText>
          </w:r>
          <w:r w:rsidR="008A2C88" w:rsidRPr="00736413">
            <w:fldChar w:fldCharType="separate"/>
          </w:r>
          <w:r w:rsidR="008A2C88" w:rsidRPr="00736413">
            <w:t xml:space="preserve"> </w:t>
          </w:r>
          <w:r w:rsidR="008A2C88" w:rsidRPr="00736413">
            <w:rPr>
              <w:lang w:val="en-US"/>
            </w:rPr>
            <w:t>(Burn, et al., 2014)</w:t>
          </w:r>
          <w:r w:rsidR="008A2C88" w:rsidRPr="00736413">
            <w:fldChar w:fldCharType="end"/>
          </w:r>
        </w:sdtContent>
      </w:sdt>
      <w:r w:rsidR="008A2C88" w:rsidRPr="00736413">
        <w:t>. Casual significance then prompted scaffolding questions that encouraged learners to think about the changes and impacts that the consequences of the Crusades would have had on the future</w:t>
      </w:r>
      <w:sdt>
        <w:sdtPr>
          <w:id w:val="-1447610607"/>
          <w:citation/>
        </w:sdtPr>
        <w:sdtEndPr/>
        <w:sdtContent>
          <w:r w:rsidR="008A2C88" w:rsidRPr="00736413">
            <w:fldChar w:fldCharType="begin"/>
          </w:r>
          <w:r w:rsidR="008A2C88" w:rsidRPr="00736413">
            <w:instrText xml:space="preserve"> CITATION Bur14 \l 1033 </w:instrText>
          </w:r>
          <w:r w:rsidR="008A2C88" w:rsidRPr="00736413">
            <w:fldChar w:fldCharType="separate"/>
          </w:r>
          <w:r w:rsidR="008A2C88" w:rsidRPr="00736413">
            <w:t xml:space="preserve"> </w:t>
          </w:r>
          <w:r w:rsidR="008A2C88" w:rsidRPr="00736413">
            <w:rPr>
              <w:lang w:val="en-US"/>
            </w:rPr>
            <w:t>(Burn, et al., 2014)</w:t>
          </w:r>
          <w:r w:rsidR="008A2C88" w:rsidRPr="00736413">
            <w:fldChar w:fldCharType="end"/>
          </w:r>
        </w:sdtContent>
      </w:sdt>
      <w:r w:rsidR="008A2C88" w:rsidRPr="00736413">
        <w:t>.</w:t>
      </w:r>
      <w:r w:rsidR="00C44B4F" w:rsidRPr="00736413">
        <w:t>Robin Conway’s 2006 article What they think they know’ suggested that a significant amount of his learners equated ‘important’, and therefore, ‘significant’ with ‘good’</w:t>
      </w:r>
      <w:sdt>
        <w:sdtPr>
          <w:id w:val="-1364670559"/>
          <w:citation/>
        </w:sdtPr>
        <w:sdtEndPr/>
        <w:sdtContent>
          <w:r w:rsidR="00C44B4F" w:rsidRPr="00736413">
            <w:fldChar w:fldCharType="begin"/>
          </w:r>
          <w:r w:rsidR="00C44B4F" w:rsidRPr="00736413">
            <w:instrText xml:space="preserve"> CITATION Con06 \l 1033 </w:instrText>
          </w:r>
          <w:r w:rsidR="00C44B4F" w:rsidRPr="00736413">
            <w:fldChar w:fldCharType="separate"/>
          </w:r>
          <w:r w:rsidR="00C44B4F" w:rsidRPr="00736413">
            <w:t xml:space="preserve"> </w:t>
          </w:r>
          <w:r w:rsidR="00C44B4F" w:rsidRPr="00736413">
            <w:rPr>
              <w:lang w:val="en-US"/>
            </w:rPr>
            <w:t>(Conway, 2006)</w:t>
          </w:r>
          <w:r w:rsidR="00C44B4F" w:rsidRPr="00736413">
            <w:fldChar w:fldCharType="end"/>
          </w:r>
        </w:sdtContent>
      </w:sdt>
      <w:r w:rsidR="00C44B4F" w:rsidRPr="00736413">
        <w:t xml:space="preserve">. Based upon this, there was an attempt to scaffold learners thinking around historical significance and explain to them that just because an event or a factor had a negative impact, this did not mean that it was not significant. </w:t>
      </w:r>
      <w:r w:rsidR="0021505C" w:rsidRPr="00736413">
        <w:t>Throughout PTE one, there have been various opportunities to witness the teaching of historical significance and it has become clear that scaffolding and modelling is an important factor to consider when teaching learners of all abilities.</w:t>
      </w:r>
    </w:p>
    <w:p w:rsidR="00C44B4F" w:rsidRPr="00736413" w:rsidRDefault="00094034" w:rsidP="00736413">
      <w:pPr>
        <w:spacing w:line="480" w:lineRule="auto"/>
        <w:ind w:firstLine="720"/>
        <w:jc w:val="both"/>
      </w:pPr>
      <w:r w:rsidRPr="00736413">
        <w:t>There are multiple ways in which</w:t>
      </w:r>
      <w:r w:rsidR="0021505C" w:rsidRPr="00736413">
        <w:t xml:space="preserve"> PTE one has highlighted the negative aspects of the microteach exercise</w:t>
      </w:r>
      <w:r w:rsidRPr="00736413">
        <w:t>.</w:t>
      </w:r>
      <w:r w:rsidR="0021505C" w:rsidRPr="00736413">
        <w:t xml:space="preserve"> </w:t>
      </w:r>
      <w:r w:rsidRPr="00736413">
        <w:t xml:space="preserve">One of the most significant criticisms is that the lesson was pitched at too high a level for learners to access the lesson effectively. There was far too much teacher exposition </w:t>
      </w:r>
      <w:r w:rsidR="00D12CD1" w:rsidRPr="00736413">
        <w:t>that</w:t>
      </w:r>
      <w:r w:rsidRPr="00736413">
        <w:t xml:space="preserve"> impacted learners learning for more than one reason</w:t>
      </w:r>
      <w:r w:rsidR="00D847A7">
        <w:t xml:space="preserve">, not least because it consumed half of the </w:t>
      </w:r>
      <w:proofErr w:type="gramStart"/>
      <w:r w:rsidR="00D847A7">
        <w:t>thirty minute</w:t>
      </w:r>
      <w:proofErr w:type="gramEnd"/>
      <w:r w:rsidR="00D847A7">
        <w:t xml:space="preserve"> lesson</w:t>
      </w:r>
      <w:r w:rsidRPr="00736413">
        <w:t>. Primarily there was not enough context given to</w:t>
      </w:r>
      <w:r w:rsidR="0021505C" w:rsidRPr="00736413">
        <w:t xml:space="preserve"> enable learners to understand what the consequences of the Crusades were. </w:t>
      </w:r>
      <w:proofErr w:type="gramStart"/>
      <w:r w:rsidR="001B4F30" w:rsidRPr="00736413">
        <w:t>PTE</w:t>
      </w:r>
      <w:proofErr w:type="gramEnd"/>
      <w:r w:rsidR="001B4F30" w:rsidRPr="00736413">
        <w:t xml:space="preserve"> one has emphasised that how the lesson is introduced can shape the learning throughout the rest of the lesson. Lessons that include good context coverage at the beginning seem to be more successful, as learners are more confident in their approach to the remainder of the lesson. Therefore, the lack of context given during the teacher exposition of the </w:t>
      </w:r>
      <w:r w:rsidR="001B4F30" w:rsidRPr="00736413">
        <w:lastRenderedPageBreak/>
        <w:t>microteach lesson would not only have an impact upon learning, but also upon the confidence and enthusiasm of learners going into tasks</w:t>
      </w:r>
      <w:sdt>
        <w:sdtPr>
          <w:id w:val="1556743230"/>
          <w:citation/>
        </w:sdtPr>
        <w:sdtEndPr/>
        <w:sdtContent>
          <w:r w:rsidR="001B4F30" w:rsidRPr="00736413">
            <w:fldChar w:fldCharType="begin"/>
          </w:r>
          <w:r w:rsidR="001B4F30" w:rsidRPr="00736413">
            <w:instrText xml:space="preserve"> CITATION Art15 \l 1033 </w:instrText>
          </w:r>
          <w:r w:rsidR="001B4F30" w:rsidRPr="00736413">
            <w:fldChar w:fldCharType="separate"/>
          </w:r>
          <w:r w:rsidR="001B4F30" w:rsidRPr="00736413">
            <w:t xml:space="preserve"> </w:t>
          </w:r>
          <w:r w:rsidR="001B4F30" w:rsidRPr="00736413">
            <w:rPr>
              <w:lang w:val="en-US"/>
            </w:rPr>
            <w:t>(Arthur, et al., 2015)</w:t>
          </w:r>
          <w:r w:rsidR="001B4F30" w:rsidRPr="00736413">
            <w:fldChar w:fldCharType="end"/>
          </w:r>
        </w:sdtContent>
      </w:sdt>
      <w:r w:rsidR="001B4F30" w:rsidRPr="00736413">
        <w:t xml:space="preserve">. </w:t>
      </w:r>
    </w:p>
    <w:p w:rsidR="004A148D" w:rsidRPr="00736413" w:rsidRDefault="00D12CD1" w:rsidP="00736413">
      <w:pPr>
        <w:spacing w:line="480" w:lineRule="auto"/>
        <w:ind w:firstLine="720"/>
        <w:jc w:val="both"/>
      </w:pPr>
      <w:r w:rsidRPr="00736413">
        <w:t>Another criticism of the lesson was related to teacher exposition and the contents of the scheme of work. Along with the lack of context, there was not enough information given during the scheme of work or the lesson for learners to be able to make the judgement they were being asked to make.</w:t>
      </w:r>
      <w:r w:rsidR="003449CE" w:rsidRPr="00736413">
        <w:t xml:space="preserve"> Learners struggled to make connections between consequences and their importance, particularly when thinking about casual significance.</w:t>
      </w:r>
      <w:r w:rsidRPr="00736413">
        <w:t xml:space="preserve"> </w:t>
      </w:r>
      <w:r w:rsidR="00D847A7">
        <w:t xml:space="preserve">Additionally, teacher instruction could have been clearer and more concise. </w:t>
      </w:r>
      <w:proofErr w:type="gramStart"/>
      <w:r w:rsidRPr="00736413">
        <w:t>PTE</w:t>
      </w:r>
      <w:proofErr w:type="gramEnd"/>
      <w:r w:rsidRPr="00736413">
        <w:t xml:space="preserve"> one has shown that when learners do not understand what they have to do, their behaviour declines and it is also possible to lose control of the class. </w:t>
      </w:r>
      <w:r w:rsidR="004A148D" w:rsidRPr="00736413">
        <w:t xml:space="preserve">Ultimately, </w:t>
      </w:r>
      <w:proofErr w:type="gramStart"/>
      <w:r w:rsidR="00EA215C">
        <w:t>all of</w:t>
      </w:r>
      <w:proofErr w:type="gramEnd"/>
      <w:r w:rsidR="00EA215C">
        <w:t xml:space="preserve"> </w:t>
      </w:r>
      <w:r w:rsidR="004A148D" w:rsidRPr="00736413">
        <w:t>this</w:t>
      </w:r>
      <w:r w:rsidR="00EA215C">
        <w:t xml:space="preserve"> combined</w:t>
      </w:r>
      <w:r w:rsidR="004A148D" w:rsidRPr="00736413">
        <w:t xml:space="preserve"> creates a barrier to learners learning, and therefore it is something that needs to be reflected upon. </w:t>
      </w:r>
    </w:p>
    <w:p w:rsidR="00D12CD1" w:rsidRPr="00736413" w:rsidRDefault="004A148D" w:rsidP="00736413">
      <w:pPr>
        <w:spacing w:line="480" w:lineRule="auto"/>
        <w:ind w:firstLine="720"/>
        <w:jc w:val="both"/>
      </w:pPr>
      <w:r w:rsidRPr="00736413">
        <w:t xml:space="preserve">During PTE one, it has become apparent how important timings are. The majority of the microteach lesson displayed a lack of thought towards timing. Although learners were told they had two minutes to complete the first task, no other tasks were given timings and time was not kept track of throughout. </w:t>
      </w:r>
      <w:r w:rsidR="00D12940" w:rsidRPr="00736413">
        <w:t xml:space="preserve">Timing has proved to be very important in ensuring that </w:t>
      </w:r>
      <w:r w:rsidR="003449CE" w:rsidRPr="00736413">
        <w:t xml:space="preserve">learners stay on task and that all content is covered in the lesson. </w:t>
      </w:r>
    </w:p>
    <w:p w:rsidR="00C75D89" w:rsidRDefault="003449CE" w:rsidP="00736413">
      <w:pPr>
        <w:spacing w:line="480" w:lineRule="auto"/>
        <w:ind w:firstLine="720"/>
        <w:jc w:val="both"/>
      </w:pPr>
      <w:r w:rsidRPr="00736413">
        <w:t xml:space="preserve">There are multiple ways in which approaching the microteach exercise differently could improve upon both the teaching and the learning process. </w:t>
      </w:r>
      <w:r w:rsidR="00D847A7">
        <w:t xml:space="preserve">To avoid the lesson being pitched too high, more thought could have been given to the delivery of the lesson to provide better learning outcomes. Firstly, rather than using teacher exposition for such an extended </w:t>
      </w:r>
      <w:proofErr w:type="gramStart"/>
      <w:r w:rsidR="00D847A7">
        <w:t>period of time</w:t>
      </w:r>
      <w:proofErr w:type="gramEnd"/>
      <w:r w:rsidR="00D847A7">
        <w:t xml:space="preserve">, this could have been simplified to a brief introduction to the lesson. A form of story telling could also have been employed to provide learners with a hook to draw them in and engage them. Another approach would have been to have a discussion with learners about what they had learned in the lesson prior to this </w:t>
      </w:r>
      <w:proofErr w:type="gramStart"/>
      <w:r w:rsidR="00D847A7">
        <w:t>in order to</w:t>
      </w:r>
      <w:proofErr w:type="gramEnd"/>
      <w:r w:rsidR="00D847A7">
        <w:t xml:space="preserve"> refresh their learning</w:t>
      </w:r>
      <w:r w:rsidR="00000988">
        <w:t xml:space="preserve">, and as a way to assess prior learning. Coupled with </w:t>
      </w:r>
      <w:r w:rsidR="00C75D89">
        <w:t xml:space="preserve">effective </w:t>
      </w:r>
      <w:r w:rsidR="00000988">
        <w:t>questioning, this can lead to better learning, as questioning and better historical understanding go hand in hand</w:t>
      </w:r>
      <w:sdt>
        <w:sdtPr>
          <w:id w:val="1506854723"/>
          <w:citation/>
        </w:sdtPr>
        <w:sdtContent>
          <w:r w:rsidR="00C75D89">
            <w:fldChar w:fldCharType="begin"/>
          </w:r>
          <w:r w:rsidR="00C75D89">
            <w:rPr>
              <w:lang w:val="en-US"/>
            </w:rPr>
            <w:instrText xml:space="preserve"> CITATION Phi10 \l 1033 </w:instrText>
          </w:r>
          <w:r w:rsidR="00C75D89">
            <w:fldChar w:fldCharType="separate"/>
          </w:r>
          <w:r w:rsidR="00C75D89">
            <w:rPr>
              <w:noProof/>
              <w:lang w:val="en-US"/>
            </w:rPr>
            <w:t xml:space="preserve"> </w:t>
          </w:r>
          <w:r w:rsidR="00C75D89" w:rsidRPr="00C75D89">
            <w:rPr>
              <w:noProof/>
              <w:lang w:val="en-US"/>
            </w:rPr>
            <w:lastRenderedPageBreak/>
            <w:t>(Phillips, 2010)</w:t>
          </w:r>
          <w:r w:rsidR="00C75D89">
            <w:fldChar w:fldCharType="end"/>
          </w:r>
        </w:sdtContent>
      </w:sdt>
      <w:r w:rsidR="00000988">
        <w:t>. A task at the beginning of the lesson in the form of a category match</w:t>
      </w:r>
      <w:r w:rsidR="00C75D89">
        <w:t>, card sort</w:t>
      </w:r>
      <w:r w:rsidR="00000988">
        <w:t xml:space="preserve"> or a piece of text would have led to better teaching and learning, </w:t>
      </w:r>
      <w:r w:rsidR="00C75D89">
        <w:t>as although they are only simple tasks, activities such as these are more likely to invoke historical thinking and discussion</w:t>
      </w:r>
      <w:sdt>
        <w:sdtPr>
          <w:id w:val="-364363334"/>
          <w:citation/>
        </w:sdtPr>
        <w:sdtContent>
          <w:r w:rsidR="00C75D89">
            <w:fldChar w:fldCharType="begin"/>
          </w:r>
          <w:r w:rsidR="00C75D89">
            <w:rPr>
              <w:lang w:val="en-US"/>
            </w:rPr>
            <w:instrText xml:space="preserve"> CITATION Phi10 \l 1033 </w:instrText>
          </w:r>
          <w:r w:rsidR="00C75D89">
            <w:fldChar w:fldCharType="separate"/>
          </w:r>
          <w:r w:rsidR="00C75D89">
            <w:rPr>
              <w:noProof/>
              <w:lang w:val="en-US"/>
            </w:rPr>
            <w:t xml:space="preserve"> </w:t>
          </w:r>
          <w:r w:rsidR="00C75D89" w:rsidRPr="00C75D89">
            <w:rPr>
              <w:noProof/>
              <w:lang w:val="en-US"/>
            </w:rPr>
            <w:t>(Phillips, 2010)</w:t>
          </w:r>
          <w:r w:rsidR="00C75D89">
            <w:fldChar w:fldCharType="end"/>
          </w:r>
        </w:sdtContent>
      </w:sdt>
      <w:r w:rsidR="00C75D89">
        <w:t xml:space="preserve">. Additionally, tasks such as these are a more effective way to provide learners with context and they are far more likely to focus upon the task than the teacher exposition. </w:t>
      </w:r>
    </w:p>
    <w:p w:rsidR="00A80EE4" w:rsidRDefault="00C75D89" w:rsidP="00A80EE4">
      <w:pPr>
        <w:spacing w:line="480" w:lineRule="auto"/>
        <w:ind w:firstLine="720"/>
        <w:jc w:val="both"/>
      </w:pPr>
      <w:r>
        <w:t xml:space="preserve">If a different approach had been taken to the way in which the concept of significance was taught, this would have had a large impact on the learning outcomes of the lesson. Learners were given no guidance on how to make a judgement on how important certain consequences of the Crusades were. There are several methods which could have been employed when undertaking this task. </w:t>
      </w:r>
      <w:r w:rsidR="005524ED">
        <w:t>Partington (1980</w:t>
      </w:r>
      <w:r w:rsidR="00140859">
        <w:t>) scaffolded the learning of significance by ascribing a list of factors for learners to think about including importance, quantity and profundity</w:t>
      </w:r>
      <w:sdt>
        <w:sdtPr>
          <w:id w:val="-125164130"/>
          <w:citation/>
        </w:sdtPr>
        <w:sdtContent>
          <w:r w:rsidR="00140859">
            <w:fldChar w:fldCharType="begin"/>
          </w:r>
          <w:r w:rsidR="00140859">
            <w:rPr>
              <w:lang w:val="en-US"/>
            </w:rPr>
            <w:instrText xml:space="preserve"> CITATION Wre11 \l 1033 </w:instrText>
          </w:r>
          <w:r w:rsidR="00140859">
            <w:fldChar w:fldCharType="separate"/>
          </w:r>
          <w:r w:rsidR="00140859">
            <w:rPr>
              <w:noProof/>
              <w:lang w:val="en-US"/>
            </w:rPr>
            <w:t xml:space="preserve"> </w:t>
          </w:r>
          <w:r w:rsidR="00140859" w:rsidRPr="00140859">
            <w:rPr>
              <w:noProof/>
              <w:lang w:val="en-US"/>
            </w:rPr>
            <w:t>(Wrenn, 2011)</w:t>
          </w:r>
          <w:r w:rsidR="00140859">
            <w:fldChar w:fldCharType="end"/>
          </w:r>
        </w:sdtContent>
      </w:sdt>
      <w:r w:rsidR="00140859">
        <w:t xml:space="preserve">. </w:t>
      </w:r>
      <w:r w:rsidR="005524ED">
        <w:t>Another approach that has become more popular over the last few years is Christine Councils’ (2004) proposed five R’s. The five R’s, resonant, remembered, remarkable, resulting and revealing create an eas</w:t>
      </w:r>
      <w:r w:rsidR="00A80EE4">
        <w:t>ily remembered scaffold for learners</w:t>
      </w:r>
      <w:sdt>
        <w:sdtPr>
          <w:id w:val="-260070926"/>
          <w:citation/>
        </w:sdtPr>
        <w:sdtContent>
          <w:r w:rsidR="00A80EE4">
            <w:fldChar w:fldCharType="begin"/>
          </w:r>
          <w:r w:rsidR="00A80EE4">
            <w:rPr>
              <w:lang w:val="en-US"/>
            </w:rPr>
            <w:instrText xml:space="preserve"> CITATION Art15 \l 1033 </w:instrText>
          </w:r>
          <w:r w:rsidR="00A80EE4">
            <w:fldChar w:fldCharType="separate"/>
          </w:r>
          <w:r w:rsidR="00A80EE4">
            <w:rPr>
              <w:noProof/>
              <w:lang w:val="en-US"/>
            </w:rPr>
            <w:t xml:space="preserve"> </w:t>
          </w:r>
          <w:r w:rsidR="00A80EE4" w:rsidRPr="00A80EE4">
            <w:rPr>
              <w:noProof/>
              <w:lang w:val="en-US"/>
            </w:rPr>
            <w:t>(Arthur, et al., 2015)</w:t>
          </w:r>
          <w:r w:rsidR="00A80EE4">
            <w:fldChar w:fldCharType="end"/>
          </w:r>
        </w:sdtContent>
      </w:sdt>
      <w:r w:rsidR="00A80EE4">
        <w:t>. If this approach were to be used for the significance task in the microteach lesson, learning and teaching would become much more effective and learners would have guidance in how to complete a task such as this. Additionally, teacher instruction may have benefitted from this different approach to teaching historical significance.</w:t>
      </w:r>
    </w:p>
    <w:p w:rsidR="00A80EE4" w:rsidRDefault="00A80EE4" w:rsidP="00A80EE4">
      <w:pPr>
        <w:spacing w:line="480" w:lineRule="auto"/>
        <w:ind w:firstLine="720"/>
        <w:jc w:val="both"/>
      </w:pPr>
      <w:r>
        <w:t>The influence of these changes in approach would have had a significant impact on learners thinking, learning and</w:t>
      </w:r>
      <w:r w:rsidR="001F0707">
        <w:t>,</w:t>
      </w:r>
      <w:r>
        <w:t xml:space="preserve"> in a school context, behaviour. With clearer instructions</w:t>
      </w:r>
      <w:r w:rsidR="001F0707">
        <w:t xml:space="preserve">, less teacher exposition and effective questioning and scaffolding, learners would have been able to think and discuss deeper and more meaningful. Learners are also far more likely to behave and respond when </w:t>
      </w:r>
      <w:proofErr w:type="gramStart"/>
      <w:r w:rsidR="001F0707">
        <w:t>all of</w:t>
      </w:r>
      <w:proofErr w:type="gramEnd"/>
      <w:r w:rsidR="001F0707">
        <w:t xml:space="preserve"> these things are in place</w:t>
      </w:r>
      <w:sdt>
        <w:sdtPr>
          <w:id w:val="-1578123268"/>
          <w:citation/>
        </w:sdtPr>
        <w:sdtContent>
          <w:r w:rsidR="001F0707">
            <w:fldChar w:fldCharType="begin"/>
          </w:r>
          <w:r w:rsidR="001F0707">
            <w:rPr>
              <w:lang w:val="en-US"/>
            </w:rPr>
            <w:instrText xml:space="preserve"> CITATION Art15 \l 1033 </w:instrText>
          </w:r>
          <w:r w:rsidR="001F0707">
            <w:fldChar w:fldCharType="separate"/>
          </w:r>
          <w:r w:rsidR="001F0707">
            <w:rPr>
              <w:noProof/>
              <w:lang w:val="en-US"/>
            </w:rPr>
            <w:t xml:space="preserve"> </w:t>
          </w:r>
          <w:r w:rsidR="001F0707" w:rsidRPr="001F0707">
            <w:rPr>
              <w:noProof/>
              <w:lang w:val="en-US"/>
            </w:rPr>
            <w:t>(Arthur, et al., 2015)</w:t>
          </w:r>
          <w:r w:rsidR="001F0707">
            <w:fldChar w:fldCharType="end"/>
          </w:r>
        </w:sdtContent>
      </w:sdt>
      <w:r w:rsidR="001F0707">
        <w:t xml:space="preserve">. </w:t>
      </w:r>
    </w:p>
    <w:p w:rsidR="001F0707" w:rsidRDefault="00192999" w:rsidP="00A80EE4">
      <w:pPr>
        <w:spacing w:line="480" w:lineRule="auto"/>
        <w:ind w:firstLine="720"/>
        <w:jc w:val="both"/>
      </w:pPr>
      <w:r>
        <w:t>The development of my own thinking as a teacher has significantly grown throughout PTE one. One example of this is my understanding of everyone’s learning needs</w:t>
      </w:r>
      <w:sdt>
        <w:sdtPr>
          <w:id w:val="-9605684"/>
          <w:citation/>
        </w:sdtPr>
        <w:sdtContent>
          <w:r>
            <w:fldChar w:fldCharType="begin"/>
          </w:r>
          <w:r>
            <w:rPr>
              <w:lang w:val="en-US"/>
            </w:rPr>
            <w:instrText xml:space="preserve"> CITATION Wel09 \l 1033 </w:instrText>
          </w:r>
          <w:r>
            <w:fldChar w:fldCharType="separate"/>
          </w:r>
          <w:r>
            <w:rPr>
              <w:noProof/>
              <w:lang w:val="en-US"/>
            </w:rPr>
            <w:t xml:space="preserve"> </w:t>
          </w:r>
          <w:r w:rsidRPr="00192999">
            <w:rPr>
              <w:noProof/>
              <w:lang w:val="en-US"/>
            </w:rPr>
            <w:t>(Government, 2009)</w:t>
          </w:r>
          <w:r>
            <w:fldChar w:fldCharType="end"/>
          </w:r>
        </w:sdtContent>
      </w:sdt>
      <w:r>
        <w:t>. Initially, my understanding of this standard was very limited</w:t>
      </w:r>
      <w:r w:rsidR="000D306E">
        <w:t xml:space="preserve">, however as PTE one has progressed, I have come </w:t>
      </w:r>
      <w:r w:rsidR="000D306E">
        <w:lastRenderedPageBreak/>
        <w:t>to realise that all aspects of this are incredibly important. It is necessary to learn about all your pupil’s backgrounds as it is one of the first steps in being able to teach them properly. In my own experience in PTE this has ranged from making sure I pronounce names from different cultures correctly, to knowing which FSM learners are underperforming and trying to combat this with extra support. Using accessible language</w:t>
      </w:r>
      <w:r w:rsidR="00443760">
        <w:t xml:space="preserve"> and materials </w:t>
      </w:r>
      <w:r w:rsidR="000D306E">
        <w:t>for a wide variety of different backgrounds has also become</w:t>
      </w:r>
      <w:r w:rsidR="00443760">
        <w:t xml:space="preserve"> important to my thinking when planning lessons. Another standard which compliments this and has had an impact on the development of my thinking as a teacher is ‘consideration for learners and mutual respect</w:t>
      </w:r>
      <w:sdt>
        <w:sdtPr>
          <w:id w:val="1410267123"/>
          <w:citation/>
        </w:sdtPr>
        <w:sdtContent>
          <w:r w:rsidR="00443760">
            <w:fldChar w:fldCharType="begin"/>
          </w:r>
          <w:r w:rsidR="00443760">
            <w:rPr>
              <w:lang w:val="en-US"/>
            </w:rPr>
            <w:instrText xml:space="preserve"> CITATION Wel09 \l 1033 </w:instrText>
          </w:r>
          <w:r w:rsidR="00443760">
            <w:fldChar w:fldCharType="separate"/>
          </w:r>
          <w:r w:rsidR="00443760">
            <w:rPr>
              <w:noProof/>
              <w:lang w:val="en-US"/>
            </w:rPr>
            <w:t xml:space="preserve"> </w:t>
          </w:r>
          <w:r w:rsidR="00443760" w:rsidRPr="00443760">
            <w:rPr>
              <w:noProof/>
              <w:lang w:val="en-US"/>
            </w:rPr>
            <w:t>(Government, 2009)</w:t>
          </w:r>
          <w:r w:rsidR="00443760">
            <w:fldChar w:fldCharType="end"/>
          </w:r>
        </w:sdtContent>
      </w:sdt>
      <w:r w:rsidR="00443760">
        <w:t xml:space="preserve">. I believe that the active involvement of learners in their learning can be incredibly effective. This is especially true when learners have an environment where they are not afraid to make mistakes, as these </w:t>
      </w:r>
      <w:r w:rsidR="004314E5">
        <w:t>good. learners become more actively involved in lessons when they know that their input is appreciated, whether their answers are wrong or right</w:t>
      </w:r>
      <w:sdt>
        <w:sdtPr>
          <w:id w:val="-1808457459"/>
          <w:citation/>
        </w:sdtPr>
        <w:sdtContent>
          <w:r w:rsidR="004314E5">
            <w:fldChar w:fldCharType="begin"/>
          </w:r>
          <w:r w:rsidR="004314E5">
            <w:rPr>
              <w:lang w:val="en-US"/>
            </w:rPr>
            <w:instrText xml:space="preserve"> CITATION Wel09 \l 1033 </w:instrText>
          </w:r>
          <w:r w:rsidR="004314E5">
            <w:fldChar w:fldCharType="separate"/>
          </w:r>
          <w:r w:rsidR="004314E5">
            <w:rPr>
              <w:noProof/>
              <w:lang w:val="en-US"/>
            </w:rPr>
            <w:t xml:space="preserve"> </w:t>
          </w:r>
          <w:r w:rsidR="004314E5" w:rsidRPr="004314E5">
            <w:rPr>
              <w:noProof/>
              <w:lang w:val="en-US"/>
            </w:rPr>
            <w:t>(Government, 2009)</w:t>
          </w:r>
          <w:r w:rsidR="004314E5">
            <w:fldChar w:fldCharType="end"/>
          </w:r>
        </w:sdtContent>
      </w:sdt>
      <w:r w:rsidR="004314E5">
        <w:t xml:space="preserve">. I have come to value the importance of feedback, whether it given to a learner orally or written or even if the feedback is from learner to teacher. My thinking as a teacher has also developed with regards to learning objectives. It has been essential for me to step back and look at the learning objectives I was </w:t>
      </w:r>
      <w:proofErr w:type="gramStart"/>
      <w:r w:rsidR="004314E5">
        <w:t>setting as a whole, to</w:t>
      </w:r>
      <w:proofErr w:type="gramEnd"/>
      <w:r w:rsidR="004314E5">
        <w:t xml:space="preserve"> ensure that learners were getting the best possible outcomes. I now decide upon learning objectives by discussing with my mentor what I want to get out of a lesson and how </w:t>
      </w:r>
      <w:proofErr w:type="gramStart"/>
      <w:r w:rsidR="004314E5">
        <w:t>this</w:t>
      </w:r>
      <w:r w:rsidR="0078380B">
        <w:t xml:space="preserve"> </w:t>
      </w:r>
      <w:r w:rsidR="004314E5">
        <w:t>fits</w:t>
      </w:r>
      <w:proofErr w:type="gramEnd"/>
      <w:r w:rsidR="004314E5">
        <w:t xml:space="preserve"> in with learners abilities and previous achievements</w:t>
      </w:r>
      <w:sdt>
        <w:sdtPr>
          <w:id w:val="2076229035"/>
          <w:citation/>
        </w:sdtPr>
        <w:sdtContent>
          <w:r w:rsidR="004314E5">
            <w:fldChar w:fldCharType="begin"/>
          </w:r>
          <w:r w:rsidR="004314E5">
            <w:rPr>
              <w:lang w:val="en-US"/>
            </w:rPr>
            <w:instrText xml:space="preserve"> CITATION Wel09 \l 1033 </w:instrText>
          </w:r>
          <w:r w:rsidR="004314E5">
            <w:fldChar w:fldCharType="separate"/>
          </w:r>
          <w:r w:rsidR="004314E5">
            <w:rPr>
              <w:noProof/>
              <w:lang w:val="en-US"/>
            </w:rPr>
            <w:t xml:space="preserve"> </w:t>
          </w:r>
          <w:r w:rsidR="004314E5" w:rsidRPr="004314E5">
            <w:rPr>
              <w:noProof/>
              <w:lang w:val="en-US"/>
            </w:rPr>
            <w:t>(Government, 2009)</w:t>
          </w:r>
          <w:r w:rsidR="004314E5">
            <w:fldChar w:fldCharType="end"/>
          </w:r>
        </w:sdtContent>
      </w:sdt>
      <w:r w:rsidR="004314E5">
        <w:t xml:space="preserve">. Finally, </w:t>
      </w:r>
      <w:r w:rsidR="0078380B">
        <w:t>linked to this is the standard of delivering effective lessons</w:t>
      </w:r>
      <w:sdt>
        <w:sdtPr>
          <w:id w:val="1785617747"/>
          <w:citation/>
        </w:sdtPr>
        <w:sdtContent>
          <w:r w:rsidR="0078380B">
            <w:fldChar w:fldCharType="begin"/>
          </w:r>
          <w:r w:rsidR="0078380B">
            <w:rPr>
              <w:lang w:val="en-US"/>
            </w:rPr>
            <w:instrText xml:space="preserve"> CITATION Wel09 \l 1033 </w:instrText>
          </w:r>
          <w:r w:rsidR="0078380B">
            <w:fldChar w:fldCharType="separate"/>
          </w:r>
          <w:r w:rsidR="0078380B">
            <w:rPr>
              <w:noProof/>
              <w:lang w:val="en-US"/>
            </w:rPr>
            <w:t xml:space="preserve"> </w:t>
          </w:r>
          <w:r w:rsidR="0078380B" w:rsidRPr="0078380B">
            <w:rPr>
              <w:noProof/>
              <w:lang w:val="en-US"/>
            </w:rPr>
            <w:t>(Government, 2009)</w:t>
          </w:r>
          <w:r w:rsidR="0078380B">
            <w:fldChar w:fldCharType="end"/>
          </w:r>
        </w:sdtContent>
      </w:sdt>
      <w:r w:rsidR="0078380B">
        <w:t>. My thinking as a teacher has possibly developed most considerably in this area as PTE has shown the importance of setting clear instructions and objectives, so that learners know where they need to be by the end of the lesson. When lessons have not gone to plan, I have had to remove activities and carefully select new ones to ensure that my lesson is effective and involves critical thinking or reflection or effective questioning and discussion. Although my thinking as a teacher has developed in many ways throughout PTE one, the above standards provide examples of some of the most important ways.</w:t>
      </w:r>
    </w:p>
    <w:p w:rsidR="001F0707" w:rsidRDefault="001F0707" w:rsidP="00A80EE4">
      <w:pPr>
        <w:spacing w:line="480" w:lineRule="auto"/>
        <w:ind w:firstLine="720"/>
        <w:jc w:val="both"/>
      </w:pPr>
    </w:p>
    <w:sdt>
      <w:sdtPr>
        <w:id w:val="13647865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5670F" w:rsidRDefault="0055670F">
          <w:pPr>
            <w:pStyle w:val="Heading1"/>
          </w:pPr>
          <w:r>
            <w:t>Bibliography</w:t>
          </w:r>
        </w:p>
        <w:sdt>
          <w:sdtPr>
            <w:id w:val="111145805"/>
            <w:bibliography/>
          </w:sdtPr>
          <w:sdtContent>
            <w:p w:rsidR="0055670F" w:rsidRDefault="0055670F" w:rsidP="0055670F">
              <w:pPr>
                <w:pStyle w:val="Bibliography"/>
                <w:rPr>
                  <w:noProof/>
                  <w:sz w:val="24"/>
                  <w:szCs w:val="24"/>
                  <w:lang w:val="en-US"/>
                </w:rPr>
              </w:pPr>
              <w:r>
                <w:fldChar w:fldCharType="begin"/>
              </w:r>
              <w:r>
                <w:instrText xml:space="preserve"> BIBLIOGRAPHY </w:instrText>
              </w:r>
              <w:r>
                <w:fldChar w:fldCharType="separate"/>
              </w:r>
              <w:r>
                <w:rPr>
                  <w:noProof/>
                  <w:lang w:val="en-US"/>
                </w:rPr>
                <w:t xml:space="preserve">Curriculum and Assessment Authority for Wales (ACCAC), 2003. </w:t>
              </w:r>
              <w:r>
                <w:rPr>
                  <w:i/>
                  <w:iCs/>
                  <w:noProof/>
                  <w:lang w:val="en-US"/>
                </w:rPr>
                <w:t xml:space="preserve">Developing the Curriculum Cymreig, </w:t>
              </w:r>
              <w:r>
                <w:rPr>
                  <w:noProof/>
                  <w:lang w:val="en-US"/>
                </w:rPr>
                <w:t>Cardiff: Qualifications.</w:t>
              </w:r>
            </w:p>
            <w:p w:rsidR="0055670F" w:rsidRDefault="0055670F" w:rsidP="0055670F">
              <w:pPr>
                <w:pStyle w:val="Bibliography"/>
                <w:rPr>
                  <w:noProof/>
                  <w:lang w:val="en-US"/>
                </w:rPr>
              </w:pPr>
              <w:r>
                <w:rPr>
                  <w:noProof/>
                  <w:lang w:val="en-US"/>
                </w:rPr>
                <w:t xml:space="preserve">Abtahi, Y., 2018. Pupils, Tools and the Zone of Proximal Development. </w:t>
              </w:r>
              <w:r>
                <w:rPr>
                  <w:i/>
                  <w:iCs/>
                  <w:noProof/>
                  <w:lang w:val="en-US"/>
                </w:rPr>
                <w:t xml:space="preserve">Research in Mathematics Education, </w:t>
              </w:r>
              <w:r>
                <w:rPr>
                  <w:noProof/>
                  <w:lang w:val="en-US"/>
                </w:rPr>
                <w:t>20(1), pp. 1-14.</w:t>
              </w:r>
            </w:p>
            <w:p w:rsidR="0055670F" w:rsidRDefault="0055670F" w:rsidP="0055670F">
              <w:pPr>
                <w:pStyle w:val="Bibliography"/>
                <w:rPr>
                  <w:noProof/>
                  <w:lang w:val="en-US"/>
                </w:rPr>
              </w:pPr>
              <w:r>
                <w:rPr>
                  <w:noProof/>
                  <w:lang w:val="en-US"/>
                </w:rPr>
                <w:t xml:space="preserve">Aloisi, C., Coe, R., Cesare Aloisi, H. &amp; Major, L. E., 2014. </w:t>
              </w:r>
              <w:r>
                <w:rPr>
                  <w:i/>
                  <w:iCs/>
                  <w:noProof/>
                  <w:lang w:val="en-US"/>
                </w:rPr>
                <w:t xml:space="preserve">What makes great teaching?, </w:t>
              </w:r>
              <w:r>
                <w:rPr>
                  <w:noProof/>
                  <w:lang w:val="en-US"/>
                </w:rPr>
                <w:t>Durham: The Sutton Trust.</w:t>
              </w:r>
            </w:p>
            <w:p w:rsidR="0055670F" w:rsidRDefault="0055670F" w:rsidP="0055670F">
              <w:pPr>
                <w:pStyle w:val="Bibliography"/>
                <w:rPr>
                  <w:noProof/>
                  <w:lang w:val="en-US"/>
                </w:rPr>
              </w:pPr>
              <w:r>
                <w:rPr>
                  <w:noProof/>
                  <w:lang w:val="en-US"/>
                </w:rPr>
                <w:t xml:space="preserve">Arthur, J., Hayden, T., Hunt, M. &amp; Stephen, R., 2015. </w:t>
              </w:r>
              <w:r>
                <w:rPr>
                  <w:i/>
                  <w:iCs/>
                  <w:noProof/>
                  <w:lang w:val="en-US"/>
                </w:rPr>
                <w:t xml:space="preserve">Learning to Teach History in the Secondary School. </w:t>
              </w:r>
              <w:r>
                <w:rPr>
                  <w:noProof/>
                  <w:lang w:val="en-US"/>
                </w:rPr>
                <w:t>4th ed. London: Routledge.</w:t>
              </w:r>
            </w:p>
            <w:p w:rsidR="0055670F" w:rsidRDefault="0055670F" w:rsidP="0055670F">
              <w:pPr>
                <w:pStyle w:val="Bibliography"/>
                <w:rPr>
                  <w:noProof/>
                  <w:lang w:val="en-US"/>
                </w:rPr>
              </w:pPr>
              <w:r>
                <w:rPr>
                  <w:noProof/>
                  <w:lang w:val="en-US"/>
                </w:rPr>
                <w:t xml:space="preserve">Barton, K., 2009. The Denial of Desire: How to make History Education Meaningless. In: L. S. a. A. Wilschut, ed. </w:t>
              </w:r>
              <w:r>
                <w:rPr>
                  <w:i/>
                  <w:iCs/>
                  <w:noProof/>
                  <w:lang w:val="en-US"/>
                </w:rPr>
                <w:t xml:space="preserve">National History Standards: The Problem of the Canon and the Future of Teaching History. </w:t>
              </w:r>
              <w:r>
                <w:rPr>
                  <w:noProof/>
                  <w:lang w:val="en-US"/>
                </w:rPr>
                <w:t>Charlotte, NC: Information Age Publishing, pp. 265-82.</w:t>
              </w:r>
            </w:p>
            <w:p w:rsidR="0055670F" w:rsidRDefault="0055670F" w:rsidP="0055670F">
              <w:pPr>
                <w:pStyle w:val="Bibliography"/>
                <w:rPr>
                  <w:noProof/>
                  <w:lang w:val="en-US"/>
                </w:rPr>
              </w:pPr>
              <w:r>
                <w:rPr>
                  <w:noProof/>
                  <w:lang w:val="en-US"/>
                </w:rPr>
                <w:t xml:space="preserve">Burn, K., Harris, R. &amp; Woolley, M., 2014. </w:t>
              </w:r>
              <w:r>
                <w:rPr>
                  <w:i/>
                  <w:iCs/>
                  <w:noProof/>
                  <w:lang w:val="en-US"/>
                </w:rPr>
                <w:t xml:space="preserve">The Guided Reader to Teaching and Learning History. </w:t>
              </w:r>
              <w:r>
                <w:rPr>
                  <w:noProof/>
                  <w:lang w:val="en-US"/>
                </w:rPr>
                <w:t>Oxon: Routledge.</w:t>
              </w:r>
            </w:p>
            <w:p w:rsidR="0055670F" w:rsidRDefault="0055670F" w:rsidP="0055670F">
              <w:pPr>
                <w:pStyle w:val="Bibliography"/>
                <w:rPr>
                  <w:noProof/>
                  <w:lang w:val="en-US"/>
                </w:rPr>
              </w:pPr>
              <w:r>
                <w:rPr>
                  <w:noProof/>
                  <w:lang w:val="en-US"/>
                </w:rPr>
                <w:t xml:space="preserve">Conway, R., 2006. What they think they know: the Impacts of pupils' Preconceptions on their Understanding of Historical Significance. </w:t>
              </w:r>
              <w:r>
                <w:rPr>
                  <w:i/>
                  <w:iCs/>
                  <w:noProof/>
                  <w:lang w:val="en-US"/>
                </w:rPr>
                <w:t xml:space="preserve">Teaching History, </w:t>
              </w:r>
              <w:r>
                <w:rPr>
                  <w:noProof/>
                  <w:lang w:val="en-US"/>
                </w:rPr>
                <w:t>Volume 125, p. 10.</w:t>
              </w:r>
            </w:p>
            <w:p w:rsidR="0055670F" w:rsidRDefault="0055670F" w:rsidP="0055670F">
              <w:pPr>
                <w:pStyle w:val="Bibliography"/>
                <w:rPr>
                  <w:noProof/>
                  <w:lang w:val="en-US"/>
                </w:rPr>
              </w:pPr>
              <w:r>
                <w:rPr>
                  <w:noProof/>
                  <w:lang w:val="en-US"/>
                </w:rPr>
                <w:t xml:space="preserve">Cymru, N., 2009. </w:t>
              </w:r>
              <w:r>
                <w:rPr>
                  <w:i/>
                  <w:iCs/>
                  <w:noProof/>
                  <w:lang w:val="en-US"/>
                </w:rPr>
                <w:t xml:space="preserve">TES. </w:t>
              </w:r>
              <w:r>
                <w:rPr>
                  <w:noProof/>
                  <w:lang w:val="en-US"/>
                </w:rPr>
                <w:t xml:space="preserve">[Online] </w:t>
              </w:r>
              <w:r>
                <w:rPr>
                  <w:noProof/>
                  <w:lang w:val="en-US"/>
                </w:rPr>
                <w:br/>
                <w:t xml:space="preserve">Available at: </w:t>
              </w:r>
              <w:r>
                <w:rPr>
                  <w:noProof/>
                  <w:u w:val="single"/>
                  <w:lang w:val="en-US"/>
                </w:rPr>
                <w:t>https://www.tes.com/teaching-resource/gerald-of-wales-6016558</w:t>
              </w:r>
              <w:r>
                <w:rPr>
                  <w:noProof/>
                  <w:lang w:val="en-US"/>
                </w:rPr>
                <w:br/>
                <w:t>[Accessed 19 September 2018].</w:t>
              </w:r>
            </w:p>
            <w:p w:rsidR="0055670F" w:rsidRDefault="0055670F" w:rsidP="0055670F">
              <w:pPr>
                <w:pStyle w:val="Bibliography"/>
                <w:rPr>
                  <w:noProof/>
                  <w:lang w:val="en-US"/>
                </w:rPr>
              </w:pPr>
              <w:r>
                <w:rPr>
                  <w:noProof/>
                  <w:lang w:val="en-US"/>
                </w:rPr>
                <w:t xml:space="preserve">Ged Creativity Consultant, 2018. </w:t>
              </w:r>
              <w:r>
                <w:rPr>
                  <w:i/>
                  <w:iCs/>
                  <w:noProof/>
                  <w:lang w:val="en-US"/>
                </w:rPr>
                <w:t xml:space="preserve">The National Society for Education in Art and Design (NSEAD). </w:t>
              </w:r>
              <w:r>
                <w:rPr>
                  <w:noProof/>
                  <w:lang w:val="en-US"/>
                </w:rPr>
                <w:t xml:space="preserve">[Online] </w:t>
              </w:r>
              <w:r>
                <w:rPr>
                  <w:noProof/>
                  <w:lang w:val="en-US"/>
                </w:rPr>
                <w:br/>
                <w:t xml:space="preserve">Available at: </w:t>
              </w:r>
              <w:r>
                <w:rPr>
                  <w:noProof/>
                  <w:u w:val="single"/>
                  <w:lang w:val="en-US"/>
                </w:rPr>
                <w:t>http://www.nsead.org/home/index.aspx</w:t>
              </w:r>
              <w:r>
                <w:rPr>
                  <w:noProof/>
                  <w:lang w:val="en-US"/>
                </w:rPr>
                <w:br/>
                <w:t>[Accessed 30 October 2018].</w:t>
              </w:r>
            </w:p>
            <w:p w:rsidR="0055670F" w:rsidRDefault="0055670F" w:rsidP="0055670F">
              <w:pPr>
                <w:pStyle w:val="Bibliography"/>
                <w:rPr>
                  <w:noProof/>
                  <w:lang w:val="en-US"/>
                </w:rPr>
              </w:pPr>
              <w:r>
                <w:rPr>
                  <w:noProof/>
                  <w:lang w:val="en-US"/>
                </w:rPr>
                <w:t xml:space="preserve">Government, W. A., 2009. </w:t>
              </w:r>
              <w:r>
                <w:rPr>
                  <w:i/>
                  <w:iCs/>
                  <w:noProof/>
                  <w:lang w:val="en-US"/>
                </w:rPr>
                <w:t xml:space="preserve">Becoming a Qualified Teacher: Handbook of Guidance. </w:t>
              </w:r>
              <w:r>
                <w:rPr>
                  <w:noProof/>
                  <w:lang w:val="en-US"/>
                </w:rPr>
                <w:t xml:space="preserve">[Online] </w:t>
              </w:r>
              <w:r>
                <w:rPr>
                  <w:noProof/>
                  <w:lang w:val="en-US"/>
                </w:rPr>
                <w:br/>
                <w:t xml:space="preserve">Available at: </w:t>
              </w:r>
              <w:r>
                <w:rPr>
                  <w:noProof/>
                  <w:u w:val="single"/>
                  <w:lang w:val="en-US"/>
                </w:rPr>
                <w:t>https://gov.wales/docs/dcells/publications/090915becomingateacheren.pdf#page=12</w:t>
              </w:r>
              <w:r>
                <w:rPr>
                  <w:noProof/>
                  <w:lang w:val="en-US"/>
                </w:rPr>
                <w:br/>
                <w:t>[Accessed 15 November 2018].</w:t>
              </w:r>
            </w:p>
            <w:p w:rsidR="0055670F" w:rsidRDefault="0055670F" w:rsidP="0055670F">
              <w:pPr>
                <w:pStyle w:val="Bibliography"/>
                <w:rPr>
                  <w:noProof/>
                  <w:lang w:val="en-US"/>
                </w:rPr>
              </w:pPr>
              <w:r>
                <w:rPr>
                  <w:noProof/>
                  <w:lang w:val="en-US"/>
                </w:rPr>
                <w:t xml:space="preserve">Languages, Literacy and Communications AoLE Group, 2017. </w:t>
              </w:r>
              <w:r>
                <w:rPr>
                  <w:i/>
                  <w:iCs/>
                  <w:noProof/>
                  <w:lang w:val="en-US"/>
                </w:rPr>
                <w:t xml:space="preserve">Languages, Literacy and Communications AoLE, </w:t>
              </w:r>
              <w:r>
                <w:rPr>
                  <w:noProof/>
                  <w:lang w:val="en-US"/>
                </w:rPr>
                <w:t>Cardiff: Welsh Government.</w:t>
              </w:r>
            </w:p>
            <w:p w:rsidR="0055670F" w:rsidRDefault="0055670F" w:rsidP="0055670F">
              <w:pPr>
                <w:pStyle w:val="Bibliography"/>
                <w:rPr>
                  <w:noProof/>
                  <w:lang w:val="en-US"/>
                </w:rPr>
              </w:pPr>
              <w:r>
                <w:rPr>
                  <w:noProof/>
                  <w:lang w:val="en-US"/>
                </w:rPr>
                <w:t xml:space="preserve">Mujis, D., 2005. </w:t>
              </w:r>
              <w:r>
                <w:rPr>
                  <w:i/>
                  <w:iCs/>
                  <w:noProof/>
                  <w:lang w:val="en-US"/>
                </w:rPr>
                <w:t xml:space="preserve">Effective Teaching:Evidence and Practice. </w:t>
              </w:r>
              <w:r>
                <w:rPr>
                  <w:noProof/>
                  <w:lang w:val="en-US"/>
                </w:rPr>
                <w:t>California: SAGE publications.</w:t>
              </w:r>
            </w:p>
            <w:p w:rsidR="0055670F" w:rsidRDefault="0055670F" w:rsidP="0055670F">
              <w:pPr>
                <w:pStyle w:val="Bibliography"/>
                <w:rPr>
                  <w:noProof/>
                  <w:lang w:val="en-US"/>
                </w:rPr>
              </w:pPr>
              <w:r>
                <w:rPr>
                  <w:noProof/>
                  <w:lang w:val="en-US"/>
                </w:rPr>
                <w:t xml:space="preserve">Phillips, I., 2002. History and Mathematics or History with Mathematics: Does it add up?. </w:t>
              </w:r>
              <w:r>
                <w:rPr>
                  <w:i/>
                  <w:iCs/>
                  <w:noProof/>
                  <w:lang w:val="en-US"/>
                </w:rPr>
                <w:t xml:space="preserve">Teaching History, </w:t>
              </w:r>
              <w:r>
                <w:rPr>
                  <w:noProof/>
                  <w:lang w:val="en-US"/>
                </w:rPr>
                <w:t>Volume 107, pp. 35-40.</w:t>
              </w:r>
            </w:p>
            <w:p w:rsidR="0055670F" w:rsidRDefault="0055670F" w:rsidP="0055670F">
              <w:pPr>
                <w:pStyle w:val="Bibliography"/>
                <w:rPr>
                  <w:noProof/>
                  <w:lang w:val="en-US"/>
                </w:rPr>
              </w:pPr>
              <w:r>
                <w:rPr>
                  <w:noProof/>
                  <w:lang w:val="en-US"/>
                </w:rPr>
                <w:t xml:space="preserve">Phillips, I., 2010. </w:t>
              </w:r>
              <w:r>
                <w:rPr>
                  <w:i/>
                  <w:iCs/>
                  <w:noProof/>
                  <w:lang w:val="en-US"/>
                </w:rPr>
                <w:t xml:space="preserve">Teaching History: Developing as a Reflective Secondary Teacher. </w:t>
              </w:r>
              <w:r>
                <w:rPr>
                  <w:noProof/>
                  <w:lang w:val="en-US"/>
                </w:rPr>
                <w:t>South Asia ed. New Delhi: SAGE Publications.</w:t>
              </w:r>
            </w:p>
            <w:p w:rsidR="0055670F" w:rsidRDefault="0055670F" w:rsidP="0055670F">
              <w:pPr>
                <w:pStyle w:val="Bibliography"/>
                <w:rPr>
                  <w:noProof/>
                  <w:lang w:val="en-US"/>
                </w:rPr>
              </w:pPr>
              <w:r>
                <w:rPr>
                  <w:noProof/>
                  <w:lang w:val="en-US"/>
                </w:rPr>
                <w:t xml:space="preserve">Walford, R., 2005. Use of Language in the School Classroom. In: J. Beck &amp; M. Earl, eds. </w:t>
              </w:r>
              <w:r>
                <w:rPr>
                  <w:i/>
                  <w:iCs/>
                  <w:noProof/>
                  <w:lang w:val="en-US"/>
                </w:rPr>
                <w:t xml:space="preserve">Key Issues in Secondary Education. </w:t>
              </w:r>
              <w:r>
                <w:rPr>
                  <w:noProof/>
                  <w:lang w:val="en-US"/>
                </w:rPr>
                <w:t>2nd ed. London: Continuum, pp. 53-59.</w:t>
              </w:r>
            </w:p>
            <w:p w:rsidR="0055670F" w:rsidRDefault="0055670F" w:rsidP="0055670F">
              <w:pPr>
                <w:pStyle w:val="Bibliography"/>
                <w:rPr>
                  <w:noProof/>
                  <w:lang w:val="en-US"/>
                </w:rPr>
              </w:pPr>
              <w:r>
                <w:rPr>
                  <w:noProof/>
                  <w:lang w:val="en-US"/>
                </w:rPr>
                <w:t xml:space="preserve">Welsh Government, 2014. </w:t>
              </w:r>
              <w:r>
                <w:rPr>
                  <w:i/>
                  <w:iCs/>
                  <w:noProof/>
                  <w:lang w:val="en-US"/>
                </w:rPr>
                <w:t xml:space="preserve">Learning Wales. </w:t>
              </w:r>
              <w:r>
                <w:rPr>
                  <w:noProof/>
                  <w:lang w:val="en-US"/>
                </w:rPr>
                <w:t xml:space="preserve">[Online] </w:t>
              </w:r>
              <w:r>
                <w:rPr>
                  <w:noProof/>
                  <w:lang w:val="en-US"/>
                </w:rPr>
                <w:br/>
                <w:t xml:space="preserve">Available at: </w:t>
              </w:r>
              <w:r>
                <w:rPr>
                  <w:noProof/>
                  <w:u w:val="single"/>
                  <w:lang w:val="en-US"/>
                </w:rPr>
                <w:t>http://learning.gov.wales/resources/browse-all/nlnf/framework?lang=en</w:t>
              </w:r>
              <w:r>
                <w:rPr>
                  <w:noProof/>
                  <w:lang w:val="en-US"/>
                </w:rPr>
                <w:br/>
                <w:t>[Accessed 5 October 2018].</w:t>
              </w:r>
            </w:p>
            <w:p w:rsidR="0055670F" w:rsidRDefault="0055670F" w:rsidP="0055670F">
              <w:pPr>
                <w:pStyle w:val="Bibliography"/>
                <w:rPr>
                  <w:noProof/>
                  <w:lang w:val="en-US"/>
                </w:rPr>
              </w:pPr>
              <w:r>
                <w:rPr>
                  <w:noProof/>
                  <w:lang w:val="en-US"/>
                </w:rPr>
                <w:lastRenderedPageBreak/>
                <w:t xml:space="preserve">Wrenn, A., 2011. Significance. In: I. Davies, ed. </w:t>
              </w:r>
              <w:r>
                <w:rPr>
                  <w:i/>
                  <w:iCs/>
                  <w:noProof/>
                  <w:lang w:val="en-US"/>
                </w:rPr>
                <w:t xml:space="preserve">Debates in History. </w:t>
              </w:r>
              <w:r>
                <w:rPr>
                  <w:noProof/>
                  <w:lang w:val="en-US"/>
                </w:rPr>
                <w:t>Oxon : Routledge, pp. 148-158.</w:t>
              </w:r>
            </w:p>
            <w:p w:rsidR="0055670F" w:rsidRDefault="0055670F" w:rsidP="0055670F">
              <w:r>
                <w:rPr>
                  <w:b/>
                  <w:bCs/>
                  <w:noProof/>
                </w:rPr>
                <w:fldChar w:fldCharType="end"/>
              </w:r>
            </w:p>
          </w:sdtContent>
        </w:sdt>
      </w:sdtContent>
    </w:sdt>
    <w:p w:rsidR="00A80EE4" w:rsidRPr="00736413" w:rsidRDefault="00A80EE4" w:rsidP="0055670F">
      <w:pPr>
        <w:spacing w:line="480" w:lineRule="auto"/>
        <w:jc w:val="both"/>
      </w:pPr>
      <w:bookmarkStart w:id="0" w:name="_GoBack"/>
      <w:bookmarkEnd w:id="0"/>
    </w:p>
    <w:sectPr w:rsidR="00A80EE4" w:rsidRPr="0073641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C6F4D" w:rsidRDefault="00CC6F4D" w:rsidP="0055670F">
      <w:pPr>
        <w:spacing w:after="0" w:line="240" w:lineRule="auto"/>
      </w:pPr>
      <w:r>
        <w:separator/>
      </w:r>
    </w:p>
  </w:endnote>
  <w:endnote w:type="continuationSeparator" w:id="0">
    <w:p w:rsidR="00CC6F4D" w:rsidRDefault="00CC6F4D" w:rsidP="00556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908250"/>
      <w:docPartObj>
        <w:docPartGallery w:val="Page Numbers (Bottom of Page)"/>
        <w:docPartUnique/>
      </w:docPartObj>
    </w:sdtPr>
    <w:sdtEndPr>
      <w:rPr>
        <w:noProof/>
      </w:rPr>
    </w:sdtEndPr>
    <w:sdtContent>
      <w:p w:rsidR="0055670F" w:rsidRDefault="005567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5670F" w:rsidRDefault="00556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C6F4D" w:rsidRDefault="00CC6F4D" w:rsidP="0055670F">
      <w:pPr>
        <w:spacing w:after="0" w:line="240" w:lineRule="auto"/>
      </w:pPr>
      <w:r>
        <w:separator/>
      </w:r>
    </w:p>
  </w:footnote>
  <w:footnote w:type="continuationSeparator" w:id="0">
    <w:p w:rsidR="00CC6F4D" w:rsidRDefault="00CC6F4D" w:rsidP="00556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5670F" w:rsidRDefault="0055670F">
    <w:pPr>
      <w:pStyle w:val="Header"/>
    </w:pPr>
    <w:r>
      <w:t>1401017</w:t>
    </w:r>
  </w:p>
  <w:p w:rsidR="0055670F" w:rsidRDefault="00556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4A2"/>
    <w:rsid w:val="00000988"/>
    <w:rsid w:val="000449F5"/>
    <w:rsid w:val="00094034"/>
    <w:rsid w:val="000B3FD9"/>
    <w:rsid w:val="000D306E"/>
    <w:rsid w:val="00113AF5"/>
    <w:rsid w:val="00124376"/>
    <w:rsid w:val="0012524D"/>
    <w:rsid w:val="00140859"/>
    <w:rsid w:val="00192999"/>
    <w:rsid w:val="001B4F30"/>
    <w:rsid w:val="001F0707"/>
    <w:rsid w:val="00213EDD"/>
    <w:rsid w:val="00214170"/>
    <w:rsid w:val="0021505C"/>
    <w:rsid w:val="00290F22"/>
    <w:rsid w:val="002D5A45"/>
    <w:rsid w:val="00306D8E"/>
    <w:rsid w:val="003449CE"/>
    <w:rsid w:val="0034733A"/>
    <w:rsid w:val="003520C6"/>
    <w:rsid w:val="00363F1D"/>
    <w:rsid w:val="003644A2"/>
    <w:rsid w:val="003B3DD8"/>
    <w:rsid w:val="00416B4F"/>
    <w:rsid w:val="00427D60"/>
    <w:rsid w:val="004314E5"/>
    <w:rsid w:val="00443760"/>
    <w:rsid w:val="004A0268"/>
    <w:rsid w:val="004A148D"/>
    <w:rsid w:val="004C4E00"/>
    <w:rsid w:val="004E4C99"/>
    <w:rsid w:val="0054089B"/>
    <w:rsid w:val="005524ED"/>
    <w:rsid w:val="0055670F"/>
    <w:rsid w:val="005A0901"/>
    <w:rsid w:val="006455F2"/>
    <w:rsid w:val="00656A36"/>
    <w:rsid w:val="00691B26"/>
    <w:rsid w:val="006C3678"/>
    <w:rsid w:val="006C50E7"/>
    <w:rsid w:val="00734EDF"/>
    <w:rsid w:val="00736413"/>
    <w:rsid w:val="007375B9"/>
    <w:rsid w:val="0078380B"/>
    <w:rsid w:val="007C31EB"/>
    <w:rsid w:val="0080058E"/>
    <w:rsid w:val="00831CED"/>
    <w:rsid w:val="00873814"/>
    <w:rsid w:val="008A2C88"/>
    <w:rsid w:val="008C3E1F"/>
    <w:rsid w:val="009235ED"/>
    <w:rsid w:val="00925448"/>
    <w:rsid w:val="0095686D"/>
    <w:rsid w:val="009E4C38"/>
    <w:rsid w:val="009E6369"/>
    <w:rsid w:val="009F44F1"/>
    <w:rsid w:val="00A341EC"/>
    <w:rsid w:val="00A564C6"/>
    <w:rsid w:val="00A66E84"/>
    <w:rsid w:val="00A80EE4"/>
    <w:rsid w:val="00B47641"/>
    <w:rsid w:val="00BE5853"/>
    <w:rsid w:val="00C44B4F"/>
    <w:rsid w:val="00C75D89"/>
    <w:rsid w:val="00C93B15"/>
    <w:rsid w:val="00CA36CC"/>
    <w:rsid w:val="00CC6F4D"/>
    <w:rsid w:val="00D12940"/>
    <w:rsid w:val="00D12CD1"/>
    <w:rsid w:val="00D45A1C"/>
    <w:rsid w:val="00D847A7"/>
    <w:rsid w:val="00DB0D4F"/>
    <w:rsid w:val="00E10D65"/>
    <w:rsid w:val="00E14D73"/>
    <w:rsid w:val="00E71FE9"/>
    <w:rsid w:val="00EA215C"/>
    <w:rsid w:val="00EE5BB1"/>
    <w:rsid w:val="00F32DDE"/>
    <w:rsid w:val="00FA108C"/>
    <w:rsid w:val="00FB2F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92A7C"/>
  <w15:chartTrackingRefBased/>
  <w15:docId w15:val="{55356FCF-21BF-4639-AC4A-34A9833EE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67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qFormat/>
    <w:rsid w:val="0055670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5670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5670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5670F"/>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55670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55670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5670F"/>
    <w:pPr>
      <w:spacing w:after="0" w:line="240" w:lineRule="auto"/>
      <w:ind w:left="720"/>
      <w:contextualSpacing/>
    </w:pPr>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56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70F"/>
  </w:style>
  <w:style w:type="character" w:customStyle="1" w:styleId="Heading1Char">
    <w:name w:val="Heading 1 Char"/>
    <w:basedOn w:val="DefaultParagraphFont"/>
    <w:link w:val="Heading1"/>
    <w:uiPriority w:val="9"/>
    <w:rsid w:val="0055670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6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66467">
      <w:bodyDiv w:val="1"/>
      <w:marLeft w:val="0"/>
      <w:marRight w:val="0"/>
      <w:marTop w:val="0"/>
      <w:marBottom w:val="0"/>
      <w:divBdr>
        <w:top w:val="none" w:sz="0" w:space="0" w:color="auto"/>
        <w:left w:val="none" w:sz="0" w:space="0" w:color="auto"/>
        <w:bottom w:val="none" w:sz="0" w:space="0" w:color="auto"/>
        <w:right w:val="none" w:sz="0" w:space="0" w:color="auto"/>
      </w:divBdr>
    </w:div>
    <w:div w:id="120269689">
      <w:bodyDiv w:val="1"/>
      <w:marLeft w:val="0"/>
      <w:marRight w:val="0"/>
      <w:marTop w:val="0"/>
      <w:marBottom w:val="0"/>
      <w:divBdr>
        <w:top w:val="none" w:sz="0" w:space="0" w:color="auto"/>
        <w:left w:val="none" w:sz="0" w:space="0" w:color="auto"/>
        <w:bottom w:val="none" w:sz="0" w:space="0" w:color="auto"/>
        <w:right w:val="none" w:sz="0" w:space="0" w:color="auto"/>
      </w:divBdr>
    </w:div>
    <w:div w:id="122819056">
      <w:bodyDiv w:val="1"/>
      <w:marLeft w:val="0"/>
      <w:marRight w:val="0"/>
      <w:marTop w:val="0"/>
      <w:marBottom w:val="0"/>
      <w:divBdr>
        <w:top w:val="none" w:sz="0" w:space="0" w:color="auto"/>
        <w:left w:val="none" w:sz="0" w:space="0" w:color="auto"/>
        <w:bottom w:val="none" w:sz="0" w:space="0" w:color="auto"/>
        <w:right w:val="none" w:sz="0" w:space="0" w:color="auto"/>
      </w:divBdr>
    </w:div>
    <w:div w:id="187644308">
      <w:bodyDiv w:val="1"/>
      <w:marLeft w:val="0"/>
      <w:marRight w:val="0"/>
      <w:marTop w:val="0"/>
      <w:marBottom w:val="0"/>
      <w:divBdr>
        <w:top w:val="none" w:sz="0" w:space="0" w:color="auto"/>
        <w:left w:val="none" w:sz="0" w:space="0" w:color="auto"/>
        <w:bottom w:val="none" w:sz="0" w:space="0" w:color="auto"/>
        <w:right w:val="none" w:sz="0" w:space="0" w:color="auto"/>
      </w:divBdr>
    </w:div>
    <w:div w:id="367487926">
      <w:bodyDiv w:val="1"/>
      <w:marLeft w:val="0"/>
      <w:marRight w:val="0"/>
      <w:marTop w:val="0"/>
      <w:marBottom w:val="0"/>
      <w:divBdr>
        <w:top w:val="none" w:sz="0" w:space="0" w:color="auto"/>
        <w:left w:val="none" w:sz="0" w:space="0" w:color="auto"/>
        <w:bottom w:val="none" w:sz="0" w:space="0" w:color="auto"/>
        <w:right w:val="none" w:sz="0" w:space="0" w:color="auto"/>
      </w:divBdr>
    </w:div>
    <w:div w:id="502815917">
      <w:bodyDiv w:val="1"/>
      <w:marLeft w:val="0"/>
      <w:marRight w:val="0"/>
      <w:marTop w:val="0"/>
      <w:marBottom w:val="0"/>
      <w:divBdr>
        <w:top w:val="none" w:sz="0" w:space="0" w:color="auto"/>
        <w:left w:val="none" w:sz="0" w:space="0" w:color="auto"/>
        <w:bottom w:val="none" w:sz="0" w:space="0" w:color="auto"/>
        <w:right w:val="none" w:sz="0" w:space="0" w:color="auto"/>
      </w:divBdr>
    </w:div>
    <w:div w:id="520046497">
      <w:bodyDiv w:val="1"/>
      <w:marLeft w:val="0"/>
      <w:marRight w:val="0"/>
      <w:marTop w:val="0"/>
      <w:marBottom w:val="0"/>
      <w:divBdr>
        <w:top w:val="none" w:sz="0" w:space="0" w:color="auto"/>
        <w:left w:val="none" w:sz="0" w:space="0" w:color="auto"/>
        <w:bottom w:val="none" w:sz="0" w:space="0" w:color="auto"/>
        <w:right w:val="none" w:sz="0" w:space="0" w:color="auto"/>
      </w:divBdr>
    </w:div>
    <w:div w:id="591202833">
      <w:bodyDiv w:val="1"/>
      <w:marLeft w:val="0"/>
      <w:marRight w:val="0"/>
      <w:marTop w:val="0"/>
      <w:marBottom w:val="0"/>
      <w:divBdr>
        <w:top w:val="none" w:sz="0" w:space="0" w:color="auto"/>
        <w:left w:val="none" w:sz="0" w:space="0" w:color="auto"/>
        <w:bottom w:val="none" w:sz="0" w:space="0" w:color="auto"/>
        <w:right w:val="none" w:sz="0" w:space="0" w:color="auto"/>
      </w:divBdr>
    </w:div>
    <w:div w:id="665598287">
      <w:bodyDiv w:val="1"/>
      <w:marLeft w:val="0"/>
      <w:marRight w:val="0"/>
      <w:marTop w:val="0"/>
      <w:marBottom w:val="0"/>
      <w:divBdr>
        <w:top w:val="none" w:sz="0" w:space="0" w:color="auto"/>
        <w:left w:val="none" w:sz="0" w:space="0" w:color="auto"/>
        <w:bottom w:val="none" w:sz="0" w:space="0" w:color="auto"/>
        <w:right w:val="none" w:sz="0" w:space="0" w:color="auto"/>
      </w:divBdr>
    </w:div>
    <w:div w:id="719984418">
      <w:bodyDiv w:val="1"/>
      <w:marLeft w:val="0"/>
      <w:marRight w:val="0"/>
      <w:marTop w:val="0"/>
      <w:marBottom w:val="0"/>
      <w:divBdr>
        <w:top w:val="none" w:sz="0" w:space="0" w:color="auto"/>
        <w:left w:val="none" w:sz="0" w:space="0" w:color="auto"/>
        <w:bottom w:val="none" w:sz="0" w:space="0" w:color="auto"/>
        <w:right w:val="none" w:sz="0" w:space="0" w:color="auto"/>
      </w:divBdr>
    </w:div>
    <w:div w:id="819228722">
      <w:bodyDiv w:val="1"/>
      <w:marLeft w:val="0"/>
      <w:marRight w:val="0"/>
      <w:marTop w:val="0"/>
      <w:marBottom w:val="0"/>
      <w:divBdr>
        <w:top w:val="none" w:sz="0" w:space="0" w:color="auto"/>
        <w:left w:val="none" w:sz="0" w:space="0" w:color="auto"/>
        <w:bottom w:val="none" w:sz="0" w:space="0" w:color="auto"/>
        <w:right w:val="none" w:sz="0" w:space="0" w:color="auto"/>
      </w:divBdr>
    </w:div>
    <w:div w:id="848182109">
      <w:bodyDiv w:val="1"/>
      <w:marLeft w:val="0"/>
      <w:marRight w:val="0"/>
      <w:marTop w:val="0"/>
      <w:marBottom w:val="0"/>
      <w:divBdr>
        <w:top w:val="none" w:sz="0" w:space="0" w:color="auto"/>
        <w:left w:val="none" w:sz="0" w:space="0" w:color="auto"/>
        <w:bottom w:val="none" w:sz="0" w:space="0" w:color="auto"/>
        <w:right w:val="none" w:sz="0" w:space="0" w:color="auto"/>
      </w:divBdr>
    </w:div>
    <w:div w:id="922952309">
      <w:bodyDiv w:val="1"/>
      <w:marLeft w:val="0"/>
      <w:marRight w:val="0"/>
      <w:marTop w:val="0"/>
      <w:marBottom w:val="0"/>
      <w:divBdr>
        <w:top w:val="none" w:sz="0" w:space="0" w:color="auto"/>
        <w:left w:val="none" w:sz="0" w:space="0" w:color="auto"/>
        <w:bottom w:val="none" w:sz="0" w:space="0" w:color="auto"/>
        <w:right w:val="none" w:sz="0" w:space="0" w:color="auto"/>
      </w:divBdr>
    </w:div>
    <w:div w:id="1074165595">
      <w:bodyDiv w:val="1"/>
      <w:marLeft w:val="0"/>
      <w:marRight w:val="0"/>
      <w:marTop w:val="0"/>
      <w:marBottom w:val="0"/>
      <w:divBdr>
        <w:top w:val="none" w:sz="0" w:space="0" w:color="auto"/>
        <w:left w:val="none" w:sz="0" w:space="0" w:color="auto"/>
        <w:bottom w:val="none" w:sz="0" w:space="0" w:color="auto"/>
        <w:right w:val="none" w:sz="0" w:space="0" w:color="auto"/>
      </w:divBdr>
    </w:div>
    <w:div w:id="1193610543">
      <w:bodyDiv w:val="1"/>
      <w:marLeft w:val="0"/>
      <w:marRight w:val="0"/>
      <w:marTop w:val="0"/>
      <w:marBottom w:val="0"/>
      <w:divBdr>
        <w:top w:val="none" w:sz="0" w:space="0" w:color="auto"/>
        <w:left w:val="none" w:sz="0" w:space="0" w:color="auto"/>
        <w:bottom w:val="none" w:sz="0" w:space="0" w:color="auto"/>
        <w:right w:val="none" w:sz="0" w:space="0" w:color="auto"/>
      </w:divBdr>
    </w:div>
    <w:div w:id="1227686878">
      <w:bodyDiv w:val="1"/>
      <w:marLeft w:val="0"/>
      <w:marRight w:val="0"/>
      <w:marTop w:val="0"/>
      <w:marBottom w:val="0"/>
      <w:divBdr>
        <w:top w:val="none" w:sz="0" w:space="0" w:color="auto"/>
        <w:left w:val="none" w:sz="0" w:space="0" w:color="auto"/>
        <w:bottom w:val="none" w:sz="0" w:space="0" w:color="auto"/>
        <w:right w:val="none" w:sz="0" w:space="0" w:color="auto"/>
      </w:divBdr>
    </w:div>
    <w:div w:id="1249266561">
      <w:bodyDiv w:val="1"/>
      <w:marLeft w:val="0"/>
      <w:marRight w:val="0"/>
      <w:marTop w:val="0"/>
      <w:marBottom w:val="0"/>
      <w:divBdr>
        <w:top w:val="none" w:sz="0" w:space="0" w:color="auto"/>
        <w:left w:val="none" w:sz="0" w:space="0" w:color="auto"/>
        <w:bottom w:val="none" w:sz="0" w:space="0" w:color="auto"/>
        <w:right w:val="none" w:sz="0" w:space="0" w:color="auto"/>
      </w:divBdr>
    </w:div>
    <w:div w:id="1275865294">
      <w:bodyDiv w:val="1"/>
      <w:marLeft w:val="0"/>
      <w:marRight w:val="0"/>
      <w:marTop w:val="0"/>
      <w:marBottom w:val="0"/>
      <w:divBdr>
        <w:top w:val="none" w:sz="0" w:space="0" w:color="auto"/>
        <w:left w:val="none" w:sz="0" w:space="0" w:color="auto"/>
        <w:bottom w:val="none" w:sz="0" w:space="0" w:color="auto"/>
        <w:right w:val="none" w:sz="0" w:space="0" w:color="auto"/>
      </w:divBdr>
    </w:div>
    <w:div w:id="1282491534">
      <w:bodyDiv w:val="1"/>
      <w:marLeft w:val="0"/>
      <w:marRight w:val="0"/>
      <w:marTop w:val="0"/>
      <w:marBottom w:val="0"/>
      <w:divBdr>
        <w:top w:val="none" w:sz="0" w:space="0" w:color="auto"/>
        <w:left w:val="none" w:sz="0" w:space="0" w:color="auto"/>
        <w:bottom w:val="none" w:sz="0" w:space="0" w:color="auto"/>
        <w:right w:val="none" w:sz="0" w:space="0" w:color="auto"/>
      </w:divBdr>
    </w:div>
    <w:div w:id="1319773586">
      <w:bodyDiv w:val="1"/>
      <w:marLeft w:val="0"/>
      <w:marRight w:val="0"/>
      <w:marTop w:val="0"/>
      <w:marBottom w:val="0"/>
      <w:divBdr>
        <w:top w:val="none" w:sz="0" w:space="0" w:color="auto"/>
        <w:left w:val="none" w:sz="0" w:space="0" w:color="auto"/>
        <w:bottom w:val="none" w:sz="0" w:space="0" w:color="auto"/>
        <w:right w:val="none" w:sz="0" w:space="0" w:color="auto"/>
      </w:divBdr>
    </w:div>
    <w:div w:id="1327709017">
      <w:bodyDiv w:val="1"/>
      <w:marLeft w:val="0"/>
      <w:marRight w:val="0"/>
      <w:marTop w:val="0"/>
      <w:marBottom w:val="0"/>
      <w:divBdr>
        <w:top w:val="none" w:sz="0" w:space="0" w:color="auto"/>
        <w:left w:val="none" w:sz="0" w:space="0" w:color="auto"/>
        <w:bottom w:val="none" w:sz="0" w:space="0" w:color="auto"/>
        <w:right w:val="none" w:sz="0" w:space="0" w:color="auto"/>
      </w:divBdr>
    </w:div>
    <w:div w:id="1345548720">
      <w:bodyDiv w:val="1"/>
      <w:marLeft w:val="0"/>
      <w:marRight w:val="0"/>
      <w:marTop w:val="0"/>
      <w:marBottom w:val="0"/>
      <w:divBdr>
        <w:top w:val="none" w:sz="0" w:space="0" w:color="auto"/>
        <w:left w:val="none" w:sz="0" w:space="0" w:color="auto"/>
        <w:bottom w:val="none" w:sz="0" w:space="0" w:color="auto"/>
        <w:right w:val="none" w:sz="0" w:space="0" w:color="auto"/>
      </w:divBdr>
    </w:div>
    <w:div w:id="1372460607">
      <w:bodyDiv w:val="1"/>
      <w:marLeft w:val="0"/>
      <w:marRight w:val="0"/>
      <w:marTop w:val="0"/>
      <w:marBottom w:val="0"/>
      <w:divBdr>
        <w:top w:val="none" w:sz="0" w:space="0" w:color="auto"/>
        <w:left w:val="none" w:sz="0" w:space="0" w:color="auto"/>
        <w:bottom w:val="none" w:sz="0" w:space="0" w:color="auto"/>
        <w:right w:val="none" w:sz="0" w:space="0" w:color="auto"/>
      </w:divBdr>
    </w:div>
    <w:div w:id="1439986278">
      <w:bodyDiv w:val="1"/>
      <w:marLeft w:val="0"/>
      <w:marRight w:val="0"/>
      <w:marTop w:val="0"/>
      <w:marBottom w:val="0"/>
      <w:divBdr>
        <w:top w:val="none" w:sz="0" w:space="0" w:color="auto"/>
        <w:left w:val="none" w:sz="0" w:space="0" w:color="auto"/>
        <w:bottom w:val="none" w:sz="0" w:space="0" w:color="auto"/>
        <w:right w:val="none" w:sz="0" w:space="0" w:color="auto"/>
      </w:divBdr>
    </w:div>
    <w:div w:id="1455710453">
      <w:bodyDiv w:val="1"/>
      <w:marLeft w:val="0"/>
      <w:marRight w:val="0"/>
      <w:marTop w:val="0"/>
      <w:marBottom w:val="0"/>
      <w:divBdr>
        <w:top w:val="none" w:sz="0" w:space="0" w:color="auto"/>
        <w:left w:val="none" w:sz="0" w:space="0" w:color="auto"/>
        <w:bottom w:val="none" w:sz="0" w:space="0" w:color="auto"/>
        <w:right w:val="none" w:sz="0" w:space="0" w:color="auto"/>
      </w:divBdr>
    </w:div>
    <w:div w:id="1483237169">
      <w:bodyDiv w:val="1"/>
      <w:marLeft w:val="0"/>
      <w:marRight w:val="0"/>
      <w:marTop w:val="0"/>
      <w:marBottom w:val="0"/>
      <w:divBdr>
        <w:top w:val="none" w:sz="0" w:space="0" w:color="auto"/>
        <w:left w:val="none" w:sz="0" w:space="0" w:color="auto"/>
        <w:bottom w:val="none" w:sz="0" w:space="0" w:color="auto"/>
        <w:right w:val="none" w:sz="0" w:space="0" w:color="auto"/>
      </w:divBdr>
    </w:div>
    <w:div w:id="1540433283">
      <w:bodyDiv w:val="1"/>
      <w:marLeft w:val="0"/>
      <w:marRight w:val="0"/>
      <w:marTop w:val="0"/>
      <w:marBottom w:val="0"/>
      <w:divBdr>
        <w:top w:val="none" w:sz="0" w:space="0" w:color="auto"/>
        <w:left w:val="none" w:sz="0" w:space="0" w:color="auto"/>
        <w:bottom w:val="none" w:sz="0" w:space="0" w:color="auto"/>
        <w:right w:val="none" w:sz="0" w:space="0" w:color="auto"/>
      </w:divBdr>
    </w:div>
    <w:div w:id="1546865706">
      <w:bodyDiv w:val="1"/>
      <w:marLeft w:val="0"/>
      <w:marRight w:val="0"/>
      <w:marTop w:val="0"/>
      <w:marBottom w:val="0"/>
      <w:divBdr>
        <w:top w:val="none" w:sz="0" w:space="0" w:color="auto"/>
        <w:left w:val="none" w:sz="0" w:space="0" w:color="auto"/>
        <w:bottom w:val="none" w:sz="0" w:space="0" w:color="auto"/>
        <w:right w:val="none" w:sz="0" w:space="0" w:color="auto"/>
      </w:divBdr>
    </w:div>
    <w:div w:id="1598321955">
      <w:bodyDiv w:val="1"/>
      <w:marLeft w:val="0"/>
      <w:marRight w:val="0"/>
      <w:marTop w:val="0"/>
      <w:marBottom w:val="0"/>
      <w:divBdr>
        <w:top w:val="none" w:sz="0" w:space="0" w:color="auto"/>
        <w:left w:val="none" w:sz="0" w:space="0" w:color="auto"/>
        <w:bottom w:val="none" w:sz="0" w:space="0" w:color="auto"/>
        <w:right w:val="none" w:sz="0" w:space="0" w:color="auto"/>
      </w:divBdr>
    </w:div>
    <w:div w:id="1685085406">
      <w:bodyDiv w:val="1"/>
      <w:marLeft w:val="0"/>
      <w:marRight w:val="0"/>
      <w:marTop w:val="0"/>
      <w:marBottom w:val="0"/>
      <w:divBdr>
        <w:top w:val="none" w:sz="0" w:space="0" w:color="auto"/>
        <w:left w:val="none" w:sz="0" w:space="0" w:color="auto"/>
        <w:bottom w:val="none" w:sz="0" w:space="0" w:color="auto"/>
        <w:right w:val="none" w:sz="0" w:space="0" w:color="auto"/>
      </w:divBdr>
    </w:div>
    <w:div w:id="1743478411">
      <w:bodyDiv w:val="1"/>
      <w:marLeft w:val="0"/>
      <w:marRight w:val="0"/>
      <w:marTop w:val="0"/>
      <w:marBottom w:val="0"/>
      <w:divBdr>
        <w:top w:val="none" w:sz="0" w:space="0" w:color="auto"/>
        <w:left w:val="none" w:sz="0" w:space="0" w:color="auto"/>
        <w:bottom w:val="none" w:sz="0" w:space="0" w:color="auto"/>
        <w:right w:val="none" w:sz="0" w:space="0" w:color="auto"/>
      </w:divBdr>
    </w:div>
    <w:div w:id="1764569884">
      <w:bodyDiv w:val="1"/>
      <w:marLeft w:val="0"/>
      <w:marRight w:val="0"/>
      <w:marTop w:val="0"/>
      <w:marBottom w:val="0"/>
      <w:divBdr>
        <w:top w:val="none" w:sz="0" w:space="0" w:color="auto"/>
        <w:left w:val="none" w:sz="0" w:space="0" w:color="auto"/>
        <w:bottom w:val="none" w:sz="0" w:space="0" w:color="auto"/>
        <w:right w:val="none" w:sz="0" w:space="0" w:color="auto"/>
      </w:divBdr>
    </w:div>
    <w:div w:id="1768426998">
      <w:bodyDiv w:val="1"/>
      <w:marLeft w:val="0"/>
      <w:marRight w:val="0"/>
      <w:marTop w:val="0"/>
      <w:marBottom w:val="0"/>
      <w:divBdr>
        <w:top w:val="none" w:sz="0" w:space="0" w:color="auto"/>
        <w:left w:val="none" w:sz="0" w:space="0" w:color="auto"/>
        <w:bottom w:val="none" w:sz="0" w:space="0" w:color="auto"/>
        <w:right w:val="none" w:sz="0" w:space="0" w:color="auto"/>
      </w:divBdr>
    </w:div>
    <w:div w:id="1829663854">
      <w:bodyDiv w:val="1"/>
      <w:marLeft w:val="0"/>
      <w:marRight w:val="0"/>
      <w:marTop w:val="0"/>
      <w:marBottom w:val="0"/>
      <w:divBdr>
        <w:top w:val="none" w:sz="0" w:space="0" w:color="auto"/>
        <w:left w:val="none" w:sz="0" w:space="0" w:color="auto"/>
        <w:bottom w:val="none" w:sz="0" w:space="0" w:color="auto"/>
        <w:right w:val="none" w:sz="0" w:space="0" w:color="auto"/>
      </w:divBdr>
    </w:div>
    <w:div w:id="1830365038">
      <w:bodyDiv w:val="1"/>
      <w:marLeft w:val="0"/>
      <w:marRight w:val="0"/>
      <w:marTop w:val="0"/>
      <w:marBottom w:val="0"/>
      <w:divBdr>
        <w:top w:val="none" w:sz="0" w:space="0" w:color="auto"/>
        <w:left w:val="none" w:sz="0" w:space="0" w:color="auto"/>
        <w:bottom w:val="none" w:sz="0" w:space="0" w:color="auto"/>
        <w:right w:val="none" w:sz="0" w:space="0" w:color="auto"/>
      </w:divBdr>
    </w:div>
    <w:div w:id="1898855891">
      <w:bodyDiv w:val="1"/>
      <w:marLeft w:val="0"/>
      <w:marRight w:val="0"/>
      <w:marTop w:val="0"/>
      <w:marBottom w:val="0"/>
      <w:divBdr>
        <w:top w:val="none" w:sz="0" w:space="0" w:color="auto"/>
        <w:left w:val="none" w:sz="0" w:space="0" w:color="auto"/>
        <w:bottom w:val="none" w:sz="0" w:space="0" w:color="auto"/>
        <w:right w:val="none" w:sz="0" w:space="0" w:color="auto"/>
      </w:divBdr>
    </w:div>
    <w:div w:id="1907719763">
      <w:bodyDiv w:val="1"/>
      <w:marLeft w:val="0"/>
      <w:marRight w:val="0"/>
      <w:marTop w:val="0"/>
      <w:marBottom w:val="0"/>
      <w:divBdr>
        <w:top w:val="none" w:sz="0" w:space="0" w:color="auto"/>
        <w:left w:val="none" w:sz="0" w:space="0" w:color="auto"/>
        <w:bottom w:val="none" w:sz="0" w:space="0" w:color="auto"/>
        <w:right w:val="none" w:sz="0" w:space="0" w:color="auto"/>
      </w:divBdr>
    </w:div>
    <w:div w:id="1956643334">
      <w:bodyDiv w:val="1"/>
      <w:marLeft w:val="0"/>
      <w:marRight w:val="0"/>
      <w:marTop w:val="0"/>
      <w:marBottom w:val="0"/>
      <w:divBdr>
        <w:top w:val="none" w:sz="0" w:space="0" w:color="auto"/>
        <w:left w:val="none" w:sz="0" w:space="0" w:color="auto"/>
        <w:bottom w:val="none" w:sz="0" w:space="0" w:color="auto"/>
        <w:right w:val="none" w:sz="0" w:space="0" w:color="auto"/>
      </w:divBdr>
    </w:div>
    <w:div w:id="2072076305">
      <w:bodyDiv w:val="1"/>
      <w:marLeft w:val="0"/>
      <w:marRight w:val="0"/>
      <w:marTop w:val="0"/>
      <w:marBottom w:val="0"/>
      <w:divBdr>
        <w:top w:val="none" w:sz="0" w:space="0" w:color="auto"/>
        <w:left w:val="none" w:sz="0" w:space="0" w:color="auto"/>
        <w:bottom w:val="none" w:sz="0" w:space="0" w:color="auto"/>
        <w:right w:val="none" w:sz="0" w:space="0" w:color="auto"/>
      </w:divBdr>
    </w:div>
    <w:div w:id="212600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Cur03</b:Tag>
    <b:SourceType>Report</b:SourceType>
    <b:Guid>{0BA018D9-2BF8-420D-B124-DEE3110AAE19}</b:Guid>
    <b:Title>Developing the Curriculum Cymreig</b:Title>
    <b:Year>2003</b:Year>
    <b:City>Cardiff</b:City>
    <b:Publisher>Qualifications</b:Publisher>
    <b:Author>
      <b:Author>
        <b:Corporate> Curriculum and Assessment Authority for Wales (ACCAC)</b:Corporate>
      </b:Author>
    </b:Author>
    <b:RefOrder>1</b:RefOrder>
  </b:Source>
  <b:Source>
    <b:Tag>NGf09</b:Tag>
    <b:SourceType>InternetSite</b:SourceType>
    <b:Guid>{707B2A68-AEA2-4759-99F8-37E76030B40F}</b:Guid>
    <b:Title>TES</b:Title>
    <b:Year>2009</b:Year>
    <b:Author>
      <b:Author>
        <b:NameList>
          <b:Person>
            <b:Last>Cymru</b:Last>
            <b:First>NGfL</b:First>
          </b:Person>
        </b:NameList>
      </b:Author>
    </b:Author>
    <b:YearAccessed>2018</b:YearAccessed>
    <b:MonthAccessed>September</b:MonthAccessed>
    <b:DayAccessed>19</b:DayAccessed>
    <b:URL>https://www.tes.com/teaching-resource/gerald-of-wales-6016558</b:URL>
    <b:RefOrder>2</b:RefOrder>
  </b:Source>
  <b:Source>
    <b:Tag>KBa09</b:Tag>
    <b:SourceType>BookSection</b:SourceType>
    <b:Guid>{06610D5F-A123-40C6-BB6D-231B818745D9}</b:Guid>
    <b:Title>The Denial of Desire: How to make History Education Meaningless</b:Title>
    <b:Year>2009</b:Year>
    <b:Pages>265-82</b:Pages>
    <b:City>Charlotte, NC</b:City>
    <b:Publisher>Information Age Publishing</b:Publisher>
    <b:Author>
      <b:Author>
        <b:NameList>
          <b:Person>
            <b:Last>Barton</b:Last>
            <b:First>K.</b:First>
          </b:Person>
        </b:NameList>
      </b:Author>
      <b:Editor>
        <b:NameList>
          <b:Person>
            <b:Last>Wilschut</b:Last>
            <b:First>L.</b:First>
            <b:Middle>Symcox and A.</b:Middle>
          </b:Person>
        </b:NameList>
      </b:Editor>
    </b:Author>
    <b:BookTitle>National History Standards: The Problem of the Canon and the Future of Teaching History</b:BookTitle>
    <b:RefOrder>3</b:RefOrder>
  </b:Source>
  <b:Source>
    <b:Tag>Lan17</b:Tag>
    <b:SourceType>Report</b:SourceType>
    <b:Guid>{5ABABBAF-7C85-4851-B0A7-E0C47B28ECE6}</b:Guid>
    <b:Author>
      <b:Author>
        <b:Corporate>Languages, Literacy and Communications AoLE Group</b:Corporate>
      </b:Author>
    </b:Author>
    <b:Title>Languages, Literacy and Communications AoLE</b:Title>
    <b:Year>2017</b:Year>
    <b:City>Cardiff</b:City>
    <b:Publisher>Welsh Government</b:Publisher>
    <b:RefOrder>17</b:RefOrder>
  </b:Source>
  <b:Source>
    <b:Tag>Wel14</b:Tag>
    <b:SourceType>InternetSite</b:SourceType>
    <b:Guid>{3FF0BDBF-EC41-4D42-96CC-4118C02E3057}</b:Guid>
    <b:Title>Learning Wales</b:Title>
    <b:Year>2014</b:Year>
    <b:Author>
      <b:Author>
        <b:Corporate>Welsh Government</b:Corporate>
      </b:Author>
    </b:Author>
    <b:YearAccessed>2018</b:YearAccessed>
    <b:MonthAccessed>October </b:MonthAccessed>
    <b:DayAccessed>5</b:DayAccessed>
    <b:URL>http://learning.gov.wales/resources/browse-all/nlnf/framework?lang=en</b:URL>
    <b:RefOrder>5</b:RefOrder>
  </b:Source>
  <b:Source>
    <b:Tag>Wal05</b:Tag>
    <b:SourceType>BookSection</b:SourceType>
    <b:Guid>{CE3B6F30-990F-4481-811C-F40AFC02201D}</b:Guid>
    <b:Title>Use of Language in the School Classroom</b:Title>
    <b:Year>2005</b:Year>
    <b:Author>
      <b:Author>
        <b:NameList>
          <b:Person>
            <b:Last>Walford</b:Last>
            <b:First>Rex</b:First>
          </b:Person>
        </b:NameList>
      </b:Author>
      <b:Editor>
        <b:NameList>
          <b:Person>
            <b:Last>Beck</b:Last>
            <b:First>John</b:First>
          </b:Person>
          <b:Person>
            <b:Last>Earl</b:Last>
            <b:First>Mary</b:First>
          </b:Person>
        </b:NameList>
      </b:Editor>
    </b:Author>
    <b:BookTitle>Key Issues in Secondary Education</b:BookTitle>
    <b:Pages>53-59</b:Pages>
    <b:City>London</b:City>
    <b:Publisher>Continuum</b:Publisher>
    <b:Edition>2nd</b:Edition>
    <b:RefOrder>4</b:RefOrder>
  </b:Source>
  <b:Source>
    <b:Tag>Art15</b:Tag>
    <b:SourceType>Book</b:SourceType>
    <b:Guid>{17FB4399-73BB-42AB-B323-437DD5396651}</b:Guid>
    <b:Title>Learning to Teach History in the Secondary School</b:Title>
    <b:Year>2015</b:Year>
    <b:City>London</b:City>
    <b:Publisher>Routledge</b:Publisher>
    <b:Author>
      <b:Author>
        <b:NameList>
          <b:Person>
            <b:Last>Arthur</b:Last>
            <b:First>James</b:First>
          </b:Person>
          <b:Person>
            <b:Last>Hayden</b:Last>
            <b:First>Terry</b:First>
          </b:Person>
          <b:Person>
            <b:Last>Hunt</b:Last>
            <b:First>Martin</b:First>
          </b:Person>
          <b:Person>
            <b:Last>Stephen</b:Last>
            <b:First>Rebecca</b:First>
          </b:Person>
        </b:NameList>
      </b:Author>
    </b:Author>
    <b:Edition>4th</b:Edition>
    <b:RefOrder>6</b:RefOrder>
  </b:Source>
  <b:Source>
    <b:Tag>Phi02</b:Tag>
    <b:SourceType>JournalArticle</b:SourceType>
    <b:Guid>{DBE7ECA1-CD1A-4D5C-9D9F-D4D8C4AC1FB6}</b:Guid>
    <b:Author>
      <b:Author>
        <b:NameList>
          <b:Person>
            <b:Last>Phillips</b:Last>
            <b:First>Ian</b:First>
          </b:Person>
        </b:NameList>
      </b:Author>
    </b:Author>
    <b:Title>History and Mathematics or History with Mathematics: Does it add up?</b:Title>
    <b:Year>2002</b:Year>
    <b:JournalName>Teaching History</b:JournalName>
    <b:Pages>35-40</b:Pages>
    <b:Volume>107</b:Volume>
    <b:RefOrder>7</b:RefOrder>
  </b:Source>
  <b:Source>
    <b:Tag>Abt18</b:Tag>
    <b:SourceType>JournalArticle</b:SourceType>
    <b:Guid>{B0131B34-E2D1-4B6F-BE9A-B0DFDBAB8233}</b:Guid>
    <b:Author>
      <b:Author>
        <b:NameList>
          <b:Person>
            <b:Last>Abtahi</b:Last>
            <b:First>Yasmine</b:First>
          </b:Person>
        </b:NameList>
      </b:Author>
    </b:Author>
    <b:Title>Pupils, Tools and the Zone of Proximal Development</b:Title>
    <b:JournalName>Research in Mathematics Education</b:JournalName>
    <b:Year>2018</b:Year>
    <b:Pages>1-14</b:Pages>
    <b:Volume>20</b:Volume>
    <b:Issue>1</b:Issue>
    <b:RefOrder>8</b:RefOrder>
  </b:Source>
  <b:Source>
    <b:Tag>Muj05</b:Tag>
    <b:SourceType>Book</b:SourceType>
    <b:Guid>{B5A054E9-2A80-4519-8441-A4DD2550B721}</b:Guid>
    <b:Author>
      <b:Author>
        <b:NameList>
          <b:Person>
            <b:Last>Mujis</b:Last>
            <b:First>Daniel</b:First>
          </b:Person>
        </b:NameList>
      </b:Author>
    </b:Author>
    <b:Title>Effective Teaching:Evidence and Practice</b:Title>
    <b:Year>2005</b:Year>
    <b:City>California</b:City>
    <b:Publisher>SAGE publications</b:Publisher>
    <b:RefOrder>9</b:RefOrder>
  </b:Source>
  <b:Source>
    <b:Tag>Phi10</b:Tag>
    <b:SourceType>Book</b:SourceType>
    <b:Guid>{9C4C4227-FDA4-4CA3-BA8E-6A7D0195BF60}</b:Guid>
    <b:Author>
      <b:Author>
        <b:NameList>
          <b:Person>
            <b:Last>Phillips</b:Last>
            <b:First>Ian</b:First>
          </b:Person>
        </b:NameList>
      </b:Author>
    </b:Author>
    <b:Title>Teaching History: Developing as a Reflective Secondary Teacher</b:Title>
    <b:Year>2010</b:Year>
    <b:City>New Delhi</b:City>
    <b:Publisher>SAGE Publications</b:Publisher>
    <b:Edition>South Asia </b:Edition>
    <b:RefOrder>10</b:RefOrder>
  </b:Source>
  <b:Source>
    <b:Tag>Ged18</b:Tag>
    <b:SourceType>InternetSite</b:SourceType>
    <b:Guid>{4C98B35E-F13F-40A3-B3A4-8469FBDB8D3D}</b:Guid>
    <b:Title>The National Society for Education in Art and Design (NSEAD)</b:Title>
    <b:Year>2018</b:Year>
    <b:YearAccessed>2018</b:YearAccessed>
    <b:MonthAccessed>October </b:MonthAccessed>
    <b:DayAccessed>30</b:DayAccessed>
    <b:URL>http://www.nsead.org/home/index.aspx</b:URL>
    <b:Author>
      <b:Author>
        <b:Corporate>Ged Creativity Consultant</b:Corporate>
      </b:Author>
    </b:Author>
    <b:RefOrder>11</b:RefOrder>
  </b:Source>
  <b:Source>
    <b:Tag>Alo14</b:Tag>
    <b:SourceType>Report</b:SourceType>
    <b:Guid>{67276A5D-D9EA-425E-8741-58BAF461D634}</b:Guid>
    <b:Title>What makes great teaching?</b:Title>
    <b:Year>2014</b:Year>
    <b:Author>
      <b:Author>
        <b:NameList>
          <b:Person>
            <b:Last>Aloisi</b:Last>
            <b:First>Cesare</b:First>
          </b:Person>
          <b:Person>
            <b:Last>Coe</b:Last>
            <b:First>Robert</b:First>
          </b:Person>
          <b:Person>
            <b:Last>Cesare Aloisi</b:Last>
            <b:First>Higgins</b:First>
          </b:Person>
          <b:Person>
            <b:Last>Major</b:Last>
            <b:First>Lee</b:First>
            <b:Middle>E:</b:Middle>
          </b:Person>
        </b:NameList>
      </b:Author>
    </b:Author>
    <b:Publisher>The Sutton Trust</b:Publisher>
    <b:City>Durham</b:City>
    <b:RefOrder>12</b:RefOrder>
  </b:Source>
  <b:Source>
    <b:Tag>Bur14</b:Tag>
    <b:SourceType>Book</b:SourceType>
    <b:Guid>{B12DC667-1618-4F27-AFA2-C673A8BD6E7B}</b:Guid>
    <b:Title>The Guided Reader to Teaching and Learning History</b:Title>
    <b:Year>2014</b:Year>
    <b:Publisher>Routledge</b:Publisher>
    <b:City>Oxon</b:City>
    <b:Author>
      <b:Author>
        <b:NameList>
          <b:Person>
            <b:Last>Burn</b:Last>
            <b:First>Katherine</b:First>
          </b:Person>
          <b:Person>
            <b:Last>Harris</b:Last>
            <b:First>Richard</b:First>
          </b:Person>
          <b:Person>
            <b:Last>Woolley</b:Last>
            <b:First>Mary</b:First>
          </b:Person>
        </b:NameList>
      </b:Author>
    </b:Author>
    <b:RefOrder>13</b:RefOrder>
  </b:Source>
  <b:Source>
    <b:Tag>Con06</b:Tag>
    <b:SourceType>JournalArticle</b:SourceType>
    <b:Guid>{9AA09F5F-37CC-40C3-B1BA-F337AE1D3DB3}</b:Guid>
    <b:Author>
      <b:Author>
        <b:NameList>
          <b:Person>
            <b:Last>Conway</b:Last>
            <b:First>Robin</b:First>
          </b:Person>
        </b:NameList>
      </b:Author>
    </b:Author>
    <b:Title>What they think they know: the Impacts of pupils' Preconceptions on their Understanding of Historical Significance</b:Title>
    <b:Year>2006</b:Year>
    <b:JournalName>Teaching History</b:JournalName>
    <b:Pages>10</b:Pages>
    <b:Volume>125</b:Volume>
    <b:RefOrder>14</b:RefOrder>
  </b:Source>
  <b:Source>
    <b:Tag>Wre11</b:Tag>
    <b:SourceType>BookSection</b:SourceType>
    <b:Guid>{35A4ED57-5BD4-4C03-A1C9-DB026AEBD69F}</b:Guid>
    <b:Title>Significance</b:Title>
    <b:Year>2011</b:Year>
    <b:Pages>148-158</b:Pages>
    <b:Author>
      <b:Author>
        <b:NameList>
          <b:Person>
            <b:Last>Wrenn</b:Last>
            <b:First>Andrew</b:First>
          </b:Person>
        </b:NameList>
      </b:Author>
      <b:Editor>
        <b:NameList>
          <b:Person>
            <b:Last>Davies</b:Last>
            <b:First>Ian</b:First>
          </b:Person>
        </b:NameList>
      </b:Editor>
    </b:Author>
    <b:BookTitle>Debates in History</b:BookTitle>
    <b:City>Oxon </b:City>
    <b:Publisher>Routledge</b:Publisher>
    <b:RefOrder>15</b:RefOrder>
  </b:Source>
  <b:Source>
    <b:Tag>Wel09</b:Tag>
    <b:SourceType>DocumentFromInternetSite</b:SourceType>
    <b:Guid>{0C0DBDA1-F92D-4461-8878-0DBE33D25614}</b:Guid>
    <b:Title>Becoming a Qualified Teacher:  Handbook of Guidance</b:Title>
    <b:Year>2009</b:Year>
    <b:Author>
      <b:Author>
        <b:NameList>
          <b:Person>
            <b:Last>Government</b:Last>
            <b:First>Welsh</b:First>
            <b:Middle>Assembly</b:Middle>
          </b:Person>
        </b:NameList>
      </b:Author>
    </b:Author>
    <b:Month>September</b:Month>
    <b:YearAccessed>2018</b:YearAccessed>
    <b:MonthAccessed>November</b:MonthAccessed>
    <b:DayAccessed>15</b:DayAccessed>
    <b:URL>https://gov.wales/docs/dcells/publications/090915becomingateacheren.pdf#page=12</b:URL>
    <b:RefOrder>16</b:RefOrder>
  </b:Source>
</b:Sources>
</file>

<file path=customXml/itemProps1.xml><?xml version="1.0" encoding="utf-8"?>
<ds:datastoreItem xmlns:ds="http://schemas.openxmlformats.org/officeDocument/2006/customXml" ds:itemID="{D96B231D-4DEA-464C-B21C-7B1ACE14F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3928</Words>
  <Characters>22392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Genevieve George (1401017)</dc:creator>
  <cp:keywords/>
  <dc:description/>
  <cp:lastModifiedBy>Genevieve George (1401017)</cp:lastModifiedBy>
  <cp:revision>2</cp:revision>
  <dcterms:created xsi:type="dcterms:W3CDTF">2018-11-25T20:06:00Z</dcterms:created>
  <dcterms:modified xsi:type="dcterms:W3CDTF">2018-11-25T20:06:00Z</dcterms:modified>
</cp:coreProperties>
</file>