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522D45" w14:textId="77777777" w:rsidR="0073293A" w:rsidRDefault="0073293A" w:rsidP="0073293A">
      <w:pPr>
        <w:jc w:val="center"/>
        <w:rPr>
          <w:rFonts w:ascii="Arial" w:hAnsi="Arial" w:cs="Arial"/>
          <w:b/>
          <w:bCs/>
          <w:sz w:val="22"/>
          <w:szCs w:val="22"/>
        </w:rPr>
      </w:pPr>
    </w:p>
    <w:p w14:paraId="55096685" w14:textId="77777777" w:rsidR="0073293A" w:rsidRDefault="0073293A" w:rsidP="0073293A">
      <w:pPr>
        <w:jc w:val="center"/>
        <w:rPr>
          <w:rFonts w:ascii="Arial" w:hAnsi="Arial" w:cs="Arial"/>
          <w:b/>
          <w:bCs/>
          <w:sz w:val="22"/>
          <w:szCs w:val="22"/>
        </w:rPr>
      </w:pPr>
    </w:p>
    <w:p w14:paraId="258DC959" w14:textId="77777777" w:rsidR="0073293A" w:rsidRDefault="0073293A" w:rsidP="0073293A">
      <w:pPr>
        <w:jc w:val="center"/>
        <w:rPr>
          <w:rFonts w:ascii="Arial" w:hAnsi="Arial" w:cs="Arial"/>
          <w:b/>
          <w:bCs/>
          <w:sz w:val="22"/>
          <w:szCs w:val="22"/>
        </w:rPr>
      </w:pPr>
    </w:p>
    <w:p w14:paraId="73D3F42B" w14:textId="77777777" w:rsidR="0073293A" w:rsidRDefault="0073293A" w:rsidP="0073293A">
      <w:pPr>
        <w:jc w:val="center"/>
        <w:rPr>
          <w:rFonts w:ascii="Arial" w:hAnsi="Arial" w:cs="Arial"/>
          <w:b/>
          <w:bCs/>
          <w:sz w:val="22"/>
          <w:szCs w:val="22"/>
        </w:rPr>
      </w:pPr>
    </w:p>
    <w:p w14:paraId="4986145F" w14:textId="77777777" w:rsidR="0073293A" w:rsidRDefault="0073293A" w:rsidP="0073293A">
      <w:pPr>
        <w:jc w:val="center"/>
        <w:rPr>
          <w:rFonts w:ascii="Arial" w:hAnsi="Arial" w:cs="Arial"/>
          <w:b/>
          <w:bCs/>
          <w:sz w:val="22"/>
          <w:szCs w:val="22"/>
        </w:rPr>
      </w:pPr>
    </w:p>
    <w:p w14:paraId="1CD199C6" w14:textId="77777777" w:rsidR="0073293A" w:rsidRDefault="0073293A" w:rsidP="0073293A">
      <w:pPr>
        <w:jc w:val="center"/>
        <w:rPr>
          <w:rFonts w:ascii="Arial" w:hAnsi="Arial" w:cs="Arial"/>
          <w:b/>
          <w:bCs/>
          <w:sz w:val="22"/>
          <w:szCs w:val="22"/>
        </w:rPr>
      </w:pPr>
    </w:p>
    <w:p w14:paraId="4C0F49B3" w14:textId="77777777" w:rsidR="0073293A" w:rsidRDefault="0073293A" w:rsidP="0073293A">
      <w:pPr>
        <w:jc w:val="center"/>
        <w:rPr>
          <w:rFonts w:ascii="Arial" w:hAnsi="Arial" w:cs="Arial"/>
          <w:b/>
          <w:bCs/>
          <w:sz w:val="22"/>
          <w:szCs w:val="22"/>
        </w:rPr>
      </w:pPr>
    </w:p>
    <w:p w14:paraId="301985C4" w14:textId="7BAC115B" w:rsidR="0073293A" w:rsidRDefault="0073293A" w:rsidP="0073293A">
      <w:pPr>
        <w:jc w:val="center"/>
        <w:rPr>
          <w:rFonts w:ascii="Arial" w:hAnsi="Arial" w:cs="Arial"/>
          <w:b/>
          <w:bCs/>
          <w:sz w:val="22"/>
          <w:szCs w:val="22"/>
        </w:rPr>
      </w:pPr>
      <w:r>
        <w:rPr>
          <w:rFonts w:ascii="Arial" w:hAnsi="Arial" w:cs="Arial"/>
          <w:b/>
          <w:bCs/>
          <w:sz w:val="22"/>
          <w:szCs w:val="22"/>
        </w:rPr>
        <w:t>5HR01 Employment Relationship Management</w:t>
      </w:r>
    </w:p>
    <w:p w14:paraId="5E2D7536" w14:textId="77777777" w:rsidR="0073293A" w:rsidRDefault="0073293A" w:rsidP="0073293A">
      <w:pPr>
        <w:jc w:val="center"/>
        <w:rPr>
          <w:rFonts w:ascii="Arial" w:hAnsi="Arial" w:cs="Arial"/>
          <w:b/>
          <w:bCs/>
          <w:sz w:val="22"/>
          <w:szCs w:val="22"/>
        </w:rPr>
      </w:pPr>
      <w:r>
        <w:rPr>
          <w:rFonts w:ascii="Arial" w:hAnsi="Arial" w:cs="Arial"/>
          <w:b/>
          <w:bCs/>
          <w:sz w:val="22"/>
          <w:szCs w:val="22"/>
        </w:rPr>
        <w:t>by Keera Crabb (8936430)</w:t>
      </w:r>
    </w:p>
    <w:p w14:paraId="10F67DA0" w14:textId="1719CC47" w:rsidR="0073293A" w:rsidRDefault="0073293A" w:rsidP="0073293A">
      <w:pPr>
        <w:jc w:val="center"/>
        <w:rPr>
          <w:rFonts w:ascii="Arial" w:hAnsi="Arial" w:cs="Arial"/>
          <w:sz w:val="22"/>
          <w:szCs w:val="22"/>
        </w:rPr>
      </w:pPr>
      <w:r>
        <w:rPr>
          <w:rFonts w:ascii="Arial" w:hAnsi="Arial" w:cs="Arial"/>
          <w:sz w:val="22"/>
          <w:szCs w:val="22"/>
        </w:rPr>
        <w:t xml:space="preserve">Word count: </w:t>
      </w:r>
      <w:r w:rsidR="00535394">
        <w:rPr>
          <w:rFonts w:ascii="Arial" w:hAnsi="Arial" w:cs="Arial"/>
          <w:sz w:val="22"/>
          <w:szCs w:val="22"/>
        </w:rPr>
        <w:t>4,15</w:t>
      </w:r>
      <w:r w:rsidR="008A681E">
        <w:rPr>
          <w:rFonts w:ascii="Arial" w:hAnsi="Arial" w:cs="Arial"/>
          <w:sz w:val="22"/>
          <w:szCs w:val="22"/>
        </w:rPr>
        <w:t>3</w:t>
      </w:r>
    </w:p>
    <w:p w14:paraId="626542B5" w14:textId="77777777" w:rsidR="002359B4" w:rsidRDefault="002359B4" w:rsidP="0073293A">
      <w:pPr>
        <w:jc w:val="center"/>
        <w:rPr>
          <w:rFonts w:ascii="Arial" w:hAnsi="Arial" w:cs="Arial"/>
          <w:sz w:val="22"/>
          <w:szCs w:val="22"/>
        </w:rPr>
      </w:pPr>
    </w:p>
    <w:p w14:paraId="2BB3FF0B" w14:textId="77777777" w:rsidR="002359B4" w:rsidRDefault="002359B4" w:rsidP="0073293A">
      <w:pPr>
        <w:jc w:val="center"/>
        <w:rPr>
          <w:rFonts w:ascii="Arial" w:hAnsi="Arial" w:cs="Arial"/>
          <w:sz w:val="22"/>
          <w:szCs w:val="22"/>
        </w:rPr>
      </w:pPr>
    </w:p>
    <w:p w14:paraId="092C5113" w14:textId="77777777" w:rsidR="002359B4" w:rsidRDefault="002359B4" w:rsidP="0073293A">
      <w:pPr>
        <w:jc w:val="center"/>
        <w:rPr>
          <w:rFonts w:ascii="Arial" w:hAnsi="Arial" w:cs="Arial"/>
          <w:sz w:val="22"/>
          <w:szCs w:val="22"/>
        </w:rPr>
      </w:pPr>
    </w:p>
    <w:p w14:paraId="1AF37AF6" w14:textId="77777777" w:rsidR="002359B4" w:rsidRDefault="002359B4" w:rsidP="0073293A">
      <w:pPr>
        <w:jc w:val="center"/>
        <w:rPr>
          <w:rFonts w:ascii="Arial" w:hAnsi="Arial" w:cs="Arial"/>
          <w:sz w:val="22"/>
          <w:szCs w:val="22"/>
        </w:rPr>
      </w:pPr>
    </w:p>
    <w:p w14:paraId="4B29A358" w14:textId="77777777" w:rsidR="002359B4" w:rsidRDefault="002359B4" w:rsidP="0073293A">
      <w:pPr>
        <w:jc w:val="center"/>
        <w:rPr>
          <w:rFonts w:ascii="Arial" w:hAnsi="Arial" w:cs="Arial"/>
          <w:sz w:val="22"/>
          <w:szCs w:val="22"/>
        </w:rPr>
      </w:pPr>
    </w:p>
    <w:p w14:paraId="2DA066A6" w14:textId="77777777" w:rsidR="002359B4" w:rsidRDefault="002359B4" w:rsidP="0073293A">
      <w:pPr>
        <w:jc w:val="center"/>
        <w:rPr>
          <w:rFonts w:ascii="Arial" w:hAnsi="Arial" w:cs="Arial"/>
          <w:sz w:val="22"/>
          <w:szCs w:val="22"/>
        </w:rPr>
      </w:pPr>
    </w:p>
    <w:p w14:paraId="6A2AFEE7" w14:textId="77777777" w:rsidR="002359B4" w:rsidRDefault="002359B4" w:rsidP="0073293A">
      <w:pPr>
        <w:jc w:val="center"/>
        <w:rPr>
          <w:rFonts w:ascii="Arial" w:hAnsi="Arial" w:cs="Arial"/>
          <w:sz w:val="22"/>
          <w:szCs w:val="22"/>
        </w:rPr>
      </w:pPr>
    </w:p>
    <w:p w14:paraId="2727D5CC" w14:textId="77777777" w:rsidR="002359B4" w:rsidRDefault="002359B4" w:rsidP="0073293A">
      <w:pPr>
        <w:jc w:val="center"/>
        <w:rPr>
          <w:rFonts w:ascii="Arial" w:hAnsi="Arial" w:cs="Arial"/>
          <w:sz w:val="22"/>
          <w:szCs w:val="22"/>
        </w:rPr>
      </w:pPr>
    </w:p>
    <w:p w14:paraId="7D71972B" w14:textId="77777777" w:rsidR="002359B4" w:rsidRDefault="002359B4" w:rsidP="0073293A">
      <w:pPr>
        <w:jc w:val="center"/>
        <w:rPr>
          <w:rFonts w:ascii="Arial" w:hAnsi="Arial" w:cs="Arial"/>
          <w:sz w:val="22"/>
          <w:szCs w:val="22"/>
        </w:rPr>
      </w:pPr>
    </w:p>
    <w:p w14:paraId="59A6F5A3" w14:textId="77777777" w:rsidR="002359B4" w:rsidRDefault="002359B4" w:rsidP="0073293A">
      <w:pPr>
        <w:jc w:val="center"/>
        <w:rPr>
          <w:rFonts w:ascii="Arial" w:hAnsi="Arial" w:cs="Arial"/>
          <w:sz w:val="22"/>
          <w:szCs w:val="22"/>
        </w:rPr>
      </w:pPr>
    </w:p>
    <w:p w14:paraId="739F214C" w14:textId="77777777" w:rsidR="002359B4" w:rsidRDefault="002359B4" w:rsidP="0073293A">
      <w:pPr>
        <w:jc w:val="center"/>
        <w:rPr>
          <w:rFonts w:ascii="Arial" w:hAnsi="Arial" w:cs="Arial"/>
          <w:sz w:val="22"/>
          <w:szCs w:val="22"/>
        </w:rPr>
      </w:pPr>
    </w:p>
    <w:p w14:paraId="7116BF31" w14:textId="77777777" w:rsidR="002359B4" w:rsidRDefault="002359B4" w:rsidP="0073293A">
      <w:pPr>
        <w:jc w:val="center"/>
        <w:rPr>
          <w:rFonts w:ascii="Arial" w:hAnsi="Arial" w:cs="Arial"/>
          <w:sz w:val="22"/>
          <w:szCs w:val="22"/>
        </w:rPr>
      </w:pPr>
    </w:p>
    <w:p w14:paraId="096EF46F" w14:textId="77777777" w:rsidR="002359B4" w:rsidRDefault="002359B4" w:rsidP="0073293A">
      <w:pPr>
        <w:jc w:val="center"/>
        <w:rPr>
          <w:rFonts w:ascii="Arial" w:hAnsi="Arial" w:cs="Arial"/>
          <w:sz w:val="22"/>
          <w:szCs w:val="22"/>
        </w:rPr>
      </w:pPr>
    </w:p>
    <w:p w14:paraId="2BEFB373" w14:textId="77777777" w:rsidR="002359B4" w:rsidRDefault="002359B4" w:rsidP="0073293A">
      <w:pPr>
        <w:jc w:val="center"/>
        <w:rPr>
          <w:rFonts w:ascii="Arial" w:hAnsi="Arial" w:cs="Arial"/>
          <w:sz w:val="22"/>
          <w:szCs w:val="22"/>
        </w:rPr>
      </w:pPr>
    </w:p>
    <w:p w14:paraId="6EB32045" w14:textId="77777777" w:rsidR="002359B4" w:rsidRDefault="002359B4" w:rsidP="0073293A">
      <w:pPr>
        <w:jc w:val="center"/>
        <w:rPr>
          <w:rFonts w:ascii="Arial" w:hAnsi="Arial" w:cs="Arial"/>
          <w:sz w:val="22"/>
          <w:szCs w:val="22"/>
        </w:rPr>
      </w:pPr>
    </w:p>
    <w:p w14:paraId="6F7439BB" w14:textId="77777777" w:rsidR="002359B4" w:rsidRDefault="002359B4" w:rsidP="0073293A">
      <w:pPr>
        <w:jc w:val="center"/>
        <w:rPr>
          <w:rFonts w:ascii="Arial" w:hAnsi="Arial" w:cs="Arial"/>
          <w:sz w:val="22"/>
          <w:szCs w:val="22"/>
        </w:rPr>
      </w:pPr>
    </w:p>
    <w:p w14:paraId="64F13987" w14:textId="77777777" w:rsidR="002359B4" w:rsidRDefault="002359B4" w:rsidP="0073293A">
      <w:pPr>
        <w:jc w:val="center"/>
        <w:rPr>
          <w:rFonts w:ascii="Arial" w:hAnsi="Arial" w:cs="Arial"/>
          <w:sz w:val="22"/>
          <w:szCs w:val="22"/>
        </w:rPr>
      </w:pPr>
    </w:p>
    <w:p w14:paraId="4412164F" w14:textId="77777777" w:rsidR="002359B4" w:rsidRDefault="002359B4" w:rsidP="0073293A">
      <w:pPr>
        <w:jc w:val="center"/>
        <w:rPr>
          <w:rFonts w:ascii="Arial" w:hAnsi="Arial" w:cs="Arial"/>
          <w:sz w:val="22"/>
          <w:szCs w:val="22"/>
        </w:rPr>
      </w:pPr>
    </w:p>
    <w:p w14:paraId="54430EF3" w14:textId="77777777" w:rsidR="002359B4" w:rsidRDefault="002359B4" w:rsidP="0073293A">
      <w:pPr>
        <w:jc w:val="center"/>
        <w:rPr>
          <w:rFonts w:ascii="Arial" w:hAnsi="Arial" w:cs="Arial"/>
          <w:sz w:val="22"/>
          <w:szCs w:val="22"/>
        </w:rPr>
      </w:pPr>
    </w:p>
    <w:p w14:paraId="69BD0F0A" w14:textId="77777777" w:rsidR="002359B4" w:rsidRDefault="002359B4" w:rsidP="0073293A">
      <w:pPr>
        <w:jc w:val="center"/>
        <w:rPr>
          <w:rFonts w:ascii="Arial" w:hAnsi="Arial" w:cs="Arial"/>
          <w:sz w:val="22"/>
          <w:szCs w:val="22"/>
        </w:rPr>
      </w:pPr>
    </w:p>
    <w:p w14:paraId="5C3AD341" w14:textId="77777777" w:rsidR="002359B4" w:rsidRDefault="002359B4" w:rsidP="0073293A">
      <w:pPr>
        <w:jc w:val="center"/>
        <w:rPr>
          <w:rFonts w:ascii="Arial" w:hAnsi="Arial" w:cs="Arial"/>
          <w:sz w:val="22"/>
          <w:szCs w:val="22"/>
        </w:rPr>
      </w:pPr>
    </w:p>
    <w:p w14:paraId="5DACEC0C" w14:textId="77777777" w:rsidR="00B821BF" w:rsidRPr="00B821BF" w:rsidRDefault="00EB434F" w:rsidP="00B821BF">
      <w:pPr>
        <w:rPr>
          <w:rFonts w:ascii="Arial" w:hAnsi="Arial" w:cs="Arial"/>
          <w:sz w:val="22"/>
          <w:szCs w:val="22"/>
        </w:rPr>
      </w:pPr>
      <w:r>
        <w:rPr>
          <w:rFonts w:ascii="Arial" w:hAnsi="Arial" w:cs="Arial"/>
          <w:b/>
          <w:bCs/>
          <w:sz w:val="22"/>
          <w:szCs w:val="22"/>
        </w:rPr>
        <w:lastRenderedPageBreak/>
        <w:t xml:space="preserve">AC 1.1 </w:t>
      </w:r>
      <w:r w:rsidR="00B821BF" w:rsidRPr="00B821BF">
        <w:rPr>
          <w:rFonts w:ascii="Arial" w:hAnsi="Arial" w:cs="Arial"/>
          <w:sz w:val="22"/>
          <w:szCs w:val="22"/>
        </w:rPr>
        <w:t>Following the recent merger of two public sector organisations and the resulting staffing changes, this briefing paper is designed to support new leadership and people practice teams, particularly those from private sector backgrounds who may be less familiar with the approaches to employee relations typically used in public service settings.</w:t>
      </w:r>
      <w:r w:rsidR="00B821BF" w:rsidRPr="00B821BF">
        <w:rPr>
          <w:rFonts w:ascii="Arial" w:hAnsi="Arial" w:cs="Arial"/>
          <w:sz w:val="22"/>
          <w:szCs w:val="22"/>
        </w:rPr>
        <w:br/>
        <w:t>To begin, it’s important to understand the distinction between employee involvement and employee participation, and how both approaches contribute to a positive working environment, particularly during periods of change.</w:t>
      </w:r>
    </w:p>
    <w:p w14:paraId="4DE85F0D" w14:textId="540763FC" w:rsidR="00B821BF" w:rsidRPr="00B821BF" w:rsidRDefault="00B821BF" w:rsidP="00B821BF">
      <w:pPr>
        <w:rPr>
          <w:rFonts w:ascii="Arial" w:hAnsi="Arial" w:cs="Arial"/>
          <w:sz w:val="22"/>
          <w:szCs w:val="22"/>
        </w:rPr>
      </w:pPr>
      <w:r w:rsidRPr="00B821BF">
        <w:rPr>
          <w:rFonts w:ascii="Arial" w:hAnsi="Arial" w:cs="Arial"/>
          <w:sz w:val="22"/>
          <w:szCs w:val="22"/>
        </w:rPr>
        <w:t>Employee involvement refers to informal ways of gathering staff views, often initiated by leadership but without passing on decision-making responsibilities. It’s essentially about asking, ‘What do you think?’ while managers still make the final call. This might include things like suggestion boxes, surveys, team meetings, or regular updates (LinkedIn, 2025). Even though decisions ultimately sit with leaders, involving staff helps them feel listened to, which can support engagement and day-to-day working relationships (CIPD, 2025</w:t>
      </w:r>
      <w:r w:rsidR="00D379BE">
        <w:rPr>
          <w:rFonts w:ascii="Arial" w:hAnsi="Arial" w:cs="Arial"/>
          <w:sz w:val="22"/>
          <w:szCs w:val="22"/>
        </w:rPr>
        <w:t>a</w:t>
      </w:r>
      <w:r w:rsidRPr="00B821BF">
        <w:rPr>
          <w:rFonts w:ascii="Arial" w:hAnsi="Arial" w:cs="Arial"/>
          <w:sz w:val="22"/>
          <w:szCs w:val="22"/>
        </w:rPr>
        <w:t>).</w:t>
      </w:r>
    </w:p>
    <w:p w14:paraId="669355A1" w14:textId="77777777" w:rsidR="00B821BF" w:rsidRPr="00B821BF" w:rsidRDefault="00B821BF" w:rsidP="00B821BF">
      <w:pPr>
        <w:rPr>
          <w:rFonts w:ascii="Arial" w:hAnsi="Arial" w:cs="Arial"/>
          <w:sz w:val="22"/>
          <w:szCs w:val="22"/>
        </w:rPr>
      </w:pPr>
      <w:r w:rsidRPr="00B821BF">
        <w:rPr>
          <w:rFonts w:ascii="Arial" w:hAnsi="Arial" w:cs="Arial"/>
          <w:sz w:val="22"/>
          <w:szCs w:val="22"/>
        </w:rPr>
        <w:t>At Carmarthenshire County Council (CCC), employee involvement is supported through the annual Staff Engagement Survey, Hybrid Working Survey and Digital Skills audits, alongside exit interviews, Occupational Health feedback, and weekly staff emails from the Marketing and Media team. The Staff Forum, chaired by the Chief Executive, gives employees a direct avenue to voice views.</w:t>
      </w:r>
    </w:p>
    <w:p w14:paraId="3D48EE82" w14:textId="287F5559" w:rsidR="00B821BF" w:rsidRPr="00B821BF" w:rsidRDefault="00B821BF" w:rsidP="00B821BF">
      <w:pPr>
        <w:rPr>
          <w:rFonts w:ascii="Arial" w:hAnsi="Arial" w:cs="Arial"/>
          <w:sz w:val="22"/>
          <w:szCs w:val="22"/>
        </w:rPr>
      </w:pPr>
      <w:r w:rsidRPr="00B821BF">
        <w:rPr>
          <w:rFonts w:ascii="Arial" w:hAnsi="Arial" w:cs="Arial"/>
          <w:sz w:val="22"/>
          <w:szCs w:val="22"/>
        </w:rPr>
        <w:t>Employee participation, on the other hand, gives staff a more formal and often legally supported role in influencing outcomes. It shifts the conversation to, ‘We want you to help shape what happens next.’ In the public sector, this commonly includes trade unions, staff consultative forums, or employee reps attending formal meetings (ACAS, 2025</w:t>
      </w:r>
      <w:r w:rsidR="00814A83">
        <w:rPr>
          <w:rFonts w:ascii="Arial" w:hAnsi="Arial" w:cs="Arial"/>
          <w:sz w:val="22"/>
          <w:szCs w:val="22"/>
        </w:rPr>
        <w:t>a</w:t>
      </w:r>
      <w:r w:rsidRPr="00B821BF">
        <w:rPr>
          <w:rFonts w:ascii="Arial" w:hAnsi="Arial" w:cs="Arial"/>
          <w:sz w:val="22"/>
          <w:szCs w:val="22"/>
        </w:rPr>
        <w:t>). Participation supports collective decision-making and involves a redistribution of power.</w:t>
      </w:r>
    </w:p>
    <w:p w14:paraId="31F2D615" w14:textId="77777777" w:rsidR="00B821BF" w:rsidRPr="00B821BF" w:rsidRDefault="00B821BF" w:rsidP="00B821BF">
      <w:pPr>
        <w:rPr>
          <w:rFonts w:ascii="Arial" w:hAnsi="Arial" w:cs="Arial"/>
          <w:sz w:val="22"/>
          <w:szCs w:val="22"/>
        </w:rPr>
      </w:pPr>
      <w:r w:rsidRPr="00B821BF">
        <w:rPr>
          <w:rFonts w:ascii="Arial" w:hAnsi="Arial" w:cs="Arial"/>
          <w:sz w:val="22"/>
          <w:szCs w:val="22"/>
        </w:rPr>
        <w:t>The key difference lies in the level of influence: involvement keeps control with managers, while participation shares decision-making more equally. While both approaches promote communication, participation can strengthen working relationships by recognising employees as partners in shaping outcomes (Taylor &amp; Woodhams, 2022). This not only supports better decisions but also builds shared ownership, especially valuable during times of uncertainty or organisational transition (Armstrong &amp; Taylor, 2023).</w:t>
      </w:r>
    </w:p>
    <w:p w14:paraId="4C0BA9D6" w14:textId="508D3EC2" w:rsidR="00B821BF" w:rsidRPr="00B821BF" w:rsidRDefault="00B821BF" w:rsidP="00B821BF">
      <w:pPr>
        <w:rPr>
          <w:rFonts w:ascii="Arial" w:hAnsi="Arial" w:cs="Arial"/>
          <w:sz w:val="22"/>
          <w:szCs w:val="22"/>
        </w:rPr>
      </w:pPr>
      <w:r w:rsidRPr="00B821BF">
        <w:rPr>
          <w:rFonts w:ascii="Arial" w:hAnsi="Arial" w:cs="Arial"/>
          <w:sz w:val="22"/>
          <w:szCs w:val="22"/>
        </w:rPr>
        <w:t>At CCC, employee participation is reflected in the Corporate Employee Relations Forum (CERF), where trade union representatives from recognised unions such as GMB and Unison meet regularly with key figures including the Assistant Chief Executive, HR representatives, and an elected councillor. The Council’s Facilities Agreement supports this by allowing union reps paid time off to carry out their duties. This forum operates in line with the principles of social partnership – a statutory requirement under the Social Partnership and Public Procurement (Wales) Act 2023, which places a duty on public bodies in Wales to consult with recognised trade unions or staff representatives when setting well-being objectives or making strategic decisions</w:t>
      </w:r>
      <w:r w:rsidR="00814A83">
        <w:rPr>
          <w:rFonts w:ascii="Arial" w:hAnsi="Arial" w:cs="Arial"/>
          <w:sz w:val="22"/>
          <w:szCs w:val="22"/>
        </w:rPr>
        <w:t xml:space="preserve"> (Welsh Government, 2025)</w:t>
      </w:r>
      <w:r w:rsidRPr="00B821BF">
        <w:rPr>
          <w:rFonts w:ascii="Arial" w:hAnsi="Arial" w:cs="Arial"/>
          <w:sz w:val="22"/>
          <w:szCs w:val="22"/>
        </w:rPr>
        <w:t>.</w:t>
      </w:r>
    </w:p>
    <w:p w14:paraId="60CA2D39" w14:textId="488E81F6" w:rsidR="00205853" w:rsidRDefault="00205853" w:rsidP="00B821BF">
      <w:pPr>
        <w:rPr>
          <w:rFonts w:ascii="Arial" w:hAnsi="Arial" w:cs="Arial"/>
          <w:sz w:val="22"/>
          <w:szCs w:val="22"/>
        </w:rPr>
      </w:pPr>
      <w:r w:rsidRPr="00205853">
        <w:rPr>
          <w:rFonts w:ascii="Arial" w:hAnsi="Arial" w:cs="Arial"/>
          <w:sz w:val="22"/>
          <w:szCs w:val="22"/>
        </w:rPr>
        <w:t>Organisations that support meaningful participation often see improvements in engagement, transparency and decision-making (IPA, 202</w:t>
      </w:r>
      <w:r w:rsidR="00B35067">
        <w:rPr>
          <w:rFonts w:ascii="Arial" w:hAnsi="Arial" w:cs="Arial"/>
          <w:sz w:val="22"/>
          <w:szCs w:val="22"/>
        </w:rPr>
        <w:t>5a</w:t>
      </w:r>
      <w:r w:rsidRPr="00205853">
        <w:rPr>
          <w:rFonts w:ascii="Arial" w:hAnsi="Arial" w:cs="Arial"/>
          <w:sz w:val="22"/>
          <w:szCs w:val="22"/>
        </w:rPr>
        <w:t>). When employees are involved in shaping what happens around them, it can foster a sense of ownership and shared purpose (CIPD, 2025</w:t>
      </w:r>
      <w:r w:rsidR="00D379BE">
        <w:rPr>
          <w:rFonts w:ascii="Arial" w:hAnsi="Arial" w:cs="Arial"/>
          <w:sz w:val="22"/>
          <w:szCs w:val="22"/>
        </w:rPr>
        <w:t>a</w:t>
      </w:r>
      <w:r w:rsidRPr="00205853">
        <w:rPr>
          <w:rFonts w:ascii="Arial" w:hAnsi="Arial" w:cs="Arial"/>
          <w:sz w:val="22"/>
          <w:szCs w:val="22"/>
        </w:rPr>
        <w:t xml:space="preserve">). However, as Harding and </w:t>
      </w:r>
      <w:proofErr w:type="spellStart"/>
      <w:r w:rsidRPr="00205853">
        <w:rPr>
          <w:rFonts w:ascii="Arial" w:hAnsi="Arial" w:cs="Arial"/>
          <w:sz w:val="22"/>
          <w:szCs w:val="22"/>
        </w:rPr>
        <w:t>Twitchett</w:t>
      </w:r>
      <w:proofErr w:type="spellEnd"/>
      <w:r w:rsidRPr="00205853">
        <w:rPr>
          <w:rFonts w:ascii="Arial" w:hAnsi="Arial" w:cs="Arial"/>
          <w:sz w:val="22"/>
          <w:szCs w:val="22"/>
        </w:rPr>
        <w:t xml:space="preserve"> (2019) explain, simply collecting feedback isn’t enough – leaders must act on what they hear. Valentijn van Gils (2024) adds that failing to do so risks ‘disillusionment’, where employee voice becomes performative rather than </w:t>
      </w:r>
      <w:r w:rsidRPr="00205853">
        <w:rPr>
          <w:rFonts w:ascii="Arial" w:hAnsi="Arial" w:cs="Arial"/>
          <w:sz w:val="22"/>
          <w:szCs w:val="22"/>
        </w:rPr>
        <w:lastRenderedPageBreak/>
        <w:t xml:space="preserve">meaningful. Embedding involvement and participation into daily practice helps build an inclusive working environment, where collaboration feels </w:t>
      </w:r>
      <w:proofErr w:type="gramStart"/>
      <w:r w:rsidRPr="00205853">
        <w:rPr>
          <w:rFonts w:ascii="Arial" w:hAnsi="Arial" w:cs="Arial"/>
          <w:sz w:val="22"/>
          <w:szCs w:val="22"/>
        </w:rPr>
        <w:t>authentic</w:t>
      </w:r>
      <w:proofErr w:type="gramEnd"/>
      <w:r w:rsidRPr="00205853">
        <w:rPr>
          <w:rFonts w:ascii="Arial" w:hAnsi="Arial" w:cs="Arial"/>
          <w:sz w:val="22"/>
          <w:szCs w:val="22"/>
        </w:rPr>
        <w:t xml:space="preserve"> and staff contributions are valued.</w:t>
      </w:r>
    </w:p>
    <w:p w14:paraId="7A10DB6A" w14:textId="2B972744" w:rsidR="00EB434F" w:rsidRPr="00EB434F" w:rsidRDefault="00EB434F" w:rsidP="00B821BF">
      <w:pPr>
        <w:rPr>
          <w:rFonts w:ascii="Arial" w:hAnsi="Arial" w:cs="Arial"/>
          <w:sz w:val="22"/>
          <w:szCs w:val="22"/>
        </w:rPr>
      </w:pPr>
      <w:r w:rsidRPr="00EB434F">
        <w:rPr>
          <w:rFonts w:ascii="Arial" w:hAnsi="Arial" w:cs="Arial"/>
          <w:b/>
          <w:bCs/>
          <w:sz w:val="22"/>
          <w:szCs w:val="22"/>
        </w:rPr>
        <w:t>AC 1.2</w:t>
      </w:r>
      <w:r>
        <w:rPr>
          <w:rFonts w:ascii="Arial" w:hAnsi="Arial" w:cs="Arial"/>
          <w:sz w:val="22"/>
          <w:szCs w:val="22"/>
        </w:rPr>
        <w:t xml:space="preserve"> </w:t>
      </w:r>
      <w:r w:rsidRPr="00EB434F">
        <w:rPr>
          <w:rFonts w:ascii="Arial" w:hAnsi="Arial" w:cs="Arial"/>
          <w:sz w:val="22"/>
          <w:szCs w:val="22"/>
        </w:rPr>
        <w:t xml:space="preserve">Building on </w:t>
      </w:r>
      <w:r w:rsidR="00194BD1">
        <w:rPr>
          <w:rFonts w:ascii="Arial" w:hAnsi="Arial" w:cs="Arial"/>
          <w:sz w:val="22"/>
          <w:szCs w:val="22"/>
        </w:rPr>
        <w:t xml:space="preserve">employee </w:t>
      </w:r>
      <w:r w:rsidRPr="00EB434F">
        <w:rPr>
          <w:rFonts w:ascii="Arial" w:hAnsi="Arial" w:cs="Arial"/>
          <w:sz w:val="22"/>
          <w:szCs w:val="22"/>
        </w:rPr>
        <w:t>involvement and participation, a key aspect of employee voice</w:t>
      </w:r>
      <w:r w:rsidR="006E36F9">
        <w:rPr>
          <w:rFonts w:ascii="Arial" w:hAnsi="Arial" w:cs="Arial"/>
          <w:sz w:val="22"/>
          <w:szCs w:val="22"/>
        </w:rPr>
        <w:t xml:space="preserve">, </w:t>
      </w:r>
      <w:r w:rsidRPr="00EB434F">
        <w:rPr>
          <w:rFonts w:ascii="Arial" w:hAnsi="Arial" w:cs="Arial"/>
          <w:sz w:val="22"/>
          <w:szCs w:val="22"/>
        </w:rPr>
        <w:t>especially in</w:t>
      </w:r>
      <w:r w:rsidR="00194BD1">
        <w:rPr>
          <w:rFonts w:ascii="Arial" w:hAnsi="Arial" w:cs="Arial"/>
          <w:sz w:val="22"/>
          <w:szCs w:val="22"/>
        </w:rPr>
        <w:t xml:space="preserve"> the</w:t>
      </w:r>
      <w:r w:rsidRPr="00EB434F">
        <w:rPr>
          <w:rFonts w:ascii="Arial" w:hAnsi="Arial" w:cs="Arial"/>
          <w:sz w:val="22"/>
          <w:szCs w:val="22"/>
        </w:rPr>
        <w:t xml:space="preserve"> public </w:t>
      </w:r>
      <w:r w:rsidR="00194BD1">
        <w:rPr>
          <w:rFonts w:ascii="Arial" w:hAnsi="Arial" w:cs="Arial"/>
          <w:sz w:val="22"/>
          <w:szCs w:val="22"/>
        </w:rPr>
        <w:t>sector</w:t>
      </w:r>
      <w:r w:rsidR="006E36F9">
        <w:rPr>
          <w:rFonts w:ascii="Arial" w:hAnsi="Arial" w:cs="Arial"/>
          <w:sz w:val="22"/>
          <w:szCs w:val="22"/>
        </w:rPr>
        <w:t xml:space="preserve">, </w:t>
      </w:r>
      <w:r w:rsidRPr="00EB434F">
        <w:rPr>
          <w:rFonts w:ascii="Arial" w:hAnsi="Arial" w:cs="Arial"/>
          <w:sz w:val="22"/>
          <w:szCs w:val="22"/>
        </w:rPr>
        <w:t>is the distinction between union and non-union representation. Both forms enable staff to raise concerns, influence decisions and shape their working environment, though they differ in formality and legal standing.</w:t>
      </w:r>
    </w:p>
    <w:p w14:paraId="1CB9CB60" w14:textId="481B3E41" w:rsidR="00821752" w:rsidRDefault="00821752" w:rsidP="00407949">
      <w:pPr>
        <w:rPr>
          <w:rFonts w:ascii="Arial" w:hAnsi="Arial" w:cs="Arial"/>
          <w:sz w:val="22"/>
          <w:szCs w:val="22"/>
        </w:rPr>
      </w:pPr>
      <w:r w:rsidRPr="00821752">
        <w:rPr>
          <w:rFonts w:ascii="Arial" w:hAnsi="Arial" w:cs="Arial"/>
          <w:sz w:val="22"/>
          <w:szCs w:val="22"/>
        </w:rPr>
        <w:t>Union representation is usually formal and underpinned by legislation. The Trade Union and Labour Relations (Consolidation) Act 1992 defines a trade union’s primary function as regulating relations between workers and employers (Daniels, 202</w:t>
      </w:r>
      <w:r w:rsidR="00634C0F">
        <w:rPr>
          <w:rFonts w:ascii="Arial" w:hAnsi="Arial" w:cs="Arial"/>
          <w:sz w:val="22"/>
          <w:szCs w:val="22"/>
        </w:rPr>
        <w:t>2</w:t>
      </w:r>
      <w:r w:rsidRPr="00821752">
        <w:rPr>
          <w:rFonts w:ascii="Arial" w:hAnsi="Arial" w:cs="Arial"/>
          <w:sz w:val="22"/>
          <w:szCs w:val="22"/>
        </w:rPr>
        <w:t xml:space="preserve">). Union reps support staff through disciplinary and grievance cases, negotiate on terms and pay, and engage in collective bargaining. At CCC, union reps are active participants in the CERF, where structured partnership working </w:t>
      </w:r>
      <w:proofErr w:type="gramStart"/>
      <w:r w:rsidRPr="00821752">
        <w:rPr>
          <w:rFonts w:ascii="Arial" w:hAnsi="Arial" w:cs="Arial"/>
          <w:sz w:val="22"/>
          <w:szCs w:val="22"/>
        </w:rPr>
        <w:t>ensures</w:t>
      </w:r>
      <w:proofErr w:type="gramEnd"/>
      <w:r w:rsidRPr="00821752">
        <w:rPr>
          <w:rFonts w:ascii="Arial" w:hAnsi="Arial" w:cs="Arial"/>
          <w:sz w:val="22"/>
          <w:szCs w:val="22"/>
        </w:rPr>
        <w:t xml:space="preserve"> unions are consulted on proposed changes at an early stage. The Facilities Agreement outlines the organisation’s commitment to supporting union activity, helping to maintain a climate of open dialogue and fairness in decision-making.</w:t>
      </w:r>
    </w:p>
    <w:p w14:paraId="7C9E16DF" w14:textId="77777777" w:rsidR="003D5187" w:rsidRDefault="003D5187" w:rsidP="00EB434F">
      <w:pPr>
        <w:rPr>
          <w:rFonts w:ascii="Arial" w:hAnsi="Arial" w:cs="Arial"/>
          <w:sz w:val="22"/>
          <w:szCs w:val="22"/>
        </w:rPr>
      </w:pPr>
      <w:r w:rsidRPr="003D5187">
        <w:rPr>
          <w:rFonts w:ascii="Arial" w:hAnsi="Arial" w:cs="Arial"/>
          <w:sz w:val="22"/>
          <w:szCs w:val="22"/>
        </w:rPr>
        <w:t xml:space="preserve">Non-union representation offers alternative channels for employee voice outside of formal union structures. This includes staff forums, employee committees, surveys, and open dialogue with management. At CCC, this is reflected through its Staff Forum (led by the Chief Executive), anonymous feedback surveys, and direct access to HR for raising questions and suggestions. While these routes don't have the same legal status as union negotiations, non-union representatives are still afforded consultation rights in certain situations. For example, under the Information and Consultation of Employees (ICE) Regulations 2004, employees can formally request that the organisation sets up a consultation process, such as a staff forum with elected representatives. Similarly, in the absence of a recognised trade union, non-union representatives must be consulted on collective redundancies (Employment Rights Act 1996) and TUPE transfers (TUPE Regulations 2006). These statutory provisions show that non-union representation is not solely informal or </w:t>
      </w:r>
      <w:proofErr w:type="gramStart"/>
      <w:r w:rsidRPr="003D5187">
        <w:rPr>
          <w:rFonts w:ascii="Arial" w:hAnsi="Arial" w:cs="Arial"/>
          <w:sz w:val="22"/>
          <w:szCs w:val="22"/>
        </w:rPr>
        <w:t>discretionary, but</w:t>
      </w:r>
      <w:proofErr w:type="gramEnd"/>
      <w:r w:rsidRPr="003D5187">
        <w:rPr>
          <w:rFonts w:ascii="Arial" w:hAnsi="Arial" w:cs="Arial"/>
          <w:sz w:val="22"/>
          <w:szCs w:val="22"/>
        </w:rPr>
        <w:t xml:space="preserve"> can play a vital and legally recognised role in safeguarding employee interests (ACAS, 2021).</w:t>
      </w:r>
      <w:r w:rsidRPr="003D5187">
        <w:rPr>
          <w:rFonts w:ascii="Arial" w:hAnsi="Arial" w:cs="Arial"/>
          <w:sz w:val="22"/>
          <w:szCs w:val="22"/>
        </w:rPr>
        <w:t xml:space="preserve"> </w:t>
      </w:r>
    </w:p>
    <w:p w14:paraId="080A34F3" w14:textId="28BD2E18" w:rsidR="00EB434F" w:rsidRPr="00EB434F" w:rsidRDefault="00EB434F" w:rsidP="00EB434F">
      <w:pPr>
        <w:rPr>
          <w:rFonts w:ascii="Arial" w:hAnsi="Arial" w:cs="Arial"/>
          <w:sz w:val="22"/>
          <w:szCs w:val="22"/>
        </w:rPr>
      </w:pPr>
      <w:r w:rsidRPr="00EB434F">
        <w:rPr>
          <w:rFonts w:ascii="Arial" w:hAnsi="Arial" w:cs="Arial"/>
          <w:sz w:val="22"/>
          <w:szCs w:val="22"/>
        </w:rPr>
        <w:t xml:space="preserve">Taylor and Woodhams (2022) suggest union-based models often support clearer negotiation processes, while non-union approaches can be more </w:t>
      </w:r>
      <w:r w:rsidR="0053740B">
        <w:rPr>
          <w:rFonts w:ascii="Arial" w:hAnsi="Arial" w:cs="Arial"/>
          <w:sz w:val="22"/>
          <w:szCs w:val="22"/>
        </w:rPr>
        <w:t>flexible</w:t>
      </w:r>
      <w:r w:rsidRPr="00EB434F">
        <w:rPr>
          <w:rFonts w:ascii="Arial" w:hAnsi="Arial" w:cs="Arial"/>
          <w:sz w:val="22"/>
          <w:szCs w:val="22"/>
        </w:rPr>
        <w:t xml:space="preserve"> and collaborative</w:t>
      </w:r>
      <w:r w:rsidR="00632318">
        <w:rPr>
          <w:rFonts w:ascii="Arial" w:hAnsi="Arial" w:cs="Arial"/>
          <w:sz w:val="22"/>
          <w:szCs w:val="22"/>
        </w:rPr>
        <w:t xml:space="preserve">, </w:t>
      </w:r>
      <w:r w:rsidRPr="00EB434F">
        <w:rPr>
          <w:rFonts w:ascii="Arial" w:hAnsi="Arial" w:cs="Arial"/>
          <w:sz w:val="22"/>
          <w:szCs w:val="22"/>
        </w:rPr>
        <w:t xml:space="preserve">particularly where organisations are highly committed to engagement. Armstrong and Taylor (2023) note that some employers actively invest in strong internal communications to replicate the benefits of union support, particularly in low-unionised environments. This </w:t>
      </w:r>
      <w:r w:rsidR="00632318">
        <w:rPr>
          <w:rFonts w:ascii="Arial" w:hAnsi="Arial" w:cs="Arial"/>
          <w:sz w:val="22"/>
          <w:szCs w:val="22"/>
        </w:rPr>
        <w:t>‘</w:t>
      </w:r>
      <w:r w:rsidRPr="00EB434F">
        <w:rPr>
          <w:rFonts w:ascii="Arial" w:hAnsi="Arial" w:cs="Arial"/>
          <w:sz w:val="22"/>
          <w:szCs w:val="22"/>
        </w:rPr>
        <w:t>union substitution</w:t>
      </w:r>
      <w:r w:rsidR="00632318">
        <w:rPr>
          <w:rFonts w:ascii="Arial" w:hAnsi="Arial" w:cs="Arial"/>
          <w:sz w:val="22"/>
          <w:szCs w:val="22"/>
        </w:rPr>
        <w:t>’</w:t>
      </w:r>
      <w:r w:rsidRPr="00EB434F">
        <w:rPr>
          <w:rFonts w:ascii="Arial" w:hAnsi="Arial" w:cs="Arial"/>
          <w:sz w:val="22"/>
          <w:szCs w:val="22"/>
        </w:rPr>
        <w:t xml:space="preserve"> approach can work well when genuine dialogue and trust are prioritised.</w:t>
      </w:r>
    </w:p>
    <w:p w14:paraId="752A4CFB" w14:textId="4681F296" w:rsidR="00E7425C" w:rsidRDefault="00E7425C" w:rsidP="00EB434F">
      <w:pPr>
        <w:rPr>
          <w:rFonts w:ascii="Arial" w:hAnsi="Arial" w:cs="Arial"/>
          <w:sz w:val="22"/>
          <w:szCs w:val="22"/>
        </w:rPr>
      </w:pPr>
      <w:r w:rsidRPr="00E7425C">
        <w:rPr>
          <w:rFonts w:ascii="Arial" w:hAnsi="Arial" w:cs="Arial"/>
          <w:sz w:val="22"/>
          <w:szCs w:val="22"/>
        </w:rPr>
        <w:t>Rather than viewing the two forms as competing, many organisations</w:t>
      </w:r>
      <w:r>
        <w:rPr>
          <w:rFonts w:ascii="Arial" w:hAnsi="Arial" w:cs="Arial"/>
          <w:sz w:val="22"/>
          <w:szCs w:val="22"/>
        </w:rPr>
        <w:t xml:space="preserve">, </w:t>
      </w:r>
      <w:r w:rsidRPr="00E7425C">
        <w:rPr>
          <w:rFonts w:ascii="Arial" w:hAnsi="Arial" w:cs="Arial"/>
          <w:sz w:val="22"/>
          <w:szCs w:val="22"/>
        </w:rPr>
        <w:t>like CCC</w:t>
      </w:r>
      <w:r>
        <w:rPr>
          <w:rFonts w:ascii="Arial" w:hAnsi="Arial" w:cs="Arial"/>
          <w:sz w:val="22"/>
          <w:szCs w:val="22"/>
        </w:rPr>
        <w:t xml:space="preserve">, </w:t>
      </w:r>
      <w:r w:rsidRPr="00E7425C">
        <w:rPr>
          <w:rFonts w:ascii="Arial" w:hAnsi="Arial" w:cs="Arial"/>
          <w:sz w:val="22"/>
          <w:szCs w:val="22"/>
        </w:rPr>
        <w:t xml:space="preserve">successfully blend both. As </w:t>
      </w:r>
      <w:r w:rsidR="00385E09">
        <w:rPr>
          <w:rFonts w:ascii="Arial" w:hAnsi="Arial" w:cs="Arial"/>
          <w:sz w:val="22"/>
          <w:szCs w:val="22"/>
        </w:rPr>
        <w:t>Luckhurst</w:t>
      </w:r>
      <w:r w:rsidRPr="00E7425C">
        <w:rPr>
          <w:rFonts w:ascii="Arial" w:hAnsi="Arial" w:cs="Arial"/>
          <w:sz w:val="22"/>
          <w:szCs w:val="22"/>
        </w:rPr>
        <w:t xml:space="preserve"> (202</w:t>
      </w:r>
      <w:r w:rsidR="00385E09">
        <w:rPr>
          <w:rFonts w:ascii="Arial" w:hAnsi="Arial" w:cs="Arial"/>
          <w:sz w:val="22"/>
          <w:szCs w:val="22"/>
        </w:rPr>
        <w:t>5</w:t>
      </w:r>
      <w:r w:rsidRPr="00E7425C">
        <w:rPr>
          <w:rFonts w:ascii="Arial" w:hAnsi="Arial" w:cs="Arial"/>
          <w:sz w:val="22"/>
          <w:szCs w:val="22"/>
        </w:rPr>
        <w:t>) explains, having union involvement alongside wider staff engagement creates a more balanced, inclusive and responsive approach to decision-making.</w:t>
      </w:r>
    </w:p>
    <w:p w14:paraId="5B1A417E" w14:textId="77777777" w:rsidR="00205853" w:rsidRPr="00205853" w:rsidRDefault="00205853" w:rsidP="00205853">
      <w:pPr>
        <w:rPr>
          <w:rFonts w:ascii="Arial" w:hAnsi="Arial" w:cs="Arial"/>
          <w:sz w:val="22"/>
          <w:szCs w:val="22"/>
        </w:rPr>
      </w:pPr>
      <w:r w:rsidRPr="00205853">
        <w:rPr>
          <w:rFonts w:ascii="Arial" w:hAnsi="Arial" w:cs="Arial"/>
          <w:sz w:val="22"/>
          <w:szCs w:val="22"/>
        </w:rPr>
        <w:t>The key is ensuring employees have credible ways to express their views, whether through recognised unions, staff forums or regular dialogue with leadership. These different forms of employee voice each contribute to a working environment where people feel informed, respected and included – all of which are especially important during organisational change.</w:t>
      </w:r>
    </w:p>
    <w:p w14:paraId="2A7165E2" w14:textId="7F670182" w:rsidR="003944F1" w:rsidRPr="003944F1" w:rsidRDefault="00591F9E" w:rsidP="003944F1">
      <w:pPr>
        <w:rPr>
          <w:rFonts w:ascii="Arial" w:hAnsi="Arial" w:cs="Arial"/>
          <w:sz w:val="22"/>
          <w:szCs w:val="22"/>
        </w:rPr>
      </w:pPr>
      <w:r w:rsidRPr="000E71C4">
        <w:rPr>
          <w:rFonts w:ascii="Arial" w:hAnsi="Arial" w:cs="Arial"/>
          <w:b/>
          <w:bCs/>
          <w:sz w:val="22"/>
          <w:szCs w:val="22"/>
        </w:rPr>
        <w:lastRenderedPageBreak/>
        <w:t>AC 1.</w:t>
      </w:r>
      <w:r w:rsidR="00FB6686">
        <w:rPr>
          <w:rFonts w:ascii="Arial" w:hAnsi="Arial" w:cs="Arial"/>
          <w:b/>
          <w:bCs/>
          <w:sz w:val="22"/>
          <w:szCs w:val="22"/>
        </w:rPr>
        <w:t>3</w:t>
      </w:r>
      <w:r w:rsidR="006F097E" w:rsidRPr="006F097E">
        <w:t xml:space="preserve"> </w:t>
      </w:r>
      <w:r w:rsidR="003944F1" w:rsidRPr="003944F1">
        <w:rPr>
          <w:rFonts w:ascii="Arial" w:hAnsi="Arial" w:cs="Arial"/>
          <w:sz w:val="22"/>
          <w:szCs w:val="22"/>
        </w:rPr>
        <w:t>Employee voice refers to the ways in which staff can express views, raise concerns, and influence decisions. In a newly merged public sector organisation, where staff may feel uncertain or disengaged, authentic channels for employee input are vital to sustaining trust, morale, and performance.</w:t>
      </w:r>
    </w:p>
    <w:p w14:paraId="09E1122D" w14:textId="3FB80DA9" w:rsidR="000B0084" w:rsidRDefault="000B0084" w:rsidP="003944F1">
      <w:pPr>
        <w:rPr>
          <w:rFonts w:ascii="Arial" w:hAnsi="Arial" w:cs="Arial"/>
          <w:sz w:val="22"/>
          <w:szCs w:val="22"/>
        </w:rPr>
      </w:pPr>
      <w:r w:rsidRPr="000B0084">
        <w:rPr>
          <w:rFonts w:ascii="Arial" w:hAnsi="Arial" w:cs="Arial"/>
          <w:sz w:val="22"/>
          <w:szCs w:val="22"/>
        </w:rPr>
        <w:t>Strong employee voice is consistently linked with higher levels of engagement, innovation, and commitment. The IPA (202</w:t>
      </w:r>
      <w:r w:rsidR="003A1916">
        <w:rPr>
          <w:rFonts w:ascii="Arial" w:hAnsi="Arial" w:cs="Arial"/>
          <w:sz w:val="22"/>
          <w:szCs w:val="22"/>
        </w:rPr>
        <w:t>5</w:t>
      </w:r>
      <w:r w:rsidR="000E2B1D">
        <w:rPr>
          <w:rFonts w:ascii="Arial" w:hAnsi="Arial" w:cs="Arial"/>
          <w:sz w:val="22"/>
          <w:szCs w:val="22"/>
        </w:rPr>
        <w:t>b</w:t>
      </w:r>
      <w:r w:rsidRPr="000B0084">
        <w:rPr>
          <w:rFonts w:ascii="Arial" w:hAnsi="Arial" w:cs="Arial"/>
          <w:sz w:val="22"/>
          <w:szCs w:val="22"/>
        </w:rPr>
        <w:t>) highlights that when staff are genuinely involved, organisations often see better productivity, improved morale, and reduced absence. Voice is also recognised as one of the four key enablers of engagement, alongside having a clear strategic narrative, supportive line managers, and organisational integrity (Willoughby, 2025).</w:t>
      </w:r>
    </w:p>
    <w:p w14:paraId="4DD8EF26" w14:textId="0DF1A203" w:rsidR="003944F1" w:rsidRPr="003944F1" w:rsidRDefault="003944F1" w:rsidP="003944F1">
      <w:pPr>
        <w:rPr>
          <w:rFonts w:ascii="Arial" w:hAnsi="Arial" w:cs="Arial"/>
          <w:sz w:val="22"/>
          <w:szCs w:val="22"/>
        </w:rPr>
      </w:pPr>
      <w:r w:rsidRPr="003944F1">
        <w:rPr>
          <w:rFonts w:ascii="Arial" w:hAnsi="Arial" w:cs="Arial"/>
          <w:sz w:val="22"/>
          <w:szCs w:val="22"/>
        </w:rPr>
        <w:t>Armstrong and Taylor (2023) identify two functions of voice: an organisational function that improves decisions and performance, and a social justice function that upholds fairness and dignity. Both are especially important during periods of organisational change.</w:t>
      </w:r>
    </w:p>
    <w:p w14:paraId="438A168F" w14:textId="2E47671A" w:rsidR="008D1814" w:rsidRDefault="008D1814" w:rsidP="003944F1">
      <w:pPr>
        <w:rPr>
          <w:rFonts w:ascii="Arial" w:hAnsi="Arial" w:cs="Arial"/>
          <w:sz w:val="22"/>
          <w:szCs w:val="22"/>
        </w:rPr>
      </w:pPr>
      <w:r w:rsidRPr="008D1814">
        <w:rPr>
          <w:rFonts w:ascii="Arial" w:hAnsi="Arial" w:cs="Arial"/>
          <w:sz w:val="22"/>
          <w:szCs w:val="22"/>
        </w:rPr>
        <w:t xml:space="preserve">NHS Nottinghamshire Healthcare Trust provides a helpful example of how employee voice can drive culture change (CIPD, 2021). Faced with high turnover, low staff satisfaction, and a ‘requires improvement’ CQC rating, the CEO introduced multiple voice avenues including survey sentiment analysis, divisional board feedback, and Freedom to Speak Up Guardians </w:t>
      </w:r>
      <w:r>
        <w:rPr>
          <w:rFonts w:ascii="Arial" w:hAnsi="Arial" w:cs="Arial"/>
          <w:sz w:val="22"/>
          <w:szCs w:val="22"/>
        </w:rPr>
        <w:t xml:space="preserve">which were </w:t>
      </w:r>
      <w:r w:rsidRPr="008D1814">
        <w:rPr>
          <w:rFonts w:ascii="Arial" w:hAnsi="Arial" w:cs="Arial"/>
          <w:sz w:val="22"/>
          <w:szCs w:val="22"/>
        </w:rPr>
        <w:t xml:space="preserve">all underpinned by Just Culture principles. </w:t>
      </w:r>
      <w:r w:rsidR="00535394">
        <w:rPr>
          <w:rFonts w:ascii="Arial" w:hAnsi="Arial" w:cs="Arial"/>
          <w:sz w:val="22"/>
          <w:szCs w:val="22"/>
        </w:rPr>
        <w:t>T</w:t>
      </w:r>
      <w:r w:rsidR="00535394" w:rsidRPr="00535394">
        <w:rPr>
          <w:rFonts w:ascii="Arial" w:hAnsi="Arial" w:cs="Arial"/>
          <w:sz w:val="22"/>
          <w:szCs w:val="22"/>
        </w:rPr>
        <w:t>his helped move employee voice away from just reacting to problems, towards something more proactive and part of the day-to-day working culture.</w:t>
      </w:r>
      <w:r w:rsidR="00535394">
        <w:rPr>
          <w:rFonts w:ascii="Arial" w:hAnsi="Arial" w:cs="Arial"/>
          <w:sz w:val="22"/>
          <w:szCs w:val="22"/>
        </w:rPr>
        <w:t xml:space="preserve"> </w:t>
      </w:r>
      <w:r w:rsidRPr="008D1814">
        <w:rPr>
          <w:rFonts w:ascii="Arial" w:hAnsi="Arial" w:cs="Arial"/>
          <w:sz w:val="22"/>
          <w:szCs w:val="22"/>
        </w:rPr>
        <w:t>Staff wellbeing initiatives also targeted burnout, which had previously cost the trust £20 million a year. While large-scale change takes time, early signs showed improvements in engagement and inclusion.</w:t>
      </w:r>
    </w:p>
    <w:p w14:paraId="497E9ACC" w14:textId="2FB5927B" w:rsidR="003944F1" w:rsidRPr="003944F1" w:rsidRDefault="003944F1" w:rsidP="003944F1">
      <w:pPr>
        <w:rPr>
          <w:rFonts w:ascii="Arial" w:hAnsi="Arial" w:cs="Arial"/>
          <w:sz w:val="22"/>
          <w:szCs w:val="22"/>
        </w:rPr>
      </w:pPr>
      <w:r w:rsidRPr="003944F1">
        <w:rPr>
          <w:rFonts w:ascii="Arial" w:hAnsi="Arial" w:cs="Arial"/>
          <w:sz w:val="22"/>
          <w:szCs w:val="22"/>
        </w:rPr>
        <w:t>However, not all voice efforts drive performance. Taylor and Woodhams (2022) caution that overly formal or top-down approaches can appear tokenistic if feedback isn’t visibly acted upon. In highly bureaucratic settings, voice may be invited but filtered or ignored, reducing its impact. Marchington’s (2007) fourfold framework</w:t>
      </w:r>
      <w:r w:rsidR="00DC1349">
        <w:rPr>
          <w:rFonts w:ascii="Arial" w:hAnsi="Arial" w:cs="Arial"/>
          <w:sz w:val="22"/>
          <w:szCs w:val="22"/>
        </w:rPr>
        <w:t xml:space="preserve"> - </w:t>
      </w:r>
      <w:r w:rsidRPr="003944F1">
        <w:rPr>
          <w:rFonts w:ascii="Arial" w:hAnsi="Arial" w:cs="Arial"/>
          <w:sz w:val="22"/>
          <w:szCs w:val="22"/>
        </w:rPr>
        <w:t>looking at the depth, scope, impact, and level of voice</w:t>
      </w:r>
      <w:r w:rsidR="00A35B5A">
        <w:rPr>
          <w:rFonts w:ascii="Arial" w:hAnsi="Arial" w:cs="Arial"/>
          <w:sz w:val="22"/>
          <w:szCs w:val="22"/>
        </w:rPr>
        <w:t xml:space="preserve"> - </w:t>
      </w:r>
      <w:r w:rsidRPr="003944F1">
        <w:rPr>
          <w:rFonts w:ascii="Arial" w:hAnsi="Arial" w:cs="Arial"/>
          <w:sz w:val="22"/>
          <w:szCs w:val="22"/>
        </w:rPr>
        <w:t>helps evaluate how authentic and influential employee input really is.</w:t>
      </w:r>
    </w:p>
    <w:p w14:paraId="36D8BDD7" w14:textId="77777777" w:rsidR="00C63F1B" w:rsidRDefault="00C63F1B" w:rsidP="003944F1">
      <w:pPr>
        <w:rPr>
          <w:rFonts w:ascii="Arial" w:hAnsi="Arial" w:cs="Arial"/>
          <w:sz w:val="22"/>
          <w:szCs w:val="22"/>
        </w:rPr>
      </w:pPr>
      <w:r w:rsidRPr="00C63F1B">
        <w:rPr>
          <w:rFonts w:ascii="Arial" w:hAnsi="Arial" w:cs="Arial"/>
          <w:sz w:val="22"/>
          <w:szCs w:val="22"/>
        </w:rPr>
        <w:t>Leaders from private-sector backgrounds may also be unfamiliar with the mix of formal and informal voice channels often used in public services. While this can seem complex, these approaches help strengthen communication and build trust when used consistently and clearly. Critically, mechanisms alone are not enough, and staff must feel psychologically safe to speak up, knowing their concerns will be taken seriously and won’t be held against them (Armstrong &amp; Taylor, 2023).</w:t>
      </w:r>
      <w:r w:rsidRPr="00C63F1B">
        <w:rPr>
          <w:rFonts w:ascii="Arial" w:hAnsi="Arial" w:cs="Arial"/>
          <w:sz w:val="22"/>
          <w:szCs w:val="22"/>
        </w:rPr>
        <w:t xml:space="preserve"> </w:t>
      </w:r>
    </w:p>
    <w:p w14:paraId="604CD6D2" w14:textId="7EF9FA2C" w:rsidR="00205853" w:rsidRDefault="00205853" w:rsidP="00AC4D71">
      <w:pPr>
        <w:rPr>
          <w:rFonts w:ascii="Arial" w:hAnsi="Arial" w:cs="Arial"/>
          <w:sz w:val="22"/>
          <w:szCs w:val="22"/>
        </w:rPr>
      </w:pPr>
      <w:r w:rsidRPr="00205853">
        <w:rPr>
          <w:rFonts w:ascii="Arial" w:hAnsi="Arial" w:cs="Arial"/>
          <w:sz w:val="22"/>
          <w:szCs w:val="22"/>
        </w:rPr>
        <w:t>Voice only has a positive impact when it results in visible action. As Engage for Success (2023) notes, listening without responding can damage trust. When approached meaningfully, employee voice can improve decision-making, foster a culture of openness, and help organisations adapt more effectively to change – all critical capabilities during periods of transformation.</w:t>
      </w:r>
    </w:p>
    <w:p w14:paraId="54FC6FE0" w14:textId="1E1C9688" w:rsidR="00AC4D71" w:rsidRPr="00AC4D71" w:rsidRDefault="00C74476" w:rsidP="00AC4D71">
      <w:pPr>
        <w:rPr>
          <w:rFonts w:ascii="Arial" w:hAnsi="Arial" w:cs="Arial"/>
          <w:sz w:val="22"/>
          <w:szCs w:val="22"/>
        </w:rPr>
      </w:pPr>
      <w:r w:rsidRPr="00FB6686">
        <w:rPr>
          <w:rFonts w:ascii="Arial" w:hAnsi="Arial" w:cs="Arial"/>
          <w:b/>
          <w:bCs/>
          <w:sz w:val="22"/>
          <w:szCs w:val="22"/>
        </w:rPr>
        <w:t xml:space="preserve">AC 1.4 </w:t>
      </w:r>
      <w:r w:rsidR="00AC4D71" w:rsidRPr="00AC4D71">
        <w:rPr>
          <w:rFonts w:ascii="Arial" w:hAnsi="Arial" w:cs="Arial"/>
          <w:sz w:val="22"/>
          <w:szCs w:val="22"/>
        </w:rPr>
        <w:t>The concept of better working lives focuses on enhancing the quality of individuals’ experiences at work, considering elements such as job design, wellbeing, autonomy, inclusion, reward, and fairness. The CIPD (202</w:t>
      </w:r>
      <w:r w:rsidR="00240D12">
        <w:rPr>
          <w:rFonts w:ascii="Arial" w:hAnsi="Arial" w:cs="Arial"/>
          <w:sz w:val="22"/>
          <w:szCs w:val="22"/>
        </w:rPr>
        <w:t>5</w:t>
      </w:r>
      <w:r w:rsidR="00D379BE">
        <w:rPr>
          <w:rFonts w:ascii="Arial" w:hAnsi="Arial" w:cs="Arial"/>
          <w:sz w:val="22"/>
          <w:szCs w:val="22"/>
        </w:rPr>
        <w:t>b</w:t>
      </w:r>
      <w:r w:rsidR="00AC4D71" w:rsidRPr="00AC4D71">
        <w:rPr>
          <w:rFonts w:ascii="Arial" w:hAnsi="Arial" w:cs="Arial"/>
          <w:sz w:val="22"/>
          <w:szCs w:val="22"/>
        </w:rPr>
        <w:t xml:space="preserve">) defines good work as that which is </w:t>
      </w:r>
      <w:proofErr w:type="gramStart"/>
      <w:r w:rsidR="00AC4D71" w:rsidRPr="00AC4D71">
        <w:rPr>
          <w:rFonts w:ascii="Arial" w:hAnsi="Arial" w:cs="Arial"/>
          <w:sz w:val="22"/>
          <w:szCs w:val="22"/>
        </w:rPr>
        <w:t>fairly rewarded</w:t>
      </w:r>
      <w:proofErr w:type="gramEnd"/>
      <w:r w:rsidR="00AC4D71" w:rsidRPr="00AC4D71">
        <w:rPr>
          <w:rFonts w:ascii="Arial" w:hAnsi="Arial" w:cs="Arial"/>
          <w:sz w:val="22"/>
          <w:szCs w:val="22"/>
        </w:rPr>
        <w:t>, secure, offers employee voice, and supports wellbeing and development</w:t>
      </w:r>
      <w:r w:rsidR="007C0878">
        <w:rPr>
          <w:rFonts w:ascii="Arial" w:hAnsi="Arial" w:cs="Arial"/>
          <w:sz w:val="22"/>
          <w:szCs w:val="22"/>
        </w:rPr>
        <w:t>.</w:t>
      </w:r>
    </w:p>
    <w:p w14:paraId="29646F3D" w14:textId="5539BD7C" w:rsidR="003E1656" w:rsidRDefault="003E1656" w:rsidP="00AC4D71">
      <w:pPr>
        <w:rPr>
          <w:rFonts w:ascii="Arial" w:hAnsi="Arial" w:cs="Arial"/>
          <w:sz w:val="22"/>
          <w:szCs w:val="22"/>
        </w:rPr>
      </w:pPr>
      <w:proofErr w:type="spellStart"/>
      <w:r w:rsidRPr="00272C4B">
        <w:rPr>
          <w:rFonts w:ascii="Arial" w:hAnsi="Arial" w:cs="Arial"/>
          <w:sz w:val="22"/>
          <w:szCs w:val="22"/>
        </w:rPr>
        <w:t>Zemanik</w:t>
      </w:r>
      <w:proofErr w:type="spellEnd"/>
      <w:r w:rsidRPr="00272C4B">
        <w:rPr>
          <w:rFonts w:ascii="Arial" w:hAnsi="Arial" w:cs="Arial"/>
          <w:sz w:val="22"/>
          <w:szCs w:val="22"/>
        </w:rPr>
        <w:t xml:space="preserve"> and Al Marri (202</w:t>
      </w:r>
      <w:r w:rsidR="00272C4B" w:rsidRPr="00272C4B">
        <w:rPr>
          <w:rFonts w:ascii="Arial" w:hAnsi="Arial" w:cs="Arial"/>
          <w:sz w:val="22"/>
          <w:szCs w:val="22"/>
        </w:rPr>
        <w:t>4</w:t>
      </w:r>
      <w:r w:rsidRPr="00272C4B">
        <w:rPr>
          <w:rFonts w:ascii="Arial" w:hAnsi="Arial" w:cs="Arial"/>
          <w:sz w:val="22"/>
          <w:szCs w:val="22"/>
        </w:rPr>
        <w:t>)</w:t>
      </w:r>
      <w:r w:rsidRPr="003E1656">
        <w:rPr>
          <w:rFonts w:ascii="Arial" w:hAnsi="Arial" w:cs="Arial"/>
          <w:sz w:val="22"/>
          <w:szCs w:val="22"/>
        </w:rPr>
        <w:t xml:space="preserve"> highlight key barriers in achieving this, such as poor job design, excessive workloads, and limited voice or flexibility. They stress that better working lives are </w:t>
      </w:r>
      <w:r w:rsidRPr="003E1656">
        <w:rPr>
          <w:rFonts w:ascii="Arial" w:hAnsi="Arial" w:cs="Arial"/>
          <w:sz w:val="22"/>
          <w:szCs w:val="22"/>
        </w:rPr>
        <w:lastRenderedPageBreak/>
        <w:t>shaped through intentional role structuring, clear expectations, and inclusive workplace cultures where employees feel heard and empowered.</w:t>
      </w:r>
    </w:p>
    <w:p w14:paraId="46A1252C" w14:textId="372BAE81" w:rsidR="00AC4D71" w:rsidRPr="00AC4D71" w:rsidRDefault="00AC4D71" w:rsidP="00AC4D71">
      <w:pPr>
        <w:rPr>
          <w:rFonts w:ascii="Arial" w:hAnsi="Arial" w:cs="Arial"/>
          <w:sz w:val="22"/>
          <w:szCs w:val="22"/>
        </w:rPr>
      </w:pPr>
      <w:r w:rsidRPr="00AC4D71">
        <w:rPr>
          <w:rFonts w:ascii="Arial" w:hAnsi="Arial" w:cs="Arial"/>
          <w:sz w:val="22"/>
          <w:szCs w:val="22"/>
        </w:rPr>
        <w:t xml:space="preserve">Designing better work involves moving beyond generic policies to human-centred, evolving practices. As Armstrong and Taylor (2023) explain, </w:t>
      </w:r>
      <w:r w:rsidR="00DE1919">
        <w:rPr>
          <w:rFonts w:ascii="Arial" w:hAnsi="Arial" w:cs="Arial"/>
          <w:sz w:val="22"/>
          <w:szCs w:val="22"/>
        </w:rPr>
        <w:t>‘</w:t>
      </w:r>
      <w:r w:rsidRPr="00AC4D71">
        <w:rPr>
          <w:rFonts w:ascii="Arial" w:hAnsi="Arial" w:cs="Arial"/>
          <w:sz w:val="22"/>
          <w:szCs w:val="22"/>
        </w:rPr>
        <w:t>work-life balance policies define how the organisation intends to allow employees greater flexibility in their working patterns so that they can balance what they do at work with the responsibilities and interests they have outside work.</w:t>
      </w:r>
      <w:r w:rsidR="00DE1919">
        <w:rPr>
          <w:rFonts w:ascii="Arial" w:hAnsi="Arial" w:cs="Arial"/>
          <w:sz w:val="22"/>
          <w:szCs w:val="22"/>
        </w:rPr>
        <w:t>’</w:t>
      </w:r>
      <w:r w:rsidRPr="00AC4D71">
        <w:rPr>
          <w:rFonts w:ascii="Arial" w:hAnsi="Arial" w:cs="Arial"/>
          <w:sz w:val="22"/>
          <w:szCs w:val="22"/>
        </w:rPr>
        <w:t xml:space="preserve"> This acknowledges that the quality of work is interconnected with wider life responsibilities.</w:t>
      </w:r>
    </w:p>
    <w:p w14:paraId="311F0EDB" w14:textId="77777777" w:rsidR="006B7801" w:rsidRDefault="006B7801" w:rsidP="00AC4D71">
      <w:pPr>
        <w:rPr>
          <w:rFonts w:ascii="Arial" w:hAnsi="Arial" w:cs="Arial"/>
          <w:sz w:val="22"/>
          <w:szCs w:val="22"/>
        </w:rPr>
      </w:pPr>
      <w:r w:rsidRPr="006B7801">
        <w:rPr>
          <w:rFonts w:ascii="Arial" w:hAnsi="Arial" w:cs="Arial"/>
          <w:sz w:val="22"/>
          <w:szCs w:val="22"/>
        </w:rPr>
        <w:t>At CCC, the concept of better working lives is put into practice through flexible and hybrid working guidance, wellbeing initiatives such as bespoke workshops, and manager training focused on inclusion and support. Health and wellbeing packages are shaped by employee feedback and include follow-up support to ensure they remain relevant. These examples show how work can be intentionally designed around people’s real experiences, embedding better working lives into the everyday culture.</w:t>
      </w:r>
    </w:p>
    <w:p w14:paraId="1FB4A2CA" w14:textId="5ADC1E76" w:rsidR="002031B1" w:rsidRDefault="002031B1" w:rsidP="00AC4D71">
      <w:pPr>
        <w:rPr>
          <w:rFonts w:ascii="Arial" w:hAnsi="Arial" w:cs="Arial"/>
          <w:sz w:val="22"/>
          <w:szCs w:val="22"/>
        </w:rPr>
      </w:pPr>
      <w:r w:rsidRPr="00272C4B">
        <w:rPr>
          <w:rFonts w:ascii="Arial" w:hAnsi="Arial" w:cs="Arial"/>
          <w:sz w:val="22"/>
          <w:szCs w:val="22"/>
        </w:rPr>
        <w:t>VQ Solutions (2024)</w:t>
      </w:r>
      <w:r w:rsidRPr="002031B1">
        <w:rPr>
          <w:rFonts w:ascii="Arial" w:hAnsi="Arial" w:cs="Arial"/>
          <w:sz w:val="22"/>
          <w:szCs w:val="22"/>
        </w:rPr>
        <w:t xml:space="preserve"> reinforces that good work is not static; effective design must adapt to the evolving needs of individuals, roles, and teams. Similarly, ACAS (202</w:t>
      </w:r>
      <w:r w:rsidR="005E3F2C">
        <w:rPr>
          <w:rFonts w:ascii="Arial" w:hAnsi="Arial" w:cs="Arial"/>
          <w:sz w:val="22"/>
          <w:szCs w:val="22"/>
        </w:rPr>
        <w:t>0</w:t>
      </w:r>
      <w:r w:rsidR="00DF35BD">
        <w:rPr>
          <w:rFonts w:ascii="Arial" w:hAnsi="Arial" w:cs="Arial"/>
          <w:sz w:val="22"/>
          <w:szCs w:val="22"/>
        </w:rPr>
        <w:t>a</w:t>
      </w:r>
      <w:r w:rsidRPr="002031B1">
        <w:rPr>
          <w:rFonts w:ascii="Arial" w:hAnsi="Arial" w:cs="Arial"/>
          <w:sz w:val="22"/>
          <w:szCs w:val="22"/>
        </w:rPr>
        <w:t>) found that when employees are consulted meaningfully on working conditions, it fosters stronger commitment, improves workplace relationships, and helps organisations retain valuable talent.</w:t>
      </w:r>
    </w:p>
    <w:p w14:paraId="5F6F1332" w14:textId="44F08941" w:rsidR="00F90562" w:rsidRDefault="00AC4D71" w:rsidP="00AC4D71">
      <w:pPr>
        <w:rPr>
          <w:rFonts w:ascii="Arial" w:hAnsi="Arial" w:cs="Arial"/>
          <w:sz w:val="22"/>
          <w:szCs w:val="22"/>
        </w:rPr>
      </w:pPr>
      <w:r w:rsidRPr="00AC4D71">
        <w:rPr>
          <w:rFonts w:ascii="Arial" w:hAnsi="Arial" w:cs="Arial"/>
          <w:sz w:val="22"/>
          <w:szCs w:val="22"/>
        </w:rPr>
        <w:t xml:space="preserve">In summary, better working lives are not just about improving employee satisfaction </w:t>
      </w:r>
      <w:r w:rsidR="00246BFA">
        <w:rPr>
          <w:rFonts w:ascii="Arial" w:hAnsi="Arial" w:cs="Arial"/>
          <w:sz w:val="22"/>
          <w:szCs w:val="22"/>
        </w:rPr>
        <w:t xml:space="preserve">- </w:t>
      </w:r>
      <w:r w:rsidRPr="00AC4D71">
        <w:rPr>
          <w:rFonts w:ascii="Arial" w:hAnsi="Arial" w:cs="Arial"/>
          <w:sz w:val="22"/>
          <w:szCs w:val="22"/>
        </w:rPr>
        <w:t xml:space="preserve">they’re key to sustaining high performance. Effective design requires </w:t>
      </w:r>
      <w:r w:rsidR="00593A3D" w:rsidRPr="00593A3D">
        <w:rPr>
          <w:rFonts w:ascii="Arial" w:hAnsi="Arial" w:cs="Arial"/>
          <w:sz w:val="22"/>
          <w:szCs w:val="22"/>
        </w:rPr>
        <w:t>clear leadership</w:t>
      </w:r>
      <w:r w:rsidR="00593A3D">
        <w:rPr>
          <w:rFonts w:ascii="Arial" w:hAnsi="Arial" w:cs="Arial"/>
          <w:sz w:val="22"/>
          <w:szCs w:val="22"/>
        </w:rPr>
        <w:t xml:space="preserve"> and </w:t>
      </w:r>
      <w:r w:rsidRPr="00AC4D71">
        <w:rPr>
          <w:rFonts w:ascii="Arial" w:hAnsi="Arial" w:cs="Arial"/>
          <w:sz w:val="22"/>
          <w:szCs w:val="22"/>
        </w:rPr>
        <w:t>regular employee input to create work that is meaningful, flexible, and future-ready.</w:t>
      </w:r>
    </w:p>
    <w:p w14:paraId="2DD0BA3B" w14:textId="47560245" w:rsidR="001802A1" w:rsidRPr="001802A1" w:rsidRDefault="001453E4" w:rsidP="001802A1">
      <w:pPr>
        <w:rPr>
          <w:rFonts w:ascii="Arial" w:hAnsi="Arial" w:cs="Arial"/>
          <w:sz w:val="22"/>
          <w:szCs w:val="22"/>
        </w:rPr>
      </w:pPr>
      <w:r w:rsidRPr="001453E4">
        <w:rPr>
          <w:rFonts w:ascii="Arial" w:hAnsi="Arial" w:cs="Arial"/>
          <w:b/>
          <w:bCs/>
          <w:sz w:val="22"/>
          <w:szCs w:val="22"/>
        </w:rPr>
        <w:t xml:space="preserve">AC </w:t>
      </w:r>
      <w:r>
        <w:rPr>
          <w:rFonts w:ascii="Arial" w:hAnsi="Arial" w:cs="Arial"/>
          <w:b/>
          <w:bCs/>
          <w:sz w:val="22"/>
          <w:szCs w:val="22"/>
        </w:rPr>
        <w:t xml:space="preserve">2.1 </w:t>
      </w:r>
      <w:r w:rsidR="001802A1" w:rsidRPr="001802A1">
        <w:rPr>
          <w:rFonts w:ascii="Arial" w:hAnsi="Arial" w:cs="Arial"/>
          <w:sz w:val="22"/>
          <w:szCs w:val="22"/>
        </w:rPr>
        <w:t>Organisational conflict arises when individuals or groups experience incompatible goals, values, or interests in the workplace. It is not inherently negative and can lead to growth and innovation if well managed. Conflict may stem from poor communication, unclear roles, workload pressures, or change</w:t>
      </w:r>
      <w:r w:rsidR="001802A1">
        <w:rPr>
          <w:rFonts w:ascii="Arial" w:hAnsi="Arial" w:cs="Arial"/>
          <w:sz w:val="22"/>
          <w:szCs w:val="22"/>
        </w:rPr>
        <w:t xml:space="preserve"> (Armstrong and Taylor, 2023)</w:t>
      </w:r>
      <w:r w:rsidR="001802A1" w:rsidRPr="001802A1">
        <w:rPr>
          <w:rFonts w:ascii="Arial" w:hAnsi="Arial" w:cs="Arial"/>
          <w:sz w:val="22"/>
          <w:szCs w:val="22"/>
        </w:rPr>
        <w:t>. In contrast, misbehaviour refers to deliberate actions that go against organisational rules or norms, such as insubordination, bullying, or policy breaches, and typically requires formal intervention.</w:t>
      </w:r>
    </w:p>
    <w:p w14:paraId="2333B991" w14:textId="2553ABB9" w:rsidR="00044149" w:rsidRDefault="00044149" w:rsidP="001802A1">
      <w:pPr>
        <w:rPr>
          <w:rFonts w:ascii="Arial" w:hAnsi="Arial" w:cs="Arial"/>
          <w:sz w:val="22"/>
          <w:szCs w:val="22"/>
        </w:rPr>
      </w:pPr>
      <w:r w:rsidRPr="00044149">
        <w:rPr>
          <w:rFonts w:ascii="Arial" w:hAnsi="Arial" w:cs="Arial"/>
          <w:sz w:val="22"/>
          <w:szCs w:val="22"/>
        </w:rPr>
        <w:t>As highlighted in the CIPD’s Managing Conflict in the Modern Workplace report (2020</w:t>
      </w:r>
      <w:r w:rsidR="003571FB">
        <w:rPr>
          <w:rFonts w:ascii="Arial" w:hAnsi="Arial" w:cs="Arial"/>
          <w:sz w:val="22"/>
          <w:szCs w:val="22"/>
        </w:rPr>
        <w:t>a</w:t>
      </w:r>
      <w:r w:rsidRPr="00044149">
        <w:rPr>
          <w:rFonts w:ascii="Arial" w:hAnsi="Arial" w:cs="Arial"/>
          <w:sz w:val="22"/>
          <w:szCs w:val="22"/>
        </w:rPr>
        <w:t xml:space="preserve">), conflict becomes damaging when it is ignored or poorly managed, often resulting in reduced morale, lower productivity, and a decline in employee wellbeing. The report emphasises the importance of early intervention and informal resolution wherever possible. </w:t>
      </w:r>
      <w:r w:rsidR="00272C4B" w:rsidRPr="00044149">
        <w:rPr>
          <w:rFonts w:ascii="Arial" w:hAnsi="Arial" w:cs="Arial"/>
          <w:sz w:val="22"/>
          <w:szCs w:val="22"/>
        </w:rPr>
        <w:t>Equally</w:t>
      </w:r>
      <w:r w:rsidRPr="00044149">
        <w:rPr>
          <w:rFonts w:ascii="Arial" w:hAnsi="Arial" w:cs="Arial"/>
          <w:sz w:val="22"/>
          <w:szCs w:val="22"/>
        </w:rPr>
        <w:t>, ACAS (20</w:t>
      </w:r>
      <w:r w:rsidR="00DF35BD">
        <w:rPr>
          <w:rFonts w:ascii="Arial" w:hAnsi="Arial" w:cs="Arial"/>
          <w:sz w:val="22"/>
          <w:szCs w:val="22"/>
        </w:rPr>
        <w:t>19</w:t>
      </w:r>
      <w:r w:rsidRPr="00044149">
        <w:rPr>
          <w:rFonts w:ascii="Arial" w:hAnsi="Arial" w:cs="Arial"/>
          <w:sz w:val="22"/>
          <w:szCs w:val="22"/>
        </w:rPr>
        <w:t>) notes that unresolved conflict can lead to sickness absence, resignations, and formal grievances, whereas when handled constructively, it can strengthen trust and lead to improved outcomes.</w:t>
      </w:r>
    </w:p>
    <w:p w14:paraId="01647243" w14:textId="4AC92F98" w:rsidR="001802A1" w:rsidRPr="001802A1" w:rsidRDefault="001802A1" w:rsidP="001802A1">
      <w:pPr>
        <w:rPr>
          <w:rFonts w:ascii="Arial" w:hAnsi="Arial" w:cs="Arial"/>
          <w:sz w:val="22"/>
          <w:szCs w:val="22"/>
        </w:rPr>
      </w:pPr>
      <w:r w:rsidRPr="001802A1">
        <w:rPr>
          <w:rFonts w:ascii="Arial" w:hAnsi="Arial" w:cs="Arial"/>
          <w:sz w:val="22"/>
          <w:szCs w:val="22"/>
        </w:rPr>
        <w:t>A key distinction is that conflict may be unintentional and situational, whereas misbehaviour involves deliberate misconduct. For example, disagreements about workload distribution may reflect underlying organisational conflict. However, persistent lateness, aggressive behaviour, or misuse of systems would be considered misbehaviour if intentional and in breach of expected conduct.</w:t>
      </w:r>
    </w:p>
    <w:p w14:paraId="6FACD039" w14:textId="77777777" w:rsidR="005B37A2" w:rsidRPr="005B37A2" w:rsidRDefault="005B37A2" w:rsidP="005B37A2">
      <w:pPr>
        <w:rPr>
          <w:rFonts w:ascii="Arial" w:hAnsi="Arial" w:cs="Arial"/>
          <w:sz w:val="22"/>
          <w:szCs w:val="22"/>
        </w:rPr>
      </w:pPr>
      <w:r w:rsidRPr="005B37A2">
        <w:rPr>
          <w:rFonts w:ascii="Arial" w:hAnsi="Arial" w:cs="Arial"/>
          <w:sz w:val="22"/>
          <w:szCs w:val="22"/>
        </w:rPr>
        <w:t xml:space="preserve">In my own experience supporting a manager through a behavioural standards issue, what began as interpersonal tension escalated when inappropriate behaviour breached </w:t>
      </w:r>
      <w:r w:rsidRPr="005B37A2">
        <w:rPr>
          <w:rFonts w:ascii="Arial" w:hAnsi="Arial" w:cs="Arial"/>
          <w:sz w:val="22"/>
          <w:szCs w:val="22"/>
        </w:rPr>
        <w:lastRenderedPageBreak/>
        <w:t>organisational expectations. Recognising this shift from informal conflict to formal misconduct was key in advising the appropriate course of action.</w:t>
      </w:r>
    </w:p>
    <w:p w14:paraId="53BD0328" w14:textId="0AB78423" w:rsidR="005B37A2" w:rsidRPr="005B37A2" w:rsidRDefault="005B37A2" w:rsidP="005B37A2">
      <w:pPr>
        <w:rPr>
          <w:rFonts w:ascii="Arial" w:hAnsi="Arial" w:cs="Arial"/>
          <w:sz w:val="22"/>
          <w:szCs w:val="22"/>
        </w:rPr>
      </w:pPr>
      <w:r w:rsidRPr="005B37A2">
        <w:rPr>
          <w:rFonts w:ascii="Arial" w:hAnsi="Arial" w:cs="Arial"/>
          <w:sz w:val="22"/>
          <w:szCs w:val="22"/>
        </w:rPr>
        <w:t>On a wider scale, the McDonald’s UK case highlights how a failure to act on early signs of bullying and harassment can lead to a toxic workplace culture. Despite ongoing concerns raised by employees, senior leaders reportedly failed to intervene effectively, resulting in significant reputational damage and calls for structural reform. The case reinforces that poor handling of conflict can have wide-reaching consequences beyond individual relationships</w:t>
      </w:r>
      <w:r w:rsidR="00055D20">
        <w:rPr>
          <w:rFonts w:ascii="Arial" w:hAnsi="Arial" w:cs="Arial"/>
          <w:sz w:val="22"/>
          <w:szCs w:val="22"/>
        </w:rPr>
        <w:t xml:space="preserve"> </w:t>
      </w:r>
      <w:r w:rsidR="00055D20" w:rsidRPr="005B37A2">
        <w:rPr>
          <w:rFonts w:ascii="Arial" w:hAnsi="Arial" w:cs="Arial"/>
          <w:sz w:val="22"/>
          <w:szCs w:val="22"/>
        </w:rPr>
        <w:t>(</w:t>
      </w:r>
      <w:r w:rsidR="00055D20" w:rsidRPr="00633594">
        <w:rPr>
          <w:rFonts w:ascii="Arial" w:hAnsi="Arial" w:cs="Arial"/>
          <w:sz w:val="22"/>
          <w:szCs w:val="22"/>
        </w:rPr>
        <w:t xml:space="preserve">Lamb, </w:t>
      </w:r>
      <w:r w:rsidR="00055D20" w:rsidRPr="005B37A2">
        <w:rPr>
          <w:rFonts w:ascii="Arial" w:hAnsi="Arial" w:cs="Arial"/>
          <w:sz w:val="22"/>
          <w:szCs w:val="22"/>
        </w:rPr>
        <w:t>202</w:t>
      </w:r>
      <w:r w:rsidR="00055D20" w:rsidRPr="00633594">
        <w:rPr>
          <w:rFonts w:ascii="Arial" w:hAnsi="Arial" w:cs="Arial"/>
          <w:sz w:val="22"/>
          <w:szCs w:val="22"/>
        </w:rPr>
        <w:t>3</w:t>
      </w:r>
      <w:r w:rsidR="00055D20" w:rsidRPr="005B37A2">
        <w:rPr>
          <w:rFonts w:ascii="Arial" w:hAnsi="Arial" w:cs="Arial"/>
          <w:sz w:val="22"/>
          <w:szCs w:val="22"/>
        </w:rPr>
        <w:t>)</w:t>
      </w:r>
      <w:r w:rsidRPr="005B37A2">
        <w:rPr>
          <w:rFonts w:ascii="Arial" w:hAnsi="Arial" w:cs="Arial"/>
          <w:sz w:val="22"/>
          <w:szCs w:val="22"/>
        </w:rPr>
        <w:t>.</w:t>
      </w:r>
    </w:p>
    <w:p w14:paraId="470808D7" w14:textId="1DAF31C0" w:rsidR="003E1056" w:rsidRDefault="00F54F85" w:rsidP="00AC4D71">
      <w:pPr>
        <w:rPr>
          <w:rFonts w:ascii="Arial" w:hAnsi="Arial" w:cs="Arial"/>
          <w:sz w:val="22"/>
          <w:szCs w:val="22"/>
        </w:rPr>
      </w:pPr>
      <w:r>
        <w:rPr>
          <w:rFonts w:ascii="Arial" w:hAnsi="Arial" w:cs="Arial"/>
          <w:sz w:val="22"/>
          <w:szCs w:val="22"/>
        </w:rPr>
        <w:t>Barber</w:t>
      </w:r>
      <w:r w:rsidR="001802A1" w:rsidRPr="001802A1">
        <w:rPr>
          <w:rFonts w:ascii="Arial" w:hAnsi="Arial" w:cs="Arial"/>
          <w:sz w:val="22"/>
          <w:szCs w:val="22"/>
        </w:rPr>
        <w:t xml:space="preserve"> (20</w:t>
      </w:r>
      <w:r>
        <w:rPr>
          <w:rFonts w:ascii="Arial" w:hAnsi="Arial" w:cs="Arial"/>
          <w:sz w:val="22"/>
          <w:szCs w:val="22"/>
        </w:rPr>
        <w:t>16</w:t>
      </w:r>
      <w:r w:rsidR="001802A1" w:rsidRPr="001802A1">
        <w:rPr>
          <w:rFonts w:ascii="Arial" w:hAnsi="Arial" w:cs="Arial"/>
          <w:sz w:val="22"/>
          <w:szCs w:val="22"/>
        </w:rPr>
        <w:t xml:space="preserve">) </w:t>
      </w:r>
      <w:r w:rsidR="005D4CEF" w:rsidRPr="001802A1">
        <w:rPr>
          <w:rFonts w:ascii="Arial" w:hAnsi="Arial" w:cs="Arial"/>
          <w:sz w:val="22"/>
          <w:szCs w:val="22"/>
        </w:rPr>
        <w:t>stresses</w:t>
      </w:r>
      <w:r w:rsidR="001802A1" w:rsidRPr="001802A1">
        <w:rPr>
          <w:rFonts w:ascii="Arial" w:hAnsi="Arial" w:cs="Arial"/>
          <w:sz w:val="22"/>
          <w:szCs w:val="22"/>
        </w:rPr>
        <w:t xml:space="preserve"> the growing expectation for HR to act as strategic enablers of early conflict resolution through capability building and a focus on informal resolution where appropriate. ACAS (2021) also emphasises that traditional, reactive grievance procedures are less effective than proactive, relationship-centred approaches.</w:t>
      </w:r>
    </w:p>
    <w:p w14:paraId="093AB313" w14:textId="2D2EB09C" w:rsidR="001453E4" w:rsidRDefault="003E1056" w:rsidP="00AC4D71">
      <w:pPr>
        <w:rPr>
          <w:rFonts w:ascii="Arial" w:hAnsi="Arial" w:cs="Arial"/>
          <w:sz w:val="22"/>
          <w:szCs w:val="22"/>
        </w:rPr>
      </w:pPr>
      <w:r>
        <w:rPr>
          <w:rFonts w:ascii="Arial" w:hAnsi="Arial" w:cs="Arial"/>
          <w:sz w:val="22"/>
          <w:szCs w:val="22"/>
        </w:rPr>
        <w:t xml:space="preserve">So, </w:t>
      </w:r>
      <w:r w:rsidR="001802A1" w:rsidRPr="001802A1">
        <w:rPr>
          <w:rFonts w:ascii="Arial" w:hAnsi="Arial" w:cs="Arial"/>
          <w:sz w:val="22"/>
          <w:szCs w:val="22"/>
        </w:rPr>
        <w:t>while conflict and misbehaviour may overlap, they require different responses. Conflict can be constructive if supported with dialogue and resolution frameworks. Misbehaviour, by contrast, necessitates clear boundaries, consistent action, and alignment with organisational policies to maintain a respectful and safe working environment.</w:t>
      </w:r>
    </w:p>
    <w:p w14:paraId="1C7E4C56" w14:textId="124E3791" w:rsidR="00F464D4" w:rsidRPr="00F464D4" w:rsidRDefault="00872E6B" w:rsidP="00F464D4">
      <w:pPr>
        <w:rPr>
          <w:rFonts w:ascii="Arial" w:hAnsi="Arial" w:cs="Arial"/>
          <w:sz w:val="22"/>
          <w:szCs w:val="22"/>
        </w:rPr>
      </w:pPr>
      <w:r>
        <w:rPr>
          <w:rFonts w:ascii="Arial" w:hAnsi="Arial" w:cs="Arial"/>
          <w:b/>
          <w:bCs/>
          <w:sz w:val="22"/>
          <w:szCs w:val="22"/>
        </w:rPr>
        <w:t xml:space="preserve">AC 2.2 </w:t>
      </w:r>
      <w:r w:rsidR="00F464D4" w:rsidRPr="00F464D4">
        <w:rPr>
          <w:rFonts w:ascii="Arial" w:hAnsi="Arial" w:cs="Arial"/>
          <w:sz w:val="22"/>
          <w:szCs w:val="22"/>
        </w:rPr>
        <w:t xml:space="preserve">Emerging trends in workplace conflict reflect broader changes in employee expectations, job design, and industrial relations. According to the </w:t>
      </w:r>
      <w:r w:rsidR="00F464D4" w:rsidRPr="000D6CB8">
        <w:rPr>
          <w:rFonts w:ascii="Arial" w:hAnsi="Arial" w:cs="Arial"/>
          <w:sz w:val="22"/>
          <w:szCs w:val="22"/>
        </w:rPr>
        <w:t>Resolution Foundation</w:t>
      </w:r>
      <w:r w:rsidR="00F464D4" w:rsidRPr="00F464D4">
        <w:rPr>
          <w:rFonts w:ascii="Arial" w:hAnsi="Arial" w:cs="Arial"/>
          <w:sz w:val="22"/>
          <w:szCs w:val="22"/>
        </w:rPr>
        <w:t xml:space="preserve"> (202</w:t>
      </w:r>
      <w:r w:rsidR="000D6CB8">
        <w:rPr>
          <w:rFonts w:ascii="Arial" w:hAnsi="Arial" w:cs="Arial"/>
          <w:sz w:val="22"/>
          <w:szCs w:val="22"/>
        </w:rPr>
        <w:t>3</w:t>
      </w:r>
      <w:r w:rsidR="00F464D4" w:rsidRPr="00F464D4">
        <w:rPr>
          <w:rFonts w:ascii="Arial" w:hAnsi="Arial" w:cs="Arial"/>
          <w:sz w:val="22"/>
          <w:szCs w:val="22"/>
        </w:rPr>
        <w:t>), the rise in insecure work, wage stagnation, and cost-of-living pressures has led to increased tension between employees and employers, particularly in sectors such as education, healthcare, and local government. As a result, many organisations are seeing a shift from interpersonal disputes to more systemic, structural conflict.</w:t>
      </w:r>
    </w:p>
    <w:p w14:paraId="67154D07" w14:textId="15EF9042" w:rsidR="00495E29" w:rsidRDefault="00495E29" w:rsidP="00F464D4">
      <w:pPr>
        <w:rPr>
          <w:rFonts w:ascii="Arial" w:hAnsi="Arial" w:cs="Arial"/>
          <w:sz w:val="22"/>
          <w:szCs w:val="22"/>
        </w:rPr>
      </w:pPr>
      <w:r w:rsidRPr="00495E29">
        <w:rPr>
          <w:rFonts w:ascii="Arial" w:hAnsi="Arial" w:cs="Arial"/>
          <w:sz w:val="22"/>
          <w:szCs w:val="22"/>
        </w:rPr>
        <w:t xml:space="preserve">The CIPD </w:t>
      </w:r>
      <w:r w:rsidR="004A1857">
        <w:rPr>
          <w:rFonts w:ascii="Arial" w:hAnsi="Arial" w:cs="Arial"/>
          <w:sz w:val="22"/>
          <w:szCs w:val="22"/>
        </w:rPr>
        <w:t>(2020</w:t>
      </w:r>
      <w:r w:rsidR="003571FB">
        <w:rPr>
          <w:rFonts w:ascii="Arial" w:hAnsi="Arial" w:cs="Arial"/>
          <w:sz w:val="22"/>
          <w:szCs w:val="22"/>
        </w:rPr>
        <w:t>b</w:t>
      </w:r>
      <w:r w:rsidR="004A1857">
        <w:rPr>
          <w:rFonts w:ascii="Arial" w:hAnsi="Arial" w:cs="Arial"/>
          <w:sz w:val="22"/>
          <w:szCs w:val="22"/>
        </w:rPr>
        <w:t xml:space="preserve">) </w:t>
      </w:r>
      <w:r w:rsidRPr="00495E29">
        <w:rPr>
          <w:rFonts w:ascii="Arial" w:hAnsi="Arial" w:cs="Arial"/>
          <w:sz w:val="22"/>
          <w:szCs w:val="22"/>
        </w:rPr>
        <w:t xml:space="preserve">podcast </w:t>
      </w:r>
      <w:r w:rsidR="00C7683D">
        <w:rPr>
          <w:rFonts w:ascii="Arial" w:hAnsi="Arial" w:cs="Arial"/>
          <w:sz w:val="22"/>
          <w:szCs w:val="22"/>
        </w:rPr>
        <w:t>‘</w:t>
      </w:r>
      <w:r w:rsidRPr="004A1857">
        <w:rPr>
          <w:rFonts w:ascii="Arial" w:hAnsi="Arial" w:cs="Arial"/>
          <w:sz w:val="22"/>
          <w:szCs w:val="22"/>
        </w:rPr>
        <w:t>Shifting the perception of conflict at work</w:t>
      </w:r>
      <w:r w:rsidR="00C7683D">
        <w:rPr>
          <w:rFonts w:ascii="Arial" w:hAnsi="Arial" w:cs="Arial"/>
          <w:sz w:val="22"/>
          <w:szCs w:val="22"/>
        </w:rPr>
        <w:t>’</w:t>
      </w:r>
      <w:r w:rsidRPr="00495E29">
        <w:rPr>
          <w:rFonts w:ascii="Arial" w:hAnsi="Arial" w:cs="Arial"/>
          <w:sz w:val="22"/>
          <w:szCs w:val="22"/>
        </w:rPr>
        <w:t xml:space="preserve"> highlights how conflict is no longer just about personality clashes. Amy Gallo, Clive Lewis and Rachel </w:t>
      </w:r>
      <w:proofErr w:type="spellStart"/>
      <w:r w:rsidRPr="00495E29">
        <w:rPr>
          <w:rFonts w:ascii="Arial" w:hAnsi="Arial" w:cs="Arial"/>
          <w:sz w:val="22"/>
          <w:szCs w:val="22"/>
        </w:rPr>
        <w:t>Suff</w:t>
      </w:r>
      <w:proofErr w:type="spellEnd"/>
      <w:r w:rsidRPr="00495E29">
        <w:rPr>
          <w:rFonts w:ascii="Arial" w:hAnsi="Arial" w:cs="Arial"/>
          <w:sz w:val="22"/>
          <w:szCs w:val="22"/>
        </w:rPr>
        <w:t xml:space="preserve"> suggest that conflict often stems from poor communication, unclear boundaries in hybrid roles, or a perceived lack of voice and fairness. They note that when employees feel disconnected or unheard, small issues can escalate quickly. This aligns with my own experience in a local authority setting, where tensions often emerge following organisational change, restructuring, or perceived inequality in workload or working arrangements.</w:t>
      </w:r>
    </w:p>
    <w:p w14:paraId="12875CCD" w14:textId="1F6ECD6B" w:rsidR="00F464D4" w:rsidRPr="00F464D4" w:rsidRDefault="00F464D4" w:rsidP="00F464D4">
      <w:pPr>
        <w:rPr>
          <w:rFonts w:ascii="Arial" w:hAnsi="Arial" w:cs="Arial"/>
          <w:sz w:val="22"/>
          <w:szCs w:val="22"/>
        </w:rPr>
      </w:pPr>
      <w:r w:rsidRPr="00F464D4">
        <w:rPr>
          <w:rFonts w:ascii="Arial" w:hAnsi="Arial" w:cs="Arial"/>
          <w:sz w:val="22"/>
          <w:szCs w:val="22"/>
        </w:rPr>
        <w:t xml:space="preserve">Industrial sanctions have also become more prominent. </w:t>
      </w:r>
      <w:r w:rsidR="007B651E" w:rsidRPr="007B651E">
        <w:rPr>
          <w:rFonts w:ascii="Arial" w:hAnsi="Arial" w:cs="Arial"/>
          <w:sz w:val="22"/>
          <w:szCs w:val="22"/>
        </w:rPr>
        <w:t xml:space="preserve">In recent years, strike action has become more common, particularly within the public sector, as employees respond to disputes </w:t>
      </w:r>
      <w:proofErr w:type="spellStart"/>
      <w:r w:rsidR="0066247C" w:rsidRPr="007B651E">
        <w:rPr>
          <w:rFonts w:ascii="Arial" w:hAnsi="Arial" w:cs="Arial"/>
          <w:sz w:val="22"/>
          <w:szCs w:val="22"/>
        </w:rPr>
        <w:t>overpay</w:t>
      </w:r>
      <w:proofErr w:type="spellEnd"/>
      <w:r w:rsidR="007B651E" w:rsidRPr="007B651E">
        <w:rPr>
          <w:rFonts w:ascii="Arial" w:hAnsi="Arial" w:cs="Arial"/>
          <w:sz w:val="22"/>
          <w:szCs w:val="22"/>
        </w:rPr>
        <w:t xml:space="preserve"> and working conditions. ACAS (202</w:t>
      </w:r>
      <w:r w:rsidR="00B0704E">
        <w:rPr>
          <w:rFonts w:ascii="Arial" w:hAnsi="Arial" w:cs="Arial"/>
          <w:sz w:val="22"/>
          <w:szCs w:val="22"/>
        </w:rPr>
        <w:t>5</w:t>
      </w:r>
      <w:r w:rsidR="00814A83">
        <w:rPr>
          <w:rFonts w:ascii="Arial" w:hAnsi="Arial" w:cs="Arial"/>
          <w:sz w:val="22"/>
          <w:szCs w:val="22"/>
        </w:rPr>
        <w:t>b</w:t>
      </w:r>
      <w:r w:rsidR="007B651E" w:rsidRPr="007B651E">
        <w:rPr>
          <w:rFonts w:ascii="Arial" w:hAnsi="Arial" w:cs="Arial"/>
          <w:sz w:val="22"/>
          <w:szCs w:val="22"/>
        </w:rPr>
        <w:t xml:space="preserve">) highlights </w:t>
      </w:r>
      <w:r w:rsidR="002954A0" w:rsidRPr="007B651E">
        <w:rPr>
          <w:rFonts w:ascii="Arial" w:hAnsi="Arial" w:cs="Arial"/>
          <w:sz w:val="22"/>
          <w:szCs w:val="22"/>
        </w:rPr>
        <w:t>those formal mechanisms of industrial relations</w:t>
      </w:r>
      <w:r w:rsidR="007B651E">
        <w:rPr>
          <w:rFonts w:ascii="Arial" w:hAnsi="Arial" w:cs="Arial"/>
          <w:sz w:val="22"/>
          <w:szCs w:val="22"/>
        </w:rPr>
        <w:t xml:space="preserve">, </w:t>
      </w:r>
      <w:r w:rsidR="007B651E" w:rsidRPr="007B651E">
        <w:rPr>
          <w:rFonts w:ascii="Arial" w:hAnsi="Arial" w:cs="Arial"/>
          <w:sz w:val="22"/>
          <w:szCs w:val="22"/>
        </w:rPr>
        <w:t>such as ballots, union mobilisation, and strike action</w:t>
      </w:r>
      <w:r w:rsidR="007B651E">
        <w:rPr>
          <w:rFonts w:ascii="Arial" w:hAnsi="Arial" w:cs="Arial"/>
          <w:sz w:val="22"/>
          <w:szCs w:val="22"/>
        </w:rPr>
        <w:t xml:space="preserve">, </w:t>
      </w:r>
      <w:r w:rsidR="007B651E" w:rsidRPr="007B651E">
        <w:rPr>
          <w:rFonts w:ascii="Arial" w:hAnsi="Arial" w:cs="Arial"/>
          <w:sz w:val="22"/>
          <w:szCs w:val="22"/>
        </w:rPr>
        <w:t>are being used more frequently as confidence in informal resolution processes declines. This shift has altered the tone of workplace conflict, particularly in unionised settings, where issues are more likely to escalate into collective disputes rather than remain individual concerns.</w:t>
      </w:r>
    </w:p>
    <w:p w14:paraId="6DFFE25C" w14:textId="51A9BDF4" w:rsidR="00F464D4" w:rsidRPr="00F464D4" w:rsidRDefault="008D02EC" w:rsidP="00F464D4">
      <w:pPr>
        <w:rPr>
          <w:rFonts w:ascii="Arial" w:hAnsi="Arial" w:cs="Arial"/>
          <w:sz w:val="22"/>
          <w:szCs w:val="22"/>
        </w:rPr>
      </w:pPr>
      <w:r>
        <w:rPr>
          <w:rFonts w:ascii="Arial" w:hAnsi="Arial" w:cs="Arial"/>
          <w:sz w:val="22"/>
          <w:szCs w:val="22"/>
        </w:rPr>
        <w:t>Posner</w:t>
      </w:r>
      <w:r w:rsidR="00F464D4" w:rsidRPr="00F464D4">
        <w:rPr>
          <w:rFonts w:ascii="Arial" w:hAnsi="Arial" w:cs="Arial"/>
          <w:sz w:val="22"/>
          <w:szCs w:val="22"/>
        </w:rPr>
        <w:t xml:space="preserve"> (20</w:t>
      </w:r>
      <w:r>
        <w:rPr>
          <w:rFonts w:ascii="Arial" w:hAnsi="Arial" w:cs="Arial"/>
          <w:sz w:val="22"/>
          <w:szCs w:val="22"/>
        </w:rPr>
        <w:t>19</w:t>
      </w:r>
      <w:r w:rsidR="00F464D4" w:rsidRPr="00F464D4">
        <w:rPr>
          <w:rFonts w:ascii="Arial" w:hAnsi="Arial" w:cs="Arial"/>
          <w:sz w:val="22"/>
          <w:szCs w:val="22"/>
        </w:rPr>
        <w:t xml:space="preserve">) notes that there is also an increase in early-stage, informal conflict resolution techniques, such as facilitated conversations, mediation, and restorative practice. These approaches are gaining traction as organisations move away from traditional grievance procedures, which can be time-consuming, adversarial, and damaging to workplace relationships. In my current organisation, we’ve seen success when managers are supported </w:t>
      </w:r>
      <w:r w:rsidR="00F464D4" w:rsidRPr="00F464D4">
        <w:rPr>
          <w:rFonts w:ascii="Arial" w:hAnsi="Arial" w:cs="Arial"/>
          <w:sz w:val="22"/>
          <w:szCs w:val="22"/>
        </w:rPr>
        <w:lastRenderedPageBreak/>
        <w:t xml:space="preserve">to intervene early through values-based conversations and regular </w:t>
      </w:r>
      <w:r w:rsidR="009C0D89">
        <w:rPr>
          <w:rFonts w:ascii="Arial" w:hAnsi="Arial" w:cs="Arial"/>
          <w:sz w:val="22"/>
          <w:szCs w:val="22"/>
        </w:rPr>
        <w:t>one-to-one’s</w:t>
      </w:r>
      <w:r w:rsidR="00F464D4" w:rsidRPr="00F464D4">
        <w:rPr>
          <w:rFonts w:ascii="Arial" w:hAnsi="Arial" w:cs="Arial"/>
          <w:sz w:val="22"/>
          <w:szCs w:val="22"/>
        </w:rPr>
        <w:t xml:space="preserve"> that surface concerns before they escalate.</w:t>
      </w:r>
    </w:p>
    <w:p w14:paraId="0D13A7DB" w14:textId="5E17EA6F" w:rsidR="00B2551D" w:rsidRDefault="00B2551D" w:rsidP="000D4BB2">
      <w:pPr>
        <w:rPr>
          <w:rFonts w:ascii="Arial" w:hAnsi="Arial" w:cs="Arial"/>
          <w:sz w:val="22"/>
          <w:szCs w:val="22"/>
        </w:rPr>
      </w:pPr>
      <w:r w:rsidRPr="00B2551D">
        <w:rPr>
          <w:rFonts w:ascii="Arial" w:hAnsi="Arial" w:cs="Arial"/>
          <w:sz w:val="22"/>
          <w:szCs w:val="22"/>
        </w:rPr>
        <w:t>Overall, conflict in the modern workplace is becoming increasingly complex. Changes in how and where people work, growing employee activism, and pressure on resources have introduced new challenges for HR</w:t>
      </w:r>
      <w:r w:rsidR="008335D2" w:rsidRPr="008335D2">
        <w:t xml:space="preserve"> </w:t>
      </w:r>
      <w:r w:rsidR="008335D2" w:rsidRPr="008335D2">
        <w:rPr>
          <w:rFonts w:ascii="Arial" w:hAnsi="Arial" w:cs="Arial"/>
          <w:sz w:val="22"/>
          <w:szCs w:val="22"/>
        </w:rPr>
        <w:t>who now need to balance early</w:t>
      </w:r>
      <w:r w:rsidR="00BA512A">
        <w:rPr>
          <w:rFonts w:ascii="Arial" w:hAnsi="Arial" w:cs="Arial"/>
          <w:sz w:val="22"/>
          <w:szCs w:val="22"/>
        </w:rPr>
        <w:t xml:space="preserve"> intervention </w:t>
      </w:r>
      <w:r w:rsidR="008335D2" w:rsidRPr="008335D2">
        <w:rPr>
          <w:rFonts w:ascii="Arial" w:hAnsi="Arial" w:cs="Arial"/>
          <w:sz w:val="22"/>
          <w:szCs w:val="22"/>
        </w:rPr>
        <w:t>with clear next steps if things can</w:t>
      </w:r>
      <w:r w:rsidR="008335D2">
        <w:rPr>
          <w:rFonts w:ascii="Arial" w:hAnsi="Arial" w:cs="Arial"/>
          <w:sz w:val="22"/>
          <w:szCs w:val="22"/>
        </w:rPr>
        <w:t>not</w:t>
      </w:r>
      <w:r w:rsidR="008335D2" w:rsidRPr="008335D2">
        <w:rPr>
          <w:rFonts w:ascii="Arial" w:hAnsi="Arial" w:cs="Arial"/>
          <w:sz w:val="22"/>
          <w:szCs w:val="22"/>
        </w:rPr>
        <w:t xml:space="preserve"> be resolved quickly</w:t>
      </w:r>
      <w:r w:rsidR="008335D2">
        <w:rPr>
          <w:rFonts w:ascii="Arial" w:hAnsi="Arial" w:cs="Arial"/>
          <w:sz w:val="22"/>
          <w:szCs w:val="22"/>
        </w:rPr>
        <w:t>.</w:t>
      </w:r>
    </w:p>
    <w:p w14:paraId="38C06108" w14:textId="25D59075" w:rsidR="000D4BB2" w:rsidRPr="000D4BB2" w:rsidRDefault="00F464D4" w:rsidP="000D4BB2">
      <w:pPr>
        <w:rPr>
          <w:rFonts w:ascii="Arial" w:hAnsi="Arial" w:cs="Arial"/>
          <w:sz w:val="22"/>
          <w:szCs w:val="22"/>
        </w:rPr>
      </w:pPr>
      <w:r w:rsidRPr="005D1921">
        <w:rPr>
          <w:rFonts w:ascii="Arial" w:hAnsi="Arial" w:cs="Arial"/>
          <w:b/>
          <w:bCs/>
          <w:sz w:val="22"/>
          <w:szCs w:val="22"/>
        </w:rPr>
        <w:t xml:space="preserve">AC 2.3 </w:t>
      </w:r>
      <w:r w:rsidR="000D4BB2" w:rsidRPr="000D4BB2">
        <w:rPr>
          <w:rFonts w:ascii="Arial" w:hAnsi="Arial" w:cs="Arial"/>
          <w:sz w:val="22"/>
          <w:szCs w:val="22"/>
        </w:rPr>
        <w:t>Conciliation, mediation, and arbitration are third-party approaches to resolving conflict, each with distinct features in terms of formality, control, and outcome.</w:t>
      </w:r>
    </w:p>
    <w:p w14:paraId="47573E22" w14:textId="5377B62A" w:rsidR="000D4BB2" w:rsidRPr="000D4BB2" w:rsidRDefault="000D4BB2" w:rsidP="000D4BB2">
      <w:pPr>
        <w:rPr>
          <w:rFonts w:ascii="Arial" w:hAnsi="Arial" w:cs="Arial"/>
          <w:sz w:val="22"/>
          <w:szCs w:val="22"/>
        </w:rPr>
      </w:pPr>
      <w:r w:rsidRPr="000D4BB2">
        <w:rPr>
          <w:rFonts w:ascii="Arial" w:hAnsi="Arial" w:cs="Arial"/>
          <w:sz w:val="22"/>
          <w:szCs w:val="22"/>
        </w:rPr>
        <w:t>Conciliation is a voluntary and confidential process where an impartial third party facilitates communication between disputing parties to help them reach a mutually acceptable agreement. The conciliator does not suggest solutions or impose decisions but encourages dialogue and compromise. ACAS (2024) plays a key role in individual disputes through its Early Conciliation process, where employees must attempt resolution via ACAS before proceeding to tribunal. Armstrong and Taylor (2023) note that conciliation is commonly used when claims of unfair dismissal, discrimination, or breach of contract arise. Daniels (202</w:t>
      </w:r>
      <w:r w:rsidR="00634C0F">
        <w:rPr>
          <w:rFonts w:ascii="Arial" w:hAnsi="Arial" w:cs="Arial"/>
          <w:sz w:val="22"/>
          <w:szCs w:val="22"/>
        </w:rPr>
        <w:t>2</w:t>
      </w:r>
      <w:r w:rsidRPr="000D4BB2">
        <w:rPr>
          <w:rFonts w:ascii="Arial" w:hAnsi="Arial" w:cs="Arial"/>
          <w:sz w:val="22"/>
          <w:szCs w:val="22"/>
        </w:rPr>
        <w:t>) emphasises its practical benefits</w:t>
      </w:r>
      <w:r w:rsidR="00BB48EB">
        <w:rPr>
          <w:rFonts w:ascii="Arial" w:hAnsi="Arial" w:cs="Arial"/>
          <w:sz w:val="22"/>
          <w:szCs w:val="22"/>
        </w:rPr>
        <w:t xml:space="preserve"> (</w:t>
      </w:r>
      <w:r w:rsidRPr="000D4BB2">
        <w:rPr>
          <w:rFonts w:ascii="Arial" w:hAnsi="Arial" w:cs="Arial"/>
          <w:sz w:val="22"/>
          <w:szCs w:val="22"/>
        </w:rPr>
        <w:t>confidentiality, faster outcomes, and reduced costs</w:t>
      </w:r>
      <w:r w:rsidR="00BB48EB">
        <w:rPr>
          <w:rFonts w:ascii="Arial" w:hAnsi="Arial" w:cs="Arial"/>
          <w:sz w:val="22"/>
          <w:szCs w:val="22"/>
        </w:rPr>
        <w:t xml:space="preserve">) </w:t>
      </w:r>
      <w:r w:rsidRPr="000D4BB2">
        <w:rPr>
          <w:rFonts w:ascii="Arial" w:hAnsi="Arial" w:cs="Arial"/>
          <w:sz w:val="22"/>
          <w:szCs w:val="22"/>
        </w:rPr>
        <w:t>often helping parties settle without the stress of litigation.</w:t>
      </w:r>
    </w:p>
    <w:p w14:paraId="0B1C4082" w14:textId="7EC1D206" w:rsidR="00FC0198" w:rsidRDefault="00FC0198" w:rsidP="000D4BB2">
      <w:pPr>
        <w:rPr>
          <w:rFonts w:ascii="Arial" w:hAnsi="Arial" w:cs="Arial"/>
          <w:sz w:val="22"/>
          <w:szCs w:val="22"/>
        </w:rPr>
      </w:pPr>
      <w:r w:rsidRPr="00FC0198">
        <w:rPr>
          <w:rFonts w:ascii="Arial" w:hAnsi="Arial" w:cs="Arial"/>
          <w:sz w:val="22"/>
          <w:szCs w:val="22"/>
        </w:rPr>
        <w:t>Mediation is also informal and voluntary, but the mediator takes a more proactive role in facilitating resolution. While they cannot impose outcomes, they help parties explore underlying issues and suggest possible ways forward. Daniels (202</w:t>
      </w:r>
      <w:r w:rsidR="00634C0F">
        <w:rPr>
          <w:rFonts w:ascii="Arial" w:hAnsi="Arial" w:cs="Arial"/>
          <w:sz w:val="22"/>
          <w:szCs w:val="22"/>
        </w:rPr>
        <w:t>2</w:t>
      </w:r>
      <w:r w:rsidRPr="00FC0198">
        <w:rPr>
          <w:rFonts w:ascii="Arial" w:hAnsi="Arial" w:cs="Arial"/>
          <w:sz w:val="22"/>
          <w:szCs w:val="22"/>
        </w:rPr>
        <w:t>) points out that mediation is increasingly used to rebuild workplace relationships, especially in cases of interpersonal conflict such as communication breakdowns or team tension. Armstrong and Taylor (2023) highlight that mediation is forward-looking, designed to help parties restore a workable relationship rather than assign blame for past actions. For mediation to be effective, both individuals must be genuinely open to the process and willing to engage honestly. Without this mutual commitment, the chances of a meaningful resolution are limited, and issues may continue to escalate.</w:t>
      </w:r>
    </w:p>
    <w:p w14:paraId="46AE59C9" w14:textId="4B2DB53A" w:rsidR="000D4BB2" w:rsidRPr="000D4BB2" w:rsidRDefault="000D4BB2" w:rsidP="000D4BB2">
      <w:pPr>
        <w:rPr>
          <w:rFonts w:ascii="Arial" w:hAnsi="Arial" w:cs="Arial"/>
          <w:sz w:val="22"/>
          <w:szCs w:val="22"/>
        </w:rPr>
      </w:pPr>
      <w:r w:rsidRPr="000D4BB2">
        <w:rPr>
          <w:rFonts w:ascii="Arial" w:hAnsi="Arial" w:cs="Arial"/>
          <w:sz w:val="22"/>
          <w:szCs w:val="22"/>
        </w:rPr>
        <w:t>Arbitration is a formal procedure where an independent third party hears both sides of a dispute and makes a binding decision. This process is typically used when other routes have failed and both parties agree to arbitration, knowing they will be bound by the outcome. ACAS offers arbitration services, particularly for collective disputes involving trade unions, though it can also be used in individual cases. Armstrong and Taylor (2023) note that arbitration reduces the time, cost, and formality of tribunals but removes the parties’ control over the final decision. Daniels (202</w:t>
      </w:r>
      <w:r w:rsidR="00634C0F">
        <w:rPr>
          <w:rFonts w:ascii="Arial" w:hAnsi="Arial" w:cs="Arial"/>
          <w:sz w:val="22"/>
          <w:szCs w:val="22"/>
        </w:rPr>
        <w:t>2</w:t>
      </w:r>
      <w:r w:rsidRPr="000D4BB2">
        <w:rPr>
          <w:rFonts w:ascii="Arial" w:hAnsi="Arial" w:cs="Arial"/>
          <w:sz w:val="22"/>
          <w:szCs w:val="22"/>
        </w:rPr>
        <w:t>) highlights variations like pendulum arbitration, where the arbitrator chooses one party’s final position without modification, encouraging more reasonable proposals from both sides. However, its use is rare due to its rigidity.</w:t>
      </w:r>
    </w:p>
    <w:p w14:paraId="29B7550E" w14:textId="39ACC78C" w:rsidR="000D4BB2" w:rsidRPr="000D4BB2" w:rsidRDefault="0007229A" w:rsidP="000D4BB2">
      <w:pPr>
        <w:rPr>
          <w:rFonts w:ascii="Arial" w:hAnsi="Arial" w:cs="Arial"/>
          <w:sz w:val="22"/>
          <w:szCs w:val="22"/>
        </w:rPr>
      </w:pPr>
      <w:r>
        <w:rPr>
          <w:rFonts w:ascii="Arial" w:hAnsi="Arial" w:cs="Arial"/>
          <w:sz w:val="22"/>
          <w:szCs w:val="22"/>
        </w:rPr>
        <w:t>C</w:t>
      </w:r>
      <w:r w:rsidR="000D4BB2" w:rsidRPr="000D4BB2">
        <w:rPr>
          <w:rFonts w:ascii="Arial" w:hAnsi="Arial" w:cs="Arial"/>
          <w:sz w:val="22"/>
          <w:szCs w:val="22"/>
        </w:rPr>
        <w:t>onciliation and mediation aim for collaborative resolution with non-binding outcomes, while arbitration results in a binding judgment. Choosing the right method depends on the nature of the dispute, willingness to compromise, and the desired level of formality and control.</w:t>
      </w:r>
    </w:p>
    <w:p w14:paraId="62D8632D" w14:textId="7747A131" w:rsidR="00237AE0" w:rsidRPr="00237AE0" w:rsidRDefault="001D63A7" w:rsidP="00237AE0">
      <w:pPr>
        <w:rPr>
          <w:rFonts w:ascii="Arial" w:hAnsi="Arial" w:cs="Arial"/>
          <w:sz w:val="22"/>
          <w:szCs w:val="22"/>
        </w:rPr>
      </w:pPr>
      <w:r w:rsidRPr="001D63A7">
        <w:rPr>
          <w:rFonts w:ascii="Arial" w:hAnsi="Arial" w:cs="Arial"/>
          <w:b/>
          <w:bCs/>
          <w:sz w:val="22"/>
          <w:szCs w:val="22"/>
        </w:rPr>
        <w:t>AC 3.1</w:t>
      </w:r>
      <w:r>
        <w:rPr>
          <w:rFonts w:ascii="Arial" w:hAnsi="Arial" w:cs="Arial"/>
          <w:b/>
          <w:bCs/>
          <w:sz w:val="22"/>
          <w:szCs w:val="22"/>
        </w:rPr>
        <w:t xml:space="preserve"> </w:t>
      </w:r>
      <w:r w:rsidR="00237AE0" w:rsidRPr="00237AE0">
        <w:rPr>
          <w:rFonts w:ascii="Arial" w:hAnsi="Arial" w:cs="Arial"/>
          <w:sz w:val="22"/>
          <w:szCs w:val="22"/>
        </w:rPr>
        <w:t xml:space="preserve">As previously mentioned, conciliation is commonly used when claims of unfair dismissal arise. Unfair dismissal is governed by the Employment Rights Act (ERA) 1996, which sets out the main requirements for a dismissal to be fair. Section 94 of the ERA gives employees with at least two years’ continuous service the right not to be unfairly dismissed, </w:t>
      </w:r>
      <w:r w:rsidR="00237AE0" w:rsidRPr="00237AE0">
        <w:rPr>
          <w:rFonts w:ascii="Arial" w:hAnsi="Arial" w:cs="Arial"/>
          <w:sz w:val="22"/>
          <w:szCs w:val="22"/>
        </w:rPr>
        <w:lastRenderedPageBreak/>
        <w:t>unless the dismissal falls under an automatically unfair reason such as pregnancy or whistleblowing, in which case the qualifying period does not apply (Daniels, 202</w:t>
      </w:r>
      <w:r w:rsidR="00634C0F">
        <w:rPr>
          <w:rFonts w:ascii="Arial" w:hAnsi="Arial" w:cs="Arial"/>
          <w:sz w:val="22"/>
          <w:szCs w:val="22"/>
        </w:rPr>
        <w:t>2</w:t>
      </w:r>
      <w:r w:rsidR="00237AE0" w:rsidRPr="00237AE0">
        <w:rPr>
          <w:rFonts w:ascii="Arial" w:hAnsi="Arial" w:cs="Arial"/>
          <w:sz w:val="22"/>
          <w:szCs w:val="22"/>
        </w:rPr>
        <w:t>).</w:t>
      </w:r>
    </w:p>
    <w:p w14:paraId="2261A2E5" w14:textId="1FBB2E7F" w:rsidR="00237AE0" w:rsidRPr="00237AE0" w:rsidRDefault="00237AE0" w:rsidP="00237AE0">
      <w:pPr>
        <w:rPr>
          <w:rFonts w:ascii="Arial" w:hAnsi="Arial" w:cs="Arial"/>
          <w:sz w:val="22"/>
          <w:szCs w:val="22"/>
        </w:rPr>
      </w:pPr>
      <w:r w:rsidRPr="00237AE0">
        <w:rPr>
          <w:rFonts w:ascii="Arial" w:hAnsi="Arial" w:cs="Arial"/>
          <w:sz w:val="22"/>
          <w:szCs w:val="22"/>
        </w:rPr>
        <w:t>According to Section 98 of the ERA, employers must demonstrate both a potentially fair reason for dismissal and that they acted reasonably in treating that reason as sufficient to dismiss. Two such reasons are capability and conduct (Daniels, 202</w:t>
      </w:r>
      <w:r w:rsidR="000411E0">
        <w:rPr>
          <w:rFonts w:ascii="Arial" w:hAnsi="Arial" w:cs="Arial"/>
          <w:sz w:val="22"/>
          <w:szCs w:val="22"/>
        </w:rPr>
        <w:t>2</w:t>
      </w:r>
      <w:r w:rsidRPr="00237AE0">
        <w:rPr>
          <w:rFonts w:ascii="Arial" w:hAnsi="Arial" w:cs="Arial"/>
          <w:sz w:val="22"/>
          <w:szCs w:val="22"/>
        </w:rPr>
        <w:t>).</w:t>
      </w:r>
    </w:p>
    <w:p w14:paraId="4F2EE906" w14:textId="6400A792" w:rsidR="008E4A94" w:rsidRPr="008E4A94" w:rsidRDefault="008E4A94" w:rsidP="008E4A94">
      <w:pPr>
        <w:rPr>
          <w:rFonts w:ascii="Arial" w:hAnsi="Arial" w:cs="Arial"/>
          <w:sz w:val="22"/>
          <w:szCs w:val="22"/>
        </w:rPr>
      </w:pPr>
      <w:r w:rsidRPr="008E4A94">
        <w:rPr>
          <w:rFonts w:ascii="Arial" w:hAnsi="Arial" w:cs="Arial"/>
          <w:sz w:val="22"/>
          <w:szCs w:val="22"/>
        </w:rPr>
        <w:t>Dismissals due to capability relate to an employee’s skill, aptitude, health, or qualifications. The employer must show that the employee was made aware of the job requirements, offered necessary training or support, and had opportunities to improve (Daniels, 202</w:t>
      </w:r>
      <w:r w:rsidR="000411E0">
        <w:rPr>
          <w:rFonts w:ascii="Arial" w:hAnsi="Arial" w:cs="Arial"/>
          <w:sz w:val="22"/>
          <w:szCs w:val="22"/>
        </w:rPr>
        <w:t>2</w:t>
      </w:r>
      <w:r w:rsidRPr="008E4A94">
        <w:rPr>
          <w:rFonts w:ascii="Arial" w:hAnsi="Arial" w:cs="Arial"/>
          <w:sz w:val="22"/>
          <w:szCs w:val="22"/>
        </w:rPr>
        <w:t>). In cases of ill health, they should also assess medical evidence, consider reasonable adjustments, and weigh the impact of absence on the business. In BS v Dundee City Council (2013), the court asked whether a reasonable employer could have waited longer before dismissing. Similarly, in D B Schenker Rail v Doolan (2011), dismissal was upheld where medical investigations were thorough and redeployment options had been explored (Daniels, 202</w:t>
      </w:r>
      <w:r w:rsidR="000411E0">
        <w:rPr>
          <w:rFonts w:ascii="Arial" w:hAnsi="Arial" w:cs="Arial"/>
          <w:sz w:val="22"/>
          <w:szCs w:val="22"/>
        </w:rPr>
        <w:t>2</w:t>
      </w:r>
      <w:r w:rsidRPr="008E4A94">
        <w:rPr>
          <w:rFonts w:ascii="Arial" w:hAnsi="Arial" w:cs="Arial"/>
          <w:sz w:val="22"/>
          <w:szCs w:val="22"/>
        </w:rPr>
        <w:t>).</w:t>
      </w:r>
    </w:p>
    <w:p w14:paraId="55AE57AE" w14:textId="08ECD620" w:rsidR="008E4A94" w:rsidRPr="008E4A94" w:rsidRDefault="008E4A94" w:rsidP="008E4A94">
      <w:pPr>
        <w:rPr>
          <w:rFonts w:ascii="Arial" w:hAnsi="Arial" w:cs="Arial"/>
          <w:sz w:val="22"/>
          <w:szCs w:val="22"/>
        </w:rPr>
      </w:pPr>
      <w:r w:rsidRPr="008E4A94">
        <w:rPr>
          <w:rFonts w:ascii="Arial" w:hAnsi="Arial" w:cs="Arial"/>
          <w:sz w:val="22"/>
          <w:szCs w:val="22"/>
        </w:rPr>
        <w:t xml:space="preserve">Conduct-related dismissals involve unacceptable behaviour or rule-breaking, such as lateness or inappropriate language, with more serious breaches like theft potentially classed as gross misconduct. British Home Stores v Burchell (1980) remains the key test for fairness </w:t>
      </w:r>
      <w:r w:rsidR="00437D1E">
        <w:rPr>
          <w:rFonts w:ascii="Arial" w:hAnsi="Arial" w:cs="Arial"/>
          <w:sz w:val="22"/>
          <w:szCs w:val="22"/>
        </w:rPr>
        <w:t>-</w:t>
      </w:r>
      <w:r w:rsidRPr="008E4A94">
        <w:rPr>
          <w:rFonts w:ascii="Arial" w:hAnsi="Arial" w:cs="Arial"/>
          <w:sz w:val="22"/>
          <w:szCs w:val="22"/>
        </w:rPr>
        <w:t xml:space="preserve"> requiring a genuine belief, reasonable grounds, and a fair investigation (Daniels, 202</w:t>
      </w:r>
      <w:r w:rsidR="000411E0">
        <w:rPr>
          <w:rFonts w:ascii="Arial" w:hAnsi="Arial" w:cs="Arial"/>
          <w:sz w:val="22"/>
          <w:szCs w:val="22"/>
        </w:rPr>
        <w:t>2</w:t>
      </w:r>
      <w:r w:rsidRPr="008E4A94">
        <w:rPr>
          <w:rFonts w:ascii="Arial" w:hAnsi="Arial" w:cs="Arial"/>
          <w:sz w:val="22"/>
          <w:szCs w:val="22"/>
        </w:rPr>
        <w:t>). This was reinforced in Salford NHS Trust v Roldan (2010), where the dismissal was found unfair due to a lack of proper investigation. In contrast, Crisp v Apple Retail (2011) upheld dismissal where an employee’s Facebook posts breached a clear policy and damaged the employer’s brand (Daniels, 202</w:t>
      </w:r>
      <w:r w:rsidR="000411E0">
        <w:rPr>
          <w:rFonts w:ascii="Arial" w:hAnsi="Arial" w:cs="Arial"/>
          <w:sz w:val="22"/>
          <w:szCs w:val="22"/>
        </w:rPr>
        <w:t>2</w:t>
      </w:r>
      <w:r w:rsidRPr="008E4A94">
        <w:rPr>
          <w:rFonts w:ascii="Arial" w:hAnsi="Arial" w:cs="Arial"/>
          <w:sz w:val="22"/>
          <w:szCs w:val="22"/>
        </w:rPr>
        <w:t>).</w:t>
      </w:r>
    </w:p>
    <w:p w14:paraId="61E8ECDD" w14:textId="2AD87C7F" w:rsidR="00237AE0" w:rsidRPr="00237AE0" w:rsidRDefault="00237AE0" w:rsidP="00237AE0">
      <w:pPr>
        <w:rPr>
          <w:rFonts w:ascii="Arial" w:hAnsi="Arial" w:cs="Arial"/>
          <w:sz w:val="22"/>
          <w:szCs w:val="22"/>
        </w:rPr>
      </w:pPr>
      <w:r w:rsidRPr="00237AE0">
        <w:rPr>
          <w:rFonts w:ascii="Arial" w:hAnsi="Arial" w:cs="Arial"/>
          <w:sz w:val="22"/>
          <w:szCs w:val="22"/>
        </w:rPr>
        <w:t xml:space="preserve">Ultimately, the tribunal must decide whether the employer’s decision to dismiss falls within the </w:t>
      </w:r>
      <w:r w:rsidR="00F1472A">
        <w:rPr>
          <w:rFonts w:ascii="Arial" w:hAnsi="Arial" w:cs="Arial"/>
          <w:sz w:val="22"/>
          <w:szCs w:val="22"/>
        </w:rPr>
        <w:t>‘</w:t>
      </w:r>
      <w:r w:rsidRPr="00237AE0">
        <w:rPr>
          <w:rFonts w:ascii="Arial" w:hAnsi="Arial" w:cs="Arial"/>
          <w:sz w:val="22"/>
          <w:szCs w:val="22"/>
        </w:rPr>
        <w:t>range of reasonable responses</w:t>
      </w:r>
      <w:r w:rsidR="00F1472A">
        <w:rPr>
          <w:rFonts w:ascii="Arial" w:hAnsi="Arial" w:cs="Arial"/>
          <w:sz w:val="22"/>
          <w:szCs w:val="22"/>
        </w:rPr>
        <w:t xml:space="preserve">’, </w:t>
      </w:r>
      <w:r w:rsidRPr="00237AE0">
        <w:rPr>
          <w:rFonts w:ascii="Arial" w:hAnsi="Arial" w:cs="Arial"/>
          <w:sz w:val="22"/>
          <w:szCs w:val="22"/>
        </w:rPr>
        <w:t>not whether they themselves would have made the same decision (Taylor &amp; Woodhams, 202</w:t>
      </w:r>
      <w:r w:rsidR="000411E0">
        <w:rPr>
          <w:rFonts w:ascii="Arial" w:hAnsi="Arial" w:cs="Arial"/>
          <w:sz w:val="22"/>
          <w:szCs w:val="22"/>
        </w:rPr>
        <w:t>2</w:t>
      </w:r>
      <w:r w:rsidRPr="00237AE0">
        <w:rPr>
          <w:rFonts w:ascii="Arial" w:hAnsi="Arial" w:cs="Arial"/>
          <w:sz w:val="22"/>
          <w:szCs w:val="22"/>
        </w:rPr>
        <w:t>).</w:t>
      </w:r>
    </w:p>
    <w:p w14:paraId="4FAC3EA0" w14:textId="6937398A" w:rsidR="0085777E" w:rsidRPr="0085777E" w:rsidRDefault="0085777E" w:rsidP="00237AE0">
      <w:pPr>
        <w:rPr>
          <w:rFonts w:ascii="Arial" w:hAnsi="Arial" w:cs="Arial"/>
          <w:sz w:val="22"/>
          <w:szCs w:val="22"/>
        </w:rPr>
      </w:pPr>
      <w:r>
        <w:rPr>
          <w:rFonts w:ascii="Arial" w:hAnsi="Arial" w:cs="Arial"/>
          <w:b/>
          <w:bCs/>
          <w:sz w:val="22"/>
          <w:szCs w:val="22"/>
        </w:rPr>
        <w:t xml:space="preserve">AC 3.2 </w:t>
      </w:r>
      <w:r w:rsidRPr="0085777E">
        <w:rPr>
          <w:rFonts w:ascii="Arial" w:hAnsi="Arial" w:cs="Arial"/>
          <w:sz w:val="22"/>
          <w:szCs w:val="22"/>
        </w:rPr>
        <w:t>Employee grievances typically arise when individuals feel that they have been treated unfairly or when policies, expectations, or working conditions are perceived as inconsistent or unclear. Three common causes of grievances are management style, workload and working conditions, and perceived unfair treatment in procedures such as promotion or discipline</w:t>
      </w:r>
      <w:r w:rsidR="00CF288A">
        <w:rPr>
          <w:rFonts w:ascii="Arial" w:hAnsi="Arial" w:cs="Arial"/>
          <w:sz w:val="22"/>
          <w:szCs w:val="22"/>
        </w:rPr>
        <w:t xml:space="preserve"> (CIPD, 2024</w:t>
      </w:r>
      <w:r w:rsidR="00210837">
        <w:rPr>
          <w:rFonts w:ascii="Arial" w:hAnsi="Arial" w:cs="Arial"/>
          <w:sz w:val="22"/>
          <w:szCs w:val="22"/>
        </w:rPr>
        <w:t>a</w:t>
      </w:r>
      <w:r w:rsidR="00CF288A">
        <w:rPr>
          <w:rFonts w:ascii="Arial" w:hAnsi="Arial" w:cs="Arial"/>
          <w:sz w:val="22"/>
          <w:szCs w:val="22"/>
        </w:rPr>
        <w:t>).</w:t>
      </w:r>
    </w:p>
    <w:p w14:paraId="1DEB670B" w14:textId="06A74944" w:rsidR="0085777E" w:rsidRPr="0085777E" w:rsidRDefault="0085777E" w:rsidP="0085777E">
      <w:pPr>
        <w:rPr>
          <w:rFonts w:ascii="Arial" w:hAnsi="Arial" w:cs="Arial"/>
          <w:sz w:val="22"/>
          <w:szCs w:val="22"/>
        </w:rPr>
      </w:pPr>
      <w:r w:rsidRPr="0085777E">
        <w:rPr>
          <w:rFonts w:ascii="Arial" w:hAnsi="Arial" w:cs="Arial"/>
          <w:sz w:val="22"/>
          <w:szCs w:val="22"/>
        </w:rPr>
        <w:t>Firstly, poor management practices are frequently cited as a cause of grievances. This includes a lack of communication, micromanagement, inconsistent application of policies, or absence of support. The CIPD (202</w:t>
      </w:r>
      <w:r w:rsidR="006C6B7D">
        <w:rPr>
          <w:rFonts w:ascii="Arial" w:hAnsi="Arial" w:cs="Arial"/>
          <w:sz w:val="22"/>
          <w:szCs w:val="22"/>
        </w:rPr>
        <w:t>4</w:t>
      </w:r>
      <w:r w:rsidR="00210837">
        <w:rPr>
          <w:rFonts w:ascii="Arial" w:hAnsi="Arial" w:cs="Arial"/>
          <w:sz w:val="22"/>
          <w:szCs w:val="22"/>
        </w:rPr>
        <w:t>a</w:t>
      </w:r>
      <w:r w:rsidRPr="0085777E">
        <w:rPr>
          <w:rFonts w:ascii="Arial" w:hAnsi="Arial" w:cs="Arial"/>
          <w:sz w:val="22"/>
          <w:szCs w:val="22"/>
        </w:rPr>
        <w:t xml:space="preserve">) </w:t>
      </w:r>
      <w:r w:rsidR="00BA419D">
        <w:rPr>
          <w:rFonts w:ascii="Arial" w:hAnsi="Arial" w:cs="Arial"/>
          <w:sz w:val="22"/>
          <w:szCs w:val="22"/>
        </w:rPr>
        <w:t xml:space="preserve">state </w:t>
      </w:r>
      <w:r w:rsidRPr="0085777E">
        <w:rPr>
          <w:rFonts w:ascii="Arial" w:hAnsi="Arial" w:cs="Arial"/>
          <w:sz w:val="22"/>
          <w:szCs w:val="22"/>
        </w:rPr>
        <w:t>that grievances often reflect not just a specific incident but a breakdown in the employment relationship, where employees feel their concerns are unheard or dismissed. For example, a manager failing to address repeated concerns about team dynamics or showing favouritism can create a climate of mistrust and resentment, prompting formal complaints.</w:t>
      </w:r>
    </w:p>
    <w:p w14:paraId="6ADCC3CC" w14:textId="30EE7947" w:rsidR="0085777E" w:rsidRPr="0085777E" w:rsidRDefault="0085777E" w:rsidP="0085777E">
      <w:pPr>
        <w:rPr>
          <w:rFonts w:ascii="Arial" w:hAnsi="Arial" w:cs="Arial"/>
          <w:sz w:val="22"/>
          <w:szCs w:val="22"/>
        </w:rPr>
      </w:pPr>
      <w:r w:rsidRPr="0085777E">
        <w:rPr>
          <w:rFonts w:ascii="Arial" w:hAnsi="Arial" w:cs="Arial"/>
          <w:sz w:val="22"/>
          <w:szCs w:val="22"/>
        </w:rPr>
        <w:t xml:space="preserve">Secondly, excessive workload or poor working conditions are also </w:t>
      </w:r>
      <w:r w:rsidR="00C81874" w:rsidRPr="0085777E">
        <w:rPr>
          <w:rFonts w:ascii="Arial" w:hAnsi="Arial" w:cs="Arial"/>
          <w:sz w:val="22"/>
          <w:szCs w:val="22"/>
        </w:rPr>
        <w:t>major</w:t>
      </w:r>
      <w:r w:rsidRPr="0085777E">
        <w:rPr>
          <w:rFonts w:ascii="Arial" w:hAnsi="Arial" w:cs="Arial"/>
          <w:sz w:val="22"/>
          <w:szCs w:val="22"/>
        </w:rPr>
        <w:t xml:space="preserve"> causes. When employees experience sustained pressure, lack of adequate resources, or unsafe environments, it can lead to stress and frustration. According to CIPD (202</w:t>
      </w:r>
      <w:r w:rsidR="00EA6114">
        <w:rPr>
          <w:rFonts w:ascii="Arial" w:hAnsi="Arial" w:cs="Arial"/>
          <w:sz w:val="22"/>
          <w:szCs w:val="22"/>
        </w:rPr>
        <w:t>4a</w:t>
      </w:r>
      <w:r w:rsidRPr="0085777E">
        <w:rPr>
          <w:rFonts w:ascii="Arial" w:hAnsi="Arial" w:cs="Arial"/>
          <w:sz w:val="22"/>
          <w:szCs w:val="22"/>
        </w:rPr>
        <w:t xml:space="preserve">), workload pressures, unrealistic targets, and failure to </w:t>
      </w:r>
      <w:proofErr w:type="gramStart"/>
      <w:r w:rsidRPr="0085777E">
        <w:rPr>
          <w:rFonts w:ascii="Arial" w:hAnsi="Arial" w:cs="Arial"/>
          <w:sz w:val="22"/>
          <w:szCs w:val="22"/>
        </w:rPr>
        <w:t>make adjustments</w:t>
      </w:r>
      <w:proofErr w:type="gramEnd"/>
      <w:r w:rsidRPr="0085777E">
        <w:rPr>
          <w:rFonts w:ascii="Arial" w:hAnsi="Arial" w:cs="Arial"/>
          <w:sz w:val="22"/>
          <w:szCs w:val="22"/>
        </w:rPr>
        <w:t xml:space="preserve"> for wellbeing are common triggers. If not addressed informally or proactively, these issues may escalate into grievances, particularly when they impact mental health or work-life balance.</w:t>
      </w:r>
    </w:p>
    <w:p w14:paraId="325048CB" w14:textId="265A65E5" w:rsidR="0085777E" w:rsidRPr="0085777E" w:rsidRDefault="0085777E" w:rsidP="0085777E">
      <w:pPr>
        <w:rPr>
          <w:rFonts w:ascii="Arial" w:hAnsi="Arial" w:cs="Arial"/>
          <w:sz w:val="22"/>
          <w:szCs w:val="22"/>
        </w:rPr>
      </w:pPr>
      <w:r w:rsidRPr="0085777E">
        <w:rPr>
          <w:rFonts w:ascii="Arial" w:hAnsi="Arial" w:cs="Arial"/>
          <w:sz w:val="22"/>
          <w:szCs w:val="22"/>
        </w:rPr>
        <w:lastRenderedPageBreak/>
        <w:t>A third major cause is a perceived lack of fairness or inconsistency in organisational procedures. This includes issues like unfair selection for redundancy, unequal opportunities for promotion, or disproportionate disciplinary action. The CIPD (202</w:t>
      </w:r>
      <w:r w:rsidR="00EA6114">
        <w:rPr>
          <w:rFonts w:ascii="Arial" w:hAnsi="Arial" w:cs="Arial"/>
          <w:sz w:val="22"/>
          <w:szCs w:val="22"/>
        </w:rPr>
        <w:t>4b</w:t>
      </w:r>
      <w:r w:rsidRPr="0085777E">
        <w:rPr>
          <w:rFonts w:ascii="Arial" w:hAnsi="Arial" w:cs="Arial"/>
          <w:sz w:val="22"/>
          <w:szCs w:val="22"/>
        </w:rPr>
        <w:t>) guide notes that a sense of unfairness</w:t>
      </w:r>
      <w:r w:rsidR="00210837">
        <w:rPr>
          <w:rFonts w:ascii="Arial" w:hAnsi="Arial" w:cs="Arial"/>
          <w:sz w:val="22"/>
          <w:szCs w:val="22"/>
        </w:rPr>
        <w:t xml:space="preserve">, </w:t>
      </w:r>
      <w:r w:rsidRPr="0085777E">
        <w:rPr>
          <w:rFonts w:ascii="Arial" w:hAnsi="Arial" w:cs="Arial"/>
          <w:sz w:val="22"/>
          <w:szCs w:val="22"/>
        </w:rPr>
        <w:t>whether in how policies are applied or how behaviour is managed</w:t>
      </w:r>
      <w:r w:rsidR="00210837">
        <w:rPr>
          <w:rFonts w:ascii="Arial" w:hAnsi="Arial" w:cs="Arial"/>
          <w:sz w:val="22"/>
          <w:szCs w:val="22"/>
        </w:rPr>
        <w:t xml:space="preserve">, </w:t>
      </w:r>
      <w:r w:rsidRPr="0085777E">
        <w:rPr>
          <w:rFonts w:ascii="Arial" w:hAnsi="Arial" w:cs="Arial"/>
          <w:sz w:val="22"/>
          <w:szCs w:val="22"/>
        </w:rPr>
        <w:t>can result in employees formally raising a grievance, particularly when trust in management is low. Even when procedures are followed, poor communication or lack of transparency may contribute to feelings of injustice.</w:t>
      </w:r>
    </w:p>
    <w:p w14:paraId="7BCE5815" w14:textId="77777777" w:rsidR="00445530" w:rsidRDefault="00445530" w:rsidP="0085777E">
      <w:pPr>
        <w:rPr>
          <w:rFonts w:ascii="Arial" w:hAnsi="Arial" w:cs="Arial"/>
          <w:sz w:val="22"/>
          <w:szCs w:val="22"/>
        </w:rPr>
      </w:pPr>
      <w:r w:rsidRPr="00445530">
        <w:rPr>
          <w:rFonts w:ascii="Arial" w:hAnsi="Arial" w:cs="Arial"/>
          <w:sz w:val="22"/>
          <w:szCs w:val="22"/>
        </w:rPr>
        <w:t>In a recent case I supported, a manager raised concerns about an employee’s performance and drafted a formal proposal to restructure the role. This was shared without any prior dialogue, leading the employee to feel excluded and unfairly targeted. As a result, trust broke down and the situation escalated into a formal dispute. This highlighted the importance of involving individuals in decisions that affect them and ensuring open communication from the outset.</w:t>
      </w:r>
    </w:p>
    <w:p w14:paraId="640AA802" w14:textId="0C5CDA2D" w:rsidR="0085777E" w:rsidRDefault="00445530" w:rsidP="0085777E">
      <w:pPr>
        <w:rPr>
          <w:rFonts w:ascii="Arial" w:hAnsi="Arial" w:cs="Arial"/>
          <w:sz w:val="22"/>
          <w:szCs w:val="22"/>
        </w:rPr>
      </w:pPr>
      <w:r>
        <w:rPr>
          <w:rFonts w:ascii="Arial" w:hAnsi="Arial" w:cs="Arial"/>
          <w:sz w:val="22"/>
          <w:szCs w:val="22"/>
        </w:rPr>
        <w:t>While</w:t>
      </w:r>
      <w:r w:rsidR="0085777E" w:rsidRPr="0085777E">
        <w:rPr>
          <w:rFonts w:ascii="Arial" w:hAnsi="Arial" w:cs="Arial"/>
          <w:sz w:val="22"/>
          <w:szCs w:val="22"/>
        </w:rPr>
        <w:t xml:space="preserve"> grievances are often a symptom of deeper issues, they also present an opportunity for learning. By identifying patterns, organisations can review practices, improve communication, and train managers to act fairly and consistently</w:t>
      </w:r>
      <w:r w:rsidR="00B0221B">
        <w:rPr>
          <w:rFonts w:ascii="Arial" w:hAnsi="Arial" w:cs="Arial"/>
          <w:sz w:val="22"/>
          <w:szCs w:val="22"/>
        </w:rPr>
        <w:t xml:space="preserve"> which will </w:t>
      </w:r>
      <w:r w:rsidR="0085777E" w:rsidRPr="0085777E">
        <w:rPr>
          <w:rFonts w:ascii="Arial" w:hAnsi="Arial" w:cs="Arial"/>
          <w:sz w:val="22"/>
          <w:szCs w:val="22"/>
        </w:rPr>
        <w:t>help prevent recurrence and build a more trusting workplace culture.</w:t>
      </w:r>
    </w:p>
    <w:p w14:paraId="1E4B7ED8" w14:textId="77777777" w:rsidR="00721B7B" w:rsidRPr="00721B7B" w:rsidRDefault="0085777E" w:rsidP="00721B7B">
      <w:pPr>
        <w:rPr>
          <w:rFonts w:ascii="Arial" w:hAnsi="Arial" w:cs="Arial"/>
          <w:sz w:val="22"/>
          <w:szCs w:val="22"/>
        </w:rPr>
      </w:pPr>
      <w:r w:rsidRPr="0085777E">
        <w:rPr>
          <w:rFonts w:ascii="Arial" w:hAnsi="Arial" w:cs="Arial"/>
          <w:b/>
          <w:bCs/>
          <w:sz w:val="22"/>
          <w:szCs w:val="22"/>
        </w:rPr>
        <w:t xml:space="preserve">AC 3.3 </w:t>
      </w:r>
      <w:r w:rsidR="00721B7B" w:rsidRPr="00721B7B">
        <w:rPr>
          <w:rFonts w:ascii="Arial" w:hAnsi="Arial" w:cs="Arial"/>
          <w:sz w:val="22"/>
          <w:szCs w:val="22"/>
        </w:rPr>
        <w:t>Handling grievances effectively is essential to maintaining trust, fairness, and legal compliance in the workplace. A grievance can be defined as a formal complaint raised by an employee concerning a perceived breach of rights, unfair treatment, or dissatisfaction with aspects of their employment. How an organisation responds can significantly affect employee morale, retention, reputation, and risk exposure.</w:t>
      </w:r>
    </w:p>
    <w:p w14:paraId="514DDA6B" w14:textId="7C9A0C72" w:rsidR="00721B7B" w:rsidRPr="00721B7B" w:rsidRDefault="00721B7B" w:rsidP="00721B7B">
      <w:pPr>
        <w:rPr>
          <w:rFonts w:ascii="Arial" w:hAnsi="Arial" w:cs="Arial"/>
          <w:sz w:val="22"/>
          <w:szCs w:val="22"/>
        </w:rPr>
      </w:pPr>
      <w:r w:rsidRPr="00721B7B">
        <w:rPr>
          <w:rFonts w:ascii="Arial" w:hAnsi="Arial" w:cs="Arial"/>
          <w:sz w:val="22"/>
          <w:szCs w:val="22"/>
        </w:rPr>
        <w:t xml:space="preserve">According to </w:t>
      </w:r>
      <w:r w:rsidR="005B7837" w:rsidRPr="00150EA5">
        <w:rPr>
          <w:rFonts w:ascii="Arial" w:hAnsi="Arial" w:cs="Arial"/>
          <w:sz w:val="22"/>
          <w:szCs w:val="22"/>
        </w:rPr>
        <w:t>McConnell</w:t>
      </w:r>
      <w:r w:rsidRPr="00721B7B">
        <w:rPr>
          <w:rFonts w:ascii="Arial" w:hAnsi="Arial" w:cs="Arial"/>
          <w:sz w:val="22"/>
          <w:szCs w:val="22"/>
        </w:rPr>
        <w:t xml:space="preserve"> (20</w:t>
      </w:r>
      <w:r w:rsidR="005B7837" w:rsidRPr="00150EA5">
        <w:rPr>
          <w:rFonts w:ascii="Arial" w:hAnsi="Arial" w:cs="Arial"/>
          <w:sz w:val="22"/>
          <w:szCs w:val="22"/>
        </w:rPr>
        <w:t>14</w:t>
      </w:r>
      <w:r w:rsidRPr="00721B7B">
        <w:rPr>
          <w:rFonts w:ascii="Arial" w:hAnsi="Arial" w:cs="Arial"/>
          <w:sz w:val="22"/>
          <w:szCs w:val="22"/>
        </w:rPr>
        <w:t xml:space="preserve">), unresolved or poorly handled grievances can have a </w:t>
      </w:r>
      <w:r w:rsidR="00F61924">
        <w:rPr>
          <w:rFonts w:ascii="Arial" w:hAnsi="Arial" w:cs="Arial"/>
          <w:sz w:val="22"/>
          <w:szCs w:val="22"/>
        </w:rPr>
        <w:t>‘</w:t>
      </w:r>
      <w:r w:rsidRPr="00721B7B">
        <w:rPr>
          <w:rFonts w:ascii="Arial" w:hAnsi="Arial" w:cs="Arial"/>
          <w:sz w:val="22"/>
          <w:szCs w:val="22"/>
        </w:rPr>
        <w:t>contagious effect</w:t>
      </w:r>
      <w:r w:rsidR="00F61924">
        <w:rPr>
          <w:rFonts w:ascii="Arial" w:hAnsi="Arial" w:cs="Arial"/>
          <w:sz w:val="22"/>
          <w:szCs w:val="22"/>
        </w:rPr>
        <w:t>’</w:t>
      </w:r>
      <w:r w:rsidRPr="00721B7B">
        <w:rPr>
          <w:rFonts w:ascii="Arial" w:hAnsi="Arial" w:cs="Arial"/>
          <w:sz w:val="22"/>
          <w:szCs w:val="22"/>
        </w:rPr>
        <w:t xml:space="preserve"> on workplace culture, increasing disengagement, conflict, and turnover. </w:t>
      </w:r>
      <w:r w:rsidR="00F61924" w:rsidRPr="00721B7B">
        <w:rPr>
          <w:rFonts w:ascii="Arial" w:hAnsi="Arial" w:cs="Arial"/>
          <w:sz w:val="22"/>
          <w:szCs w:val="22"/>
        </w:rPr>
        <w:t>On the other hand</w:t>
      </w:r>
      <w:r w:rsidRPr="00721B7B">
        <w:rPr>
          <w:rFonts w:ascii="Arial" w:hAnsi="Arial" w:cs="Arial"/>
          <w:sz w:val="22"/>
          <w:szCs w:val="22"/>
        </w:rPr>
        <w:t>, when grievances are managed fairly, promptly, and transparently, it builds psychological safety and demonstrates that the organisation values its people. The ACAS Code of Practice highlights that consistency, timely resolution, and the right to appeal are key principles in handling grievances. Employers who fail to follow this guidance risk increased compensation awards of up to 25% in tribunal cases (Daniels, 202</w:t>
      </w:r>
      <w:r w:rsidR="000411E0">
        <w:rPr>
          <w:rFonts w:ascii="Arial" w:hAnsi="Arial" w:cs="Arial"/>
          <w:sz w:val="22"/>
          <w:szCs w:val="22"/>
        </w:rPr>
        <w:t>2</w:t>
      </w:r>
      <w:r w:rsidRPr="00721B7B">
        <w:rPr>
          <w:rFonts w:ascii="Arial" w:hAnsi="Arial" w:cs="Arial"/>
          <w:sz w:val="22"/>
          <w:szCs w:val="22"/>
        </w:rPr>
        <w:t>).</w:t>
      </w:r>
    </w:p>
    <w:p w14:paraId="28366215" w14:textId="6E675E82" w:rsidR="00B71562" w:rsidRDefault="00B71562" w:rsidP="00721B7B">
      <w:pPr>
        <w:rPr>
          <w:rFonts w:ascii="Arial" w:hAnsi="Arial" w:cs="Arial"/>
          <w:sz w:val="22"/>
          <w:szCs w:val="22"/>
        </w:rPr>
      </w:pPr>
      <w:r w:rsidRPr="00B71562">
        <w:rPr>
          <w:rFonts w:ascii="Arial" w:hAnsi="Arial" w:cs="Arial"/>
          <w:sz w:val="22"/>
          <w:szCs w:val="22"/>
        </w:rPr>
        <w:t>Daniels (202</w:t>
      </w:r>
      <w:r w:rsidR="000411E0">
        <w:rPr>
          <w:rFonts w:ascii="Arial" w:hAnsi="Arial" w:cs="Arial"/>
          <w:sz w:val="22"/>
          <w:szCs w:val="22"/>
        </w:rPr>
        <w:t>2</w:t>
      </w:r>
      <w:r w:rsidRPr="00B71562">
        <w:rPr>
          <w:rFonts w:ascii="Arial" w:hAnsi="Arial" w:cs="Arial"/>
          <w:sz w:val="22"/>
          <w:szCs w:val="22"/>
        </w:rPr>
        <w:t>) also stresses that clarity, fairness, and opportunity to respond are fundamental to the process. If employees feel unheard or unfairly treated, they may resort to formal escalation or legal action, even in cases that could have been resolved informally. This was evident in Celebi v Compass Group (2010), where the employee was invited to a disciplinary meeting without being clearly told she was being accused of theft. The allegation was not properly communicated in writing beforehand, so she could not adequately prepare or respond. As a result, the tribunal found the dismissal unfair. This case highlights how poor communication during grievance or disciplinary processes can seriously undermine their fairness and outcome.</w:t>
      </w:r>
    </w:p>
    <w:p w14:paraId="33026A46" w14:textId="58195ABE" w:rsidR="00721B7B" w:rsidRPr="00721B7B" w:rsidRDefault="005139DC" w:rsidP="00721B7B">
      <w:pPr>
        <w:rPr>
          <w:rFonts w:ascii="Arial" w:hAnsi="Arial" w:cs="Arial"/>
          <w:sz w:val="22"/>
          <w:szCs w:val="22"/>
        </w:rPr>
      </w:pPr>
      <w:r>
        <w:rPr>
          <w:rFonts w:ascii="Arial" w:hAnsi="Arial" w:cs="Arial"/>
          <w:sz w:val="22"/>
          <w:szCs w:val="22"/>
        </w:rPr>
        <w:t>Posner</w:t>
      </w:r>
      <w:r w:rsidR="00721B7B" w:rsidRPr="00721B7B">
        <w:rPr>
          <w:rFonts w:ascii="Arial" w:hAnsi="Arial" w:cs="Arial"/>
          <w:sz w:val="22"/>
          <w:szCs w:val="22"/>
        </w:rPr>
        <w:t xml:space="preserve"> (20</w:t>
      </w:r>
      <w:r>
        <w:rPr>
          <w:rFonts w:ascii="Arial" w:hAnsi="Arial" w:cs="Arial"/>
          <w:sz w:val="22"/>
          <w:szCs w:val="22"/>
        </w:rPr>
        <w:t>19</w:t>
      </w:r>
      <w:r w:rsidR="00721B7B" w:rsidRPr="00721B7B">
        <w:rPr>
          <w:rFonts w:ascii="Arial" w:hAnsi="Arial" w:cs="Arial"/>
          <w:sz w:val="22"/>
          <w:szCs w:val="22"/>
        </w:rPr>
        <w:t xml:space="preserve">) </w:t>
      </w:r>
      <w:r w:rsidR="00B71562" w:rsidRPr="00721B7B">
        <w:rPr>
          <w:rFonts w:ascii="Arial" w:hAnsi="Arial" w:cs="Arial"/>
          <w:sz w:val="22"/>
          <w:szCs w:val="22"/>
        </w:rPr>
        <w:t>reports</w:t>
      </w:r>
      <w:r w:rsidR="00721B7B" w:rsidRPr="00721B7B">
        <w:rPr>
          <w:rFonts w:ascii="Arial" w:hAnsi="Arial" w:cs="Arial"/>
          <w:sz w:val="22"/>
          <w:szCs w:val="22"/>
        </w:rPr>
        <w:t xml:space="preserve"> that grievance procedures are often seen as intimidating or overly bureaucratic. Where possible, early intervention and informal resolution can prevent issues from escalating and reduce emotional stress for all parties. Line managers, therefore, play a critical role and must be trained to recognise early signs of discontent and respond appropriately.</w:t>
      </w:r>
    </w:p>
    <w:p w14:paraId="7EB3DA04" w14:textId="3C1F79C1" w:rsidR="00721B7B" w:rsidRPr="00721B7B" w:rsidRDefault="00721B7B" w:rsidP="00721B7B">
      <w:pPr>
        <w:rPr>
          <w:rFonts w:ascii="Arial" w:hAnsi="Arial" w:cs="Arial"/>
          <w:sz w:val="22"/>
          <w:szCs w:val="22"/>
        </w:rPr>
      </w:pPr>
      <w:r w:rsidRPr="00721B7B">
        <w:rPr>
          <w:rFonts w:ascii="Arial" w:hAnsi="Arial" w:cs="Arial"/>
          <w:sz w:val="22"/>
          <w:szCs w:val="22"/>
        </w:rPr>
        <w:lastRenderedPageBreak/>
        <w:t xml:space="preserve">In </w:t>
      </w:r>
      <w:r w:rsidR="0098628B">
        <w:rPr>
          <w:rFonts w:ascii="Arial" w:hAnsi="Arial" w:cs="Arial"/>
          <w:sz w:val="22"/>
          <w:szCs w:val="22"/>
        </w:rPr>
        <w:t>CCC</w:t>
      </w:r>
      <w:r w:rsidRPr="00721B7B">
        <w:rPr>
          <w:rFonts w:ascii="Arial" w:hAnsi="Arial" w:cs="Arial"/>
          <w:sz w:val="22"/>
          <w:szCs w:val="22"/>
        </w:rPr>
        <w:t xml:space="preserve">, HR actively supports managers to resolve complaints at the </w:t>
      </w:r>
      <w:r w:rsidR="0098628B">
        <w:rPr>
          <w:rFonts w:ascii="Arial" w:hAnsi="Arial" w:cs="Arial"/>
          <w:sz w:val="22"/>
          <w:szCs w:val="22"/>
        </w:rPr>
        <w:t>informal stage</w:t>
      </w:r>
      <w:r w:rsidRPr="00721B7B">
        <w:rPr>
          <w:rFonts w:ascii="Arial" w:hAnsi="Arial" w:cs="Arial"/>
          <w:sz w:val="22"/>
          <w:szCs w:val="22"/>
        </w:rPr>
        <w:t xml:space="preserve"> where possible, offering coaching and facilitated conversations before formal routes are taken. We also provide template letters and meeting scripts aligned with ACAS guidance to ensure a fair and consistent approach. In one case, a grievance was raised over workload allocation, but through early mediation and adjustment of responsibilities, the issue was resolved without formal escalation, preserving working relationships.</w:t>
      </w:r>
    </w:p>
    <w:p w14:paraId="2B83BF3F" w14:textId="47BABAF8" w:rsidR="0085777E" w:rsidRPr="0085777E" w:rsidRDefault="00721B7B" w:rsidP="00721B7B">
      <w:pPr>
        <w:rPr>
          <w:rFonts w:ascii="Arial" w:hAnsi="Arial" w:cs="Arial"/>
          <w:sz w:val="22"/>
          <w:szCs w:val="22"/>
        </w:rPr>
      </w:pPr>
      <w:r w:rsidRPr="00721B7B">
        <w:rPr>
          <w:rFonts w:ascii="Arial" w:hAnsi="Arial" w:cs="Arial"/>
          <w:sz w:val="22"/>
          <w:szCs w:val="22"/>
        </w:rPr>
        <w:t>Ultimately, handling grievances well is not just about process</w:t>
      </w:r>
      <w:r w:rsidR="000E0FE6">
        <w:rPr>
          <w:rFonts w:ascii="Arial" w:hAnsi="Arial" w:cs="Arial"/>
          <w:sz w:val="22"/>
          <w:szCs w:val="22"/>
        </w:rPr>
        <w:t xml:space="preserve">; </w:t>
      </w:r>
      <w:r w:rsidRPr="00721B7B">
        <w:rPr>
          <w:rFonts w:ascii="Arial" w:hAnsi="Arial" w:cs="Arial"/>
          <w:sz w:val="22"/>
          <w:szCs w:val="22"/>
        </w:rPr>
        <w:t xml:space="preserve">it reflects the organisation’s values and commitment to fairness. As </w:t>
      </w:r>
      <w:r w:rsidR="00232102">
        <w:rPr>
          <w:rFonts w:ascii="Arial" w:hAnsi="Arial" w:cs="Arial"/>
          <w:sz w:val="22"/>
          <w:szCs w:val="22"/>
        </w:rPr>
        <w:t>Evans</w:t>
      </w:r>
      <w:r w:rsidRPr="00721B7B">
        <w:rPr>
          <w:rFonts w:ascii="Arial" w:hAnsi="Arial" w:cs="Arial"/>
          <w:sz w:val="22"/>
          <w:szCs w:val="22"/>
        </w:rPr>
        <w:t xml:space="preserve"> (202</w:t>
      </w:r>
      <w:r w:rsidR="00232102">
        <w:rPr>
          <w:rFonts w:ascii="Arial" w:hAnsi="Arial" w:cs="Arial"/>
          <w:sz w:val="22"/>
          <w:szCs w:val="22"/>
        </w:rPr>
        <w:t>0</w:t>
      </w:r>
      <w:r w:rsidRPr="00721B7B">
        <w:rPr>
          <w:rFonts w:ascii="Arial" w:hAnsi="Arial" w:cs="Arial"/>
          <w:sz w:val="22"/>
          <w:szCs w:val="22"/>
        </w:rPr>
        <w:t>) states, when grievances are managed with empathy and structure, it leads to better outcomes for both employees and employers, reducing reputational risk and legal exposure while fostering a positive workplace culture.</w:t>
      </w:r>
    </w:p>
    <w:p w14:paraId="164A322C" w14:textId="77777777" w:rsidR="00F90562" w:rsidRDefault="00F90562" w:rsidP="00EC4C3D">
      <w:pPr>
        <w:rPr>
          <w:rFonts w:ascii="Arial" w:hAnsi="Arial" w:cs="Arial"/>
          <w:sz w:val="22"/>
          <w:szCs w:val="22"/>
        </w:rPr>
      </w:pPr>
    </w:p>
    <w:p w14:paraId="63AD3EB1" w14:textId="77777777" w:rsidR="00F90562" w:rsidRDefault="00F90562" w:rsidP="00EC4C3D">
      <w:pPr>
        <w:rPr>
          <w:rFonts w:ascii="Arial" w:hAnsi="Arial" w:cs="Arial"/>
          <w:sz w:val="22"/>
          <w:szCs w:val="22"/>
        </w:rPr>
      </w:pPr>
    </w:p>
    <w:p w14:paraId="40039B5E" w14:textId="77777777" w:rsidR="00F90562" w:rsidRDefault="00F90562" w:rsidP="00EC4C3D">
      <w:pPr>
        <w:rPr>
          <w:rFonts w:ascii="Arial" w:hAnsi="Arial" w:cs="Arial"/>
          <w:sz w:val="22"/>
          <w:szCs w:val="22"/>
        </w:rPr>
      </w:pPr>
    </w:p>
    <w:p w14:paraId="744D451E" w14:textId="77777777" w:rsidR="00A61FE0" w:rsidRDefault="00A61FE0" w:rsidP="00EC4C3D">
      <w:pPr>
        <w:rPr>
          <w:rFonts w:ascii="Arial" w:hAnsi="Arial" w:cs="Arial"/>
          <w:sz w:val="22"/>
          <w:szCs w:val="22"/>
        </w:rPr>
      </w:pPr>
    </w:p>
    <w:p w14:paraId="5F32DA97" w14:textId="77777777" w:rsidR="00A61FE0" w:rsidRDefault="00A61FE0" w:rsidP="00EC4C3D">
      <w:pPr>
        <w:rPr>
          <w:rFonts w:ascii="Arial" w:hAnsi="Arial" w:cs="Arial"/>
          <w:sz w:val="22"/>
          <w:szCs w:val="22"/>
        </w:rPr>
      </w:pPr>
    </w:p>
    <w:p w14:paraId="2CA6C796" w14:textId="77777777" w:rsidR="00A61FE0" w:rsidRDefault="00A61FE0" w:rsidP="00EC4C3D">
      <w:pPr>
        <w:rPr>
          <w:rFonts w:ascii="Arial" w:hAnsi="Arial" w:cs="Arial"/>
          <w:sz w:val="22"/>
          <w:szCs w:val="22"/>
        </w:rPr>
      </w:pPr>
    </w:p>
    <w:p w14:paraId="034E733B" w14:textId="77777777" w:rsidR="00A61FE0" w:rsidRDefault="00A61FE0" w:rsidP="00EC4C3D">
      <w:pPr>
        <w:rPr>
          <w:rFonts w:ascii="Arial" w:hAnsi="Arial" w:cs="Arial"/>
          <w:sz w:val="22"/>
          <w:szCs w:val="22"/>
        </w:rPr>
      </w:pPr>
    </w:p>
    <w:p w14:paraId="12A6D8C8" w14:textId="77777777" w:rsidR="00AA04F0" w:rsidRDefault="00AA04F0" w:rsidP="00EC4C3D">
      <w:pPr>
        <w:rPr>
          <w:rFonts w:ascii="Arial" w:hAnsi="Arial" w:cs="Arial"/>
          <w:b/>
          <w:bCs/>
          <w:sz w:val="22"/>
          <w:szCs w:val="22"/>
        </w:rPr>
      </w:pPr>
    </w:p>
    <w:p w14:paraId="4B8EC722" w14:textId="77777777" w:rsidR="00AA04F0" w:rsidRDefault="00AA04F0" w:rsidP="00EC4C3D">
      <w:pPr>
        <w:rPr>
          <w:rFonts w:ascii="Arial" w:hAnsi="Arial" w:cs="Arial"/>
          <w:b/>
          <w:bCs/>
          <w:sz w:val="22"/>
          <w:szCs w:val="22"/>
        </w:rPr>
      </w:pPr>
    </w:p>
    <w:p w14:paraId="4F64F427" w14:textId="77777777" w:rsidR="00AA04F0" w:rsidRDefault="00AA04F0" w:rsidP="00EC4C3D">
      <w:pPr>
        <w:rPr>
          <w:rFonts w:ascii="Arial" w:hAnsi="Arial" w:cs="Arial"/>
          <w:b/>
          <w:bCs/>
          <w:sz w:val="22"/>
          <w:szCs w:val="22"/>
        </w:rPr>
      </w:pPr>
    </w:p>
    <w:p w14:paraId="263B2E68" w14:textId="77777777" w:rsidR="00AA04F0" w:rsidRDefault="00AA04F0" w:rsidP="00EC4C3D">
      <w:pPr>
        <w:rPr>
          <w:rFonts w:ascii="Arial" w:hAnsi="Arial" w:cs="Arial"/>
          <w:b/>
          <w:bCs/>
          <w:sz w:val="22"/>
          <w:szCs w:val="22"/>
        </w:rPr>
      </w:pPr>
    </w:p>
    <w:p w14:paraId="4743FC9D" w14:textId="77777777" w:rsidR="006401D3" w:rsidRDefault="006401D3" w:rsidP="00EC4C3D">
      <w:pPr>
        <w:rPr>
          <w:rFonts w:ascii="Arial" w:hAnsi="Arial" w:cs="Arial"/>
          <w:b/>
          <w:bCs/>
          <w:sz w:val="22"/>
          <w:szCs w:val="22"/>
        </w:rPr>
      </w:pPr>
    </w:p>
    <w:p w14:paraId="065FE712" w14:textId="77777777" w:rsidR="006401D3" w:rsidRDefault="006401D3" w:rsidP="00EC4C3D">
      <w:pPr>
        <w:rPr>
          <w:rFonts w:ascii="Arial" w:hAnsi="Arial" w:cs="Arial"/>
          <w:b/>
          <w:bCs/>
          <w:sz w:val="22"/>
          <w:szCs w:val="22"/>
        </w:rPr>
      </w:pPr>
    </w:p>
    <w:p w14:paraId="5E9B6F67" w14:textId="77777777" w:rsidR="006401D3" w:rsidRDefault="006401D3" w:rsidP="00EC4C3D">
      <w:pPr>
        <w:rPr>
          <w:rFonts w:ascii="Arial" w:hAnsi="Arial" w:cs="Arial"/>
          <w:b/>
          <w:bCs/>
          <w:sz w:val="22"/>
          <w:szCs w:val="22"/>
        </w:rPr>
      </w:pPr>
    </w:p>
    <w:p w14:paraId="030D8C2F" w14:textId="77777777" w:rsidR="006401D3" w:rsidRDefault="006401D3" w:rsidP="00EC4C3D">
      <w:pPr>
        <w:rPr>
          <w:rFonts w:ascii="Arial" w:hAnsi="Arial" w:cs="Arial"/>
          <w:b/>
          <w:bCs/>
          <w:sz w:val="22"/>
          <w:szCs w:val="22"/>
        </w:rPr>
      </w:pPr>
    </w:p>
    <w:p w14:paraId="3A66DA8D" w14:textId="77777777" w:rsidR="006401D3" w:rsidRDefault="006401D3" w:rsidP="00EC4C3D">
      <w:pPr>
        <w:rPr>
          <w:rFonts w:ascii="Arial" w:hAnsi="Arial" w:cs="Arial"/>
          <w:b/>
          <w:bCs/>
          <w:sz w:val="22"/>
          <w:szCs w:val="22"/>
        </w:rPr>
      </w:pPr>
    </w:p>
    <w:p w14:paraId="7153F0DF" w14:textId="77777777" w:rsidR="006401D3" w:rsidRDefault="006401D3" w:rsidP="00EC4C3D">
      <w:pPr>
        <w:rPr>
          <w:rFonts w:ascii="Arial" w:hAnsi="Arial" w:cs="Arial"/>
          <w:b/>
          <w:bCs/>
          <w:sz w:val="22"/>
          <w:szCs w:val="22"/>
        </w:rPr>
      </w:pPr>
    </w:p>
    <w:p w14:paraId="5DF4AC74" w14:textId="77777777" w:rsidR="006401D3" w:rsidRDefault="006401D3" w:rsidP="00EC4C3D">
      <w:pPr>
        <w:rPr>
          <w:rFonts w:ascii="Arial" w:hAnsi="Arial" w:cs="Arial"/>
          <w:b/>
          <w:bCs/>
          <w:sz w:val="22"/>
          <w:szCs w:val="22"/>
        </w:rPr>
      </w:pPr>
    </w:p>
    <w:p w14:paraId="2F9677E1" w14:textId="77777777" w:rsidR="006401D3" w:rsidRDefault="006401D3" w:rsidP="00EC4C3D">
      <w:pPr>
        <w:rPr>
          <w:rFonts w:ascii="Arial" w:hAnsi="Arial" w:cs="Arial"/>
          <w:b/>
          <w:bCs/>
          <w:sz w:val="22"/>
          <w:szCs w:val="22"/>
        </w:rPr>
      </w:pPr>
    </w:p>
    <w:p w14:paraId="20E577B0" w14:textId="77777777" w:rsidR="006401D3" w:rsidRDefault="006401D3" w:rsidP="00EC4C3D">
      <w:pPr>
        <w:rPr>
          <w:rFonts w:ascii="Arial" w:hAnsi="Arial" w:cs="Arial"/>
          <w:b/>
          <w:bCs/>
          <w:sz w:val="22"/>
          <w:szCs w:val="22"/>
        </w:rPr>
      </w:pPr>
    </w:p>
    <w:p w14:paraId="502AF05F" w14:textId="77777777" w:rsidR="006401D3" w:rsidRDefault="006401D3" w:rsidP="00EC4C3D">
      <w:pPr>
        <w:rPr>
          <w:rFonts w:ascii="Arial" w:hAnsi="Arial" w:cs="Arial"/>
          <w:b/>
          <w:bCs/>
          <w:sz w:val="22"/>
          <w:szCs w:val="22"/>
        </w:rPr>
      </w:pPr>
    </w:p>
    <w:p w14:paraId="2DF09E4F" w14:textId="77777777" w:rsidR="006401D3" w:rsidRDefault="006401D3" w:rsidP="00EC4C3D">
      <w:pPr>
        <w:rPr>
          <w:rFonts w:ascii="Arial" w:hAnsi="Arial" w:cs="Arial"/>
          <w:b/>
          <w:bCs/>
          <w:sz w:val="22"/>
          <w:szCs w:val="22"/>
        </w:rPr>
      </w:pPr>
    </w:p>
    <w:p w14:paraId="0402F54B" w14:textId="77777777" w:rsidR="001430C9" w:rsidRDefault="001430C9" w:rsidP="00EC4C3D">
      <w:pPr>
        <w:rPr>
          <w:rFonts w:ascii="Arial" w:hAnsi="Arial" w:cs="Arial"/>
          <w:b/>
          <w:bCs/>
          <w:sz w:val="22"/>
          <w:szCs w:val="22"/>
        </w:rPr>
      </w:pPr>
    </w:p>
    <w:p w14:paraId="24880F52" w14:textId="77777777" w:rsidR="008F3ACA" w:rsidRDefault="008F3ACA" w:rsidP="00EC4C3D">
      <w:pPr>
        <w:rPr>
          <w:rFonts w:ascii="Arial" w:hAnsi="Arial" w:cs="Arial"/>
          <w:b/>
          <w:bCs/>
          <w:sz w:val="22"/>
          <w:szCs w:val="22"/>
        </w:rPr>
      </w:pPr>
    </w:p>
    <w:p w14:paraId="04BF6976" w14:textId="1FEEBAFC" w:rsidR="00721B7B" w:rsidRDefault="00F90562" w:rsidP="00EC4C3D">
      <w:pPr>
        <w:rPr>
          <w:rFonts w:ascii="Arial" w:hAnsi="Arial" w:cs="Arial"/>
          <w:b/>
          <w:bCs/>
          <w:sz w:val="22"/>
          <w:szCs w:val="22"/>
        </w:rPr>
      </w:pPr>
      <w:r w:rsidRPr="00F90562">
        <w:rPr>
          <w:rFonts w:ascii="Arial" w:hAnsi="Arial" w:cs="Arial"/>
          <w:b/>
          <w:bCs/>
          <w:sz w:val="22"/>
          <w:szCs w:val="22"/>
        </w:rPr>
        <w:lastRenderedPageBreak/>
        <w:t>References</w:t>
      </w:r>
    </w:p>
    <w:p w14:paraId="494691C9" w14:textId="4A55573F" w:rsidR="006401D3" w:rsidRPr="00A75D23" w:rsidRDefault="006401D3" w:rsidP="006401D3">
      <w:pPr>
        <w:rPr>
          <w:rFonts w:ascii="Arial" w:hAnsi="Arial" w:cs="Arial"/>
          <w:sz w:val="22"/>
          <w:szCs w:val="22"/>
        </w:rPr>
      </w:pPr>
      <w:r w:rsidRPr="00A75D23">
        <w:rPr>
          <w:rFonts w:ascii="Arial" w:hAnsi="Arial" w:cs="Arial"/>
          <w:b/>
          <w:bCs/>
          <w:sz w:val="22"/>
          <w:szCs w:val="22"/>
        </w:rPr>
        <w:t>ACAS (</w:t>
      </w:r>
      <w:r w:rsidR="005E3F2C" w:rsidRPr="00A75D23">
        <w:rPr>
          <w:rFonts w:ascii="Arial" w:hAnsi="Arial" w:cs="Arial"/>
          <w:b/>
          <w:bCs/>
          <w:sz w:val="22"/>
          <w:szCs w:val="22"/>
        </w:rPr>
        <w:t>2020a</w:t>
      </w:r>
      <w:r w:rsidRPr="00A75D23">
        <w:rPr>
          <w:rFonts w:ascii="Arial" w:hAnsi="Arial" w:cs="Arial"/>
          <w:b/>
          <w:bCs/>
          <w:sz w:val="22"/>
          <w:szCs w:val="22"/>
        </w:rPr>
        <w:t>)</w:t>
      </w:r>
      <w:r w:rsidR="005E3F2C"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 xml:space="preserve">Discipline and grievances at work: the </w:t>
      </w:r>
      <w:proofErr w:type="spellStart"/>
      <w:r w:rsidRPr="00A75D23">
        <w:rPr>
          <w:rFonts w:ascii="Arial" w:hAnsi="Arial" w:cs="Arial"/>
          <w:i/>
          <w:iCs/>
          <w:sz w:val="22"/>
          <w:szCs w:val="22"/>
        </w:rPr>
        <w:t>Acas</w:t>
      </w:r>
      <w:proofErr w:type="spellEnd"/>
      <w:r w:rsidRPr="00A75D23">
        <w:rPr>
          <w:rFonts w:ascii="Arial" w:hAnsi="Arial" w:cs="Arial"/>
          <w:i/>
          <w:iCs/>
          <w:sz w:val="22"/>
          <w:szCs w:val="22"/>
        </w:rPr>
        <w:t xml:space="preserve"> guide</w:t>
      </w:r>
      <w:r w:rsidRPr="00A75D23">
        <w:rPr>
          <w:rFonts w:ascii="Arial" w:hAnsi="Arial" w:cs="Arial"/>
          <w:sz w:val="22"/>
          <w:szCs w:val="22"/>
        </w:rPr>
        <w:t xml:space="preserve">. Available at: </w:t>
      </w:r>
      <w:hyperlink r:id="rId6" w:tgtFrame="_new" w:history="1">
        <w:r w:rsidRPr="00A75D23">
          <w:rPr>
            <w:rStyle w:val="Hyperlink"/>
            <w:rFonts w:ascii="Arial" w:hAnsi="Arial" w:cs="Arial"/>
            <w:sz w:val="22"/>
            <w:szCs w:val="22"/>
          </w:rPr>
          <w:t>https://www.acas.org.uk/acas-guide-to-discipli</w:t>
        </w:r>
        <w:r w:rsidRPr="00A75D23">
          <w:rPr>
            <w:rStyle w:val="Hyperlink"/>
            <w:rFonts w:ascii="Arial" w:hAnsi="Arial" w:cs="Arial"/>
            <w:sz w:val="22"/>
            <w:szCs w:val="22"/>
          </w:rPr>
          <w:t>n</w:t>
        </w:r>
        <w:r w:rsidRPr="00A75D23">
          <w:rPr>
            <w:rStyle w:val="Hyperlink"/>
            <w:rFonts w:ascii="Arial" w:hAnsi="Arial" w:cs="Arial"/>
            <w:sz w:val="22"/>
            <w:szCs w:val="22"/>
          </w:rPr>
          <w:t>e-and-grievances-at-work</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33539A2C" w14:textId="086FD2A9" w:rsidR="006401D3" w:rsidRPr="00A75D23" w:rsidRDefault="006401D3" w:rsidP="006401D3">
      <w:pPr>
        <w:rPr>
          <w:rFonts w:ascii="Arial" w:hAnsi="Arial" w:cs="Arial"/>
          <w:sz w:val="22"/>
          <w:szCs w:val="22"/>
        </w:rPr>
      </w:pPr>
      <w:r w:rsidRPr="00A75D23">
        <w:rPr>
          <w:rFonts w:ascii="Arial" w:hAnsi="Arial" w:cs="Arial"/>
          <w:b/>
          <w:bCs/>
          <w:sz w:val="22"/>
          <w:szCs w:val="22"/>
        </w:rPr>
        <w:t>ACAS (20</w:t>
      </w:r>
      <w:r w:rsidR="005E3F2C" w:rsidRPr="00A75D23">
        <w:rPr>
          <w:rFonts w:ascii="Arial" w:hAnsi="Arial" w:cs="Arial"/>
          <w:b/>
          <w:bCs/>
          <w:sz w:val="22"/>
          <w:szCs w:val="22"/>
        </w:rPr>
        <w:t>15</w:t>
      </w:r>
      <w:r w:rsidRPr="00A75D23">
        <w:rPr>
          <w:rFonts w:ascii="Arial" w:hAnsi="Arial" w:cs="Arial"/>
          <w:b/>
          <w:bCs/>
          <w:sz w:val="22"/>
          <w:szCs w:val="22"/>
        </w:rPr>
        <w:t>)</w:t>
      </w:r>
      <w:r w:rsidR="005E3F2C"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Disciplinary and grievance procedures: Code of Practice</w:t>
      </w:r>
      <w:r w:rsidRPr="00A75D23">
        <w:rPr>
          <w:rFonts w:ascii="Arial" w:hAnsi="Arial" w:cs="Arial"/>
          <w:sz w:val="22"/>
          <w:szCs w:val="22"/>
        </w:rPr>
        <w:t xml:space="preserve">. London: Advisory, Conciliation and Arbitration Service. Available at: </w:t>
      </w:r>
      <w:hyperlink r:id="rId7" w:tgtFrame="_new" w:history="1">
        <w:r w:rsidRPr="00A75D23">
          <w:rPr>
            <w:rStyle w:val="Hyperlink"/>
            <w:rFonts w:ascii="Arial" w:hAnsi="Arial" w:cs="Arial"/>
            <w:sz w:val="22"/>
            <w:szCs w:val="22"/>
          </w:rPr>
          <w:t>https://www.acas.org.uk/acas-code-of-practice-on-disciplinary-and-g</w:t>
        </w:r>
        <w:r w:rsidRPr="00A75D23">
          <w:rPr>
            <w:rStyle w:val="Hyperlink"/>
            <w:rFonts w:ascii="Arial" w:hAnsi="Arial" w:cs="Arial"/>
            <w:sz w:val="22"/>
            <w:szCs w:val="22"/>
          </w:rPr>
          <w:t>r</w:t>
        </w:r>
        <w:r w:rsidRPr="00A75D23">
          <w:rPr>
            <w:rStyle w:val="Hyperlink"/>
            <w:rFonts w:ascii="Arial" w:hAnsi="Arial" w:cs="Arial"/>
            <w:sz w:val="22"/>
            <w:szCs w:val="22"/>
          </w:rPr>
          <w:t>ievance-proce</w:t>
        </w:r>
        <w:r w:rsidRPr="00A75D23">
          <w:rPr>
            <w:rStyle w:val="Hyperlink"/>
            <w:rFonts w:ascii="Arial" w:hAnsi="Arial" w:cs="Arial"/>
            <w:sz w:val="22"/>
            <w:szCs w:val="22"/>
          </w:rPr>
          <w:t>d</w:t>
        </w:r>
        <w:r w:rsidRPr="00A75D23">
          <w:rPr>
            <w:rStyle w:val="Hyperlink"/>
            <w:rFonts w:ascii="Arial" w:hAnsi="Arial" w:cs="Arial"/>
            <w:sz w:val="22"/>
            <w:szCs w:val="22"/>
          </w:rPr>
          <w:t>ures</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294E4EC5" w14:textId="7A4ABA93" w:rsidR="006401D3" w:rsidRPr="00A75D23" w:rsidRDefault="006401D3" w:rsidP="006401D3">
      <w:pPr>
        <w:rPr>
          <w:rFonts w:ascii="Arial" w:hAnsi="Arial" w:cs="Arial"/>
          <w:sz w:val="22"/>
          <w:szCs w:val="22"/>
        </w:rPr>
      </w:pPr>
      <w:r w:rsidRPr="00A75D23">
        <w:rPr>
          <w:rFonts w:ascii="Arial" w:hAnsi="Arial" w:cs="Arial"/>
          <w:b/>
          <w:bCs/>
          <w:sz w:val="22"/>
          <w:szCs w:val="22"/>
        </w:rPr>
        <w:t>ACAS (202</w:t>
      </w:r>
      <w:r w:rsidR="005E3F2C" w:rsidRPr="00A75D23">
        <w:rPr>
          <w:rFonts w:ascii="Arial" w:hAnsi="Arial" w:cs="Arial"/>
          <w:b/>
          <w:bCs/>
          <w:sz w:val="22"/>
          <w:szCs w:val="22"/>
        </w:rPr>
        <w:t>0b</w:t>
      </w:r>
      <w:r w:rsidRPr="00A75D23">
        <w:rPr>
          <w:rFonts w:ascii="Arial" w:hAnsi="Arial" w:cs="Arial"/>
          <w:b/>
          <w:bCs/>
          <w:sz w:val="22"/>
          <w:szCs w:val="22"/>
        </w:rPr>
        <w:t>)</w:t>
      </w:r>
      <w:r w:rsidR="005E3F2C"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Building back: Making working lives better – Paper</w:t>
      </w:r>
      <w:r w:rsidRPr="00A75D23">
        <w:rPr>
          <w:rFonts w:ascii="Arial" w:hAnsi="Arial" w:cs="Arial"/>
          <w:sz w:val="22"/>
          <w:szCs w:val="22"/>
        </w:rPr>
        <w:t xml:space="preserve">. Available at: </w:t>
      </w:r>
      <w:hyperlink r:id="rId8" w:tgtFrame="_new" w:history="1">
        <w:r w:rsidRPr="00A75D23">
          <w:rPr>
            <w:rStyle w:val="Hyperlink"/>
            <w:rFonts w:ascii="Arial" w:hAnsi="Arial" w:cs="Arial"/>
            <w:sz w:val="22"/>
            <w:szCs w:val="22"/>
          </w:rPr>
          <w:t>https://www.acas.org.uk/research-and-co</w:t>
        </w:r>
        <w:r w:rsidRPr="00A75D23">
          <w:rPr>
            <w:rStyle w:val="Hyperlink"/>
            <w:rFonts w:ascii="Arial" w:hAnsi="Arial" w:cs="Arial"/>
            <w:sz w:val="22"/>
            <w:szCs w:val="22"/>
          </w:rPr>
          <w:t>m</w:t>
        </w:r>
        <w:r w:rsidRPr="00A75D23">
          <w:rPr>
            <w:rStyle w:val="Hyperlink"/>
            <w:rFonts w:ascii="Arial" w:hAnsi="Arial" w:cs="Arial"/>
            <w:sz w:val="22"/>
            <w:szCs w:val="22"/>
          </w:rPr>
          <w:t>mentary/building-back-making-working-lives-better/paper</w:t>
        </w:r>
      </w:hyperlink>
      <w:r w:rsidRPr="00A75D23">
        <w:rPr>
          <w:rFonts w:ascii="Arial" w:hAnsi="Arial" w:cs="Arial"/>
          <w:sz w:val="22"/>
          <w:szCs w:val="22"/>
        </w:rPr>
        <w:t xml:space="preserve"> (Accessed: </w:t>
      </w:r>
      <w:r w:rsidR="00451701" w:rsidRPr="00A75D23">
        <w:rPr>
          <w:rFonts w:ascii="Arial" w:hAnsi="Arial" w:cs="Arial"/>
          <w:sz w:val="22"/>
          <w:szCs w:val="22"/>
        </w:rPr>
        <w:t>6</w:t>
      </w:r>
      <w:r w:rsidRPr="00A75D23">
        <w:rPr>
          <w:rFonts w:ascii="Arial" w:hAnsi="Arial" w:cs="Arial"/>
          <w:sz w:val="22"/>
          <w:szCs w:val="22"/>
        </w:rPr>
        <w:t xml:space="preserve"> July 2025).</w:t>
      </w:r>
    </w:p>
    <w:p w14:paraId="32367944" w14:textId="1F9AE46C" w:rsidR="006401D3" w:rsidRPr="00A75D23" w:rsidRDefault="006401D3" w:rsidP="006401D3">
      <w:pPr>
        <w:rPr>
          <w:rFonts w:ascii="Arial" w:hAnsi="Arial" w:cs="Arial"/>
          <w:sz w:val="22"/>
          <w:szCs w:val="22"/>
        </w:rPr>
      </w:pPr>
      <w:r w:rsidRPr="00A75D23">
        <w:rPr>
          <w:rFonts w:ascii="Arial" w:hAnsi="Arial" w:cs="Arial"/>
          <w:b/>
          <w:bCs/>
          <w:sz w:val="22"/>
          <w:szCs w:val="22"/>
        </w:rPr>
        <w:t>ACAS (20</w:t>
      </w:r>
      <w:r w:rsidR="00DF35BD" w:rsidRPr="00A75D23">
        <w:rPr>
          <w:rFonts w:ascii="Arial" w:hAnsi="Arial" w:cs="Arial"/>
          <w:b/>
          <w:bCs/>
          <w:sz w:val="22"/>
          <w:szCs w:val="22"/>
        </w:rPr>
        <w:t>19</w:t>
      </w:r>
      <w:r w:rsidRPr="00A75D23">
        <w:rPr>
          <w:rFonts w:ascii="Arial" w:hAnsi="Arial" w:cs="Arial"/>
          <w:b/>
          <w:bCs/>
          <w:sz w:val="22"/>
          <w:szCs w:val="22"/>
        </w:rPr>
        <w:t>)</w:t>
      </w:r>
      <w:r w:rsidR="00DF35BD"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Managing workplace conflict: the changing role of HR</w:t>
      </w:r>
      <w:r w:rsidRPr="00A75D23">
        <w:rPr>
          <w:rFonts w:ascii="Arial" w:hAnsi="Arial" w:cs="Arial"/>
          <w:sz w:val="22"/>
          <w:szCs w:val="22"/>
        </w:rPr>
        <w:t xml:space="preserve">. Available at: </w:t>
      </w:r>
      <w:hyperlink r:id="rId9" w:tgtFrame="_new" w:history="1">
        <w:r w:rsidRPr="00A75D23">
          <w:rPr>
            <w:rStyle w:val="Hyperlink"/>
            <w:rFonts w:ascii="Arial" w:hAnsi="Arial" w:cs="Arial"/>
            <w:sz w:val="22"/>
            <w:szCs w:val="22"/>
          </w:rPr>
          <w:t>https://www.acas.org.uk/research-and-commentary/m</w:t>
        </w:r>
        <w:r w:rsidRPr="00A75D23">
          <w:rPr>
            <w:rStyle w:val="Hyperlink"/>
            <w:rFonts w:ascii="Arial" w:hAnsi="Arial" w:cs="Arial"/>
            <w:sz w:val="22"/>
            <w:szCs w:val="22"/>
          </w:rPr>
          <w:t>a</w:t>
        </w:r>
        <w:r w:rsidRPr="00A75D23">
          <w:rPr>
            <w:rStyle w:val="Hyperlink"/>
            <w:rFonts w:ascii="Arial" w:hAnsi="Arial" w:cs="Arial"/>
            <w:sz w:val="22"/>
            <w:szCs w:val="22"/>
          </w:rPr>
          <w:t>naging-workplace-conflict-changing-role-of-hr</w:t>
        </w:r>
      </w:hyperlink>
      <w:r w:rsidRPr="00A75D23">
        <w:rPr>
          <w:rFonts w:ascii="Arial" w:hAnsi="Arial" w:cs="Arial"/>
          <w:sz w:val="22"/>
          <w:szCs w:val="22"/>
        </w:rPr>
        <w:t xml:space="preserve"> (Accessed: </w:t>
      </w:r>
      <w:r w:rsidR="00451701" w:rsidRPr="00A75D23">
        <w:rPr>
          <w:rFonts w:ascii="Arial" w:hAnsi="Arial" w:cs="Arial"/>
          <w:sz w:val="22"/>
          <w:szCs w:val="22"/>
        </w:rPr>
        <w:t>6</w:t>
      </w:r>
      <w:r w:rsidRPr="00A75D23">
        <w:rPr>
          <w:rFonts w:ascii="Arial" w:hAnsi="Arial" w:cs="Arial"/>
          <w:sz w:val="22"/>
          <w:szCs w:val="22"/>
        </w:rPr>
        <w:t xml:space="preserve"> July 2025).</w:t>
      </w:r>
    </w:p>
    <w:p w14:paraId="6ED6FDBE" w14:textId="04EC9840" w:rsidR="006401D3" w:rsidRPr="00A75D23" w:rsidRDefault="006401D3" w:rsidP="006401D3">
      <w:pPr>
        <w:rPr>
          <w:rFonts w:ascii="Arial" w:hAnsi="Arial" w:cs="Arial"/>
          <w:sz w:val="22"/>
          <w:szCs w:val="22"/>
        </w:rPr>
      </w:pPr>
      <w:r w:rsidRPr="00A75D23">
        <w:rPr>
          <w:rFonts w:ascii="Arial" w:hAnsi="Arial" w:cs="Arial"/>
          <w:b/>
          <w:bCs/>
          <w:sz w:val="22"/>
          <w:szCs w:val="22"/>
        </w:rPr>
        <w:t>ACAS (202</w:t>
      </w:r>
      <w:r w:rsidR="00B0704E" w:rsidRPr="00A75D23">
        <w:rPr>
          <w:rFonts w:ascii="Arial" w:hAnsi="Arial" w:cs="Arial"/>
          <w:b/>
          <w:bCs/>
          <w:sz w:val="22"/>
          <w:szCs w:val="22"/>
        </w:rPr>
        <w:t>5</w:t>
      </w:r>
      <w:r w:rsidR="00814A83" w:rsidRPr="00A75D23">
        <w:rPr>
          <w:rFonts w:ascii="Arial" w:hAnsi="Arial" w:cs="Arial"/>
          <w:b/>
          <w:bCs/>
          <w:sz w:val="22"/>
          <w:szCs w:val="22"/>
        </w:rPr>
        <w:t>a</w:t>
      </w:r>
      <w:r w:rsidRPr="00A75D23">
        <w:rPr>
          <w:rFonts w:ascii="Arial" w:hAnsi="Arial" w:cs="Arial"/>
          <w:b/>
          <w:bCs/>
          <w:sz w:val="22"/>
          <w:szCs w:val="22"/>
        </w:rPr>
        <w:t>)</w:t>
      </w:r>
      <w:r w:rsidR="00B0704E"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Dispute resolution</w:t>
      </w:r>
      <w:r w:rsidRPr="00A75D23">
        <w:rPr>
          <w:rFonts w:ascii="Arial" w:hAnsi="Arial" w:cs="Arial"/>
          <w:sz w:val="22"/>
          <w:szCs w:val="22"/>
        </w:rPr>
        <w:t xml:space="preserve">. Available at: </w:t>
      </w:r>
      <w:hyperlink r:id="rId10" w:tgtFrame="_new" w:history="1">
        <w:r w:rsidRPr="00A75D23">
          <w:rPr>
            <w:rStyle w:val="Hyperlink"/>
            <w:rFonts w:ascii="Arial" w:hAnsi="Arial" w:cs="Arial"/>
            <w:sz w:val="22"/>
            <w:szCs w:val="22"/>
          </w:rPr>
          <w:t>https://www.acas.org.uk/dispute-resolution</w:t>
        </w:r>
      </w:hyperlink>
      <w:r w:rsidRPr="00A75D23">
        <w:rPr>
          <w:rFonts w:ascii="Arial" w:hAnsi="Arial" w:cs="Arial"/>
          <w:sz w:val="22"/>
          <w:szCs w:val="22"/>
        </w:rPr>
        <w:t xml:space="preserve"> (Accessed: </w:t>
      </w:r>
      <w:r w:rsidR="00451701" w:rsidRPr="00A75D23">
        <w:rPr>
          <w:rFonts w:ascii="Arial" w:hAnsi="Arial" w:cs="Arial"/>
          <w:sz w:val="22"/>
          <w:szCs w:val="22"/>
        </w:rPr>
        <w:t>6</w:t>
      </w:r>
      <w:r w:rsidRPr="00A75D23">
        <w:rPr>
          <w:rFonts w:ascii="Arial" w:hAnsi="Arial" w:cs="Arial"/>
          <w:sz w:val="22"/>
          <w:szCs w:val="22"/>
        </w:rPr>
        <w:t xml:space="preserve"> July 2025).</w:t>
      </w:r>
    </w:p>
    <w:p w14:paraId="48D14C46" w14:textId="7F14CC45" w:rsidR="006401D3" w:rsidRPr="00A75D23" w:rsidRDefault="006401D3" w:rsidP="006401D3">
      <w:pPr>
        <w:rPr>
          <w:rFonts w:ascii="Arial" w:hAnsi="Arial" w:cs="Arial"/>
          <w:sz w:val="22"/>
          <w:szCs w:val="22"/>
        </w:rPr>
      </w:pPr>
      <w:r w:rsidRPr="00A75D23">
        <w:rPr>
          <w:rFonts w:ascii="Arial" w:hAnsi="Arial" w:cs="Arial"/>
          <w:b/>
          <w:bCs/>
          <w:sz w:val="22"/>
          <w:szCs w:val="22"/>
        </w:rPr>
        <w:t>ACAS (2025</w:t>
      </w:r>
      <w:r w:rsidR="00814A83" w:rsidRPr="00A75D23">
        <w:rPr>
          <w:rFonts w:ascii="Arial" w:hAnsi="Arial" w:cs="Arial"/>
          <w:b/>
          <w:bCs/>
          <w:sz w:val="22"/>
          <w:szCs w:val="22"/>
        </w:rPr>
        <w:t>b</w:t>
      </w:r>
      <w:r w:rsidRPr="00A75D23">
        <w:rPr>
          <w:rFonts w:ascii="Arial" w:hAnsi="Arial" w:cs="Arial"/>
          <w:b/>
          <w:bCs/>
          <w:sz w:val="22"/>
          <w:szCs w:val="22"/>
        </w:rPr>
        <w:t>)</w:t>
      </w:r>
      <w:r w:rsidR="00814A83"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A time for consensus: How can workplace collaboration be built from organisation to nation?</w:t>
      </w:r>
      <w:r w:rsidRPr="00A75D23">
        <w:rPr>
          <w:rFonts w:ascii="Arial" w:hAnsi="Arial" w:cs="Arial"/>
          <w:sz w:val="22"/>
          <w:szCs w:val="22"/>
        </w:rPr>
        <w:t xml:space="preserve"> Available at: </w:t>
      </w:r>
      <w:hyperlink r:id="rId11" w:tgtFrame="_new" w:history="1">
        <w:r w:rsidRPr="00A75D23">
          <w:rPr>
            <w:rStyle w:val="Hyperlink"/>
            <w:rFonts w:ascii="Arial" w:hAnsi="Arial" w:cs="Arial"/>
            <w:sz w:val="22"/>
            <w:szCs w:val="22"/>
          </w:rPr>
          <w:t>https://www.acas.org.uk/research-and-commentary/a-time-for-consensus-how-can-workplace-collaboration-be</w:t>
        </w:r>
        <w:r w:rsidRPr="00A75D23">
          <w:rPr>
            <w:rStyle w:val="Hyperlink"/>
            <w:rFonts w:ascii="Arial" w:hAnsi="Arial" w:cs="Arial"/>
            <w:sz w:val="22"/>
            <w:szCs w:val="22"/>
          </w:rPr>
          <w:t>-</w:t>
        </w:r>
        <w:r w:rsidRPr="00A75D23">
          <w:rPr>
            <w:rStyle w:val="Hyperlink"/>
            <w:rFonts w:ascii="Arial" w:hAnsi="Arial" w:cs="Arial"/>
            <w:sz w:val="22"/>
            <w:szCs w:val="22"/>
          </w:rPr>
          <w:t>b</w:t>
        </w:r>
        <w:r w:rsidRPr="00A75D23">
          <w:rPr>
            <w:rStyle w:val="Hyperlink"/>
            <w:rFonts w:ascii="Arial" w:hAnsi="Arial" w:cs="Arial"/>
            <w:sz w:val="22"/>
            <w:szCs w:val="22"/>
          </w:rPr>
          <w:t>u</w:t>
        </w:r>
        <w:r w:rsidRPr="00A75D23">
          <w:rPr>
            <w:rStyle w:val="Hyperlink"/>
            <w:rFonts w:ascii="Arial" w:hAnsi="Arial" w:cs="Arial"/>
            <w:sz w:val="22"/>
            <w:szCs w:val="22"/>
          </w:rPr>
          <w:t>ilt-from-organisation-to-nation/paper</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45E3B5EB" w14:textId="77777777" w:rsidR="00EA5610" w:rsidRPr="00A75D23" w:rsidRDefault="00EA5610" w:rsidP="00EA5610">
      <w:pPr>
        <w:rPr>
          <w:rFonts w:ascii="Arial" w:hAnsi="Arial" w:cs="Arial"/>
          <w:sz w:val="22"/>
          <w:szCs w:val="22"/>
        </w:rPr>
      </w:pPr>
      <w:r w:rsidRPr="00A75D23">
        <w:rPr>
          <w:rFonts w:ascii="Arial" w:hAnsi="Arial" w:cs="Arial"/>
          <w:b/>
          <w:bCs/>
          <w:sz w:val="22"/>
          <w:szCs w:val="22"/>
        </w:rPr>
        <w:t xml:space="preserve">Armstrong, M., &amp; Taylor, S. (2023). </w:t>
      </w:r>
      <w:r w:rsidRPr="00A75D23">
        <w:rPr>
          <w:rFonts w:ascii="Arial" w:hAnsi="Arial" w:cs="Arial"/>
          <w:i/>
          <w:iCs/>
          <w:sz w:val="22"/>
          <w:szCs w:val="22"/>
        </w:rPr>
        <w:t>Armstrong’s Handbook of Human Resource Management Practice</w:t>
      </w:r>
      <w:r w:rsidRPr="00A75D23">
        <w:rPr>
          <w:rFonts w:ascii="Arial" w:hAnsi="Arial" w:cs="Arial"/>
          <w:sz w:val="22"/>
          <w:szCs w:val="22"/>
        </w:rPr>
        <w:t>. 16th ed. London: Kogan Page.</w:t>
      </w:r>
    </w:p>
    <w:p w14:paraId="4712FE9D" w14:textId="40E47EF2" w:rsidR="00633594" w:rsidRPr="00A75D23" w:rsidRDefault="00633594" w:rsidP="00EA5610">
      <w:pPr>
        <w:rPr>
          <w:rFonts w:ascii="Arial" w:hAnsi="Arial" w:cs="Arial"/>
          <w:sz w:val="22"/>
          <w:szCs w:val="22"/>
        </w:rPr>
      </w:pPr>
      <w:r w:rsidRPr="00A75D23">
        <w:rPr>
          <w:rFonts w:ascii="Arial" w:hAnsi="Arial" w:cs="Arial"/>
          <w:b/>
          <w:bCs/>
          <w:sz w:val="22"/>
          <w:szCs w:val="22"/>
        </w:rPr>
        <w:t>Barber, B. (2016)</w:t>
      </w:r>
      <w:r w:rsidRPr="00A75D23">
        <w:rPr>
          <w:rFonts w:ascii="Arial" w:hAnsi="Arial" w:cs="Arial"/>
          <w:sz w:val="22"/>
          <w:szCs w:val="22"/>
        </w:rPr>
        <w:t xml:space="preserve"> ‘Conflict at work: where next?’ Available at: </w:t>
      </w:r>
      <w:hyperlink r:id="rId12" w:tgtFrame="_new" w:history="1">
        <w:r w:rsidRPr="00A75D23">
          <w:rPr>
            <w:rStyle w:val="Hyperlink"/>
            <w:rFonts w:ascii="Arial" w:hAnsi="Arial" w:cs="Arial"/>
            <w:sz w:val="22"/>
            <w:szCs w:val="22"/>
          </w:rPr>
          <w:t>https://www.hrmag</w:t>
        </w:r>
        <w:r w:rsidRPr="00A75D23">
          <w:rPr>
            <w:rStyle w:val="Hyperlink"/>
            <w:rFonts w:ascii="Arial" w:hAnsi="Arial" w:cs="Arial"/>
            <w:sz w:val="22"/>
            <w:szCs w:val="22"/>
          </w:rPr>
          <w:t>a</w:t>
        </w:r>
        <w:r w:rsidRPr="00A75D23">
          <w:rPr>
            <w:rStyle w:val="Hyperlink"/>
            <w:rFonts w:ascii="Arial" w:hAnsi="Arial" w:cs="Arial"/>
            <w:sz w:val="22"/>
            <w:szCs w:val="22"/>
          </w:rPr>
          <w:t>zine.co.uk/content/fea</w:t>
        </w:r>
        <w:r w:rsidRPr="00A75D23">
          <w:rPr>
            <w:rStyle w:val="Hyperlink"/>
            <w:rFonts w:ascii="Arial" w:hAnsi="Arial" w:cs="Arial"/>
            <w:sz w:val="22"/>
            <w:szCs w:val="22"/>
          </w:rPr>
          <w:t>t</w:t>
        </w:r>
        <w:r w:rsidRPr="00A75D23">
          <w:rPr>
            <w:rStyle w:val="Hyperlink"/>
            <w:rFonts w:ascii="Arial" w:hAnsi="Arial" w:cs="Arial"/>
            <w:sz w:val="22"/>
            <w:szCs w:val="22"/>
          </w:rPr>
          <w:t>ures/conflict-at-work-where-next/</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39D5E95A" w14:textId="6E57424A" w:rsidR="00D379BE" w:rsidRPr="00A75D23" w:rsidRDefault="00D379BE" w:rsidP="00EA5610">
      <w:pPr>
        <w:rPr>
          <w:rFonts w:ascii="Arial" w:hAnsi="Arial" w:cs="Arial"/>
          <w:sz w:val="22"/>
          <w:szCs w:val="22"/>
        </w:rPr>
      </w:pPr>
      <w:r w:rsidRPr="00A75D23">
        <w:rPr>
          <w:rFonts w:ascii="Arial" w:hAnsi="Arial" w:cs="Arial"/>
          <w:b/>
          <w:bCs/>
          <w:sz w:val="22"/>
          <w:szCs w:val="22"/>
        </w:rPr>
        <w:t>CIPD (2025a).</w:t>
      </w:r>
      <w:r w:rsidRPr="00A75D23">
        <w:rPr>
          <w:rFonts w:ascii="Arial" w:hAnsi="Arial" w:cs="Arial"/>
          <w:sz w:val="22"/>
          <w:szCs w:val="22"/>
        </w:rPr>
        <w:t xml:space="preserve"> </w:t>
      </w:r>
      <w:r w:rsidRPr="00A75D23">
        <w:rPr>
          <w:rFonts w:ascii="Arial" w:hAnsi="Arial" w:cs="Arial"/>
          <w:i/>
          <w:iCs/>
          <w:sz w:val="22"/>
          <w:szCs w:val="22"/>
        </w:rPr>
        <w:t>Employee engagement and motivation factsheet</w:t>
      </w:r>
      <w:r w:rsidRPr="00A75D23">
        <w:rPr>
          <w:rFonts w:ascii="Arial" w:hAnsi="Arial" w:cs="Arial"/>
          <w:sz w:val="22"/>
          <w:szCs w:val="22"/>
        </w:rPr>
        <w:t xml:space="preserve">. Available at: </w:t>
      </w:r>
      <w:hyperlink r:id="rId13" w:history="1">
        <w:r w:rsidRPr="00A75D23">
          <w:rPr>
            <w:rStyle w:val="Hyperlink"/>
            <w:rFonts w:ascii="Arial" w:hAnsi="Arial" w:cs="Arial"/>
            <w:sz w:val="22"/>
            <w:szCs w:val="22"/>
          </w:rPr>
          <w:t>https://www.cipd.org.uk/knowledge/factsheets/engagement-f</w:t>
        </w:r>
        <w:r w:rsidRPr="00A75D23">
          <w:rPr>
            <w:rStyle w:val="Hyperlink"/>
            <w:rFonts w:ascii="Arial" w:hAnsi="Arial" w:cs="Arial"/>
            <w:sz w:val="22"/>
            <w:szCs w:val="22"/>
          </w:rPr>
          <w:t>a</w:t>
        </w:r>
        <w:r w:rsidRPr="00A75D23">
          <w:rPr>
            <w:rStyle w:val="Hyperlink"/>
            <w:rFonts w:ascii="Arial" w:hAnsi="Arial" w:cs="Arial"/>
            <w:sz w:val="22"/>
            <w:szCs w:val="22"/>
          </w:rPr>
          <w:t>ctsheet/</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1B047F1B" w14:textId="5052435D" w:rsidR="006401D3" w:rsidRPr="00A75D23" w:rsidRDefault="006401D3" w:rsidP="006401D3">
      <w:pPr>
        <w:rPr>
          <w:rFonts w:ascii="Arial" w:hAnsi="Arial" w:cs="Arial"/>
          <w:sz w:val="22"/>
          <w:szCs w:val="22"/>
        </w:rPr>
      </w:pPr>
      <w:r w:rsidRPr="00A75D23">
        <w:rPr>
          <w:rFonts w:ascii="Arial" w:hAnsi="Arial" w:cs="Arial"/>
          <w:b/>
          <w:bCs/>
          <w:sz w:val="22"/>
          <w:szCs w:val="22"/>
        </w:rPr>
        <w:t>CIPD (2020</w:t>
      </w:r>
      <w:r w:rsidR="003571FB" w:rsidRPr="00A75D23">
        <w:rPr>
          <w:rFonts w:ascii="Arial" w:hAnsi="Arial" w:cs="Arial"/>
          <w:b/>
          <w:bCs/>
          <w:sz w:val="22"/>
          <w:szCs w:val="22"/>
        </w:rPr>
        <w:t>a</w:t>
      </w:r>
      <w:r w:rsidRPr="00A75D23">
        <w:rPr>
          <w:rFonts w:ascii="Arial" w:hAnsi="Arial" w:cs="Arial"/>
          <w:b/>
          <w:bCs/>
          <w:sz w:val="22"/>
          <w:szCs w:val="22"/>
        </w:rPr>
        <w:t>)</w:t>
      </w:r>
      <w:r w:rsidR="003571FB"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Managing conflict in the modern workplace</w:t>
      </w:r>
      <w:r w:rsidRPr="00A75D23">
        <w:rPr>
          <w:rFonts w:ascii="Arial" w:hAnsi="Arial" w:cs="Arial"/>
          <w:sz w:val="22"/>
          <w:szCs w:val="22"/>
        </w:rPr>
        <w:t xml:space="preserve">. Available at: </w:t>
      </w:r>
      <w:hyperlink r:id="rId14" w:tgtFrame="_new" w:history="1">
        <w:r w:rsidRPr="00A75D23">
          <w:rPr>
            <w:rStyle w:val="Hyperlink"/>
            <w:rFonts w:ascii="Arial" w:hAnsi="Arial" w:cs="Arial"/>
            <w:sz w:val="22"/>
            <w:szCs w:val="22"/>
          </w:rPr>
          <w:t>https://www.cipd.org/globalassets/media/knowledge/knowledge-hub/reports/managing-conflict-in-the-workplace-2_tcm18-70655.pdf</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1A2C3DDB" w14:textId="39ABEA4D" w:rsidR="007B651E" w:rsidRPr="00A75D23" w:rsidRDefault="007B651E" w:rsidP="006401D3">
      <w:pPr>
        <w:rPr>
          <w:rFonts w:ascii="Arial" w:hAnsi="Arial" w:cs="Arial"/>
          <w:sz w:val="22"/>
          <w:szCs w:val="22"/>
        </w:rPr>
      </w:pPr>
      <w:r w:rsidRPr="00A75D23">
        <w:rPr>
          <w:rFonts w:ascii="Arial" w:hAnsi="Arial" w:cs="Arial"/>
          <w:b/>
          <w:bCs/>
          <w:sz w:val="22"/>
          <w:szCs w:val="22"/>
        </w:rPr>
        <w:t>CIPD (2020</w:t>
      </w:r>
      <w:r w:rsidR="003571FB" w:rsidRPr="00A75D23">
        <w:rPr>
          <w:rFonts w:ascii="Arial" w:hAnsi="Arial" w:cs="Arial"/>
          <w:b/>
          <w:bCs/>
          <w:sz w:val="22"/>
          <w:szCs w:val="22"/>
        </w:rPr>
        <w:t>b</w:t>
      </w:r>
      <w:r w:rsidRPr="00A75D23">
        <w:rPr>
          <w:rFonts w:ascii="Arial" w:hAnsi="Arial" w:cs="Arial"/>
          <w:b/>
          <w:bCs/>
          <w:sz w:val="22"/>
          <w:szCs w:val="22"/>
        </w:rPr>
        <w:t>)</w:t>
      </w:r>
      <w:r w:rsidR="003571FB"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Shifting the perception of conflict at work</w:t>
      </w:r>
      <w:r w:rsidRPr="00A75D23">
        <w:rPr>
          <w:rFonts w:ascii="Arial" w:hAnsi="Arial" w:cs="Arial"/>
          <w:sz w:val="22"/>
          <w:szCs w:val="22"/>
        </w:rPr>
        <w:t xml:space="preserve"> [Podcast transcript]. CIPD. Available at: </w:t>
      </w:r>
      <w:hyperlink r:id="rId15" w:tgtFrame="_new" w:history="1">
        <w:r w:rsidRPr="00A75D23">
          <w:rPr>
            <w:rStyle w:val="Hyperlink"/>
            <w:rFonts w:ascii="Arial" w:hAnsi="Arial" w:cs="Arial"/>
            <w:sz w:val="22"/>
            <w:szCs w:val="22"/>
          </w:rPr>
          <w:t>https://www.ci</w:t>
        </w:r>
        <w:r w:rsidRPr="00A75D23">
          <w:rPr>
            <w:rStyle w:val="Hyperlink"/>
            <w:rFonts w:ascii="Arial" w:hAnsi="Arial" w:cs="Arial"/>
            <w:sz w:val="22"/>
            <w:szCs w:val="22"/>
          </w:rPr>
          <w:t>p</w:t>
        </w:r>
        <w:r w:rsidRPr="00A75D23">
          <w:rPr>
            <w:rStyle w:val="Hyperlink"/>
            <w:rFonts w:ascii="Arial" w:hAnsi="Arial" w:cs="Arial"/>
            <w:sz w:val="22"/>
            <w:szCs w:val="22"/>
          </w:rPr>
          <w:t>d.org/uk/knowledge/podcasts/shifting-</w:t>
        </w:r>
        <w:r w:rsidRPr="00A75D23">
          <w:rPr>
            <w:rStyle w:val="Hyperlink"/>
            <w:rFonts w:ascii="Arial" w:hAnsi="Arial" w:cs="Arial"/>
            <w:sz w:val="22"/>
            <w:szCs w:val="22"/>
          </w:rPr>
          <w:t>p</w:t>
        </w:r>
        <w:r w:rsidRPr="00A75D23">
          <w:rPr>
            <w:rStyle w:val="Hyperlink"/>
            <w:rFonts w:ascii="Arial" w:hAnsi="Arial" w:cs="Arial"/>
            <w:sz w:val="22"/>
            <w:szCs w:val="22"/>
          </w:rPr>
          <w:t>erception-conflict/</w:t>
        </w:r>
      </w:hyperlink>
      <w:r w:rsidRPr="00A75D23">
        <w:rPr>
          <w:rFonts w:ascii="Arial" w:hAnsi="Arial" w:cs="Arial"/>
          <w:sz w:val="22"/>
          <w:szCs w:val="22"/>
        </w:rPr>
        <w:t xml:space="preserve"> (Accessed: </w:t>
      </w:r>
      <w:r w:rsidR="00451701" w:rsidRPr="00A75D23">
        <w:rPr>
          <w:rFonts w:ascii="Arial" w:hAnsi="Arial" w:cs="Arial"/>
          <w:sz w:val="22"/>
          <w:szCs w:val="22"/>
        </w:rPr>
        <w:t>6</w:t>
      </w:r>
      <w:r w:rsidRPr="00A75D23">
        <w:rPr>
          <w:rFonts w:ascii="Arial" w:hAnsi="Arial" w:cs="Arial"/>
          <w:sz w:val="22"/>
          <w:szCs w:val="22"/>
        </w:rPr>
        <w:t xml:space="preserve"> July 2025).</w:t>
      </w:r>
    </w:p>
    <w:p w14:paraId="168CF758" w14:textId="5C6DE31C" w:rsidR="006401D3" w:rsidRPr="00A75D23" w:rsidRDefault="006401D3" w:rsidP="006401D3">
      <w:pPr>
        <w:rPr>
          <w:rFonts w:ascii="Arial" w:hAnsi="Arial" w:cs="Arial"/>
          <w:sz w:val="22"/>
          <w:szCs w:val="22"/>
        </w:rPr>
      </w:pPr>
      <w:r w:rsidRPr="00A75D23">
        <w:rPr>
          <w:rFonts w:ascii="Arial" w:hAnsi="Arial" w:cs="Arial"/>
          <w:b/>
          <w:bCs/>
          <w:sz w:val="22"/>
          <w:szCs w:val="22"/>
        </w:rPr>
        <w:t>CIPD (202</w:t>
      </w:r>
      <w:r w:rsidR="00240D12" w:rsidRPr="00A75D23">
        <w:rPr>
          <w:rFonts w:ascii="Arial" w:hAnsi="Arial" w:cs="Arial"/>
          <w:b/>
          <w:bCs/>
          <w:sz w:val="22"/>
          <w:szCs w:val="22"/>
        </w:rPr>
        <w:t>5</w:t>
      </w:r>
      <w:r w:rsidR="00D379BE" w:rsidRPr="00A75D23">
        <w:rPr>
          <w:rFonts w:ascii="Arial" w:hAnsi="Arial" w:cs="Arial"/>
          <w:b/>
          <w:bCs/>
          <w:sz w:val="22"/>
          <w:szCs w:val="22"/>
        </w:rPr>
        <w:t>b</w:t>
      </w:r>
      <w:r w:rsidRPr="00A75D23">
        <w:rPr>
          <w:rFonts w:ascii="Arial" w:hAnsi="Arial" w:cs="Arial"/>
          <w:b/>
          <w:bCs/>
          <w:sz w:val="22"/>
          <w:szCs w:val="22"/>
        </w:rPr>
        <w:t>)</w:t>
      </w:r>
      <w:r w:rsidR="00240D12"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Good Work Index</w:t>
      </w:r>
      <w:r w:rsidRPr="00A75D23">
        <w:rPr>
          <w:rFonts w:ascii="Arial" w:hAnsi="Arial" w:cs="Arial"/>
          <w:sz w:val="22"/>
          <w:szCs w:val="22"/>
        </w:rPr>
        <w:t xml:space="preserve">. London: Chartered Institute of Personnel and Development. Available at: </w:t>
      </w:r>
      <w:hyperlink r:id="rId16" w:history="1">
        <w:r w:rsidR="00240D12" w:rsidRPr="00A75D23">
          <w:rPr>
            <w:rStyle w:val="Hyperlink"/>
            <w:rFonts w:ascii="Arial" w:hAnsi="Arial" w:cs="Arial"/>
            <w:sz w:val="22"/>
            <w:szCs w:val="22"/>
          </w:rPr>
          <w:t>https://www.cipd.org/uk/knowledge/reports/goodwork/</w:t>
        </w:r>
      </w:hyperlink>
      <w:r w:rsidR="00240D12" w:rsidRPr="00A75D23">
        <w:rPr>
          <w:rFonts w:ascii="Arial" w:hAnsi="Arial" w:cs="Arial"/>
          <w:sz w:val="22"/>
          <w:szCs w:val="22"/>
        </w:rPr>
        <w:t xml:space="preserve"> </w:t>
      </w:r>
      <w:r w:rsidRPr="00A75D23">
        <w:rPr>
          <w:rFonts w:ascii="Arial" w:hAnsi="Arial" w:cs="Arial"/>
          <w:sz w:val="22"/>
          <w:szCs w:val="22"/>
        </w:rPr>
        <w:t xml:space="preserve">(Accessed: </w:t>
      </w:r>
      <w:r w:rsidR="00451701" w:rsidRPr="00A75D23">
        <w:rPr>
          <w:rFonts w:ascii="Arial" w:hAnsi="Arial" w:cs="Arial"/>
          <w:sz w:val="22"/>
          <w:szCs w:val="22"/>
        </w:rPr>
        <w:t>6</w:t>
      </w:r>
      <w:r w:rsidRPr="00A75D23">
        <w:rPr>
          <w:rFonts w:ascii="Arial" w:hAnsi="Arial" w:cs="Arial"/>
          <w:sz w:val="22"/>
          <w:szCs w:val="22"/>
        </w:rPr>
        <w:t xml:space="preserve"> July 2025).</w:t>
      </w:r>
    </w:p>
    <w:p w14:paraId="38F997DA" w14:textId="0C34AA1B" w:rsidR="006401D3" w:rsidRPr="00A75D23" w:rsidRDefault="006401D3" w:rsidP="006401D3">
      <w:pPr>
        <w:rPr>
          <w:rFonts w:ascii="Arial" w:hAnsi="Arial" w:cs="Arial"/>
          <w:sz w:val="22"/>
          <w:szCs w:val="22"/>
        </w:rPr>
      </w:pPr>
      <w:r w:rsidRPr="00A75D23">
        <w:rPr>
          <w:rFonts w:ascii="Arial" w:hAnsi="Arial" w:cs="Arial"/>
          <w:b/>
          <w:bCs/>
          <w:sz w:val="22"/>
          <w:szCs w:val="22"/>
        </w:rPr>
        <w:t>CIPD (2021)</w:t>
      </w:r>
      <w:r w:rsidR="00F34C8C"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NHS Nottinghamshire Healthcare Trust: Putting employee experience at the heart of culture change</w:t>
      </w:r>
      <w:r w:rsidRPr="00A75D23">
        <w:rPr>
          <w:rFonts w:ascii="Arial" w:hAnsi="Arial" w:cs="Arial"/>
          <w:sz w:val="22"/>
          <w:szCs w:val="22"/>
        </w:rPr>
        <w:t xml:space="preserve">. Available at: </w:t>
      </w:r>
      <w:hyperlink r:id="rId17" w:history="1">
        <w:r w:rsidR="008D71FD" w:rsidRPr="00A75D23">
          <w:rPr>
            <w:rStyle w:val="Hyperlink"/>
            <w:rFonts w:ascii="Arial" w:hAnsi="Arial" w:cs="Arial"/>
            <w:sz w:val="22"/>
            <w:szCs w:val="22"/>
          </w:rPr>
          <w:t>https://www.cipd.org/uk/knowledge/case-studies/nottingham-healthcare-trust/</w:t>
        </w:r>
      </w:hyperlink>
      <w:r w:rsidR="008D71FD" w:rsidRPr="00A75D23">
        <w:rPr>
          <w:rFonts w:ascii="Arial" w:hAnsi="Arial" w:cs="Arial"/>
          <w:sz w:val="22"/>
          <w:szCs w:val="22"/>
        </w:rPr>
        <w:t xml:space="preserve"> </w:t>
      </w:r>
      <w:r w:rsidRPr="00A75D23">
        <w:rPr>
          <w:rFonts w:ascii="Arial" w:hAnsi="Arial" w:cs="Arial"/>
          <w:sz w:val="22"/>
          <w:szCs w:val="22"/>
        </w:rPr>
        <w:t xml:space="preserve">(Accessed: </w:t>
      </w:r>
      <w:r w:rsidR="00451701" w:rsidRPr="00A75D23">
        <w:rPr>
          <w:rFonts w:ascii="Arial" w:hAnsi="Arial" w:cs="Arial"/>
          <w:sz w:val="22"/>
          <w:szCs w:val="22"/>
        </w:rPr>
        <w:t>5</w:t>
      </w:r>
      <w:r w:rsidRPr="00A75D23">
        <w:rPr>
          <w:rFonts w:ascii="Arial" w:hAnsi="Arial" w:cs="Arial"/>
          <w:sz w:val="22"/>
          <w:szCs w:val="22"/>
        </w:rPr>
        <w:t xml:space="preserve"> July 2025).</w:t>
      </w:r>
    </w:p>
    <w:p w14:paraId="64A5B800" w14:textId="37E73043" w:rsidR="006401D3" w:rsidRPr="00A75D23" w:rsidRDefault="006401D3" w:rsidP="006401D3">
      <w:pPr>
        <w:rPr>
          <w:rFonts w:ascii="Arial" w:hAnsi="Arial" w:cs="Arial"/>
          <w:sz w:val="22"/>
          <w:szCs w:val="22"/>
        </w:rPr>
      </w:pPr>
      <w:r w:rsidRPr="00A75D23">
        <w:rPr>
          <w:rFonts w:ascii="Arial" w:hAnsi="Arial" w:cs="Arial"/>
          <w:b/>
          <w:bCs/>
          <w:sz w:val="22"/>
          <w:szCs w:val="22"/>
        </w:rPr>
        <w:lastRenderedPageBreak/>
        <w:t>CIPD (202</w:t>
      </w:r>
      <w:r w:rsidR="00D379BE" w:rsidRPr="00A75D23">
        <w:rPr>
          <w:rFonts w:ascii="Arial" w:hAnsi="Arial" w:cs="Arial"/>
          <w:b/>
          <w:bCs/>
          <w:sz w:val="22"/>
          <w:szCs w:val="22"/>
        </w:rPr>
        <w:t>4a</w:t>
      </w:r>
      <w:r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Disciplinary and grievance procedures: Guide for people professionals</w:t>
      </w:r>
      <w:r w:rsidRPr="00A75D23">
        <w:rPr>
          <w:rFonts w:ascii="Arial" w:hAnsi="Arial" w:cs="Arial"/>
          <w:sz w:val="22"/>
          <w:szCs w:val="22"/>
        </w:rPr>
        <w:t xml:space="preserve">. Available at: </w:t>
      </w:r>
      <w:hyperlink r:id="rId18" w:history="1">
        <w:r w:rsidR="00D379BE" w:rsidRPr="00A75D23">
          <w:rPr>
            <w:rStyle w:val="Hyperlink"/>
            <w:rFonts w:ascii="Arial" w:hAnsi="Arial" w:cs="Arial"/>
            <w:sz w:val="22"/>
            <w:szCs w:val="22"/>
          </w:rPr>
          <w:t>https://www.cipd.org/uk/knowledge/guides/discipline-and-grievance/</w:t>
        </w:r>
      </w:hyperlink>
      <w:r w:rsidR="00D379BE" w:rsidRPr="00A75D23">
        <w:rPr>
          <w:rFonts w:ascii="Arial" w:hAnsi="Arial" w:cs="Arial"/>
          <w:sz w:val="22"/>
          <w:szCs w:val="22"/>
        </w:rPr>
        <w:t xml:space="preserve"> </w:t>
      </w:r>
      <w:r w:rsidRPr="00A75D23">
        <w:rPr>
          <w:rFonts w:ascii="Arial" w:hAnsi="Arial" w:cs="Arial"/>
          <w:sz w:val="22"/>
          <w:szCs w:val="22"/>
        </w:rPr>
        <w:t xml:space="preserve">Accessed: </w:t>
      </w:r>
      <w:r w:rsidR="00451701" w:rsidRPr="00A75D23">
        <w:rPr>
          <w:rFonts w:ascii="Arial" w:hAnsi="Arial" w:cs="Arial"/>
          <w:sz w:val="22"/>
          <w:szCs w:val="22"/>
        </w:rPr>
        <w:t>7</w:t>
      </w:r>
      <w:r w:rsidRPr="00A75D23">
        <w:rPr>
          <w:rFonts w:ascii="Arial" w:hAnsi="Arial" w:cs="Arial"/>
          <w:sz w:val="22"/>
          <w:szCs w:val="22"/>
        </w:rPr>
        <w:t xml:space="preserve"> July 2025).</w:t>
      </w:r>
    </w:p>
    <w:p w14:paraId="4490D1FC" w14:textId="3C286F43" w:rsidR="006401D3" w:rsidRPr="00A75D23" w:rsidRDefault="006401D3" w:rsidP="006401D3">
      <w:pPr>
        <w:rPr>
          <w:rFonts w:ascii="Arial" w:hAnsi="Arial" w:cs="Arial"/>
          <w:sz w:val="22"/>
          <w:szCs w:val="22"/>
        </w:rPr>
      </w:pPr>
      <w:r w:rsidRPr="00A75D23">
        <w:rPr>
          <w:rFonts w:ascii="Arial" w:hAnsi="Arial" w:cs="Arial"/>
          <w:b/>
          <w:bCs/>
          <w:sz w:val="22"/>
          <w:szCs w:val="22"/>
        </w:rPr>
        <w:t>CIPD (202</w:t>
      </w:r>
      <w:r w:rsidR="00D379BE" w:rsidRPr="00A75D23">
        <w:rPr>
          <w:rFonts w:ascii="Arial" w:hAnsi="Arial" w:cs="Arial"/>
          <w:b/>
          <w:bCs/>
          <w:sz w:val="22"/>
          <w:szCs w:val="22"/>
        </w:rPr>
        <w:t>4b</w:t>
      </w:r>
      <w:r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Disciplinary and grievance procedures: Guidance for managers</w:t>
      </w:r>
      <w:r w:rsidRPr="00A75D23">
        <w:rPr>
          <w:rFonts w:ascii="Arial" w:hAnsi="Arial" w:cs="Arial"/>
          <w:sz w:val="22"/>
          <w:szCs w:val="22"/>
        </w:rPr>
        <w:t xml:space="preserve">. Available at: </w:t>
      </w:r>
      <w:hyperlink r:id="rId19" w:history="1">
        <w:r w:rsidR="00D379BE" w:rsidRPr="00A75D23">
          <w:rPr>
            <w:rStyle w:val="Hyperlink"/>
            <w:rFonts w:ascii="Arial" w:hAnsi="Arial" w:cs="Arial"/>
            <w:sz w:val="22"/>
            <w:szCs w:val="22"/>
          </w:rPr>
          <w:t>https://www.cipd.org/uk/knowledge/guides/disciplinary-and-grievance-procedures-guidance-for-managers/</w:t>
        </w:r>
      </w:hyperlink>
      <w:r w:rsidR="00D379BE" w:rsidRPr="00A75D23">
        <w:rPr>
          <w:rFonts w:ascii="Arial" w:hAnsi="Arial" w:cs="Arial"/>
          <w:sz w:val="22"/>
          <w:szCs w:val="22"/>
        </w:rPr>
        <w:t xml:space="preserve"> </w:t>
      </w:r>
      <w:r w:rsidRPr="00A75D23">
        <w:rPr>
          <w:rFonts w:ascii="Arial" w:hAnsi="Arial" w:cs="Arial"/>
          <w:sz w:val="22"/>
          <w:szCs w:val="22"/>
        </w:rPr>
        <w:t xml:space="preserve">(Accessed: </w:t>
      </w:r>
      <w:r w:rsidR="00451701" w:rsidRPr="00A75D23">
        <w:rPr>
          <w:rFonts w:ascii="Arial" w:hAnsi="Arial" w:cs="Arial"/>
          <w:sz w:val="22"/>
          <w:szCs w:val="22"/>
        </w:rPr>
        <w:t>7</w:t>
      </w:r>
      <w:r w:rsidRPr="00A75D23">
        <w:rPr>
          <w:rFonts w:ascii="Arial" w:hAnsi="Arial" w:cs="Arial"/>
          <w:sz w:val="22"/>
          <w:szCs w:val="22"/>
        </w:rPr>
        <w:t xml:space="preserve"> July 2025).</w:t>
      </w:r>
    </w:p>
    <w:p w14:paraId="73430F85" w14:textId="79ADE04D" w:rsidR="00EA5610" w:rsidRPr="00A75D23" w:rsidRDefault="00EA5610" w:rsidP="00EA5610">
      <w:pPr>
        <w:rPr>
          <w:rFonts w:ascii="Arial" w:hAnsi="Arial" w:cs="Arial"/>
          <w:sz w:val="22"/>
          <w:szCs w:val="22"/>
        </w:rPr>
      </w:pPr>
      <w:r w:rsidRPr="00A75D23">
        <w:rPr>
          <w:rFonts w:ascii="Arial" w:hAnsi="Arial" w:cs="Arial"/>
          <w:b/>
          <w:bCs/>
          <w:sz w:val="22"/>
          <w:szCs w:val="22"/>
        </w:rPr>
        <w:t>Daniels, K. (20</w:t>
      </w:r>
      <w:r w:rsidRPr="00A75D23">
        <w:rPr>
          <w:rFonts w:ascii="Arial" w:hAnsi="Arial" w:cs="Arial"/>
          <w:b/>
          <w:bCs/>
          <w:sz w:val="22"/>
          <w:szCs w:val="22"/>
        </w:rPr>
        <w:t>22</w:t>
      </w:r>
      <w:r w:rsidRPr="00A75D23">
        <w:rPr>
          <w:rFonts w:ascii="Arial" w:hAnsi="Arial" w:cs="Arial"/>
          <w:b/>
          <w:bCs/>
          <w:sz w:val="22"/>
          <w:szCs w:val="22"/>
        </w:rPr>
        <w:t xml:space="preserve">). </w:t>
      </w:r>
      <w:r w:rsidRPr="00A75D23">
        <w:rPr>
          <w:rFonts w:ascii="Arial" w:hAnsi="Arial" w:cs="Arial"/>
          <w:i/>
          <w:iCs/>
          <w:sz w:val="22"/>
          <w:szCs w:val="22"/>
        </w:rPr>
        <w:t>Introduction to Employment Law</w:t>
      </w:r>
      <w:r w:rsidRPr="00A75D23">
        <w:rPr>
          <w:rFonts w:ascii="Arial" w:hAnsi="Arial" w:cs="Arial"/>
          <w:sz w:val="22"/>
          <w:szCs w:val="22"/>
        </w:rPr>
        <w:t>. 6th ed. London: Kogan Page.</w:t>
      </w:r>
    </w:p>
    <w:p w14:paraId="38F9134E" w14:textId="3D7EC1F0" w:rsidR="006401D3" w:rsidRPr="00A75D23" w:rsidRDefault="006401D3" w:rsidP="006401D3">
      <w:pPr>
        <w:rPr>
          <w:rFonts w:ascii="Arial" w:hAnsi="Arial" w:cs="Arial"/>
          <w:sz w:val="22"/>
          <w:szCs w:val="22"/>
        </w:rPr>
      </w:pPr>
      <w:r w:rsidRPr="00A75D23">
        <w:rPr>
          <w:rFonts w:ascii="Arial" w:hAnsi="Arial" w:cs="Arial"/>
          <w:b/>
          <w:bCs/>
          <w:sz w:val="22"/>
          <w:szCs w:val="22"/>
        </w:rPr>
        <w:t>Engage for Success (2023)</w:t>
      </w:r>
      <w:r w:rsidR="00272C4B"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Making a case for the importance of employee voice</w:t>
      </w:r>
      <w:r w:rsidRPr="00A75D23">
        <w:rPr>
          <w:rFonts w:ascii="Arial" w:hAnsi="Arial" w:cs="Arial"/>
          <w:sz w:val="22"/>
          <w:szCs w:val="22"/>
        </w:rPr>
        <w:t xml:space="preserve">. Available at: </w:t>
      </w:r>
      <w:hyperlink r:id="rId20" w:tgtFrame="_new" w:history="1">
        <w:r w:rsidRPr="00A75D23">
          <w:rPr>
            <w:rStyle w:val="Hyperlink"/>
            <w:rFonts w:ascii="Arial" w:hAnsi="Arial" w:cs="Arial"/>
            <w:sz w:val="22"/>
            <w:szCs w:val="22"/>
          </w:rPr>
          <w:t>https://engageforsuccess.org/making-a-case-for-the-importance-of-employee-voice/</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3886F5C4" w14:textId="1556E54A" w:rsidR="00633594" w:rsidRPr="00A75D23" w:rsidRDefault="00633594" w:rsidP="006401D3">
      <w:pPr>
        <w:rPr>
          <w:rFonts w:ascii="Arial" w:hAnsi="Arial" w:cs="Arial"/>
          <w:b/>
          <w:bCs/>
          <w:sz w:val="22"/>
          <w:szCs w:val="22"/>
        </w:rPr>
      </w:pPr>
      <w:r w:rsidRPr="00A75D23">
        <w:rPr>
          <w:rFonts w:ascii="Arial" w:hAnsi="Arial" w:cs="Arial"/>
          <w:b/>
          <w:bCs/>
          <w:sz w:val="22"/>
          <w:szCs w:val="22"/>
        </w:rPr>
        <w:t>Evans, S.</w:t>
      </w:r>
      <w:r w:rsidRPr="00721B7B">
        <w:rPr>
          <w:rFonts w:ascii="Arial" w:hAnsi="Arial" w:cs="Arial"/>
          <w:b/>
          <w:bCs/>
          <w:sz w:val="22"/>
          <w:szCs w:val="22"/>
        </w:rPr>
        <w:t xml:space="preserve"> (202</w:t>
      </w:r>
      <w:r w:rsidRPr="00A75D23">
        <w:rPr>
          <w:rFonts w:ascii="Arial" w:hAnsi="Arial" w:cs="Arial"/>
          <w:b/>
          <w:bCs/>
          <w:sz w:val="22"/>
          <w:szCs w:val="22"/>
        </w:rPr>
        <w:t>0</w:t>
      </w:r>
      <w:r w:rsidRPr="00721B7B">
        <w:rPr>
          <w:rFonts w:ascii="Arial" w:hAnsi="Arial" w:cs="Arial"/>
          <w:b/>
          <w:bCs/>
          <w:sz w:val="22"/>
          <w:szCs w:val="22"/>
        </w:rPr>
        <w:t>)</w:t>
      </w:r>
      <w:r w:rsidRPr="00A75D23">
        <w:rPr>
          <w:rFonts w:ascii="Arial" w:hAnsi="Arial" w:cs="Arial"/>
          <w:b/>
          <w:bCs/>
          <w:sz w:val="22"/>
          <w:szCs w:val="22"/>
        </w:rPr>
        <w:t>.</w:t>
      </w:r>
      <w:r w:rsidRPr="00721B7B">
        <w:rPr>
          <w:rFonts w:ascii="Arial" w:hAnsi="Arial" w:cs="Arial"/>
          <w:b/>
          <w:bCs/>
          <w:sz w:val="22"/>
          <w:szCs w:val="22"/>
        </w:rPr>
        <w:t xml:space="preserve"> </w:t>
      </w:r>
      <w:r w:rsidRPr="00721B7B">
        <w:rPr>
          <w:rFonts w:ascii="Arial" w:hAnsi="Arial" w:cs="Arial"/>
          <w:sz w:val="22"/>
          <w:szCs w:val="22"/>
        </w:rPr>
        <w:t xml:space="preserve">‘Legal ease: handling grievances’, </w:t>
      </w:r>
      <w:r w:rsidRPr="00721B7B">
        <w:rPr>
          <w:rFonts w:ascii="Arial" w:hAnsi="Arial" w:cs="Arial"/>
          <w:i/>
          <w:iCs/>
          <w:sz w:val="22"/>
          <w:szCs w:val="22"/>
        </w:rPr>
        <w:t>HR Magazine</w:t>
      </w:r>
      <w:r w:rsidRPr="00721B7B">
        <w:rPr>
          <w:rFonts w:ascii="Arial" w:hAnsi="Arial" w:cs="Arial"/>
          <w:sz w:val="22"/>
          <w:szCs w:val="22"/>
        </w:rPr>
        <w:t xml:space="preserve">, 9 April. Available at: </w:t>
      </w:r>
      <w:hyperlink r:id="rId21" w:tgtFrame="_new" w:history="1">
        <w:r w:rsidRPr="00721B7B">
          <w:rPr>
            <w:rStyle w:val="Hyperlink"/>
            <w:rFonts w:ascii="Arial" w:hAnsi="Arial" w:cs="Arial"/>
            <w:sz w:val="22"/>
            <w:szCs w:val="22"/>
          </w:rPr>
          <w:t>https://www.hrmaga</w:t>
        </w:r>
        <w:r w:rsidRPr="00721B7B">
          <w:rPr>
            <w:rStyle w:val="Hyperlink"/>
            <w:rFonts w:ascii="Arial" w:hAnsi="Arial" w:cs="Arial"/>
            <w:sz w:val="22"/>
            <w:szCs w:val="22"/>
          </w:rPr>
          <w:t>z</w:t>
        </w:r>
        <w:r w:rsidRPr="00721B7B">
          <w:rPr>
            <w:rStyle w:val="Hyperlink"/>
            <w:rFonts w:ascii="Arial" w:hAnsi="Arial" w:cs="Arial"/>
            <w:sz w:val="22"/>
            <w:szCs w:val="22"/>
          </w:rPr>
          <w:t>ine.co.uk/content/features/legal-ease-handling-grievances</w:t>
        </w:r>
      </w:hyperlink>
      <w:r w:rsidRPr="00721B7B">
        <w:rPr>
          <w:rFonts w:ascii="Arial" w:hAnsi="Arial" w:cs="Arial"/>
          <w:sz w:val="22"/>
          <w:szCs w:val="22"/>
        </w:rPr>
        <w:t xml:space="preserve"> (Accessed: </w:t>
      </w:r>
      <w:r w:rsidR="00451701" w:rsidRPr="00A75D23">
        <w:rPr>
          <w:rFonts w:ascii="Arial" w:hAnsi="Arial" w:cs="Arial"/>
          <w:sz w:val="22"/>
          <w:szCs w:val="22"/>
        </w:rPr>
        <w:t>7</w:t>
      </w:r>
      <w:r w:rsidRPr="00721B7B">
        <w:rPr>
          <w:rFonts w:ascii="Arial" w:hAnsi="Arial" w:cs="Arial"/>
          <w:sz w:val="22"/>
          <w:szCs w:val="22"/>
        </w:rPr>
        <w:t xml:space="preserve"> July 2025).</w:t>
      </w:r>
    </w:p>
    <w:p w14:paraId="46666230" w14:textId="3EFCFEF9" w:rsidR="006401D3" w:rsidRPr="00A75D23" w:rsidRDefault="006401D3" w:rsidP="006401D3">
      <w:pPr>
        <w:rPr>
          <w:rFonts w:ascii="Arial" w:hAnsi="Arial" w:cs="Arial"/>
          <w:sz w:val="22"/>
          <w:szCs w:val="22"/>
        </w:rPr>
      </w:pPr>
      <w:r w:rsidRPr="00A75D23">
        <w:rPr>
          <w:rFonts w:ascii="Arial" w:hAnsi="Arial" w:cs="Arial"/>
          <w:b/>
          <w:bCs/>
          <w:sz w:val="22"/>
          <w:szCs w:val="22"/>
        </w:rPr>
        <w:t xml:space="preserve">Harding, L. and </w:t>
      </w:r>
      <w:proofErr w:type="spellStart"/>
      <w:r w:rsidRPr="00A75D23">
        <w:rPr>
          <w:rFonts w:ascii="Arial" w:hAnsi="Arial" w:cs="Arial"/>
          <w:b/>
          <w:bCs/>
          <w:sz w:val="22"/>
          <w:szCs w:val="22"/>
        </w:rPr>
        <w:t>Twitchett</w:t>
      </w:r>
      <w:proofErr w:type="spellEnd"/>
      <w:r w:rsidRPr="00A75D23">
        <w:rPr>
          <w:rFonts w:ascii="Arial" w:hAnsi="Arial" w:cs="Arial"/>
          <w:b/>
          <w:bCs/>
          <w:sz w:val="22"/>
          <w:szCs w:val="22"/>
        </w:rPr>
        <w:t>, T. (2019)</w:t>
      </w:r>
      <w:r w:rsidRPr="00A75D23">
        <w:rPr>
          <w:rFonts w:ascii="Arial" w:hAnsi="Arial" w:cs="Arial"/>
          <w:sz w:val="22"/>
          <w:szCs w:val="22"/>
        </w:rPr>
        <w:t xml:space="preserve"> ‘How can you ensure employees have a voice?’ </w:t>
      </w:r>
      <w:r w:rsidRPr="00A75D23">
        <w:rPr>
          <w:rFonts w:ascii="Arial" w:hAnsi="Arial" w:cs="Arial"/>
          <w:i/>
          <w:iCs/>
          <w:sz w:val="22"/>
          <w:szCs w:val="22"/>
        </w:rPr>
        <w:t>People Management</w:t>
      </w:r>
      <w:r w:rsidRPr="00A75D23">
        <w:rPr>
          <w:rFonts w:ascii="Arial" w:hAnsi="Arial" w:cs="Arial"/>
          <w:sz w:val="22"/>
          <w:szCs w:val="22"/>
        </w:rPr>
        <w:t xml:space="preserve">. Available at: </w:t>
      </w:r>
      <w:hyperlink r:id="rId22" w:tgtFrame="_new" w:history="1">
        <w:r w:rsidRPr="00A75D23">
          <w:rPr>
            <w:rStyle w:val="Hyperlink"/>
            <w:rFonts w:ascii="Arial" w:hAnsi="Arial" w:cs="Arial"/>
            <w:sz w:val="22"/>
            <w:szCs w:val="22"/>
          </w:rPr>
          <w:t>https://www.peoplemanagement.</w:t>
        </w:r>
        <w:r w:rsidRPr="00A75D23">
          <w:rPr>
            <w:rStyle w:val="Hyperlink"/>
            <w:rFonts w:ascii="Arial" w:hAnsi="Arial" w:cs="Arial"/>
            <w:sz w:val="22"/>
            <w:szCs w:val="22"/>
          </w:rPr>
          <w:t>c</w:t>
        </w:r>
        <w:r w:rsidRPr="00A75D23">
          <w:rPr>
            <w:rStyle w:val="Hyperlink"/>
            <w:rFonts w:ascii="Arial" w:hAnsi="Arial" w:cs="Arial"/>
            <w:sz w:val="22"/>
            <w:szCs w:val="22"/>
          </w:rPr>
          <w:t>o.uk/article/1741296/how-can-you-ensure-employees-have-a-voice</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17F78DA4" w14:textId="2B46F5D6" w:rsidR="006401D3" w:rsidRPr="00A75D23" w:rsidRDefault="00B35067" w:rsidP="006401D3">
      <w:pPr>
        <w:rPr>
          <w:rFonts w:ascii="Arial" w:hAnsi="Arial" w:cs="Arial"/>
          <w:sz w:val="22"/>
          <w:szCs w:val="22"/>
        </w:rPr>
      </w:pPr>
      <w:r w:rsidRPr="00A75D23">
        <w:rPr>
          <w:rFonts w:ascii="Arial" w:hAnsi="Arial" w:cs="Arial"/>
          <w:b/>
          <w:bCs/>
          <w:sz w:val="22"/>
          <w:szCs w:val="22"/>
        </w:rPr>
        <w:t>IPA (2025a).</w:t>
      </w:r>
      <w:r w:rsidR="006401D3" w:rsidRPr="00A75D23">
        <w:rPr>
          <w:rFonts w:ascii="Arial" w:hAnsi="Arial" w:cs="Arial"/>
          <w:sz w:val="22"/>
          <w:szCs w:val="22"/>
        </w:rPr>
        <w:t xml:space="preserve"> </w:t>
      </w:r>
      <w:r w:rsidR="006401D3" w:rsidRPr="00A75D23">
        <w:rPr>
          <w:rFonts w:ascii="Arial" w:hAnsi="Arial" w:cs="Arial"/>
          <w:i/>
          <w:iCs/>
          <w:sz w:val="22"/>
          <w:szCs w:val="22"/>
        </w:rPr>
        <w:t>How workplace participation increases productivity – behavioural evidence</w:t>
      </w:r>
      <w:r w:rsidR="006401D3" w:rsidRPr="00A75D23">
        <w:rPr>
          <w:rFonts w:ascii="Arial" w:hAnsi="Arial" w:cs="Arial"/>
          <w:sz w:val="22"/>
          <w:szCs w:val="22"/>
        </w:rPr>
        <w:t xml:space="preserve">. Available at: </w:t>
      </w:r>
      <w:hyperlink r:id="rId23" w:tgtFrame="_new" w:history="1">
        <w:r w:rsidR="006401D3" w:rsidRPr="00A75D23">
          <w:rPr>
            <w:rStyle w:val="Hyperlink"/>
            <w:rFonts w:ascii="Arial" w:hAnsi="Arial" w:cs="Arial"/>
            <w:sz w:val="22"/>
            <w:szCs w:val="22"/>
          </w:rPr>
          <w:t>https://www.ipa-involve.com/News/how-workplace-participation-increases-productivity-behavioural-evidence</w:t>
        </w:r>
      </w:hyperlink>
      <w:r w:rsidR="006401D3" w:rsidRPr="00A75D23">
        <w:rPr>
          <w:rFonts w:ascii="Arial" w:hAnsi="Arial" w:cs="Arial"/>
          <w:sz w:val="22"/>
          <w:szCs w:val="22"/>
        </w:rPr>
        <w:t xml:space="preserve"> (Accessed: </w:t>
      </w:r>
      <w:r w:rsidR="00451701" w:rsidRPr="00A75D23">
        <w:rPr>
          <w:rFonts w:ascii="Arial" w:hAnsi="Arial" w:cs="Arial"/>
          <w:sz w:val="22"/>
          <w:szCs w:val="22"/>
        </w:rPr>
        <w:t>5</w:t>
      </w:r>
      <w:r w:rsidR="006401D3" w:rsidRPr="00A75D23">
        <w:rPr>
          <w:rFonts w:ascii="Arial" w:hAnsi="Arial" w:cs="Arial"/>
          <w:sz w:val="22"/>
          <w:szCs w:val="22"/>
        </w:rPr>
        <w:t xml:space="preserve"> July 2025).</w:t>
      </w:r>
    </w:p>
    <w:p w14:paraId="0F018261" w14:textId="4C6CB321" w:rsidR="006401D3" w:rsidRPr="00A75D23" w:rsidRDefault="006401D3" w:rsidP="006401D3">
      <w:pPr>
        <w:rPr>
          <w:rFonts w:ascii="Arial" w:hAnsi="Arial" w:cs="Arial"/>
          <w:sz w:val="22"/>
          <w:szCs w:val="22"/>
        </w:rPr>
      </w:pPr>
      <w:r w:rsidRPr="00A75D23">
        <w:rPr>
          <w:rFonts w:ascii="Arial" w:hAnsi="Arial" w:cs="Arial"/>
          <w:b/>
          <w:bCs/>
          <w:sz w:val="22"/>
          <w:szCs w:val="22"/>
        </w:rPr>
        <w:t>IPA (202</w:t>
      </w:r>
      <w:r w:rsidR="002E65A4" w:rsidRPr="00A75D23">
        <w:rPr>
          <w:rFonts w:ascii="Arial" w:hAnsi="Arial" w:cs="Arial"/>
          <w:b/>
          <w:bCs/>
          <w:sz w:val="22"/>
          <w:szCs w:val="22"/>
        </w:rPr>
        <w:t>5</w:t>
      </w:r>
      <w:r w:rsidR="00B35067" w:rsidRPr="00A75D23">
        <w:rPr>
          <w:rFonts w:ascii="Arial" w:hAnsi="Arial" w:cs="Arial"/>
          <w:b/>
          <w:bCs/>
          <w:sz w:val="22"/>
          <w:szCs w:val="22"/>
        </w:rPr>
        <w:t>b</w:t>
      </w:r>
      <w:r w:rsidRPr="00A75D23">
        <w:rPr>
          <w:rFonts w:ascii="Arial" w:hAnsi="Arial" w:cs="Arial"/>
          <w:b/>
          <w:bCs/>
          <w:sz w:val="22"/>
          <w:szCs w:val="22"/>
        </w:rPr>
        <w:t>)</w:t>
      </w:r>
      <w:r w:rsidR="003A1916"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The benefits of employee voice</w:t>
      </w:r>
      <w:r w:rsidRPr="00A75D23">
        <w:rPr>
          <w:rFonts w:ascii="Arial" w:hAnsi="Arial" w:cs="Arial"/>
          <w:sz w:val="22"/>
          <w:szCs w:val="22"/>
        </w:rPr>
        <w:t xml:space="preserve">. Available at: </w:t>
      </w:r>
      <w:hyperlink r:id="rId24" w:tgtFrame="_new" w:history="1">
        <w:r w:rsidRPr="00A75D23">
          <w:rPr>
            <w:rStyle w:val="Hyperlink"/>
            <w:rFonts w:ascii="Arial" w:hAnsi="Arial" w:cs="Arial"/>
            <w:sz w:val="22"/>
            <w:szCs w:val="22"/>
          </w:rPr>
          <w:t>https://www.ipa-involve.com/e</w:t>
        </w:r>
        <w:r w:rsidRPr="00A75D23">
          <w:rPr>
            <w:rStyle w:val="Hyperlink"/>
            <w:rFonts w:ascii="Arial" w:hAnsi="Arial" w:cs="Arial"/>
            <w:sz w:val="22"/>
            <w:szCs w:val="22"/>
          </w:rPr>
          <w:t>m</w:t>
        </w:r>
        <w:r w:rsidRPr="00A75D23">
          <w:rPr>
            <w:rStyle w:val="Hyperlink"/>
            <w:rFonts w:ascii="Arial" w:hAnsi="Arial" w:cs="Arial"/>
            <w:sz w:val="22"/>
            <w:szCs w:val="22"/>
          </w:rPr>
          <w:t>ployee-voice</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27B4B399" w14:textId="65784756" w:rsidR="00524DBF" w:rsidRPr="00A75D23" w:rsidRDefault="00524DBF" w:rsidP="006401D3">
      <w:pPr>
        <w:rPr>
          <w:rFonts w:ascii="Arial" w:hAnsi="Arial" w:cs="Arial"/>
          <w:sz w:val="22"/>
          <w:szCs w:val="22"/>
        </w:rPr>
      </w:pPr>
      <w:r w:rsidRPr="00A75D23">
        <w:rPr>
          <w:rFonts w:ascii="Arial" w:hAnsi="Arial" w:cs="Arial"/>
          <w:b/>
          <w:bCs/>
          <w:sz w:val="22"/>
          <w:szCs w:val="22"/>
        </w:rPr>
        <w:t>Lamb, C.</w:t>
      </w:r>
      <w:r w:rsidRPr="00055EA6">
        <w:rPr>
          <w:rFonts w:ascii="Arial" w:hAnsi="Arial" w:cs="Arial"/>
          <w:sz w:val="22"/>
          <w:szCs w:val="22"/>
        </w:rPr>
        <w:t xml:space="preserve"> </w:t>
      </w:r>
      <w:r w:rsidRPr="00055EA6">
        <w:rPr>
          <w:rFonts w:ascii="Arial" w:hAnsi="Arial" w:cs="Arial"/>
          <w:b/>
          <w:bCs/>
          <w:sz w:val="22"/>
          <w:szCs w:val="22"/>
        </w:rPr>
        <w:t xml:space="preserve">(2023) </w:t>
      </w:r>
      <w:r w:rsidRPr="00055EA6">
        <w:rPr>
          <w:rFonts w:ascii="Arial" w:hAnsi="Arial" w:cs="Arial"/>
          <w:i/>
          <w:iCs/>
          <w:sz w:val="22"/>
          <w:szCs w:val="22"/>
        </w:rPr>
        <w:t>The McDonald’s case shows that HR must help leaders tackle the causes of bullying</w:t>
      </w:r>
      <w:r w:rsidRPr="00A75D23">
        <w:rPr>
          <w:rFonts w:ascii="Arial" w:hAnsi="Arial" w:cs="Arial"/>
          <w:sz w:val="22"/>
          <w:szCs w:val="22"/>
        </w:rPr>
        <w:t>.</w:t>
      </w:r>
      <w:r w:rsidRPr="00055EA6">
        <w:rPr>
          <w:rFonts w:ascii="Arial" w:hAnsi="Arial" w:cs="Arial"/>
          <w:sz w:val="22"/>
          <w:szCs w:val="22"/>
        </w:rPr>
        <w:t xml:space="preserve"> Available at: </w:t>
      </w:r>
      <w:hyperlink r:id="rId25" w:tgtFrame="_new" w:history="1">
        <w:r w:rsidRPr="00055EA6">
          <w:rPr>
            <w:rStyle w:val="Hyperlink"/>
            <w:rFonts w:ascii="Arial" w:hAnsi="Arial" w:cs="Arial"/>
            <w:sz w:val="22"/>
            <w:szCs w:val="22"/>
          </w:rPr>
          <w:t>https://www.hrmagazine.co.uk/content/comment/the-mcdonalds-case-shows-that-h</w:t>
        </w:r>
        <w:r w:rsidRPr="00055EA6">
          <w:rPr>
            <w:rStyle w:val="Hyperlink"/>
            <w:rFonts w:ascii="Arial" w:hAnsi="Arial" w:cs="Arial"/>
            <w:sz w:val="22"/>
            <w:szCs w:val="22"/>
          </w:rPr>
          <w:t>r</w:t>
        </w:r>
        <w:r w:rsidRPr="00055EA6">
          <w:rPr>
            <w:rStyle w:val="Hyperlink"/>
            <w:rFonts w:ascii="Arial" w:hAnsi="Arial" w:cs="Arial"/>
            <w:sz w:val="22"/>
            <w:szCs w:val="22"/>
          </w:rPr>
          <w:t>-must-help-leaders-tackle-the-causes-of-bullying</w:t>
        </w:r>
      </w:hyperlink>
      <w:r w:rsidRPr="00055EA6">
        <w:rPr>
          <w:rFonts w:ascii="Arial" w:hAnsi="Arial" w:cs="Arial"/>
          <w:sz w:val="22"/>
          <w:szCs w:val="22"/>
        </w:rPr>
        <w:t xml:space="preserve"> (Accessed: </w:t>
      </w:r>
      <w:r w:rsidR="00451701" w:rsidRPr="00A75D23">
        <w:rPr>
          <w:rFonts w:ascii="Arial" w:hAnsi="Arial" w:cs="Arial"/>
          <w:sz w:val="22"/>
          <w:szCs w:val="22"/>
        </w:rPr>
        <w:t>7</w:t>
      </w:r>
      <w:r w:rsidRPr="00055EA6">
        <w:rPr>
          <w:rFonts w:ascii="Arial" w:hAnsi="Arial" w:cs="Arial"/>
          <w:sz w:val="22"/>
          <w:szCs w:val="22"/>
        </w:rPr>
        <w:t xml:space="preserve"> July 2025).</w:t>
      </w:r>
    </w:p>
    <w:p w14:paraId="67076228" w14:textId="3BB06CF3" w:rsidR="006401D3" w:rsidRPr="00A75D23" w:rsidRDefault="006401D3" w:rsidP="006401D3">
      <w:pPr>
        <w:rPr>
          <w:rFonts w:ascii="Arial" w:hAnsi="Arial" w:cs="Arial"/>
          <w:sz w:val="22"/>
          <w:szCs w:val="22"/>
        </w:rPr>
      </w:pPr>
      <w:r w:rsidRPr="00A75D23">
        <w:rPr>
          <w:rFonts w:ascii="Arial" w:hAnsi="Arial" w:cs="Arial"/>
          <w:b/>
          <w:bCs/>
          <w:sz w:val="22"/>
          <w:szCs w:val="22"/>
        </w:rPr>
        <w:t>LinkedIn (2025)</w:t>
      </w:r>
      <w:r w:rsidR="00814A83" w:rsidRPr="00A75D23">
        <w:rPr>
          <w:rFonts w:ascii="Arial" w:hAnsi="Arial" w:cs="Arial"/>
          <w:b/>
          <w:bCs/>
          <w:sz w:val="22"/>
          <w:szCs w:val="22"/>
        </w:rPr>
        <w:t>.</w:t>
      </w:r>
      <w:r w:rsidRPr="00A75D23">
        <w:rPr>
          <w:rFonts w:ascii="Arial" w:hAnsi="Arial" w:cs="Arial"/>
          <w:sz w:val="22"/>
          <w:szCs w:val="22"/>
        </w:rPr>
        <w:t xml:space="preserve"> ‘How do you gather and use employee suggestions?’ Available at: </w:t>
      </w:r>
      <w:hyperlink r:id="rId26" w:tgtFrame="_new" w:history="1">
        <w:r w:rsidRPr="00A75D23">
          <w:rPr>
            <w:rStyle w:val="Hyperlink"/>
            <w:rFonts w:ascii="Arial" w:hAnsi="Arial" w:cs="Arial"/>
            <w:sz w:val="22"/>
            <w:szCs w:val="22"/>
          </w:rPr>
          <w:t>https://www.linkedin.com/a</w:t>
        </w:r>
        <w:r w:rsidRPr="00A75D23">
          <w:rPr>
            <w:rStyle w:val="Hyperlink"/>
            <w:rFonts w:ascii="Arial" w:hAnsi="Arial" w:cs="Arial"/>
            <w:sz w:val="22"/>
            <w:szCs w:val="22"/>
          </w:rPr>
          <w:t>d</w:t>
        </w:r>
        <w:r w:rsidRPr="00A75D23">
          <w:rPr>
            <w:rStyle w:val="Hyperlink"/>
            <w:rFonts w:ascii="Arial" w:hAnsi="Arial" w:cs="Arial"/>
            <w:sz w:val="22"/>
            <w:szCs w:val="22"/>
          </w:rPr>
          <w:t>vice/1/how-do-you-gather-use-employee-suggestions</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151D674C" w14:textId="7A0B5633" w:rsidR="00F35579" w:rsidRPr="00A75D23" w:rsidRDefault="00F35579" w:rsidP="006401D3">
      <w:pPr>
        <w:rPr>
          <w:rFonts w:ascii="Arial" w:hAnsi="Arial" w:cs="Arial"/>
          <w:sz w:val="22"/>
          <w:szCs w:val="22"/>
        </w:rPr>
      </w:pPr>
      <w:r w:rsidRPr="00A75D23">
        <w:rPr>
          <w:rFonts w:ascii="Arial" w:hAnsi="Arial" w:cs="Arial"/>
          <w:b/>
          <w:bCs/>
          <w:sz w:val="22"/>
          <w:szCs w:val="22"/>
        </w:rPr>
        <w:t>Luckhurst, D. (2025).</w:t>
      </w:r>
      <w:r w:rsidRPr="00A75D23">
        <w:rPr>
          <w:rFonts w:ascii="Arial" w:hAnsi="Arial" w:cs="Arial"/>
          <w:sz w:val="22"/>
          <w:szCs w:val="22"/>
        </w:rPr>
        <w:t xml:space="preserve"> </w:t>
      </w:r>
      <w:r w:rsidRPr="00A75D23">
        <w:rPr>
          <w:rFonts w:ascii="Arial" w:hAnsi="Arial" w:cs="Arial"/>
          <w:i/>
          <w:iCs/>
          <w:sz w:val="22"/>
          <w:szCs w:val="22"/>
        </w:rPr>
        <w:t>Workplace representation: What next for trade unions and staff forums?</w:t>
      </w:r>
      <w:r w:rsidRPr="00A75D23">
        <w:rPr>
          <w:rFonts w:ascii="Arial" w:hAnsi="Arial" w:cs="Arial"/>
          <w:sz w:val="22"/>
          <w:szCs w:val="22"/>
        </w:rPr>
        <w:t xml:space="preserve"> Available at: </w:t>
      </w:r>
      <w:hyperlink r:id="rId27" w:tgtFrame="_new" w:history="1">
        <w:r w:rsidRPr="00A75D23">
          <w:rPr>
            <w:rStyle w:val="Hyperlink"/>
            <w:rFonts w:ascii="Arial" w:hAnsi="Arial" w:cs="Arial"/>
            <w:sz w:val="22"/>
            <w:szCs w:val="22"/>
          </w:rPr>
          <w:t>https://www.ipa-involve.com/News/workplace-representation-what-next-for-trade-s-and-staff-forums</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214D9092" w14:textId="7C5E5F39" w:rsidR="006401D3" w:rsidRPr="00A75D23" w:rsidRDefault="006401D3" w:rsidP="006401D3">
      <w:pPr>
        <w:rPr>
          <w:rFonts w:ascii="Arial" w:hAnsi="Arial" w:cs="Arial"/>
          <w:sz w:val="22"/>
          <w:szCs w:val="22"/>
        </w:rPr>
      </w:pPr>
      <w:r w:rsidRPr="00A75D23">
        <w:rPr>
          <w:rFonts w:ascii="Arial" w:hAnsi="Arial" w:cs="Arial"/>
          <w:b/>
          <w:bCs/>
          <w:sz w:val="22"/>
          <w:szCs w:val="22"/>
        </w:rPr>
        <w:t>Marchington, M. (2007)</w:t>
      </w:r>
      <w:r w:rsidR="00814A83" w:rsidRPr="00A75D23">
        <w:rPr>
          <w:rFonts w:ascii="Arial" w:hAnsi="Arial" w:cs="Arial"/>
          <w:b/>
          <w:bCs/>
          <w:sz w:val="22"/>
          <w:szCs w:val="22"/>
        </w:rPr>
        <w:t>.</w:t>
      </w:r>
      <w:r w:rsidRPr="00A75D23">
        <w:rPr>
          <w:rFonts w:ascii="Arial" w:hAnsi="Arial" w:cs="Arial"/>
          <w:sz w:val="22"/>
          <w:szCs w:val="22"/>
        </w:rPr>
        <w:t xml:space="preserve"> ‘Employee voice systems’, in Boxall, P., Purcell, J. and Wright, P. (eds.) </w:t>
      </w:r>
      <w:r w:rsidRPr="00A75D23">
        <w:rPr>
          <w:rFonts w:ascii="Arial" w:hAnsi="Arial" w:cs="Arial"/>
          <w:i/>
          <w:iCs/>
          <w:sz w:val="22"/>
          <w:szCs w:val="22"/>
        </w:rPr>
        <w:t>The Oxford Handbook of Human Resource Management</w:t>
      </w:r>
      <w:r w:rsidRPr="00A75D23">
        <w:rPr>
          <w:rFonts w:ascii="Arial" w:hAnsi="Arial" w:cs="Arial"/>
          <w:sz w:val="22"/>
          <w:szCs w:val="22"/>
        </w:rPr>
        <w:t>. Oxford: Oxford University Press, pp. 231–250.</w:t>
      </w:r>
    </w:p>
    <w:p w14:paraId="27A7B688" w14:textId="5ED4E120" w:rsidR="000B0388" w:rsidRPr="00A75D23" w:rsidRDefault="000B0388" w:rsidP="000B0388">
      <w:pPr>
        <w:rPr>
          <w:rFonts w:ascii="Arial" w:hAnsi="Arial" w:cs="Arial"/>
          <w:sz w:val="22"/>
          <w:szCs w:val="22"/>
        </w:rPr>
      </w:pPr>
      <w:r w:rsidRPr="00A75D23">
        <w:rPr>
          <w:rFonts w:ascii="Arial" w:hAnsi="Arial" w:cs="Arial"/>
          <w:b/>
          <w:bCs/>
          <w:sz w:val="22"/>
          <w:szCs w:val="22"/>
        </w:rPr>
        <w:t>McConnell, A.</w:t>
      </w:r>
      <w:r w:rsidRPr="00721B7B">
        <w:rPr>
          <w:rFonts w:ascii="Arial" w:hAnsi="Arial" w:cs="Arial"/>
          <w:b/>
          <w:bCs/>
          <w:sz w:val="22"/>
          <w:szCs w:val="22"/>
        </w:rPr>
        <w:t xml:space="preserve"> (20</w:t>
      </w:r>
      <w:r w:rsidRPr="00A75D23">
        <w:rPr>
          <w:rFonts w:ascii="Arial" w:hAnsi="Arial" w:cs="Arial"/>
          <w:b/>
          <w:bCs/>
          <w:sz w:val="22"/>
          <w:szCs w:val="22"/>
        </w:rPr>
        <w:t>14</w:t>
      </w:r>
      <w:r w:rsidRPr="00721B7B">
        <w:rPr>
          <w:rFonts w:ascii="Arial" w:hAnsi="Arial" w:cs="Arial"/>
          <w:b/>
          <w:bCs/>
          <w:sz w:val="22"/>
          <w:szCs w:val="22"/>
        </w:rPr>
        <w:t xml:space="preserve">) </w:t>
      </w:r>
      <w:r w:rsidRPr="00721B7B">
        <w:rPr>
          <w:rFonts w:ascii="Arial" w:hAnsi="Arial" w:cs="Arial"/>
          <w:i/>
          <w:iCs/>
          <w:sz w:val="22"/>
          <w:szCs w:val="22"/>
        </w:rPr>
        <w:t>The importance of handling grievances properly</w:t>
      </w:r>
      <w:r w:rsidRPr="00721B7B">
        <w:rPr>
          <w:rFonts w:ascii="Arial" w:hAnsi="Arial" w:cs="Arial"/>
          <w:sz w:val="22"/>
          <w:szCs w:val="22"/>
        </w:rPr>
        <w:t xml:space="preserve">. Available at: </w:t>
      </w:r>
      <w:hyperlink r:id="rId28" w:tgtFrame="_new" w:history="1">
        <w:r w:rsidRPr="00721B7B">
          <w:rPr>
            <w:rStyle w:val="Hyperlink"/>
            <w:rFonts w:ascii="Arial" w:hAnsi="Arial" w:cs="Arial"/>
            <w:sz w:val="22"/>
            <w:szCs w:val="22"/>
          </w:rPr>
          <w:t>https://www.personnelto</w:t>
        </w:r>
        <w:r w:rsidRPr="00721B7B">
          <w:rPr>
            <w:rStyle w:val="Hyperlink"/>
            <w:rFonts w:ascii="Arial" w:hAnsi="Arial" w:cs="Arial"/>
            <w:sz w:val="22"/>
            <w:szCs w:val="22"/>
          </w:rPr>
          <w:t>d</w:t>
        </w:r>
        <w:r w:rsidRPr="00721B7B">
          <w:rPr>
            <w:rStyle w:val="Hyperlink"/>
            <w:rFonts w:ascii="Arial" w:hAnsi="Arial" w:cs="Arial"/>
            <w:sz w:val="22"/>
            <w:szCs w:val="22"/>
          </w:rPr>
          <w:t>ay.co</w:t>
        </w:r>
        <w:r w:rsidRPr="00721B7B">
          <w:rPr>
            <w:rStyle w:val="Hyperlink"/>
            <w:rFonts w:ascii="Arial" w:hAnsi="Arial" w:cs="Arial"/>
            <w:sz w:val="22"/>
            <w:szCs w:val="22"/>
          </w:rPr>
          <w:t>m</w:t>
        </w:r>
        <w:r w:rsidRPr="00721B7B">
          <w:rPr>
            <w:rStyle w:val="Hyperlink"/>
            <w:rFonts w:ascii="Arial" w:hAnsi="Arial" w:cs="Arial"/>
            <w:sz w:val="22"/>
            <w:szCs w:val="22"/>
          </w:rPr>
          <w:t>/hr/importance-handling-grievances-properly/</w:t>
        </w:r>
      </w:hyperlink>
      <w:r w:rsidRPr="00721B7B">
        <w:rPr>
          <w:rFonts w:ascii="Arial" w:hAnsi="Arial" w:cs="Arial"/>
          <w:sz w:val="22"/>
          <w:szCs w:val="22"/>
        </w:rPr>
        <w:t xml:space="preserve"> (Accessed: </w:t>
      </w:r>
      <w:r w:rsidR="00451701" w:rsidRPr="00A75D23">
        <w:rPr>
          <w:rFonts w:ascii="Arial" w:hAnsi="Arial" w:cs="Arial"/>
          <w:sz w:val="22"/>
          <w:szCs w:val="22"/>
        </w:rPr>
        <w:t>7</w:t>
      </w:r>
      <w:r w:rsidRPr="00721B7B">
        <w:rPr>
          <w:rFonts w:ascii="Arial" w:hAnsi="Arial" w:cs="Arial"/>
          <w:sz w:val="22"/>
          <w:szCs w:val="22"/>
        </w:rPr>
        <w:t xml:space="preserve"> July 2025).</w:t>
      </w:r>
    </w:p>
    <w:p w14:paraId="6812434A" w14:textId="0FB1451A" w:rsidR="000B0388" w:rsidRPr="00A75D23" w:rsidRDefault="000B0388" w:rsidP="000B0388">
      <w:pPr>
        <w:rPr>
          <w:rFonts w:ascii="Arial" w:hAnsi="Arial" w:cs="Arial"/>
          <w:sz w:val="22"/>
          <w:szCs w:val="22"/>
        </w:rPr>
      </w:pPr>
      <w:r w:rsidRPr="00A75D23">
        <w:rPr>
          <w:rFonts w:ascii="Arial" w:hAnsi="Arial" w:cs="Arial"/>
          <w:b/>
          <w:bCs/>
          <w:sz w:val="22"/>
          <w:szCs w:val="22"/>
        </w:rPr>
        <w:lastRenderedPageBreak/>
        <w:t>Posner, N. (2019)</w:t>
      </w:r>
      <w:r w:rsidRPr="00A75D23">
        <w:rPr>
          <w:rFonts w:ascii="Arial" w:hAnsi="Arial" w:cs="Arial"/>
          <w:sz w:val="22"/>
          <w:szCs w:val="22"/>
        </w:rPr>
        <w:t xml:space="preserve"> ‘Taking the grief out of </w:t>
      </w:r>
      <w:proofErr w:type="gramStart"/>
      <w:r w:rsidRPr="00A75D23">
        <w:rPr>
          <w:rFonts w:ascii="Arial" w:hAnsi="Arial" w:cs="Arial"/>
          <w:sz w:val="22"/>
          <w:szCs w:val="22"/>
        </w:rPr>
        <w:t>grievances’</w:t>
      </w:r>
      <w:proofErr w:type="gramEnd"/>
      <w:r w:rsidRPr="00A75D23">
        <w:rPr>
          <w:rFonts w:ascii="Arial" w:hAnsi="Arial" w:cs="Arial"/>
          <w:sz w:val="22"/>
          <w:szCs w:val="22"/>
        </w:rPr>
        <w:t xml:space="preserve">. Available at: </w:t>
      </w:r>
      <w:hyperlink r:id="rId29" w:tgtFrame="_new" w:history="1">
        <w:r w:rsidRPr="00A75D23">
          <w:rPr>
            <w:rStyle w:val="Hyperlink"/>
            <w:rFonts w:ascii="Arial" w:hAnsi="Arial" w:cs="Arial"/>
            <w:sz w:val="22"/>
            <w:szCs w:val="22"/>
          </w:rPr>
          <w:t>https://www.hrmagazine.co.uk/content/features/taking-the-grief-out-of-grievances</w:t>
        </w:r>
      </w:hyperlink>
      <w:r w:rsidRPr="00A75D23">
        <w:rPr>
          <w:rFonts w:ascii="Arial" w:hAnsi="Arial" w:cs="Arial"/>
          <w:sz w:val="22"/>
          <w:szCs w:val="22"/>
        </w:rPr>
        <w:t xml:space="preserve"> (Accessed: </w:t>
      </w:r>
      <w:r w:rsidR="00451701" w:rsidRPr="00A75D23">
        <w:rPr>
          <w:rFonts w:ascii="Arial" w:hAnsi="Arial" w:cs="Arial"/>
          <w:sz w:val="22"/>
          <w:szCs w:val="22"/>
        </w:rPr>
        <w:t>7</w:t>
      </w:r>
      <w:r w:rsidRPr="00A75D23">
        <w:rPr>
          <w:rFonts w:ascii="Arial" w:hAnsi="Arial" w:cs="Arial"/>
          <w:sz w:val="22"/>
          <w:szCs w:val="22"/>
        </w:rPr>
        <w:t xml:space="preserve"> July 2025).</w:t>
      </w:r>
    </w:p>
    <w:p w14:paraId="3A658969" w14:textId="13497B86" w:rsidR="000D6CB8" w:rsidRPr="00A75D23" w:rsidRDefault="000D6CB8" w:rsidP="006401D3">
      <w:pPr>
        <w:rPr>
          <w:rFonts w:ascii="Arial" w:hAnsi="Arial" w:cs="Arial"/>
          <w:sz w:val="22"/>
          <w:szCs w:val="22"/>
        </w:rPr>
      </w:pPr>
      <w:r w:rsidRPr="000D6CB8">
        <w:rPr>
          <w:rFonts w:ascii="Arial" w:hAnsi="Arial" w:cs="Arial"/>
          <w:b/>
          <w:bCs/>
          <w:sz w:val="22"/>
          <w:szCs w:val="22"/>
        </w:rPr>
        <w:t xml:space="preserve">Resolution Foundation (2023) </w:t>
      </w:r>
      <w:r w:rsidRPr="000D6CB8">
        <w:rPr>
          <w:rFonts w:ascii="Arial" w:hAnsi="Arial" w:cs="Arial"/>
          <w:i/>
          <w:iCs/>
          <w:sz w:val="22"/>
          <w:szCs w:val="22"/>
        </w:rPr>
        <w:t>Labour Market Outlook Q2 2023</w:t>
      </w:r>
      <w:r w:rsidRPr="000D6CB8">
        <w:rPr>
          <w:rFonts w:ascii="Arial" w:hAnsi="Arial" w:cs="Arial"/>
          <w:sz w:val="22"/>
          <w:szCs w:val="22"/>
        </w:rPr>
        <w:t xml:space="preserve">. Executive Summary. Available at: </w:t>
      </w:r>
      <w:hyperlink r:id="rId30" w:history="1">
        <w:r w:rsidRPr="00A75D23">
          <w:rPr>
            <w:rStyle w:val="Hyperlink"/>
            <w:rFonts w:ascii="Arial" w:hAnsi="Arial" w:cs="Arial"/>
            <w:sz w:val="22"/>
            <w:szCs w:val="22"/>
          </w:rPr>
          <w:t>https://www.resolutionfoundation.org/publications/labour-market-outlook-q2-2023/</w:t>
        </w:r>
      </w:hyperlink>
      <w:r w:rsidRPr="00A75D23">
        <w:rPr>
          <w:rFonts w:ascii="Arial" w:hAnsi="Arial" w:cs="Arial"/>
          <w:sz w:val="22"/>
          <w:szCs w:val="22"/>
        </w:rPr>
        <w:t xml:space="preserve"> </w:t>
      </w:r>
      <w:r w:rsidRPr="000D6CB8">
        <w:rPr>
          <w:rFonts w:ascii="Arial" w:hAnsi="Arial" w:cs="Arial"/>
          <w:sz w:val="22"/>
          <w:szCs w:val="22"/>
        </w:rPr>
        <w:t xml:space="preserve">(Accessed: </w:t>
      </w:r>
      <w:r w:rsidR="00451701" w:rsidRPr="00A75D23">
        <w:rPr>
          <w:rFonts w:ascii="Arial" w:hAnsi="Arial" w:cs="Arial"/>
          <w:sz w:val="22"/>
          <w:szCs w:val="22"/>
        </w:rPr>
        <w:t>6</w:t>
      </w:r>
      <w:r w:rsidRPr="000D6CB8">
        <w:rPr>
          <w:rFonts w:ascii="Arial" w:hAnsi="Arial" w:cs="Arial"/>
          <w:sz w:val="22"/>
          <w:szCs w:val="22"/>
        </w:rPr>
        <w:t xml:space="preserve"> July 2025).</w:t>
      </w:r>
    </w:p>
    <w:p w14:paraId="742E5548" w14:textId="77777777" w:rsidR="000411E0" w:rsidRPr="00A75D23" w:rsidRDefault="000411E0" w:rsidP="000411E0">
      <w:pPr>
        <w:rPr>
          <w:rFonts w:ascii="Arial" w:hAnsi="Arial" w:cs="Arial"/>
          <w:sz w:val="22"/>
          <w:szCs w:val="22"/>
        </w:rPr>
      </w:pPr>
      <w:r w:rsidRPr="00A75D23">
        <w:rPr>
          <w:rFonts w:ascii="Arial" w:hAnsi="Arial" w:cs="Arial"/>
          <w:b/>
          <w:bCs/>
          <w:sz w:val="22"/>
          <w:szCs w:val="22"/>
        </w:rPr>
        <w:t>Taylor, S. and Woodhams, C. (2022).</w:t>
      </w:r>
      <w:r w:rsidRPr="00A75D23">
        <w:rPr>
          <w:rFonts w:ascii="Arial" w:hAnsi="Arial" w:cs="Arial"/>
          <w:sz w:val="22"/>
          <w:szCs w:val="22"/>
        </w:rPr>
        <w:t xml:space="preserve"> </w:t>
      </w:r>
      <w:r w:rsidRPr="00A75D23">
        <w:rPr>
          <w:rFonts w:ascii="Arial" w:hAnsi="Arial" w:cs="Arial"/>
          <w:i/>
          <w:iCs/>
          <w:sz w:val="22"/>
          <w:szCs w:val="22"/>
        </w:rPr>
        <w:t>Human Resource Management</w:t>
      </w:r>
      <w:r w:rsidRPr="00A75D23">
        <w:rPr>
          <w:rFonts w:ascii="Arial" w:hAnsi="Arial" w:cs="Arial"/>
          <w:sz w:val="22"/>
          <w:szCs w:val="22"/>
        </w:rPr>
        <w:t>. 3rd ed. New York: Kogan Page.</w:t>
      </w:r>
    </w:p>
    <w:p w14:paraId="4C25F109" w14:textId="7C93B20E" w:rsidR="006401D3" w:rsidRPr="00A75D23" w:rsidRDefault="006401D3" w:rsidP="006401D3">
      <w:pPr>
        <w:rPr>
          <w:rFonts w:ascii="Arial" w:hAnsi="Arial" w:cs="Arial"/>
          <w:sz w:val="22"/>
          <w:szCs w:val="22"/>
        </w:rPr>
      </w:pPr>
      <w:r w:rsidRPr="00A75D23">
        <w:rPr>
          <w:rFonts w:ascii="Arial" w:hAnsi="Arial" w:cs="Arial"/>
          <w:b/>
          <w:bCs/>
          <w:sz w:val="22"/>
          <w:szCs w:val="22"/>
        </w:rPr>
        <w:t>Valentijn van Gils, V. (2024)</w:t>
      </w:r>
      <w:r w:rsidR="00814A83" w:rsidRPr="00A75D23">
        <w:rPr>
          <w:rFonts w:ascii="Arial" w:hAnsi="Arial" w:cs="Arial"/>
          <w:sz w:val="22"/>
          <w:szCs w:val="22"/>
        </w:rPr>
        <w:t>.</w:t>
      </w:r>
      <w:r w:rsidRPr="00A75D23">
        <w:rPr>
          <w:rFonts w:ascii="Arial" w:hAnsi="Arial" w:cs="Arial"/>
          <w:sz w:val="22"/>
          <w:szCs w:val="22"/>
        </w:rPr>
        <w:t xml:space="preserve"> ‘The risks of employee engagement without active follow-up: A tale of missed </w:t>
      </w:r>
      <w:proofErr w:type="gramStart"/>
      <w:r w:rsidRPr="00A75D23">
        <w:rPr>
          <w:rFonts w:ascii="Arial" w:hAnsi="Arial" w:cs="Arial"/>
          <w:sz w:val="22"/>
          <w:szCs w:val="22"/>
        </w:rPr>
        <w:t>opportunities’</w:t>
      </w:r>
      <w:proofErr w:type="gramEnd"/>
      <w:r w:rsidRPr="00A75D23">
        <w:rPr>
          <w:rFonts w:ascii="Arial" w:hAnsi="Arial" w:cs="Arial"/>
          <w:sz w:val="22"/>
          <w:szCs w:val="22"/>
        </w:rPr>
        <w:t xml:space="preserve">. </w:t>
      </w:r>
      <w:r w:rsidRPr="00A75D23">
        <w:rPr>
          <w:rFonts w:ascii="Arial" w:hAnsi="Arial" w:cs="Arial"/>
          <w:i/>
          <w:iCs/>
          <w:sz w:val="22"/>
          <w:szCs w:val="22"/>
        </w:rPr>
        <w:t>LinkedIn</w:t>
      </w:r>
      <w:r w:rsidRPr="00A75D23">
        <w:rPr>
          <w:rFonts w:ascii="Arial" w:hAnsi="Arial" w:cs="Arial"/>
          <w:sz w:val="22"/>
          <w:szCs w:val="22"/>
        </w:rPr>
        <w:t xml:space="preserve">. Available at: </w:t>
      </w:r>
      <w:hyperlink r:id="rId31" w:tgtFrame="_new" w:history="1">
        <w:r w:rsidRPr="00A75D23">
          <w:rPr>
            <w:rStyle w:val="Hyperlink"/>
            <w:rFonts w:ascii="Arial" w:hAnsi="Arial" w:cs="Arial"/>
            <w:sz w:val="22"/>
            <w:szCs w:val="22"/>
          </w:rPr>
          <w:t>https://www.linkedin.com/pulse/risks-employee-engagement-without-active-follow-up-tale</w:t>
        </w:r>
        <w:r w:rsidRPr="00A75D23">
          <w:rPr>
            <w:rStyle w:val="Hyperlink"/>
            <w:rFonts w:ascii="Arial" w:hAnsi="Arial" w:cs="Arial"/>
            <w:sz w:val="22"/>
            <w:szCs w:val="22"/>
          </w:rPr>
          <w:t>-</w:t>
        </w:r>
        <w:r w:rsidRPr="00A75D23">
          <w:rPr>
            <w:rStyle w:val="Hyperlink"/>
            <w:rFonts w:ascii="Arial" w:hAnsi="Arial" w:cs="Arial"/>
            <w:sz w:val="22"/>
            <w:szCs w:val="22"/>
          </w:rPr>
          <w:t>van-gils-em11e</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669CCE1E" w14:textId="53D634A2" w:rsidR="006401D3" w:rsidRPr="00A75D23" w:rsidRDefault="006401D3" w:rsidP="006401D3">
      <w:pPr>
        <w:rPr>
          <w:rFonts w:ascii="Arial" w:hAnsi="Arial" w:cs="Arial"/>
          <w:sz w:val="22"/>
          <w:szCs w:val="22"/>
        </w:rPr>
      </w:pPr>
      <w:r w:rsidRPr="00A75D23">
        <w:rPr>
          <w:rFonts w:ascii="Arial" w:hAnsi="Arial" w:cs="Arial"/>
          <w:b/>
          <w:bCs/>
          <w:sz w:val="22"/>
          <w:szCs w:val="22"/>
        </w:rPr>
        <w:t>VQ Solutions (2024)</w:t>
      </w:r>
      <w:r w:rsidRPr="00A75D23">
        <w:rPr>
          <w:rFonts w:ascii="Arial" w:hAnsi="Arial" w:cs="Arial"/>
          <w:sz w:val="22"/>
          <w:szCs w:val="22"/>
        </w:rPr>
        <w:t xml:space="preserve"> </w:t>
      </w:r>
      <w:r w:rsidRPr="00A75D23">
        <w:rPr>
          <w:rFonts w:ascii="Arial" w:hAnsi="Arial" w:cs="Arial"/>
          <w:i/>
          <w:iCs/>
          <w:sz w:val="22"/>
          <w:szCs w:val="22"/>
        </w:rPr>
        <w:t>The concept of better working lives and how this can be designed</w:t>
      </w:r>
      <w:r w:rsidRPr="00A75D23">
        <w:rPr>
          <w:rFonts w:ascii="Arial" w:hAnsi="Arial" w:cs="Arial"/>
          <w:sz w:val="22"/>
          <w:szCs w:val="22"/>
        </w:rPr>
        <w:t xml:space="preserve">. Available at: </w:t>
      </w:r>
      <w:hyperlink r:id="rId32" w:tgtFrame="_new" w:history="1">
        <w:r w:rsidRPr="00A75D23">
          <w:rPr>
            <w:rStyle w:val="Hyperlink"/>
            <w:rFonts w:ascii="Arial" w:hAnsi="Arial" w:cs="Arial"/>
            <w:sz w:val="22"/>
            <w:szCs w:val="22"/>
          </w:rPr>
          <w:t>https://hr.vqsolutions.co</w:t>
        </w:r>
        <w:r w:rsidRPr="00A75D23">
          <w:rPr>
            <w:rStyle w:val="Hyperlink"/>
            <w:rFonts w:ascii="Arial" w:hAnsi="Arial" w:cs="Arial"/>
            <w:sz w:val="22"/>
            <w:szCs w:val="22"/>
          </w:rPr>
          <w:t>.</w:t>
        </w:r>
        <w:r w:rsidRPr="00A75D23">
          <w:rPr>
            <w:rStyle w:val="Hyperlink"/>
            <w:rFonts w:ascii="Arial" w:hAnsi="Arial" w:cs="Arial"/>
            <w:sz w:val="22"/>
            <w:szCs w:val="22"/>
          </w:rPr>
          <w:t>uk/concept-of-better-working-lives-and-how-this-can-be-designed/</w:t>
        </w:r>
      </w:hyperlink>
      <w:r w:rsidRPr="00A75D23">
        <w:rPr>
          <w:rFonts w:ascii="Arial" w:hAnsi="Arial" w:cs="Arial"/>
          <w:sz w:val="22"/>
          <w:szCs w:val="22"/>
        </w:rPr>
        <w:t xml:space="preserve"> (Accessed: </w:t>
      </w:r>
      <w:r w:rsidR="00451701" w:rsidRPr="00A75D23">
        <w:rPr>
          <w:rFonts w:ascii="Arial" w:hAnsi="Arial" w:cs="Arial"/>
          <w:sz w:val="22"/>
          <w:szCs w:val="22"/>
        </w:rPr>
        <w:t>6</w:t>
      </w:r>
      <w:r w:rsidRPr="00A75D23">
        <w:rPr>
          <w:rFonts w:ascii="Arial" w:hAnsi="Arial" w:cs="Arial"/>
          <w:sz w:val="22"/>
          <w:szCs w:val="22"/>
        </w:rPr>
        <w:t xml:space="preserve"> July 2025).</w:t>
      </w:r>
    </w:p>
    <w:p w14:paraId="40435E9E" w14:textId="181F62F8" w:rsidR="005F5A95" w:rsidRPr="00A75D23" w:rsidRDefault="005F5A95" w:rsidP="006401D3">
      <w:pPr>
        <w:rPr>
          <w:rFonts w:ascii="Arial" w:hAnsi="Arial" w:cs="Arial"/>
          <w:sz w:val="22"/>
          <w:szCs w:val="22"/>
        </w:rPr>
      </w:pPr>
      <w:r w:rsidRPr="00A75D23">
        <w:rPr>
          <w:rFonts w:ascii="Arial" w:hAnsi="Arial" w:cs="Arial"/>
          <w:b/>
          <w:bCs/>
          <w:sz w:val="22"/>
          <w:szCs w:val="22"/>
        </w:rPr>
        <w:t>Welsh Government (202</w:t>
      </w:r>
      <w:r w:rsidR="00814A83" w:rsidRPr="00A75D23">
        <w:rPr>
          <w:rFonts w:ascii="Arial" w:hAnsi="Arial" w:cs="Arial"/>
          <w:b/>
          <w:bCs/>
          <w:sz w:val="22"/>
          <w:szCs w:val="22"/>
        </w:rPr>
        <w:t>5</w:t>
      </w:r>
      <w:r w:rsidRPr="00A75D23">
        <w:rPr>
          <w:rFonts w:ascii="Arial" w:hAnsi="Arial" w:cs="Arial"/>
          <w:b/>
          <w:bCs/>
          <w:sz w:val="22"/>
          <w:szCs w:val="22"/>
        </w:rPr>
        <w:t>)</w:t>
      </w:r>
      <w:r w:rsidR="00814A83" w:rsidRPr="00A75D23">
        <w:rPr>
          <w:rFonts w:ascii="Arial" w:hAnsi="Arial" w:cs="Arial"/>
          <w:b/>
          <w:bCs/>
          <w:sz w:val="22"/>
          <w:szCs w:val="22"/>
        </w:rPr>
        <w:t>.</w:t>
      </w:r>
      <w:r w:rsidRPr="00A75D23">
        <w:rPr>
          <w:rFonts w:ascii="Arial" w:hAnsi="Arial" w:cs="Arial"/>
          <w:sz w:val="22"/>
          <w:szCs w:val="22"/>
        </w:rPr>
        <w:t xml:space="preserve"> </w:t>
      </w:r>
      <w:r w:rsidRPr="00A75D23">
        <w:rPr>
          <w:rFonts w:ascii="Arial" w:hAnsi="Arial" w:cs="Arial"/>
          <w:i/>
          <w:iCs/>
          <w:sz w:val="22"/>
          <w:szCs w:val="22"/>
        </w:rPr>
        <w:t>Social Partnership and Public Procurement (Wales) Act 2023</w:t>
      </w:r>
      <w:r w:rsidRPr="00A75D23">
        <w:rPr>
          <w:rFonts w:ascii="Arial" w:hAnsi="Arial" w:cs="Arial"/>
          <w:sz w:val="22"/>
          <w:szCs w:val="22"/>
        </w:rPr>
        <w:t xml:space="preserve">. Available at: </w:t>
      </w:r>
      <w:hyperlink r:id="rId33" w:history="1">
        <w:r w:rsidR="00814A83" w:rsidRPr="00A75D23">
          <w:rPr>
            <w:rStyle w:val="Hyperlink"/>
            <w:rFonts w:ascii="Arial" w:hAnsi="Arial" w:cs="Arial"/>
            <w:sz w:val="22"/>
            <w:szCs w:val="22"/>
          </w:rPr>
          <w:t>https://law.gov.wales/social-partnership-and-public-procurement-wale</w:t>
        </w:r>
        <w:r w:rsidR="00814A83" w:rsidRPr="00A75D23">
          <w:rPr>
            <w:rStyle w:val="Hyperlink"/>
            <w:rFonts w:ascii="Arial" w:hAnsi="Arial" w:cs="Arial"/>
            <w:sz w:val="22"/>
            <w:szCs w:val="22"/>
          </w:rPr>
          <w:t>s</w:t>
        </w:r>
        <w:r w:rsidR="00814A83" w:rsidRPr="00A75D23">
          <w:rPr>
            <w:rStyle w:val="Hyperlink"/>
            <w:rFonts w:ascii="Arial" w:hAnsi="Arial" w:cs="Arial"/>
            <w:sz w:val="22"/>
            <w:szCs w:val="22"/>
          </w:rPr>
          <w:t>-act-2023</w:t>
        </w:r>
      </w:hyperlink>
      <w:r w:rsidR="00814A83" w:rsidRPr="00A75D23">
        <w:rPr>
          <w:rFonts w:ascii="Arial" w:hAnsi="Arial" w:cs="Arial"/>
          <w:sz w:val="22"/>
          <w:szCs w:val="22"/>
        </w:rPr>
        <w:t xml:space="preserve"> </w:t>
      </w:r>
      <w:r w:rsidRPr="00A75D23">
        <w:rPr>
          <w:rFonts w:ascii="Arial" w:hAnsi="Arial" w:cs="Arial"/>
          <w:sz w:val="22"/>
          <w:szCs w:val="22"/>
        </w:rPr>
        <w:t xml:space="preserve"> (Accessed: </w:t>
      </w:r>
      <w:r w:rsidR="00451701" w:rsidRPr="00A75D23">
        <w:rPr>
          <w:rFonts w:ascii="Arial" w:hAnsi="Arial" w:cs="Arial"/>
          <w:sz w:val="22"/>
          <w:szCs w:val="22"/>
        </w:rPr>
        <w:t>7</w:t>
      </w:r>
      <w:r w:rsidRPr="00A75D23">
        <w:rPr>
          <w:rFonts w:ascii="Arial" w:hAnsi="Arial" w:cs="Arial"/>
          <w:sz w:val="22"/>
          <w:szCs w:val="22"/>
        </w:rPr>
        <w:t xml:space="preserve"> July 2025).</w:t>
      </w:r>
    </w:p>
    <w:p w14:paraId="0F0F686A" w14:textId="1E1FE14C" w:rsidR="006401D3" w:rsidRPr="00A75D23" w:rsidRDefault="006401D3" w:rsidP="006401D3">
      <w:pPr>
        <w:rPr>
          <w:rFonts w:ascii="Arial" w:hAnsi="Arial" w:cs="Arial"/>
          <w:sz w:val="22"/>
          <w:szCs w:val="22"/>
        </w:rPr>
      </w:pPr>
      <w:r w:rsidRPr="00A75D23">
        <w:rPr>
          <w:rFonts w:ascii="Arial" w:hAnsi="Arial" w:cs="Arial"/>
          <w:b/>
          <w:bCs/>
          <w:sz w:val="22"/>
          <w:szCs w:val="22"/>
        </w:rPr>
        <w:t>Willoughby, K. (2025)</w:t>
      </w:r>
      <w:r w:rsidRPr="00A75D23">
        <w:rPr>
          <w:rFonts w:ascii="Arial" w:hAnsi="Arial" w:cs="Arial"/>
          <w:sz w:val="22"/>
          <w:szCs w:val="22"/>
        </w:rPr>
        <w:t xml:space="preserve"> </w:t>
      </w:r>
      <w:r w:rsidRPr="00A75D23">
        <w:rPr>
          <w:rFonts w:ascii="Arial" w:hAnsi="Arial" w:cs="Arial"/>
          <w:i/>
          <w:iCs/>
          <w:sz w:val="22"/>
          <w:szCs w:val="22"/>
        </w:rPr>
        <w:t>The increasing importance of employee voice</w:t>
      </w:r>
      <w:r w:rsidRPr="00A75D23">
        <w:rPr>
          <w:rFonts w:ascii="Arial" w:hAnsi="Arial" w:cs="Arial"/>
          <w:sz w:val="22"/>
          <w:szCs w:val="22"/>
        </w:rPr>
        <w:t xml:space="preserve">. Available at: </w:t>
      </w:r>
      <w:hyperlink r:id="rId34" w:tgtFrame="_new" w:history="1">
        <w:r w:rsidRPr="00A75D23">
          <w:rPr>
            <w:rStyle w:val="Hyperlink"/>
            <w:rFonts w:ascii="Arial" w:hAnsi="Arial" w:cs="Arial"/>
            <w:sz w:val="22"/>
            <w:szCs w:val="22"/>
          </w:rPr>
          <w:t>https://engageforsuccess.org</w:t>
        </w:r>
        <w:r w:rsidRPr="00A75D23">
          <w:rPr>
            <w:rStyle w:val="Hyperlink"/>
            <w:rFonts w:ascii="Arial" w:hAnsi="Arial" w:cs="Arial"/>
            <w:sz w:val="22"/>
            <w:szCs w:val="22"/>
          </w:rPr>
          <w:t>/</w:t>
        </w:r>
        <w:r w:rsidRPr="00A75D23">
          <w:rPr>
            <w:rStyle w:val="Hyperlink"/>
            <w:rFonts w:ascii="Arial" w:hAnsi="Arial" w:cs="Arial"/>
            <w:sz w:val="22"/>
            <w:szCs w:val="22"/>
          </w:rPr>
          <w:t>the-increasing-importance-of-employee-voice/</w:t>
        </w:r>
      </w:hyperlink>
      <w:r w:rsidRPr="00A75D23">
        <w:rPr>
          <w:rFonts w:ascii="Arial" w:hAnsi="Arial" w:cs="Arial"/>
          <w:sz w:val="22"/>
          <w:szCs w:val="22"/>
        </w:rPr>
        <w:t xml:space="preserve"> (Accessed: </w:t>
      </w:r>
      <w:r w:rsidR="00451701" w:rsidRPr="00A75D23">
        <w:rPr>
          <w:rFonts w:ascii="Arial" w:hAnsi="Arial" w:cs="Arial"/>
          <w:sz w:val="22"/>
          <w:szCs w:val="22"/>
        </w:rPr>
        <w:t>5</w:t>
      </w:r>
      <w:r w:rsidRPr="00A75D23">
        <w:rPr>
          <w:rFonts w:ascii="Arial" w:hAnsi="Arial" w:cs="Arial"/>
          <w:sz w:val="22"/>
          <w:szCs w:val="22"/>
        </w:rPr>
        <w:t xml:space="preserve"> July 2025).</w:t>
      </w:r>
    </w:p>
    <w:p w14:paraId="07C67EF9" w14:textId="1941B4EC" w:rsidR="00633594" w:rsidRPr="006401D3" w:rsidRDefault="00633594" w:rsidP="00633594">
      <w:pPr>
        <w:rPr>
          <w:rFonts w:ascii="Arial" w:hAnsi="Arial" w:cs="Arial"/>
          <w:sz w:val="22"/>
          <w:szCs w:val="22"/>
        </w:rPr>
      </w:pPr>
      <w:proofErr w:type="spellStart"/>
      <w:r w:rsidRPr="00A75D23">
        <w:rPr>
          <w:rFonts w:ascii="Arial" w:hAnsi="Arial" w:cs="Arial"/>
          <w:b/>
          <w:bCs/>
          <w:sz w:val="22"/>
          <w:szCs w:val="22"/>
        </w:rPr>
        <w:t>Zemanik</w:t>
      </w:r>
      <w:proofErr w:type="spellEnd"/>
      <w:r w:rsidRPr="00A75D23">
        <w:rPr>
          <w:rFonts w:ascii="Arial" w:hAnsi="Arial" w:cs="Arial"/>
          <w:b/>
          <w:bCs/>
          <w:sz w:val="22"/>
          <w:szCs w:val="22"/>
        </w:rPr>
        <w:t>, M. and Al Marri, A. (2024)</w:t>
      </w:r>
      <w:r w:rsidRPr="00A75D23">
        <w:rPr>
          <w:rFonts w:ascii="Arial" w:hAnsi="Arial" w:cs="Arial"/>
          <w:sz w:val="22"/>
          <w:szCs w:val="22"/>
        </w:rPr>
        <w:t xml:space="preserve"> </w:t>
      </w:r>
      <w:r w:rsidRPr="00A75D23">
        <w:rPr>
          <w:rFonts w:ascii="Arial" w:hAnsi="Arial" w:cs="Arial"/>
          <w:i/>
          <w:iCs/>
          <w:sz w:val="22"/>
          <w:szCs w:val="22"/>
        </w:rPr>
        <w:t>What’s hampering good work?</w:t>
      </w:r>
      <w:r w:rsidRPr="00A75D23">
        <w:rPr>
          <w:rFonts w:ascii="Arial" w:hAnsi="Arial" w:cs="Arial"/>
          <w:sz w:val="22"/>
          <w:szCs w:val="22"/>
        </w:rPr>
        <w:t xml:space="preserve"> [Podcast transcript]. London: CIPD. Available at: </w:t>
      </w:r>
      <w:hyperlink r:id="rId35" w:history="1">
        <w:r w:rsidRPr="00A75D23">
          <w:rPr>
            <w:rStyle w:val="Hyperlink"/>
            <w:rFonts w:ascii="Arial" w:hAnsi="Arial" w:cs="Arial"/>
            <w:sz w:val="22"/>
            <w:szCs w:val="22"/>
          </w:rPr>
          <w:t>https://www.cipd.org.uk/knowledge/podcasts/whats-hampering-g</w:t>
        </w:r>
        <w:r w:rsidRPr="00A75D23">
          <w:rPr>
            <w:rStyle w:val="Hyperlink"/>
            <w:rFonts w:ascii="Arial" w:hAnsi="Arial" w:cs="Arial"/>
            <w:sz w:val="22"/>
            <w:szCs w:val="22"/>
          </w:rPr>
          <w:t>o</w:t>
        </w:r>
        <w:r w:rsidRPr="00A75D23">
          <w:rPr>
            <w:rStyle w:val="Hyperlink"/>
            <w:rFonts w:ascii="Arial" w:hAnsi="Arial" w:cs="Arial"/>
            <w:sz w:val="22"/>
            <w:szCs w:val="22"/>
          </w:rPr>
          <w:t>od-work/</w:t>
        </w:r>
      </w:hyperlink>
      <w:r w:rsidRPr="00A75D23">
        <w:rPr>
          <w:rFonts w:ascii="Arial" w:hAnsi="Arial" w:cs="Arial"/>
          <w:sz w:val="22"/>
          <w:szCs w:val="22"/>
        </w:rPr>
        <w:t xml:space="preserve">  (Accessed: </w:t>
      </w:r>
      <w:r w:rsidR="00451701" w:rsidRPr="00A75D23">
        <w:rPr>
          <w:rFonts w:ascii="Arial" w:hAnsi="Arial" w:cs="Arial"/>
          <w:sz w:val="22"/>
          <w:szCs w:val="22"/>
        </w:rPr>
        <w:t>6</w:t>
      </w:r>
      <w:r w:rsidRPr="00A75D23">
        <w:rPr>
          <w:rFonts w:ascii="Arial" w:hAnsi="Arial" w:cs="Arial"/>
          <w:sz w:val="22"/>
          <w:szCs w:val="22"/>
        </w:rPr>
        <w:t xml:space="preserve"> July 2025).</w:t>
      </w:r>
    </w:p>
    <w:p w14:paraId="5FFCFEC4" w14:textId="77777777" w:rsidR="00633594" w:rsidRDefault="00633594" w:rsidP="006401D3">
      <w:pPr>
        <w:rPr>
          <w:rFonts w:ascii="Arial" w:hAnsi="Arial" w:cs="Arial"/>
          <w:sz w:val="22"/>
          <w:szCs w:val="22"/>
        </w:rPr>
      </w:pPr>
    </w:p>
    <w:p w14:paraId="25C47AE5" w14:textId="77777777" w:rsidR="000411E0" w:rsidRPr="006401D3" w:rsidRDefault="000411E0" w:rsidP="006401D3">
      <w:pPr>
        <w:rPr>
          <w:rFonts w:ascii="Arial" w:hAnsi="Arial" w:cs="Arial"/>
          <w:sz w:val="22"/>
          <w:szCs w:val="22"/>
        </w:rPr>
      </w:pPr>
    </w:p>
    <w:p w14:paraId="6F52D3C8" w14:textId="7B5FCC94" w:rsidR="002217A3" w:rsidRPr="00EF4B3B" w:rsidRDefault="002217A3" w:rsidP="000D10F2">
      <w:pPr>
        <w:rPr>
          <w:rFonts w:ascii="Arial" w:hAnsi="Arial" w:cs="Arial"/>
          <w:sz w:val="22"/>
          <w:szCs w:val="22"/>
        </w:rPr>
      </w:pPr>
    </w:p>
    <w:sectPr w:rsidR="002217A3" w:rsidRPr="00EF4B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AAAC48" w14:textId="77777777" w:rsidR="00350942" w:rsidRDefault="00350942" w:rsidP="008E7A0C">
      <w:pPr>
        <w:spacing w:after="0" w:line="240" w:lineRule="auto"/>
      </w:pPr>
      <w:r>
        <w:separator/>
      </w:r>
    </w:p>
  </w:endnote>
  <w:endnote w:type="continuationSeparator" w:id="0">
    <w:p w14:paraId="7D627B03" w14:textId="77777777" w:rsidR="00350942" w:rsidRDefault="00350942" w:rsidP="008E7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09256" w14:textId="77777777" w:rsidR="00350942" w:rsidRDefault="00350942" w:rsidP="008E7A0C">
      <w:pPr>
        <w:spacing w:after="0" w:line="240" w:lineRule="auto"/>
      </w:pPr>
      <w:r>
        <w:separator/>
      </w:r>
    </w:p>
  </w:footnote>
  <w:footnote w:type="continuationSeparator" w:id="0">
    <w:p w14:paraId="5DFEFEF0" w14:textId="77777777" w:rsidR="00350942" w:rsidRDefault="00350942" w:rsidP="008E7A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93A"/>
    <w:rsid w:val="000264E3"/>
    <w:rsid w:val="000303BB"/>
    <w:rsid w:val="000411E0"/>
    <w:rsid w:val="00044149"/>
    <w:rsid w:val="00055D20"/>
    <w:rsid w:val="00055EA6"/>
    <w:rsid w:val="0007229A"/>
    <w:rsid w:val="000A3BF7"/>
    <w:rsid w:val="000A42A2"/>
    <w:rsid w:val="000B0084"/>
    <w:rsid w:val="000B0388"/>
    <w:rsid w:val="000B1202"/>
    <w:rsid w:val="000D10F2"/>
    <w:rsid w:val="000D4BB2"/>
    <w:rsid w:val="000D6CB8"/>
    <w:rsid w:val="000E0FE6"/>
    <w:rsid w:val="000E271E"/>
    <w:rsid w:val="000E28E4"/>
    <w:rsid w:val="000E2B1D"/>
    <w:rsid w:val="000E3477"/>
    <w:rsid w:val="000E71C4"/>
    <w:rsid w:val="000E75CE"/>
    <w:rsid w:val="000F442D"/>
    <w:rsid w:val="001155BD"/>
    <w:rsid w:val="001309E6"/>
    <w:rsid w:val="001430C9"/>
    <w:rsid w:val="00144386"/>
    <w:rsid w:val="001453E4"/>
    <w:rsid w:val="00147F7C"/>
    <w:rsid w:val="00150EA5"/>
    <w:rsid w:val="001622AE"/>
    <w:rsid w:val="001802A1"/>
    <w:rsid w:val="00181105"/>
    <w:rsid w:val="001903DC"/>
    <w:rsid w:val="00194BD1"/>
    <w:rsid w:val="001A67A0"/>
    <w:rsid w:val="001B1566"/>
    <w:rsid w:val="001C2FDC"/>
    <w:rsid w:val="001D63A7"/>
    <w:rsid w:val="002031B1"/>
    <w:rsid w:val="00205853"/>
    <w:rsid w:val="00210837"/>
    <w:rsid w:val="002217A3"/>
    <w:rsid w:val="00222C02"/>
    <w:rsid w:val="00223219"/>
    <w:rsid w:val="00232102"/>
    <w:rsid w:val="002359B4"/>
    <w:rsid w:val="00237AE0"/>
    <w:rsid w:val="00240D12"/>
    <w:rsid w:val="00246BFA"/>
    <w:rsid w:val="00271C3E"/>
    <w:rsid w:val="00272C4B"/>
    <w:rsid w:val="00280476"/>
    <w:rsid w:val="00283E16"/>
    <w:rsid w:val="002922C9"/>
    <w:rsid w:val="002954A0"/>
    <w:rsid w:val="002A14D6"/>
    <w:rsid w:val="002A3F90"/>
    <w:rsid w:val="002B24C8"/>
    <w:rsid w:val="002E65A4"/>
    <w:rsid w:val="002E6B49"/>
    <w:rsid w:val="002F22BF"/>
    <w:rsid w:val="003161C6"/>
    <w:rsid w:val="00326FB1"/>
    <w:rsid w:val="00350942"/>
    <w:rsid w:val="003571FB"/>
    <w:rsid w:val="00361521"/>
    <w:rsid w:val="00385409"/>
    <w:rsid w:val="00385E09"/>
    <w:rsid w:val="003913D7"/>
    <w:rsid w:val="003944F1"/>
    <w:rsid w:val="003A1916"/>
    <w:rsid w:val="003A1969"/>
    <w:rsid w:val="003A794D"/>
    <w:rsid w:val="003B220B"/>
    <w:rsid w:val="003D5187"/>
    <w:rsid w:val="003D627D"/>
    <w:rsid w:val="003E1056"/>
    <w:rsid w:val="003E1656"/>
    <w:rsid w:val="003E5A93"/>
    <w:rsid w:val="003F1A7E"/>
    <w:rsid w:val="003F1A8E"/>
    <w:rsid w:val="00406345"/>
    <w:rsid w:val="00407949"/>
    <w:rsid w:val="00426B11"/>
    <w:rsid w:val="00435B12"/>
    <w:rsid w:val="004378D8"/>
    <w:rsid w:val="00437D1E"/>
    <w:rsid w:val="00440BDF"/>
    <w:rsid w:val="00445530"/>
    <w:rsid w:val="00451701"/>
    <w:rsid w:val="00465241"/>
    <w:rsid w:val="0048732F"/>
    <w:rsid w:val="00487BB3"/>
    <w:rsid w:val="00495E29"/>
    <w:rsid w:val="004A1857"/>
    <w:rsid w:val="004C2BE8"/>
    <w:rsid w:val="004F76B1"/>
    <w:rsid w:val="005139DC"/>
    <w:rsid w:val="00514553"/>
    <w:rsid w:val="00524DBF"/>
    <w:rsid w:val="00535394"/>
    <w:rsid w:val="0053740B"/>
    <w:rsid w:val="00552944"/>
    <w:rsid w:val="005661EA"/>
    <w:rsid w:val="00581D00"/>
    <w:rsid w:val="00591F9E"/>
    <w:rsid w:val="00593A3D"/>
    <w:rsid w:val="005A4181"/>
    <w:rsid w:val="005A5BA7"/>
    <w:rsid w:val="005B37A2"/>
    <w:rsid w:val="005B7837"/>
    <w:rsid w:val="005C15D5"/>
    <w:rsid w:val="005C594C"/>
    <w:rsid w:val="005D1921"/>
    <w:rsid w:val="005D4CEF"/>
    <w:rsid w:val="005E3F2C"/>
    <w:rsid w:val="005E50E3"/>
    <w:rsid w:val="005F5A95"/>
    <w:rsid w:val="00607092"/>
    <w:rsid w:val="00616BA3"/>
    <w:rsid w:val="00632318"/>
    <w:rsid w:val="00633594"/>
    <w:rsid w:val="00634C0F"/>
    <w:rsid w:val="006401D3"/>
    <w:rsid w:val="0066247C"/>
    <w:rsid w:val="00663175"/>
    <w:rsid w:val="006B35A5"/>
    <w:rsid w:val="006B7801"/>
    <w:rsid w:val="006C6B7D"/>
    <w:rsid w:val="006E22A4"/>
    <w:rsid w:val="006E36F9"/>
    <w:rsid w:val="006F097E"/>
    <w:rsid w:val="00710E6F"/>
    <w:rsid w:val="00721344"/>
    <w:rsid w:val="00721B7B"/>
    <w:rsid w:val="0073293A"/>
    <w:rsid w:val="00733938"/>
    <w:rsid w:val="007409C6"/>
    <w:rsid w:val="00745622"/>
    <w:rsid w:val="00747048"/>
    <w:rsid w:val="0075535E"/>
    <w:rsid w:val="00783199"/>
    <w:rsid w:val="00795FE1"/>
    <w:rsid w:val="007A3EDA"/>
    <w:rsid w:val="007A755E"/>
    <w:rsid w:val="007B651E"/>
    <w:rsid w:val="007C0551"/>
    <w:rsid w:val="007C06F9"/>
    <w:rsid w:val="007C0878"/>
    <w:rsid w:val="007D103C"/>
    <w:rsid w:val="007F7541"/>
    <w:rsid w:val="00802AE4"/>
    <w:rsid w:val="008039DA"/>
    <w:rsid w:val="0081284A"/>
    <w:rsid w:val="00814A83"/>
    <w:rsid w:val="00820EFE"/>
    <w:rsid w:val="00821752"/>
    <w:rsid w:val="008217AE"/>
    <w:rsid w:val="008335D2"/>
    <w:rsid w:val="00833AE5"/>
    <w:rsid w:val="00836634"/>
    <w:rsid w:val="008551CB"/>
    <w:rsid w:val="0085777E"/>
    <w:rsid w:val="008666BD"/>
    <w:rsid w:val="00872E6B"/>
    <w:rsid w:val="008A681E"/>
    <w:rsid w:val="008B1C38"/>
    <w:rsid w:val="008D02EC"/>
    <w:rsid w:val="008D1814"/>
    <w:rsid w:val="008D71FD"/>
    <w:rsid w:val="008E4A94"/>
    <w:rsid w:val="008E7A0C"/>
    <w:rsid w:val="008F3ACA"/>
    <w:rsid w:val="009051AC"/>
    <w:rsid w:val="00912A9D"/>
    <w:rsid w:val="009141AD"/>
    <w:rsid w:val="009170F8"/>
    <w:rsid w:val="009206B8"/>
    <w:rsid w:val="00923235"/>
    <w:rsid w:val="009237D8"/>
    <w:rsid w:val="0092609C"/>
    <w:rsid w:val="009314AA"/>
    <w:rsid w:val="00932079"/>
    <w:rsid w:val="0098628B"/>
    <w:rsid w:val="009B131F"/>
    <w:rsid w:val="009B5E4E"/>
    <w:rsid w:val="009C0D89"/>
    <w:rsid w:val="009D1E00"/>
    <w:rsid w:val="009D46A5"/>
    <w:rsid w:val="00A2545F"/>
    <w:rsid w:val="00A35B5A"/>
    <w:rsid w:val="00A61FE0"/>
    <w:rsid w:val="00A752BC"/>
    <w:rsid w:val="00A75D23"/>
    <w:rsid w:val="00A75F1E"/>
    <w:rsid w:val="00A76337"/>
    <w:rsid w:val="00AA04F0"/>
    <w:rsid w:val="00AA610F"/>
    <w:rsid w:val="00AC4D71"/>
    <w:rsid w:val="00B0221B"/>
    <w:rsid w:val="00B0704E"/>
    <w:rsid w:val="00B1361C"/>
    <w:rsid w:val="00B167E9"/>
    <w:rsid w:val="00B24E4C"/>
    <w:rsid w:val="00B2551D"/>
    <w:rsid w:val="00B35067"/>
    <w:rsid w:val="00B46D9D"/>
    <w:rsid w:val="00B60731"/>
    <w:rsid w:val="00B66F52"/>
    <w:rsid w:val="00B71562"/>
    <w:rsid w:val="00B77163"/>
    <w:rsid w:val="00B821BF"/>
    <w:rsid w:val="00BA074C"/>
    <w:rsid w:val="00BA419D"/>
    <w:rsid w:val="00BA512A"/>
    <w:rsid w:val="00BB108B"/>
    <w:rsid w:val="00BB48EB"/>
    <w:rsid w:val="00BB613D"/>
    <w:rsid w:val="00BC1A11"/>
    <w:rsid w:val="00BC295D"/>
    <w:rsid w:val="00BD1846"/>
    <w:rsid w:val="00BD433E"/>
    <w:rsid w:val="00C05801"/>
    <w:rsid w:val="00C11366"/>
    <w:rsid w:val="00C169DD"/>
    <w:rsid w:val="00C220D2"/>
    <w:rsid w:val="00C420FA"/>
    <w:rsid w:val="00C44E42"/>
    <w:rsid w:val="00C63F1B"/>
    <w:rsid w:val="00C74476"/>
    <w:rsid w:val="00C7683D"/>
    <w:rsid w:val="00C81874"/>
    <w:rsid w:val="00C94F75"/>
    <w:rsid w:val="00CC53A2"/>
    <w:rsid w:val="00CD1187"/>
    <w:rsid w:val="00CF288A"/>
    <w:rsid w:val="00D012DF"/>
    <w:rsid w:val="00D03BE9"/>
    <w:rsid w:val="00D25E05"/>
    <w:rsid w:val="00D31052"/>
    <w:rsid w:val="00D35F49"/>
    <w:rsid w:val="00D379BE"/>
    <w:rsid w:val="00D55638"/>
    <w:rsid w:val="00D6478D"/>
    <w:rsid w:val="00D730F1"/>
    <w:rsid w:val="00DA1329"/>
    <w:rsid w:val="00DB12C6"/>
    <w:rsid w:val="00DC1349"/>
    <w:rsid w:val="00DC2AC7"/>
    <w:rsid w:val="00DD5831"/>
    <w:rsid w:val="00DE1919"/>
    <w:rsid w:val="00DE5C04"/>
    <w:rsid w:val="00DF35BD"/>
    <w:rsid w:val="00E06444"/>
    <w:rsid w:val="00E3467E"/>
    <w:rsid w:val="00E43CF3"/>
    <w:rsid w:val="00E4426D"/>
    <w:rsid w:val="00E61C97"/>
    <w:rsid w:val="00E64BB4"/>
    <w:rsid w:val="00E7425C"/>
    <w:rsid w:val="00E92A55"/>
    <w:rsid w:val="00E93157"/>
    <w:rsid w:val="00EA5610"/>
    <w:rsid w:val="00EA6114"/>
    <w:rsid w:val="00EB434F"/>
    <w:rsid w:val="00EB6B0D"/>
    <w:rsid w:val="00EC1B21"/>
    <w:rsid w:val="00EC4C3D"/>
    <w:rsid w:val="00ED4756"/>
    <w:rsid w:val="00EF4B3B"/>
    <w:rsid w:val="00F03D00"/>
    <w:rsid w:val="00F0445A"/>
    <w:rsid w:val="00F04D92"/>
    <w:rsid w:val="00F056C0"/>
    <w:rsid w:val="00F11917"/>
    <w:rsid w:val="00F1472A"/>
    <w:rsid w:val="00F32BB0"/>
    <w:rsid w:val="00F34C8C"/>
    <w:rsid w:val="00F35579"/>
    <w:rsid w:val="00F362A2"/>
    <w:rsid w:val="00F40B04"/>
    <w:rsid w:val="00F455A1"/>
    <w:rsid w:val="00F464D4"/>
    <w:rsid w:val="00F54F85"/>
    <w:rsid w:val="00F6172B"/>
    <w:rsid w:val="00F61924"/>
    <w:rsid w:val="00F66E17"/>
    <w:rsid w:val="00F712DC"/>
    <w:rsid w:val="00F856FE"/>
    <w:rsid w:val="00F90562"/>
    <w:rsid w:val="00FA5A1F"/>
    <w:rsid w:val="00FB6686"/>
    <w:rsid w:val="00FC0198"/>
    <w:rsid w:val="00FC3856"/>
    <w:rsid w:val="00FD012A"/>
    <w:rsid w:val="00FD2C8E"/>
    <w:rsid w:val="00FE03B5"/>
    <w:rsid w:val="00FE42D3"/>
    <w:rsid w:val="00FF7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70EF0"/>
  <w15:chartTrackingRefBased/>
  <w15:docId w15:val="{B35F3F5E-472E-47DD-8E23-2A6F1CCFB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93A"/>
  </w:style>
  <w:style w:type="paragraph" w:styleId="Heading1">
    <w:name w:val="heading 1"/>
    <w:basedOn w:val="Normal"/>
    <w:next w:val="Normal"/>
    <w:link w:val="Heading1Char"/>
    <w:uiPriority w:val="9"/>
    <w:qFormat/>
    <w:rsid w:val="007329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2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2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2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2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29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9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9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9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9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29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29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29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29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29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9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9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93A"/>
    <w:rPr>
      <w:rFonts w:eastAsiaTheme="majorEastAsia" w:cstheme="majorBidi"/>
      <w:color w:val="272727" w:themeColor="text1" w:themeTint="D8"/>
    </w:rPr>
  </w:style>
  <w:style w:type="paragraph" w:styleId="Title">
    <w:name w:val="Title"/>
    <w:basedOn w:val="Normal"/>
    <w:next w:val="Normal"/>
    <w:link w:val="TitleChar"/>
    <w:uiPriority w:val="10"/>
    <w:qFormat/>
    <w:rsid w:val="007329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9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9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9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93A"/>
    <w:pPr>
      <w:spacing w:before="160"/>
      <w:jc w:val="center"/>
    </w:pPr>
    <w:rPr>
      <w:i/>
      <w:iCs/>
      <w:color w:val="404040" w:themeColor="text1" w:themeTint="BF"/>
    </w:rPr>
  </w:style>
  <w:style w:type="character" w:customStyle="1" w:styleId="QuoteChar">
    <w:name w:val="Quote Char"/>
    <w:basedOn w:val="DefaultParagraphFont"/>
    <w:link w:val="Quote"/>
    <w:uiPriority w:val="29"/>
    <w:rsid w:val="0073293A"/>
    <w:rPr>
      <w:i/>
      <w:iCs/>
      <w:color w:val="404040" w:themeColor="text1" w:themeTint="BF"/>
    </w:rPr>
  </w:style>
  <w:style w:type="paragraph" w:styleId="ListParagraph">
    <w:name w:val="List Paragraph"/>
    <w:basedOn w:val="Normal"/>
    <w:uiPriority w:val="34"/>
    <w:qFormat/>
    <w:rsid w:val="0073293A"/>
    <w:pPr>
      <w:ind w:left="720"/>
      <w:contextualSpacing/>
    </w:pPr>
  </w:style>
  <w:style w:type="character" w:styleId="IntenseEmphasis">
    <w:name w:val="Intense Emphasis"/>
    <w:basedOn w:val="DefaultParagraphFont"/>
    <w:uiPriority w:val="21"/>
    <w:qFormat/>
    <w:rsid w:val="0073293A"/>
    <w:rPr>
      <w:i/>
      <w:iCs/>
      <w:color w:val="0F4761" w:themeColor="accent1" w:themeShade="BF"/>
    </w:rPr>
  </w:style>
  <w:style w:type="paragraph" w:styleId="IntenseQuote">
    <w:name w:val="Intense Quote"/>
    <w:basedOn w:val="Normal"/>
    <w:next w:val="Normal"/>
    <w:link w:val="IntenseQuoteChar"/>
    <w:uiPriority w:val="30"/>
    <w:qFormat/>
    <w:rsid w:val="00732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293A"/>
    <w:rPr>
      <w:i/>
      <w:iCs/>
      <w:color w:val="0F4761" w:themeColor="accent1" w:themeShade="BF"/>
    </w:rPr>
  </w:style>
  <w:style w:type="character" w:styleId="IntenseReference">
    <w:name w:val="Intense Reference"/>
    <w:basedOn w:val="DefaultParagraphFont"/>
    <w:uiPriority w:val="32"/>
    <w:qFormat/>
    <w:rsid w:val="0073293A"/>
    <w:rPr>
      <w:b/>
      <w:bCs/>
      <w:smallCaps/>
      <w:color w:val="0F4761" w:themeColor="accent1" w:themeShade="BF"/>
      <w:spacing w:val="5"/>
    </w:rPr>
  </w:style>
  <w:style w:type="paragraph" w:styleId="NormalWeb">
    <w:name w:val="Normal (Web)"/>
    <w:basedOn w:val="Normal"/>
    <w:uiPriority w:val="99"/>
    <w:semiHidden/>
    <w:unhideWhenUsed/>
    <w:rsid w:val="002359B4"/>
    <w:rPr>
      <w:rFonts w:ascii="Times New Roman" w:hAnsi="Times New Roman" w:cs="Times New Roman"/>
    </w:rPr>
  </w:style>
  <w:style w:type="character" w:styleId="Hyperlink">
    <w:name w:val="Hyperlink"/>
    <w:basedOn w:val="DefaultParagraphFont"/>
    <w:uiPriority w:val="99"/>
    <w:unhideWhenUsed/>
    <w:rsid w:val="00F90562"/>
    <w:rPr>
      <w:color w:val="467886" w:themeColor="hyperlink"/>
      <w:u w:val="single"/>
    </w:rPr>
  </w:style>
  <w:style w:type="character" w:styleId="UnresolvedMention">
    <w:name w:val="Unresolved Mention"/>
    <w:basedOn w:val="DefaultParagraphFont"/>
    <w:uiPriority w:val="99"/>
    <w:semiHidden/>
    <w:unhideWhenUsed/>
    <w:rsid w:val="00F90562"/>
    <w:rPr>
      <w:color w:val="605E5C"/>
      <w:shd w:val="clear" w:color="auto" w:fill="E1DFDD"/>
    </w:rPr>
  </w:style>
  <w:style w:type="character" w:styleId="FollowedHyperlink">
    <w:name w:val="FollowedHyperlink"/>
    <w:basedOn w:val="DefaultParagraphFont"/>
    <w:uiPriority w:val="99"/>
    <w:semiHidden/>
    <w:unhideWhenUsed/>
    <w:rsid w:val="00223219"/>
    <w:rPr>
      <w:color w:val="96607D" w:themeColor="followedHyperlink"/>
      <w:u w:val="single"/>
    </w:rPr>
  </w:style>
  <w:style w:type="paragraph" w:styleId="Header">
    <w:name w:val="header"/>
    <w:basedOn w:val="Normal"/>
    <w:link w:val="HeaderChar"/>
    <w:uiPriority w:val="99"/>
    <w:unhideWhenUsed/>
    <w:rsid w:val="008E7A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A0C"/>
  </w:style>
  <w:style w:type="paragraph" w:styleId="Footer">
    <w:name w:val="footer"/>
    <w:basedOn w:val="Normal"/>
    <w:link w:val="FooterChar"/>
    <w:uiPriority w:val="99"/>
    <w:unhideWhenUsed/>
    <w:rsid w:val="008E7A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A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8160">
      <w:bodyDiv w:val="1"/>
      <w:marLeft w:val="0"/>
      <w:marRight w:val="0"/>
      <w:marTop w:val="0"/>
      <w:marBottom w:val="0"/>
      <w:divBdr>
        <w:top w:val="none" w:sz="0" w:space="0" w:color="auto"/>
        <w:left w:val="none" w:sz="0" w:space="0" w:color="auto"/>
        <w:bottom w:val="none" w:sz="0" w:space="0" w:color="auto"/>
        <w:right w:val="none" w:sz="0" w:space="0" w:color="auto"/>
      </w:divBdr>
    </w:div>
    <w:div w:id="62485425">
      <w:bodyDiv w:val="1"/>
      <w:marLeft w:val="0"/>
      <w:marRight w:val="0"/>
      <w:marTop w:val="0"/>
      <w:marBottom w:val="0"/>
      <w:divBdr>
        <w:top w:val="none" w:sz="0" w:space="0" w:color="auto"/>
        <w:left w:val="none" w:sz="0" w:space="0" w:color="auto"/>
        <w:bottom w:val="none" w:sz="0" w:space="0" w:color="auto"/>
        <w:right w:val="none" w:sz="0" w:space="0" w:color="auto"/>
      </w:divBdr>
    </w:div>
    <w:div w:id="74910142">
      <w:bodyDiv w:val="1"/>
      <w:marLeft w:val="0"/>
      <w:marRight w:val="0"/>
      <w:marTop w:val="0"/>
      <w:marBottom w:val="0"/>
      <w:divBdr>
        <w:top w:val="none" w:sz="0" w:space="0" w:color="auto"/>
        <w:left w:val="none" w:sz="0" w:space="0" w:color="auto"/>
        <w:bottom w:val="none" w:sz="0" w:space="0" w:color="auto"/>
        <w:right w:val="none" w:sz="0" w:space="0" w:color="auto"/>
      </w:divBdr>
      <w:divsChild>
        <w:div w:id="1915623732">
          <w:blockQuote w:val="1"/>
          <w:marLeft w:val="720"/>
          <w:marRight w:val="720"/>
          <w:marTop w:val="100"/>
          <w:marBottom w:val="100"/>
          <w:divBdr>
            <w:top w:val="none" w:sz="0" w:space="0" w:color="auto"/>
            <w:left w:val="none" w:sz="0" w:space="0" w:color="auto"/>
            <w:bottom w:val="none" w:sz="0" w:space="0" w:color="auto"/>
            <w:right w:val="none" w:sz="0" w:space="0" w:color="auto"/>
          </w:divBdr>
        </w:div>
        <w:div w:id="304977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6243254">
      <w:bodyDiv w:val="1"/>
      <w:marLeft w:val="0"/>
      <w:marRight w:val="0"/>
      <w:marTop w:val="0"/>
      <w:marBottom w:val="0"/>
      <w:divBdr>
        <w:top w:val="none" w:sz="0" w:space="0" w:color="auto"/>
        <w:left w:val="none" w:sz="0" w:space="0" w:color="auto"/>
        <w:bottom w:val="none" w:sz="0" w:space="0" w:color="auto"/>
        <w:right w:val="none" w:sz="0" w:space="0" w:color="auto"/>
      </w:divBdr>
    </w:div>
    <w:div w:id="156768595">
      <w:bodyDiv w:val="1"/>
      <w:marLeft w:val="0"/>
      <w:marRight w:val="0"/>
      <w:marTop w:val="0"/>
      <w:marBottom w:val="0"/>
      <w:divBdr>
        <w:top w:val="none" w:sz="0" w:space="0" w:color="auto"/>
        <w:left w:val="none" w:sz="0" w:space="0" w:color="auto"/>
        <w:bottom w:val="none" w:sz="0" w:space="0" w:color="auto"/>
        <w:right w:val="none" w:sz="0" w:space="0" w:color="auto"/>
      </w:divBdr>
    </w:div>
    <w:div w:id="171258594">
      <w:bodyDiv w:val="1"/>
      <w:marLeft w:val="0"/>
      <w:marRight w:val="0"/>
      <w:marTop w:val="0"/>
      <w:marBottom w:val="0"/>
      <w:divBdr>
        <w:top w:val="none" w:sz="0" w:space="0" w:color="auto"/>
        <w:left w:val="none" w:sz="0" w:space="0" w:color="auto"/>
        <w:bottom w:val="none" w:sz="0" w:space="0" w:color="auto"/>
        <w:right w:val="none" w:sz="0" w:space="0" w:color="auto"/>
      </w:divBdr>
    </w:div>
    <w:div w:id="195628982">
      <w:bodyDiv w:val="1"/>
      <w:marLeft w:val="0"/>
      <w:marRight w:val="0"/>
      <w:marTop w:val="0"/>
      <w:marBottom w:val="0"/>
      <w:divBdr>
        <w:top w:val="none" w:sz="0" w:space="0" w:color="auto"/>
        <w:left w:val="none" w:sz="0" w:space="0" w:color="auto"/>
        <w:bottom w:val="none" w:sz="0" w:space="0" w:color="auto"/>
        <w:right w:val="none" w:sz="0" w:space="0" w:color="auto"/>
      </w:divBdr>
    </w:div>
    <w:div w:id="202641813">
      <w:bodyDiv w:val="1"/>
      <w:marLeft w:val="0"/>
      <w:marRight w:val="0"/>
      <w:marTop w:val="0"/>
      <w:marBottom w:val="0"/>
      <w:divBdr>
        <w:top w:val="none" w:sz="0" w:space="0" w:color="auto"/>
        <w:left w:val="none" w:sz="0" w:space="0" w:color="auto"/>
        <w:bottom w:val="none" w:sz="0" w:space="0" w:color="auto"/>
        <w:right w:val="none" w:sz="0" w:space="0" w:color="auto"/>
      </w:divBdr>
    </w:div>
    <w:div w:id="248006223">
      <w:bodyDiv w:val="1"/>
      <w:marLeft w:val="0"/>
      <w:marRight w:val="0"/>
      <w:marTop w:val="0"/>
      <w:marBottom w:val="0"/>
      <w:divBdr>
        <w:top w:val="none" w:sz="0" w:space="0" w:color="auto"/>
        <w:left w:val="none" w:sz="0" w:space="0" w:color="auto"/>
        <w:bottom w:val="none" w:sz="0" w:space="0" w:color="auto"/>
        <w:right w:val="none" w:sz="0" w:space="0" w:color="auto"/>
      </w:divBdr>
    </w:div>
    <w:div w:id="254898728">
      <w:bodyDiv w:val="1"/>
      <w:marLeft w:val="0"/>
      <w:marRight w:val="0"/>
      <w:marTop w:val="0"/>
      <w:marBottom w:val="0"/>
      <w:divBdr>
        <w:top w:val="none" w:sz="0" w:space="0" w:color="auto"/>
        <w:left w:val="none" w:sz="0" w:space="0" w:color="auto"/>
        <w:bottom w:val="none" w:sz="0" w:space="0" w:color="auto"/>
        <w:right w:val="none" w:sz="0" w:space="0" w:color="auto"/>
      </w:divBdr>
    </w:div>
    <w:div w:id="286353071">
      <w:bodyDiv w:val="1"/>
      <w:marLeft w:val="0"/>
      <w:marRight w:val="0"/>
      <w:marTop w:val="0"/>
      <w:marBottom w:val="0"/>
      <w:divBdr>
        <w:top w:val="none" w:sz="0" w:space="0" w:color="auto"/>
        <w:left w:val="none" w:sz="0" w:space="0" w:color="auto"/>
        <w:bottom w:val="none" w:sz="0" w:space="0" w:color="auto"/>
        <w:right w:val="none" w:sz="0" w:space="0" w:color="auto"/>
      </w:divBdr>
    </w:div>
    <w:div w:id="332953079">
      <w:bodyDiv w:val="1"/>
      <w:marLeft w:val="0"/>
      <w:marRight w:val="0"/>
      <w:marTop w:val="0"/>
      <w:marBottom w:val="0"/>
      <w:divBdr>
        <w:top w:val="none" w:sz="0" w:space="0" w:color="auto"/>
        <w:left w:val="none" w:sz="0" w:space="0" w:color="auto"/>
        <w:bottom w:val="none" w:sz="0" w:space="0" w:color="auto"/>
        <w:right w:val="none" w:sz="0" w:space="0" w:color="auto"/>
      </w:divBdr>
    </w:div>
    <w:div w:id="355237344">
      <w:bodyDiv w:val="1"/>
      <w:marLeft w:val="0"/>
      <w:marRight w:val="0"/>
      <w:marTop w:val="0"/>
      <w:marBottom w:val="0"/>
      <w:divBdr>
        <w:top w:val="none" w:sz="0" w:space="0" w:color="auto"/>
        <w:left w:val="none" w:sz="0" w:space="0" w:color="auto"/>
        <w:bottom w:val="none" w:sz="0" w:space="0" w:color="auto"/>
        <w:right w:val="none" w:sz="0" w:space="0" w:color="auto"/>
      </w:divBdr>
    </w:div>
    <w:div w:id="390617507">
      <w:bodyDiv w:val="1"/>
      <w:marLeft w:val="0"/>
      <w:marRight w:val="0"/>
      <w:marTop w:val="0"/>
      <w:marBottom w:val="0"/>
      <w:divBdr>
        <w:top w:val="none" w:sz="0" w:space="0" w:color="auto"/>
        <w:left w:val="none" w:sz="0" w:space="0" w:color="auto"/>
        <w:bottom w:val="none" w:sz="0" w:space="0" w:color="auto"/>
        <w:right w:val="none" w:sz="0" w:space="0" w:color="auto"/>
      </w:divBdr>
    </w:div>
    <w:div w:id="404644490">
      <w:bodyDiv w:val="1"/>
      <w:marLeft w:val="0"/>
      <w:marRight w:val="0"/>
      <w:marTop w:val="0"/>
      <w:marBottom w:val="0"/>
      <w:divBdr>
        <w:top w:val="none" w:sz="0" w:space="0" w:color="auto"/>
        <w:left w:val="none" w:sz="0" w:space="0" w:color="auto"/>
        <w:bottom w:val="none" w:sz="0" w:space="0" w:color="auto"/>
        <w:right w:val="none" w:sz="0" w:space="0" w:color="auto"/>
      </w:divBdr>
    </w:div>
    <w:div w:id="459954683">
      <w:bodyDiv w:val="1"/>
      <w:marLeft w:val="0"/>
      <w:marRight w:val="0"/>
      <w:marTop w:val="0"/>
      <w:marBottom w:val="0"/>
      <w:divBdr>
        <w:top w:val="none" w:sz="0" w:space="0" w:color="auto"/>
        <w:left w:val="none" w:sz="0" w:space="0" w:color="auto"/>
        <w:bottom w:val="none" w:sz="0" w:space="0" w:color="auto"/>
        <w:right w:val="none" w:sz="0" w:space="0" w:color="auto"/>
      </w:divBdr>
    </w:div>
    <w:div w:id="505167682">
      <w:bodyDiv w:val="1"/>
      <w:marLeft w:val="0"/>
      <w:marRight w:val="0"/>
      <w:marTop w:val="0"/>
      <w:marBottom w:val="0"/>
      <w:divBdr>
        <w:top w:val="none" w:sz="0" w:space="0" w:color="auto"/>
        <w:left w:val="none" w:sz="0" w:space="0" w:color="auto"/>
        <w:bottom w:val="none" w:sz="0" w:space="0" w:color="auto"/>
        <w:right w:val="none" w:sz="0" w:space="0" w:color="auto"/>
      </w:divBdr>
    </w:div>
    <w:div w:id="528298714">
      <w:bodyDiv w:val="1"/>
      <w:marLeft w:val="0"/>
      <w:marRight w:val="0"/>
      <w:marTop w:val="0"/>
      <w:marBottom w:val="0"/>
      <w:divBdr>
        <w:top w:val="none" w:sz="0" w:space="0" w:color="auto"/>
        <w:left w:val="none" w:sz="0" w:space="0" w:color="auto"/>
        <w:bottom w:val="none" w:sz="0" w:space="0" w:color="auto"/>
        <w:right w:val="none" w:sz="0" w:space="0" w:color="auto"/>
      </w:divBdr>
    </w:div>
    <w:div w:id="545456767">
      <w:bodyDiv w:val="1"/>
      <w:marLeft w:val="0"/>
      <w:marRight w:val="0"/>
      <w:marTop w:val="0"/>
      <w:marBottom w:val="0"/>
      <w:divBdr>
        <w:top w:val="none" w:sz="0" w:space="0" w:color="auto"/>
        <w:left w:val="none" w:sz="0" w:space="0" w:color="auto"/>
        <w:bottom w:val="none" w:sz="0" w:space="0" w:color="auto"/>
        <w:right w:val="none" w:sz="0" w:space="0" w:color="auto"/>
      </w:divBdr>
    </w:div>
    <w:div w:id="553351644">
      <w:bodyDiv w:val="1"/>
      <w:marLeft w:val="0"/>
      <w:marRight w:val="0"/>
      <w:marTop w:val="0"/>
      <w:marBottom w:val="0"/>
      <w:divBdr>
        <w:top w:val="none" w:sz="0" w:space="0" w:color="auto"/>
        <w:left w:val="none" w:sz="0" w:space="0" w:color="auto"/>
        <w:bottom w:val="none" w:sz="0" w:space="0" w:color="auto"/>
        <w:right w:val="none" w:sz="0" w:space="0" w:color="auto"/>
      </w:divBdr>
    </w:div>
    <w:div w:id="574557576">
      <w:bodyDiv w:val="1"/>
      <w:marLeft w:val="0"/>
      <w:marRight w:val="0"/>
      <w:marTop w:val="0"/>
      <w:marBottom w:val="0"/>
      <w:divBdr>
        <w:top w:val="none" w:sz="0" w:space="0" w:color="auto"/>
        <w:left w:val="none" w:sz="0" w:space="0" w:color="auto"/>
        <w:bottom w:val="none" w:sz="0" w:space="0" w:color="auto"/>
        <w:right w:val="none" w:sz="0" w:space="0" w:color="auto"/>
      </w:divBdr>
    </w:div>
    <w:div w:id="577402708">
      <w:bodyDiv w:val="1"/>
      <w:marLeft w:val="0"/>
      <w:marRight w:val="0"/>
      <w:marTop w:val="0"/>
      <w:marBottom w:val="0"/>
      <w:divBdr>
        <w:top w:val="none" w:sz="0" w:space="0" w:color="auto"/>
        <w:left w:val="none" w:sz="0" w:space="0" w:color="auto"/>
        <w:bottom w:val="none" w:sz="0" w:space="0" w:color="auto"/>
        <w:right w:val="none" w:sz="0" w:space="0" w:color="auto"/>
      </w:divBdr>
    </w:div>
    <w:div w:id="635381661">
      <w:bodyDiv w:val="1"/>
      <w:marLeft w:val="0"/>
      <w:marRight w:val="0"/>
      <w:marTop w:val="0"/>
      <w:marBottom w:val="0"/>
      <w:divBdr>
        <w:top w:val="none" w:sz="0" w:space="0" w:color="auto"/>
        <w:left w:val="none" w:sz="0" w:space="0" w:color="auto"/>
        <w:bottom w:val="none" w:sz="0" w:space="0" w:color="auto"/>
        <w:right w:val="none" w:sz="0" w:space="0" w:color="auto"/>
      </w:divBdr>
    </w:div>
    <w:div w:id="652876252">
      <w:bodyDiv w:val="1"/>
      <w:marLeft w:val="0"/>
      <w:marRight w:val="0"/>
      <w:marTop w:val="0"/>
      <w:marBottom w:val="0"/>
      <w:divBdr>
        <w:top w:val="none" w:sz="0" w:space="0" w:color="auto"/>
        <w:left w:val="none" w:sz="0" w:space="0" w:color="auto"/>
        <w:bottom w:val="none" w:sz="0" w:space="0" w:color="auto"/>
        <w:right w:val="none" w:sz="0" w:space="0" w:color="auto"/>
      </w:divBdr>
    </w:div>
    <w:div w:id="678388456">
      <w:bodyDiv w:val="1"/>
      <w:marLeft w:val="0"/>
      <w:marRight w:val="0"/>
      <w:marTop w:val="0"/>
      <w:marBottom w:val="0"/>
      <w:divBdr>
        <w:top w:val="none" w:sz="0" w:space="0" w:color="auto"/>
        <w:left w:val="none" w:sz="0" w:space="0" w:color="auto"/>
        <w:bottom w:val="none" w:sz="0" w:space="0" w:color="auto"/>
        <w:right w:val="none" w:sz="0" w:space="0" w:color="auto"/>
      </w:divBdr>
    </w:div>
    <w:div w:id="682172831">
      <w:bodyDiv w:val="1"/>
      <w:marLeft w:val="0"/>
      <w:marRight w:val="0"/>
      <w:marTop w:val="0"/>
      <w:marBottom w:val="0"/>
      <w:divBdr>
        <w:top w:val="none" w:sz="0" w:space="0" w:color="auto"/>
        <w:left w:val="none" w:sz="0" w:space="0" w:color="auto"/>
        <w:bottom w:val="none" w:sz="0" w:space="0" w:color="auto"/>
        <w:right w:val="none" w:sz="0" w:space="0" w:color="auto"/>
      </w:divBdr>
    </w:div>
    <w:div w:id="702638162">
      <w:bodyDiv w:val="1"/>
      <w:marLeft w:val="0"/>
      <w:marRight w:val="0"/>
      <w:marTop w:val="0"/>
      <w:marBottom w:val="0"/>
      <w:divBdr>
        <w:top w:val="none" w:sz="0" w:space="0" w:color="auto"/>
        <w:left w:val="none" w:sz="0" w:space="0" w:color="auto"/>
        <w:bottom w:val="none" w:sz="0" w:space="0" w:color="auto"/>
        <w:right w:val="none" w:sz="0" w:space="0" w:color="auto"/>
      </w:divBdr>
    </w:div>
    <w:div w:id="718632515">
      <w:bodyDiv w:val="1"/>
      <w:marLeft w:val="0"/>
      <w:marRight w:val="0"/>
      <w:marTop w:val="0"/>
      <w:marBottom w:val="0"/>
      <w:divBdr>
        <w:top w:val="none" w:sz="0" w:space="0" w:color="auto"/>
        <w:left w:val="none" w:sz="0" w:space="0" w:color="auto"/>
        <w:bottom w:val="none" w:sz="0" w:space="0" w:color="auto"/>
        <w:right w:val="none" w:sz="0" w:space="0" w:color="auto"/>
      </w:divBdr>
    </w:div>
    <w:div w:id="722798896">
      <w:bodyDiv w:val="1"/>
      <w:marLeft w:val="0"/>
      <w:marRight w:val="0"/>
      <w:marTop w:val="0"/>
      <w:marBottom w:val="0"/>
      <w:divBdr>
        <w:top w:val="none" w:sz="0" w:space="0" w:color="auto"/>
        <w:left w:val="none" w:sz="0" w:space="0" w:color="auto"/>
        <w:bottom w:val="none" w:sz="0" w:space="0" w:color="auto"/>
        <w:right w:val="none" w:sz="0" w:space="0" w:color="auto"/>
      </w:divBdr>
    </w:div>
    <w:div w:id="754522345">
      <w:bodyDiv w:val="1"/>
      <w:marLeft w:val="0"/>
      <w:marRight w:val="0"/>
      <w:marTop w:val="0"/>
      <w:marBottom w:val="0"/>
      <w:divBdr>
        <w:top w:val="none" w:sz="0" w:space="0" w:color="auto"/>
        <w:left w:val="none" w:sz="0" w:space="0" w:color="auto"/>
        <w:bottom w:val="none" w:sz="0" w:space="0" w:color="auto"/>
        <w:right w:val="none" w:sz="0" w:space="0" w:color="auto"/>
      </w:divBdr>
    </w:div>
    <w:div w:id="769541879">
      <w:bodyDiv w:val="1"/>
      <w:marLeft w:val="0"/>
      <w:marRight w:val="0"/>
      <w:marTop w:val="0"/>
      <w:marBottom w:val="0"/>
      <w:divBdr>
        <w:top w:val="none" w:sz="0" w:space="0" w:color="auto"/>
        <w:left w:val="none" w:sz="0" w:space="0" w:color="auto"/>
        <w:bottom w:val="none" w:sz="0" w:space="0" w:color="auto"/>
        <w:right w:val="none" w:sz="0" w:space="0" w:color="auto"/>
      </w:divBdr>
    </w:div>
    <w:div w:id="782380356">
      <w:bodyDiv w:val="1"/>
      <w:marLeft w:val="0"/>
      <w:marRight w:val="0"/>
      <w:marTop w:val="0"/>
      <w:marBottom w:val="0"/>
      <w:divBdr>
        <w:top w:val="none" w:sz="0" w:space="0" w:color="auto"/>
        <w:left w:val="none" w:sz="0" w:space="0" w:color="auto"/>
        <w:bottom w:val="none" w:sz="0" w:space="0" w:color="auto"/>
        <w:right w:val="none" w:sz="0" w:space="0" w:color="auto"/>
      </w:divBdr>
    </w:div>
    <w:div w:id="792408472">
      <w:bodyDiv w:val="1"/>
      <w:marLeft w:val="0"/>
      <w:marRight w:val="0"/>
      <w:marTop w:val="0"/>
      <w:marBottom w:val="0"/>
      <w:divBdr>
        <w:top w:val="none" w:sz="0" w:space="0" w:color="auto"/>
        <w:left w:val="none" w:sz="0" w:space="0" w:color="auto"/>
        <w:bottom w:val="none" w:sz="0" w:space="0" w:color="auto"/>
        <w:right w:val="none" w:sz="0" w:space="0" w:color="auto"/>
      </w:divBdr>
    </w:div>
    <w:div w:id="827021675">
      <w:bodyDiv w:val="1"/>
      <w:marLeft w:val="0"/>
      <w:marRight w:val="0"/>
      <w:marTop w:val="0"/>
      <w:marBottom w:val="0"/>
      <w:divBdr>
        <w:top w:val="none" w:sz="0" w:space="0" w:color="auto"/>
        <w:left w:val="none" w:sz="0" w:space="0" w:color="auto"/>
        <w:bottom w:val="none" w:sz="0" w:space="0" w:color="auto"/>
        <w:right w:val="none" w:sz="0" w:space="0" w:color="auto"/>
      </w:divBdr>
    </w:div>
    <w:div w:id="846097342">
      <w:bodyDiv w:val="1"/>
      <w:marLeft w:val="0"/>
      <w:marRight w:val="0"/>
      <w:marTop w:val="0"/>
      <w:marBottom w:val="0"/>
      <w:divBdr>
        <w:top w:val="none" w:sz="0" w:space="0" w:color="auto"/>
        <w:left w:val="none" w:sz="0" w:space="0" w:color="auto"/>
        <w:bottom w:val="none" w:sz="0" w:space="0" w:color="auto"/>
        <w:right w:val="none" w:sz="0" w:space="0" w:color="auto"/>
      </w:divBdr>
    </w:div>
    <w:div w:id="875502574">
      <w:bodyDiv w:val="1"/>
      <w:marLeft w:val="0"/>
      <w:marRight w:val="0"/>
      <w:marTop w:val="0"/>
      <w:marBottom w:val="0"/>
      <w:divBdr>
        <w:top w:val="none" w:sz="0" w:space="0" w:color="auto"/>
        <w:left w:val="none" w:sz="0" w:space="0" w:color="auto"/>
        <w:bottom w:val="none" w:sz="0" w:space="0" w:color="auto"/>
        <w:right w:val="none" w:sz="0" w:space="0" w:color="auto"/>
      </w:divBdr>
    </w:div>
    <w:div w:id="933167212">
      <w:bodyDiv w:val="1"/>
      <w:marLeft w:val="0"/>
      <w:marRight w:val="0"/>
      <w:marTop w:val="0"/>
      <w:marBottom w:val="0"/>
      <w:divBdr>
        <w:top w:val="none" w:sz="0" w:space="0" w:color="auto"/>
        <w:left w:val="none" w:sz="0" w:space="0" w:color="auto"/>
        <w:bottom w:val="none" w:sz="0" w:space="0" w:color="auto"/>
        <w:right w:val="none" w:sz="0" w:space="0" w:color="auto"/>
      </w:divBdr>
    </w:div>
    <w:div w:id="977148159">
      <w:bodyDiv w:val="1"/>
      <w:marLeft w:val="0"/>
      <w:marRight w:val="0"/>
      <w:marTop w:val="0"/>
      <w:marBottom w:val="0"/>
      <w:divBdr>
        <w:top w:val="none" w:sz="0" w:space="0" w:color="auto"/>
        <w:left w:val="none" w:sz="0" w:space="0" w:color="auto"/>
        <w:bottom w:val="none" w:sz="0" w:space="0" w:color="auto"/>
        <w:right w:val="none" w:sz="0" w:space="0" w:color="auto"/>
      </w:divBdr>
    </w:div>
    <w:div w:id="977805205">
      <w:bodyDiv w:val="1"/>
      <w:marLeft w:val="0"/>
      <w:marRight w:val="0"/>
      <w:marTop w:val="0"/>
      <w:marBottom w:val="0"/>
      <w:divBdr>
        <w:top w:val="none" w:sz="0" w:space="0" w:color="auto"/>
        <w:left w:val="none" w:sz="0" w:space="0" w:color="auto"/>
        <w:bottom w:val="none" w:sz="0" w:space="0" w:color="auto"/>
        <w:right w:val="none" w:sz="0" w:space="0" w:color="auto"/>
      </w:divBdr>
    </w:div>
    <w:div w:id="992174944">
      <w:bodyDiv w:val="1"/>
      <w:marLeft w:val="0"/>
      <w:marRight w:val="0"/>
      <w:marTop w:val="0"/>
      <w:marBottom w:val="0"/>
      <w:divBdr>
        <w:top w:val="none" w:sz="0" w:space="0" w:color="auto"/>
        <w:left w:val="none" w:sz="0" w:space="0" w:color="auto"/>
        <w:bottom w:val="none" w:sz="0" w:space="0" w:color="auto"/>
        <w:right w:val="none" w:sz="0" w:space="0" w:color="auto"/>
      </w:divBdr>
    </w:div>
    <w:div w:id="995887820">
      <w:bodyDiv w:val="1"/>
      <w:marLeft w:val="0"/>
      <w:marRight w:val="0"/>
      <w:marTop w:val="0"/>
      <w:marBottom w:val="0"/>
      <w:divBdr>
        <w:top w:val="none" w:sz="0" w:space="0" w:color="auto"/>
        <w:left w:val="none" w:sz="0" w:space="0" w:color="auto"/>
        <w:bottom w:val="none" w:sz="0" w:space="0" w:color="auto"/>
        <w:right w:val="none" w:sz="0" w:space="0" w:color="auto"/>
      </w:divBdr>
    </w:div>
    <w:div w:id="998919687">
      <w:bodyDiv w:val="1"/>
      <w:marLeft w:val="0"/>
      <w:marRight w:val="0"/>
      <w:marTop w:val="0"/>
      <w:marBottom w:val="0"/>
      <w:divBdr>
        <w:top w:val="none" w:sz="0" w:space="0" w:color="auto"/>
        <w:left w:val="none" w:sz="0" w:space="0" w:color="auto"/>
        <w:bottom w:val="none" w:sz="0" w:space="0" w:color="auto"/>
        <w:right w:val="none" w:sz="0" w:space="0" w:color="auto"/>
      </w:divBdr>
    </w:div>
    <w:div w:id="1009218263">
      <w:bodyDiv w:val="1"/>
      <w:marLeft w:val="0"/>
      <w:marRight w:val="0"/>
      <w:marTop w:val="0"/>
      <w:marBottom w:val="0"/>
      <w:divBdr>
        <w:top w:val="none" w:sz="0" w:space="0" w:color="auto"/>
        <w:left w:val="none" w:sz="0" w:space="0" w:color="auto"/>
        <w:bottom w:val="none" w:sz="0" w:space="0" w:color="auto"/>
        <w:right w:val="none" w:sz="0" w:space="0" w:color="auto"/>
      </w:divBdr>
      <w:divsChild>
        <w:div w:id="1776629444">
          <w:blockQuote w:val="1"/>
          <w:marLeft w:val="720"/>
          <w:marRight w:val="720"/>
          <w:marTop w:val="100"/>
          <w:marBottom w:val="100"/>
          <w:divBdr>
            <w:top w:val="none" w:sz="0" w:space="0" w:color="auto"/>
            <w:left w:val="none" w:sz="0" w:space="0" w:color="auto"/>
            <w:bottom w:val="none" w:sz="0" w:space="0" w:color="auto"/>
            <w:right w:val="none" w:sz="0" w:space="0" w:color="auto"/>
          </w:divBdr>
        </w:div>
        <w:div w:id="2715915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9673988">
      <w:bodyDiv w:val="1"/>
      <w:marLeft w:val="0"/>
      <w:marRight w:val="0"/>
      <w:marTop w:val="0"/>
      <w:marBottom w:val="0"/>
      <w:divBdr>
        <w:top w:val="none" w:sz="0" w:space="0" w:color="auto"/>
        <w:left w:val="none" w:sz="0" w:space="0" w:color="auto"/>
        <w:bottom w:val="none" w:sz="0" w:space="0" w:color="auto"/>
        <w:right w:val="none" w:sz="0" w:space="0" w:color="auto"/>
      </w:divBdr>
    </w:div>
    <w:div w:id="1013842650">
      <w:bodyDiv w:val="1"/>
      <w:marLeft w:val="0"/>
      <w:marRight w:val="0"/>
      <w:marTop w:val="0"/>
      <w:marBottom w:val="0"/>
      <w:divBdr>
        <w:top w:val="none" w:sz="0" w:space="0" w:color="auto"/>
        <w:left w:val="none" w:sz="0" w:space="0" w:color="auto"/>
        <w:bottom w:val="none" w:sz="0" w:space="0" w:color="auto"/>
        <w:right w:val="none" w:sz="0" w:space="0" w:color="auto"/>
      </w:divBdr>
    </w:div>
    <w:div w:id="1020472961">
      <w:bodyDiv w:val="1"/>
      <w:marLeft w:val="0"/>
      <w:marRight w:val="0"/>
      <w:marTop w:val="0"/>
      <w:marBottom w:val="0"/>
      <w:divBdr>
        <w:top w:val="none" w:sz="0" w:space="0" w:color="auto"/>
        <w:left w:val="none" w:sz="0" w:space="0" w:color="auto"/>
        <w:bottom w:val="none" w:sz="0" w:space="0" w:color="auto"/>
        <w:right w:val="none" w:sz="0" w:space="0" w:color="auto"/>
      </w:divBdr>
    </w:div>
    <w:div w:id="1024747106">
      <w:bodyDiv w:val="1"/>
      <w:marLeft w:val="0"/>
      <w:marRight w:val="0"/>
      <w:marTop w:val="0"/>
      <w:marBottom w:val="0"/>
      <w:divBdr>
        <w:top w:val="none" w:sz="0" w:space="0" w:color="auto"/>
        <w:left w:val="none" w:sz="0" w:space="0" w:color="auto"/>
        <w:bottom w:val="none" w:sz="0" w:space="0" w:color="auto"/>
        <w:right w:val="none" w:sz="0" w:space="0" w:color="auto"/>
      </w:divBdr>
    </w:div>
    <w:div w:id="1040713243">
      <w:bodyDiv w:val="1"/>
      <w:marLeft w:val="0"/>
      <w:marRight w:val="0"/>
      <w:marTop w:val="0"/>
      <w:marBottom w:val="0"/>
      <w:divBdr>
        <w:top w:val="none" w:sz="0" w:space="0" w:color="auto"/>
        <w:left w:val="none" w:sz="0" w:space="0" w:color="auto"/>
        <w:bottom w:val="none" w:sz="0" w:space="0" w:color="auto"/>
        <w:right w:val="none" w:sz="0" w:space="0" w:color="auto"/>
      </w:divBdr>
    </w:div>
    <w:div w:id="1054424182">
      <w:bodyDiv w:val="1"/>
      <w:marLeft w:val="0"/>
      <w:marRight w:val="0"/>
      <w:marTop w:val="0"/>
      <w:marBottom w:val="0"/>
      <w:divBdr>
        <w:top w:val="none" w:sz="0" w:space="0" w:color="auto"/>
        <w:left w:val="none" w:sz="0" w:space="0" w:color="auto"/>
        <w:bottom w:val="none" w:sz="0" w:space="0" w:color="auto"/>
        <w:right w:val="none" w:sz="0" w:space="0" w:color="auto"/>
      </w:divBdr>
    </w:div>
    <w:div w:id="1081366037">
      <w:bodyDiv w:val="1"/>
      <w:marLeft w:val="0"/>
      <w:marRight w:val="0"/>
      <w:marTop w:val="0"/>
      <w:marBottom w:val="0"/>
      <w:divBdr>
        <w:top w:val="none" w:sz="0" w:space="0" w:color="auto"/>
        <w:left w:val="none" w:sz="0" w:space="0" w:color="auto"/>
        <w:bottom w:val="none" w:sz="0" w:space="0" w:color="auto"/>
        <w:right w:val="none" w:sz="0" w:space="0" w:color="auto"/>
      </w:divBdr>
    </w:div>
    <w:div w:id="1098214094">
      <w:bodyDiv w:val="1"/>
      <w:marLeft w:val="0"/>
      <w:marRight w:val="0"/>
      <w:marTop w:val="0"/>
      <w:marBottom w:val="0"/>
      <w:divBdr>
        <w:top w:val="none" w:sz="0" w:space="0" w:color="auto"/>
        <w:left w:val="none" w:sz="0" w:space="0" w:color="auto"/>
        <w:bottom w:val="none" w:sz="0" w:space="0" w:color="auto"/>
        <w:right w:val="none" w:sz="0" w:space="0" w:color="auto"/>
      </w:divBdr>
    </w:div>
    <w:div w:id="1157263115">
      <w:bodyDiv w:val="1"/>
      <w:marLeft w:val="0"/>
      <w:marRight w:val="0"/>
      <w:marTop w:val="0"/>
      <w:marBottom w:val="0"/>
      <w:divBdr>
        <w:top w:val="none" w:sz="0" w:space="0" w:color="auto"/>
        <w:left w:val="none" w:sz="0" w:space="0" w:color="auto"/>
        <w:bottom w:val="none" w:sz="0" w:space="0" w:color="auto"/>
        <w:right w:val="none" w:sz="0" w:space="0" w:color="auto"/>
      </w:divBdr>
    </w:div>
    <w:div w:id="1165244745">
      <w:bodyDiv w:val="1"/>
      <w:marLeft w:val="0"/>
      <w:marRight w:val="0"/>
      <w:marTop w:val="0"/>
      <w:marBottom w:val="0"/>
      <w:divBdr>
        <w:top w:val="none" w:sz="0" w:space="0" w:color="auto"/>
        <w:left w:val="none" w:sz="0" w:space="0" w:color="auto"/>
        <w:bottom w:val="none" w:sz="0" w:space="0" w:color="auto"/>
        <w:right w:val="none" w:sz="0" w:space="0" w:color="auto"/>
      </w:divBdr>
    </w:div>
    <w:div w:id="1245601942">
      <w:bodyDiv w:val="1"/>
      <w:marLeft w:val="0"/>
      <w:marRight w:val="0"/>
      <w:marTop w:val="0"/>
      <w:marBottom w:val="0"/>
      <w:divBdr>
        <w:top w:val="none" w:sz="0" w:space="0" w:color="auto"/>
        <w:left w:val="none" w:sz="0" w:space="0" w:color="auto"/>
        <w:bottom w:val="none" w:sz="0" w:space="0" w:color="auto"/>
        <w:right w:val="none" w:sz="0" w:space="0" w:color="auto"/>
      </w:divBdr>
    </w:div>
    <w:div w:id="1264999823">
      <w:bodyDiv w:val="1"/>
      <w:marLeft w:val="0"/>
      <w:marRight w:val="0"/>
      <w:marTop w:val="0"/>
      <w:marBottom w:val="0"/>
      <w:divBdr>
        <w:top w:val="none" w:sz="0" w:space="0" w:color="auto"/>
        <w:left w:val="none" w:sz="0" w:space="0" w:color="auto"/>
        <w:bottom w:val="none" w:sz="0" w:space="0" w:color="auto"/>
        <w:right w:val="none" w:sz="0" w:space="0" w:color="auto"/>
      </w:divBdr>
    </w:div>
    <w:div w:id="1272976041">
      <w:bodyDiv w:val="1"/>
      <w:marLeft w:val="0"/>
      <w:marRight w:val="0"/>
      <w:marTop w:val="0"/>
      <w:marBottom w:val="0"/>
      <w:divBdr>
        <w:top w:val="none" w:sz="0" w:space="0" w:color="auto"/>
        <w:left w:val="none" w:sz="0" w:space="0" w:color="auto"/>
        <w:bottom w:val="none" w:sz="0" w:space="0" w:color="auto"/>
        <w:right w:val="none" w:sz="0" w:space="0" w:color="auto"/>
      </w:divBdr>
    </w:div>
    <w:div w:id="1297293352">
      <w:bodyDiv w:val="1"/>
      <w:marLeft w:val="0"/>
      <w:marRight w:val="0"/>
      <w:marTop w:val="0"/>
      <w:marBottom w:val="0"/>
      <w:divBdr>
        <w:top w:val="none" w:sz="0" w:space="0" w:color="auto"/>
        <w:left w:val="none" w:sz="0" w:space="0" w:color="auto"/>
        <w:bottom w:val="none" w:sz="0" w:space="0" w:color="auto"/>
        <w:right w:val="none" w:sz="0" w:space="0" w:color="auto"/>
      </w:divBdr>
    </w:div>
    <w:div w:id="1331448127">
      <w:bodyDiv w:val="1"/>
      <w:marLeft w:val="0"/>
      <w:marRight w:val="0"/>
      <w:marTop w:val="0"/>
      <w:marBottom w:val="0"/>
      <w:divBdr>
        <w:top w:val="none" w:sz="0" w:space="0" w:color="auto"/>
        <w:left w:val="none" w:sz="0" w:space="0" w:color="auto"/>
        <w:bottom w:val="none" w:sz="0" w:space="0" w:color="auto"/>
        <w:right w:val="none" w:sz="0" w:space="0" w:color="auto"/>
      </w:divBdr>
    </w:div>
    <w:div w:id="1390181132">
      <w:bodyDiv w:val="1"/>
      <w:marLeft w:val="0"/>
      <w:marRight w:val="0"/>
      <w:marTop w:val="0"/>
      <w:marBottom w:val="0"/>
      <w:divBdr>
        <w:top w:val="none" w:sz="0" w:space="0" w:color="auto"/>
        <w:left w:val="none" w:sz="0" w:space="0" w:color="auto"/>
        <w:bottom w:val="none" w:sz="0" w:space="0" w:color="auto"/>
        <w:right w:val="none" w:sz="0" w:space="0" w:color="auto"/>
      </w:divBdr>
    </w:div>
    <w:div w:id="1394038793">
      <w:bodyDiv w:val="1"/>
      <w:marLeft w:val="0"/>
      <w:marRight w:val="0"/>
      <w:marTop w:val="0"/>
      <w:marBottom w:val="0"/>
      <w:divBdr>
        <w:top w:val="none" w:sz="0" w:space="0" w:color="auto"/>
        <w:left w:val="none" w:sz="0" w:space="0" w:color="auto"/>
        <w:bottom w:val="none" w:sz="0" w:space="0" w:color="auto"/>
        <w:right w:val="none" w:sz="0" w:space="0" w:color="auto"/>
      </w:divBdr>
    </w:div>
    <w:div w:id="1397440041">
      <w:bodyDiv w:val="1"/>
      <w:marLeft w:val="0"/>
      <w:marRight w:val="0"/>
      <w:marTop w:val="0"/>
      <w:marBottom w:val="0"/>
      <w:divBdr>
        <w:top w:val="none" w:sz="0" w:space="0" w:color="auto"/>
        <w:left w:val="none" w:sz="0" w:space="0" w:color="auto"/>
        <w:bottom w:val="none" w:sz="0" w:space="0" w:color="auto"/>
        <w:right w:val="none" w:sz="0" w:space="0" w:color="auto"/>
      </w:divBdr>
    </w:div>
    <w:div w:id="1407612211">
      <w:bodyDiv w:val="1"/>
      <w:marLeft w:val="0"/>
      <w:marRight w:val="0"/>
      <w:marTop w:val="0"/>
      <w:marBottom w:val="0"/>
      <w:divBdr>
        <w:top w:val="none" w:sz="0" w:space="0" w:color="auto"/>
        <w:left w:val="none" w:sz="0" w:space="0" w:color="auto"/>
        <w:bottom w:val="none" w:sz="0" w:space="0" w:color="auto"/>
        <w:right w:val="none" w:sz="0" w:space="0" w:color="auto"/>
      </w:divBdr>
    </w:div>
    <w:div w:id="1409419308">
      <w:bodyDiv w:val="1"/>
      <w:marLeft w:val="0"/>
      <w:marRight w:val="0"/>
      <w:marTop w:val="0"/>
      <w:marBottom w:val="0"/>
      <w:divBdr>
        <w:top w:val="none" w:sz="0" w:space="0" w:color="auto"/>
        <w:left w:val="none" w:sz="0" w:space="0" w:color="auto"/>
        <w:bottom w:val="none" w:sz="0" w:space="0" w:color="auto"/>
        <w:right w:val="none" w:sz="0" w:space="0" w:color="auto"/>
      </w:divBdr>
    </w:div>
    <w:div w:id="1409962631">
      <w:bodyDiv w:val="1"/>
      <w:marLeft w:val="0"/>
      <w:marRight w:val="0"/>
      <w:marTop w:val="0"/>
      <w:marBottom w:val="0"/>
      <w:divBdr>
        <w:top w:val="none" w:sz="0" w:space="0" w:color="auto"/>
        <w:left w:val="none" w:sz="0" w:space="0" w:color="auto"/>
        <w:bottom w:val="none" w:sz="0" w:space="0" w:color="auto"/>
        <w:right w:val="none" w:sz="0" w:space="0" w:color="auto"/>
      </w:divBdr>
    </w:div>
    <w:div w:id="1457137365">
      <w:bodyDiv w:val="1"/>
      <w:marLeft w:val="0"/>
      <w:marRight w:val="0"/>
      <w:marTop w:val="0"/>
      <w:marBottom w:val="0"/>
      <w:divBdr>
        <w:top w:val="none" w:sz="0" w:space="0" w:color="auto"/>
        <w:left w:val="none" w:sz="0" w:space="0" w:color="auto"/>
        <w:bottom w:val="none" w:sz="0" w:space="0" w:color="auto"/>
        <w:right w:val="none" w:sz="0" w:space="0" w:color="auto"/>
      </w:divBdr>
    </w:div>
    <w:div w:id="1506824954">
      <w:bodyDiv w:val="1"/>
      <w:marLeft w:val="0"/>
      <w:marRight w:val="0"/>
      <w:marTop w:val="0"/>
      <w:marBottom w:val="0"/>
      <w:divBdr>
        <w:top w:val="none" w:sz="0" w:space="0" w:color="auto"/>
        <w:left w:val="none" w:sz="0" w:space="0" w:color="auto"/>
        <w:bottom w:val="none" w:sz="0" w:space="0" w:color="auto"/>
        <w:right w:val="none" w:sz="0" w:space="0" w:color="auto"/>
      </w:divBdr>
    </w:div>
    <w:div w:id="1551769345">
      <w:bodyDiv w:val="1"/>
      <w:marLeft w:val="0"/>
      <w:marRight w:val="0"/>
      <w:marTop w:val="0"/>
      <w:marBottom w:val="0"/>
      <w:divBdr>
        <w:top w:val="none" w:sz="0" w:space="0" w:color="auto"/>
        <w:left w:val="none" w:sz="0" w:space="0" w:color="auto"/>
        <w:bottom w:val="none" w:sz="0" w:space="0" w:color="auto"/>
        <w:right w:val="none" w:sz="0" w:space="0" w:color="auto"/>
      </w:divBdr>
    </w:div>
    <w:div w:id="1570530481">
      <w:bodyDiv w:val="1"/>
      <w:marLeft w:val="0"/>
      <w:marRight w:val="0"/>
      <w:marTop w:val="0"/>
      <w:marBottom w:val="0"/>
      <w:divBdr>
        <w:top w:val="none" w:sz="0" w:space="0" w:color="auto"/>
        <w:left w:val="none" w:sz="0" w:space="0" w:color="auto"/>
        <w:bottom w:val="none" w:sz="0" w:space="0" w:color="auto"/>
        <w:right w:val="none" w:sz="0" w:space="0" w:color="auto"/>
      </w:divBdr>
    </w:div>
    <w:div w:id="1615282900">
      <w:bodyDiv w:val="1"/>
      <w:marLeft w:val="0"/>
      <w:marRight w:val="0"/>
      <w:marTop w:val="0"/>
      <w:marBottom w:val="0"/>
      <w:divBdr>
        <w:top w:val="none" w:sz="0" w:space="0" w:color="auto"/>
        <w:left w:val="none" w:sz="0" w:space="0" w:color="auto"/>
        <w:bottom w:val="none" w:sz="0" w:space="0" w:color="auto"/>
        <w:right w:val="none" w:sz="0" w:space="0" w:color="auto"/>
      </w:divBdr>
    </w:div>
    <w:div w:id="1644239078">
      <w:bodyDiv w:val="1"/>
      <w:marLeft w:val="0"/>
      <w:marRight w:val="0"/>
      <w:marTop w:val="0"/>
      <w:marBottom w:val="0"/>
      <w:divBdr>
        <w:top w:val="none" w:sz="0" w:space="0" w:color="auto"/>
        <w:left w:val="none" w:sz="0" w:space="0" w:color="auto"/>
        <w:bottom w:val="none" w:sz="0" w:space="0" w:color="auto"/>
        <w:right w:val="none" w:sz="0" w:space="0" w:color="auto"/>
      </w:divBdr>
    </w:div>
    <w:div w:id="1650598691">
      <w:bodyDiv w:val="1"/>
      <w:marLeft w:val="0"/>
      <w:marRight w:val="0"/>
      <w:marTop w:val="0"/>
      <w:marBottom w:val="0"/>
      <w:divBdr>
        <w:top w:val="none" w:sz="0" w:space="0" w:color="auto"/>
        <w:left w:val="none" w:sz="0" w:space="0" w:color="auto"/>
        <w:bottom w:val="none" w:sz="0" w:space="0" w:color="auto"/>
        <w:right w:val="none" w:sz="0" w:space="0" w:color="auto"/>
      </w:divBdr>
    </w:div>
    <w:div w:id="1654408190">
      <w:bodyDiv w:val="1"/>
      <w:marLeft w:val="0"/>
      <w:marRight w:val="0"/>
      <w:marTop w:val="0"/>
      <w:marBottom w:val="0"/>
      <w:divBdr>
        <w:top w:val="none" w:sz="0" w:space="0" w:color="auto"/>
        <w:left w:val="none" w:sz="0" w:space="0" w:color="auto"/>
        <w:bottom w:val="none" w:sz="0" w:space="0" w:color="auto"/>
        <w:right w:val="none" w:sz="0" w:space="0" w:color="auto"/>
      </w:divBdr>
    </w:div>
    <w:div w:id="1662348886">
      <w:bodyDiv w:val="1"/>
      <w:marLeft w:val="0"/>
      <w:marRight w:val="0"/>
      <w:marTop w:val="0"/>
      <w:marBottom w:val="0"/>
      <w:divBdr>
        <w:top w:val="none" w:sz="0" w:space="0" w:color="auto"/>
        <w:left w:val="none" w:sz="0" w:space="0" w:color="auto"/>
        <w:bottom w:val="none" w:sz="0" w:space="0" w:color="auto"/>
        <w:right w:val="none" w:sz="0" w:space="0" w:color="auto"/>
      </w:divBdr>
    </w:div>
    <w:div w:id="1671986496">
      <w:bodyDiv w:val="1"/>
      <w:marLeft w:val="0"/>
      <w:marRight w:val="0"/>
      <w:marTop w:val="0"/>
      <w:marBottom w:val="0"/>
      <w:divBdr>
        <w:top w:val="none" w:sz="0" w:space="0" w:color="auto"/>
        <w:left w:val="none" w:sz="0" w:space="0" w:color="auto"/>
        <w:bottom w:val="none" w:sz="0" w:space="0" w:color="auto"/>
        <w:right w:val="none" w:sz="0" w:space="0" w:color="auto"/>
      </w:divBdr>
    </w:div>
    <w:div w:id="1705595352">
      <w:bodyDiv w:val="1"/>
      <w:marLeft w:val="0"/>
      <w:marRight w:val="0"/>
      <w:marTop w:val="0"/>
      <w:marBottom w:val="0"/>
      <w:divBdr>
        <w:top w:val="none" w:sz="0" w:space="0" w:color="auto"/>
        <w:left w:val="none" w:sz="0" w:space="0" w:color="auto"/>
        <w:bottom w:val="none" w:sz="0" w:space="0" w:color="auto"/>
        <w:right w:val="none" w:sz="0" w:space="0" w:color="auto"/>
      </w:divBdr>
    </w:div>
    <w:div w:id="1705788752">
      <w:bodyDiv w:val="1"/>
      <w:marLeft w:val="0"/>
      <w:marRight w:val="0"/>
      <w:marTop w:val="0"/>
      <w:marBottom w:val="0"/>
      <w:divBdr>
        <w:top w:val="none" w:sz="0" w:space="0" w:color="auto"/>
        <w:left w:val="none" w:sz="0" w:space="0" w:color="auto"/>
        <w:bottom w:val="none" w:sz="0" w:space="0" w:color="auto"/>
        <w:right w:val="none" w:sz="0" w:space="0" w:color="auto"/>
      </w:divBdr>
    </w:div>
    <w:div w:id="1718621999">
      <w:bodyDiv w:val="1"/>
      <w:marLeft w:val="0"/>
      <w:marRight w:val="0"/>
      <w:marTop w:val="0"/>
      <w:marBottom w:val="0"/>
      <w:divBdr>
        <w:top w:val="none" w:sz="0" w:space="0" w:color="auto"/>
        <w:left w:val="none" w:sz="0" w:space="0" w:color="auto"/>
        <w:bottom w:val="none" w:sz="0" w:space="0" w:color="auto"/>
        <w:right w:val="none" w:sz="0" w:space="0" w:color="auto"/>
      </w:divBdr>
    </w:div>
    <w:div w:id="1747218406">
      <w:bodyDiv w:val="1"/>
      <w:marLeft w:val="0"/>
      <w:marRight w:val="0"/>
      <w:marTop w:val="0"/>
      <w:marBottom w:val="0"/>
      <w:divBdr>
        <w:top w:val="none" w:sz="0" w:space="0" w:color="auto"/>
        <w:left w:val="none" w:sz="0" w:space="0" w:color="auto"/>
        <w:bottom w:val="none" w:sz="0" w:space="0" w:color="auto"/>
        <w:right w:val="none" w:sz="0" w:space="0" w:color="auto"/>
      </w:divBdr>
    </w:div>
    <w:div w:id="1765422031">
      <w:bodyDiv w:val="1"/>
      <w:marLeft w:val="0"/>
      <w:marRight w:val="0"/>
      <w:marTop w:val="0"/>
      <w:marBottom w:val="0"/>
      <w:divBdr>
        <w:top w:val="none" w:sz="0" w:space="0" w:color="auto"/>
        <w:left w:val="none" w:sz="0" w:space="0" w:color="auto"/>
        <w:bottom w:val="none" w:sz="0" w:space="0" w:color="auto"/>
        <w:right w:val="none" w:sz="0" w:space="0" w:color="auto"/>
      </w:divBdr>
    </w:div>
    <w:div w:id="1773237050">
      <w:bodyDiv w:val="1"/>
      <w:marLeft w:val="0"/>
      <w:marRight w:val="0"/>
      <w:marTop w:val="0"/>
      <w:marBottom w:val="0"/>
      <w:divBdr>
        <w:top w:val="none" w:sz="0" w:space="0" w:color="auto"/>
        <w:left w:val="none" w:sz="0" w:space="0" w:color="auto"/>
        <w:bottom w:val="none" w:sz="0" w:space="0" w:color="auto"/>
        <w:right w:val="none" w:sz="0" w:space="0" w:color="auto"/>
      </w:divBdr>
    </w:div>
    <w:div w:id="1787190664">
      <w:bodyDiv w:val="1"/>
      <w:marLeft w:val="0"/>
      <w:marRight w:val="0"/>
      <w:marTop w:val="0"/>
      <w:marBottom w:val="0"/>
      <w:divBdr>
        <w:top w:val="none" w:sz="0" w:space="0" w:color="auto"/>
        <w:left w:val="none" w:sz="0" w:space="0" w:color="auto"/>
        <w:bottom w:val="none" w:sz="0" w:space="0" w:color="auto"/>
        <w:right w:val="none" w:sz="0" w:space="0" w:color="auto"/>
      </w:divBdr>
    </w:div>
    <w:div w:id="1794328257">
      <w:bodyDiv w:val="1"/>
      <w:marLeft w:val="0"/>
      <w:marRight w:val="0"/>
      <w:marTop w:val="0"/>
      <w:marBottom w:val="0"/>
      <w:divBdr>
        <w:top w:val="none" w:sz="0" w:space="0" w:color="auto"/>
        <w:left w:val="none" w:sz="0" w:space="0" w:color="auto"/>
        <w:bottom w:val="none" w:sz="0" w:space="0" w:color="auto"/>
        <w:right w:val="none" w:sz="0" w:space="0" w:color="auto"/>
      </w:divBdr>
    </w:div>
    <w:div w:id="1802379288">
      <w:bodyDiv w:val="1"/>
      <w:marLeft w:val="0"/>
      <w:marRight w:val="0"/>
      <w:marTop w:val="0"/>
      <w:marBottom w:val="0"/>
      <w:divBdr>
        <w:top w:val="none" w:sz="0" w:space="0" w:color="auto"/>
        <w:left w:val="none" w:sz="0" w:space="0" w:color="auto"/>
        <w:bottom w:val="none" w:sz="0" w:space="0" w:color="auto"/>
        <w:right w:val="none" w:sz="0" w:space="0" w:color="auto"/>
      </w:divBdr>
    </w:div>
    <w:div w:id="1828134620">
      <w:bodyDiv w:val="1"/>
      <w:marLeft w:val="0"/>
      <w:marRight w:val="0"/>
      <w:marTop w:val="0"/>
      <w:marBottom w:val="0"/>
      <w:divBdr>
        <w:top w:val="none" w:sz="0" w:space="0" w:color="auto"/>
        <w:left w:val="none" w:sz="0" w:space="0" w:color="auto"/>
        <w:bottom w:val="none" w:sz="0" w:space="0" w:color="auto"/>
        <w:right w:val="none" w:sz="0" w:space="0" w:color="auto"/>
      </w:divBdr>
    </w:div>
    <w:div w:id="1855339230">
      <w:bodyDiv w:val="1"/>
      <w:marLeft w:val="0"/>
      <w:marRight w:val="0"/>
      <w:marTop w:val="0"/>
      <w:marBottom w:val="0"/>
      <w:divBdr>
        <w:top w:val="none" w:sz="0" w:space="0" w:color="auto"/>
        <w:left w:val="none" w:sz="0" w:space="0" w:color="auto"/>
        <w:bottom w:val="none" w:sz="0" w:space="0" w:color="auto"/>
        <w:right w:val="none" w:sz="0" w:space="0" w:color="auto"/>
      </w:divBdr>
    </w:div>
    <w:div w:id="1909683221">
      <w:bodyDiv w:val="1"/>
      <w:marLeft w:val="0"/>
      <w:marRight w:val="0"/>
      <w:marTop w:val="0"/>
      <w:marBottom w:val="0"/>
      <w:divBdr>
        <w:top w:val="none" w:sz="0" w:space="0" w:color="auto"/>
        <w:left w:val="none" w:sz="0" w:space="0" w:color="auto"/>
        <w:bottom w:val="none" w:sz="0" w:space="0" w:color="auto"/>
        <w:right w:val="none" w:sz="0" w:space="0" w:color="auto"/>
      </w:divBdr>
    </w:div>
    <w:div w:id="1920170578">
      <w:bodyDiv w:val="1"/>
      <w:marLeft w:val="0"/>
      <w:marRight w:val="0"/>
      <w:marTop w:val="0"/>
      <w:marBottom w:val="0"/>
      <w:divBdr>
        <w:top w:val="none" w:sz="0" w:space="0" w:color="auto"/>
        <w:left w:val="none" w:sz="0" w:space="0" w:color="auto"/>
        <w:bottom w:val="none" w:sz="0" w:space="0" w:color="auto"/>
        <w:right w:val="none" w:sz="0" w:space="0" w:color="auto"/>
      </w:divBdr>
    </w:div>
    <w:div w:id="1929847656">
      <w:bodyDiv w:val="1"/>
      <w:marLeft w:val="0"/>
      <w:marRight w:val="0"/>
      <w:marTop w:val="0"/>
      <w:marBottom w:val="0"/>
      <w:divBdr>
        <w:top w:val="none" w:sz="0" w:space="0" w:color="auto"/>
        <w:left w:val="none" w:sz="0" w:space="0" w:color="auto"/>
        <w:bottom w:val="none" w:sz="0" w:space="0" w:color="auto"/>
        <w:right w:val="none" w:sz="0" w:space="0" w:color="auto"/>
      </w:divBdr>
    </w:div>
    <w:div w:id="1975982100">
      <w:bodyDiv w:val="1"/>
      <w:marLeft w:val="0"/>
      <w:marRight w:val="0"/>
      <w:marTop w:val="0"/>
      <w:marBottom w:val="0"/>
      <w:divBdr>
        <w:top w:val="none" w:sz="0" w:space="0" w:color="auto"/>
        <w:left w:val="none" w:sz="0" w:space="0" w:color="auto"/>
        <w:bottom w:val="none" w:sz="0" w:space="0" w:color="auto"/>
        <w:right w:val="none" w:sz="0" w:space="0" w:color="auto"/>
      </w:divBdr>
    </w:div>
    <w:div w:id="1981642248">
      <w:bodyDiv w:val="1"/>
      <w:marLeft w:val="0"/>
      <w:marRight w:val="0"/>
      <w:marTop w:val="0"/>
      <w:marBottom w:val="0"/>
      <w:divBdr>
        <w:top w:val="none" w:sz="0" w:space="0" w:color="auto"/>
        <w:left w:val="none" w:sz="0" w:space="0" w:color="auto"/>
        <w:bottom w:val="none" w:sz="0" w:space="0" w:color="auto"/>
        <w:right w:val="none" w:sz="0" w:space="0" w:color="auto"/>
      </w:divBdr>
    </w:div>
    <w:div w:id="1990203759">
      <w:bodyDiv w:val="1"/>
      <w:marLeft w:val="0"/>
      <w:marRight w:val="0"/>
      <w:marTop w:val="0"/>
      <w:marBottom w:val="0"/>
      <w:divBdr>
        <w:top w:val="none" w:sz="0" w:space="0" w:color="auto"/>
        <w:left w:val="none" w:sz="0" w:space="0" w:color="auto"/>
        <w:bottom w:val="none" w:sz="0" w:space="0" w:color="auto"/>
        <w:right w:val="none" w:sz="0" w:space="0" w:color="auto"/>
      </w:divBdr>
    </w:div>
    <w:div w:id="2052458540">
      <w:bodyDiv w:val="1"/>
      <w:marLeft w:val="0"/>
      <w:marRight w:val="0"/>
      <w:marTop w:val="0"/>
      <w:marBottom w:val="0"/>
      <w:divBdr>
        <w:top w:val="none" w:sz="0" w:space="0" w:color="auto"/>
        <w:left w:val="none" w:sz="0" w:space="0" w:color="auto"/>
        <w:bottom w:val="none" w:sz="0" w:space="0" w:color="auto"/>
        <w:right w:val="none" w:sz="0" w:space="0" w:color="auto"/>
      </w:divBdr>
    </w:div>
    <w:div w:id="2076472386">
      <w:bodyDiv w:val="1"/>
      <w:marLeft w:val="0"/>
      <w:marRight w:val="0"/>
      <w:marTop w:val="0"/>
      <w:marBottom w:val="0"/>
      <w:divBdr>
        <w:top w:val="none" w:sz="0" w:space="0" w:color="auto"/>
        <w:left w:val="none" w:sz="0" w:space="0" w:color="auto"/>
        <w:bottom w:val="none" w:sz="0" w:space="0" w:color="auto"/>
        <w:right w:val="none" w:sz="0" w:space="0" w:color="auto"/>
      </w:divBdr>
    </w:div>
    <w:div w:id="2076850960">
      <w:bodyDiv w:val="1"/>
      <w:marLeft w:val="0"/>
      <w:marRight w:val="0"/>
      <w:marTop w:val="0"/>
      <w:marBottom w:val="0"/>
      <w:divBdr>
        <w:top w:val="none" w:sz="0" w:space="0" w:color="auto"/>
        <w:left w:val="none" w:sz="0" w:space="0" w:color="auto"/>
        <w:bottom w:val="none" w:sz="0" w:space="0" w:color="auto"/>
        <w:right w:val="none" w:sz="0" w:space="0" w:color="auto"/>
      </w:divBdr>
    </w:div>
    <w:div w:id="2078045828">
      <w:bodyDiv w:val="1"/>
      <w:marLeft w:val="0"/>
      <w:marRight w:val="0"/>
      <w:marTop w:val="0"/>
      <w:marBottom w:val="0"/>
      <w:divBdr>
        <w:top w:val="none" w:sz="0" w:space="0" w:color="auto"/>
        <w:left w:val="none" w:sz="0" w:space="0" w:color="auto"/>
        <w:bottom w:val="none" w:sz="0" w:space="0" w:color="auto"/>
        <w:right w:val="none" w:sz="0" w:space="0" w:color="auto"/>
      </w:divBdr>
    </w:div>
    <w:div w:id="2099019114">
      <w:bodyDiv w:val="1"/>
      <w:marLeft w:val="0"/>
      <w:marRight w:val="0"/>
      <w:marTop w:val="0"/>
      <w:marBottom w:val="0"/>
      <w:divBdr>
        <w:top w:val="none" w:sz="0" w:space="0" w:color="auto"/>
        <w:left w:val="none" w:sz="0" w:space="0" w:color="auto"/>
        <w:bottom w:val="none" w:sz="0" w:space="0" w:color="auto"/>
        <w:right w:val="none" w:sz="0" w:space="0" w:color="auto"/>
      </w:divBdr>
    </w:div>
    <w:div w:id="2102482109">
      <w:bodyDiv w:val="1"/>
      <w:marLeft w:val="0"/>
      <w:marRight w:val="0"/>
      <w:marTop w:val="0"/>
      <w:marBottom w:val="0"/>
      <w:divBdr>
        <w:top w:val="none" w:sz="0" w:space="0" w:color="auto"/>
        <w:left w:val="none" w:sz="0" w:space="0" w:color="auto"/>
        <w:bottom w:val="none" w:sz="0" w:space="0" w:color="auto"/>
        <w:right w:val="none" w:sz="0" w:space="0" w:color="auto"/>
      </w:divBdr>
    </w:div>
    <w:div w:id="2109808556">
      <w:bodyDiv w:val="1"/>
      <w:marLeft w:val="0"/>
      <w:marRight w:val="0"/>
      <w:marTop w:val="0"/>
      <w:marBottom w:val="0"/>
      <w:divBdr>
        <w:top w:val="none" w:sz="0" w:space="0" w:color="auto"/>
        <w:left w:val="none" w:sz="0" w:space="0" w:color="auto"/>
        <w:bottom w:val="none" w:sz="0" w:space="0" w:color="auto"/>
        <w:right w:val="none" w:sz="0" w:space="0" w:color="auto"/>
      </w:divBdr>
    </w:div>
    <w:div w:id="2112815771">
      <w:bodyDiv w:val="1"/>
      <w:marLeft w:val="0"/>
      <w:marRight w:val="0"/>
      <w:marTop w:val="0"/>
      <w:marBottom w:val="0"/>
      <w:divBdr>
        <w:top w:val="none" w:sz="0" w:space="0" w:color="auto"/>
        <w:left w:val="none" w:sz="0" w:space="0" w:color="auto"/>
        <w:bottom w:val="none" w:sz="0" w:space="0" w:color="auto"/>
        <w:right w:val="none" w:sz="0" w:space="0" w:color="auto"/>
      </w:divBdr>
    </w:div>
    <w:div w:id="2130345534">
      <w:bodyDiv w:val="1"/>
      <w:marLeft w:val="0"/>
      <w:marRight w:val="0"/>
      <w:marTop w:val="0"/>
      <w:marBottom w:val="0"/>
      <w:divBdr>
        <w:top w:val="none" w:sz="0" w:space="0" w:color="auto"/>
        <w:left w:val="none" w:sz="0" w:space="0" w:color="auto"/>
        <w:bottom w:val="none" w:sz="0" w:space="0" w:color="auto"/>
        <w:right w:val="none" w:sz="0" w:space="0" w:color="auto"/>
      </w:divBdr>
    </w:div>
    <w:div w:id="2138913394">
      <w:bodyDiv w:val="1"/>
      <w:marLeft w:val="0"/>
      <w:marRight w:val="0"/>
      <w:marTop w:val="0"/>
      <w:marBottom w:val="0"/>
      <w:divBdr>
        <w:top w:val="none" w:sz="0" w:space="0" w:color="auto"/>
        <w:left w:val="none" w:sz="0" w:space="0" w:color="auto"/>
        <w:bottom w:val="none" w:sz="0" w:space="0" w:color="auto"/>
        <w:right w:val="none" w:sz="0" w:space="0" w:color="auto"/>
      </w:divBdr>
    </w:div>
    <w:div w:id="2140147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research-and-commentary/building-back-making-working-lives-better/paper" TargetMode="External"/><Relationship Id="rId13" Type="http://schemas.openxmlformats.org/officeDocument/2006/relationships/hyperlink" Target="https://www.cipd.org.uk/knowledge/factsheets/engagement-factsheet/" TargetMode="External"/><Relationship Id="rId18" Type="http://schemas.openxmlformats.org/officeDocument/2006/relationships/hyperlink" Target="https://www.cipd.org/uk/knowledge/guides/discipline-and-grievance/" TargetMode="External"/><Relationship Id="rId26" Type="http://schemas.openxmlformats.org/officeDocument/2006/relationships/hyperlink" Target="https://www.linkedin.com/advice/1/how-do-you-gather-use-employee-suggestions" TargetMode="External"/><Relationship Id="rId3" Type="http://schemas.openxmlformats.org/officeDocument/2006/relationships/webSettings" Target="webSettings.xml"/><Relationship Id="rId21" Type="http://schemas.openxmlformats.org/officeDocument/2006/relationships/hyperlink" Target="https://www.hrmagazine.co.uk/content/features/legal-ease-handling-grievances" TargetMode="External"/><Relationship Id="rId34" Type="http://schemas.openxmlformats.org/officeDocument/2006/relationships/hyperlink" Target="https://engageforsuccess.org/the-increasing-importance-of-employee-voice/" TargetMode="External"/><Relationship Id="rId7" Type="http://schemas.openxmlformats.org/officeDocument/2006/relationships/hyperlink" Target="https://www.acas.org.uk/acas-code-of-practice-on-disciplinary-and-grievance-procedures" TargetMode="External"/><Relationship Id="rId12" Type="http://schemas.openxmlformats.org/officeDocument/2006/relationships/hyperlink" Target="https://www.hrmagazine.co.uk/content/features/conflict-at-work-where-next/" TargetMode="External"/><Relationship Id="rId17" Type="http://schemas.openxmlformats.org/officeDocument/2006/relationships/hyperlink" Target="https://www.cipd.org/uk/knowledge/case-studies/nottingham-healthcare-trust/" TargetMode="External"/><Relationship Id="rId25" Type="http://schemas.openxmlformats.org/officeDocument/2006/relationships/hyperlink" Target="https://www.hrmagazine.co.uk/content/comment/the-mcdonalds-case-shows-that-hr-must-help-leaders-tackle-the-causes-of-bullying" TargetMode="External"/><Relationship Id="rId33" Type="http://schemas.openxmlformats.org/officeDocument/2006/relationships/hyperlink" Target="https://law.gov.wales/social-partnership-and-public-procurement-wales-act-2023" TargetMode="External"/><Relationship Id="rId2" Type="http://schemas.openxmlformats.org/officeDocument/2006/relationships/settings" Target="settings.xml"/><Relationship Id="rId16" Type="http://schemas.openxmlformats.org/officeDocument/2006/relationships/hyperlink" Target="https://www.cipd.org/uk/knowledge/reports/goodwork/" TargetMode="External"/><Relationship Id="rId20" Type="http://schemas.openxmlformats.org/officeDocument/2006/relationships/hyperlink" Target="https://engageforsuccess.org/making-a-case-for-the-importance-of-employee-voice/" TargetMode="External"/><Relationship Id="rId29" Type="http://schemas.openxmlformats.org/officeDocument/2006/relationships/hyperlink" Target="https://www.hrmagazine.co.uk/content/features/taking-the-grief-out-of-grievances" TargetMode="External"/><Relationship Id="rId1" Type="http://schemas.openxmlformats.org/officeDocument/2006/relationships/styles" Target="styles.xml"/><Relationship Id="rId6" Type="http://schemas.openxmlformats.org/officeDocument/2006/relationships/hyperlink" Target="https://www.acas.org.uk/acas-guide-to-discipline-and-grievances-at-work" TargetMode="External"/><Relationship Id="rId11" Type="http://schemas.openxmlformats.org/officeDocument/2006/relationships/hyperlink" Target="https://www.acas.org.uk/research-and-commentary/a-time-for-consensus-how-can-workplace-collaboration-be-built-from-organisation-to-nation/paper" TargetMode="External"/><Relationship Id="rId24" Type="http://schemas.openxmlformats.org/officeDocument/2006/relationships/hyperlink" Target="https://www.ipa-involve.com/employee-voice" TargetMode="External"/><Relationship Id="rId32" Type="http://schemas.openxmlformats.org/officeDocument/2006/relationships/hyperlink" Target="https://hr.vqsolutions.co.uk/concept-of-better-working-lives-and-how-this-can-be-designed/"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ipd.org/uk/knowledge/podcasts/shifting-perception-conflict/" TargetMode="External"/><Relationship Id="rId23" Type="http://schemas.openxmlformats.org/officeDocument/2006/relationships/hyperlink" Target="https://www.ipa-involve.com/News/how-workplace-participation-increases-productivity-behavioural-evidence" TargetMode="External"/><Relationship Id="rId28" Type="http://schemas.openxmlformats.org/officeDocument/2006/relationships/hyperlink" Target="https://www.personneltoday.com/hr/importance-handling-grievances-properly/" TargetMode="External"/><Relationship Id="rId36" Type="http://schemas.openxmlformats.org/officeDocument/2006/relationships/fontTable" Target="fontTable.xml"/><Relationship Id="rId10" Type="http://schemas.openxmlformats.org/officeDocument/2006/relationships/hyperlink" Target="https://www.acas.org.uk/dispute-resolution" TargetMode="External"/><Relationship Id="rId19" Type="http://schemas.openxmlformats.org/officeDocument/2006/relationships/hyperlink" Target="https://www.cipd.org/uk/knowledge/guides/disciplinary-and-grievance-procedures-guidance-for-managers/" TargetMode="External"/><Relationship Id="rId31" Type="http://schemas.openxmlformats.org/officeDocument/2006/relationships/hyperlink" Target="https://www.linkedin.com/pulse/risks-employee-engagement-without-active-follow-up-tale-van-gils-em11e" TargetMode="External"/><Relationship Id="rId4" Type="http://schemas.openxmlformats.org/officeDocument/2006/relationships/footnotes" Target="footnotes.xml"/><Relationship Id="rId9" Type="http://schemas.openxmlformats.org/officeDocument/2006/relationships/hyperlink" Target="https://www.acas.org.uk/research-and-commentary/managing-workplace-conflict-changing-role-of-hr" TargetMode="External"/><Relationship Id="rId14" Type="http://schemas.openxmlformats.org/officeDocument/2006/relationships/hyperlink" Target="https://www.cipd.org/globalassets/media/knowledge/knowledge-hub/reports/managing-conflict-in-the-workplace-2_tcm18-70655.pdf" TargetMode="External"/><Relationship Id="rId22" Type="http://schemas.openxmlformats.org/officeDocument/2006/relationships/hyperlink" Target="https://www.peoplemanagement.co.uk/article/1741296/how-can-you-ensure-employees-have-a-voice" TargetMode="External"/><Relationship Id="rId27" Type="http://schemas.openxmlformats.org/officeDocument/2006/relationships/hyperlink" Target="https://www.ipa-involve.com/News/workplace-representation-what-next-for-trade-s-and-staff-forums" TargetMode="External"/><Relationship Id="rId30" Type="http://schemas.openxmlformats.org/officeDocument/2006/relationships/hyperlink" Target="https://www.resolutionfoundation.org/publications/labour-market-outlook-q2-2023/" TargetMode="External"/><Relationship Id="rId35" Type="http://schemas.openxmlformats.org/officeDocument/2006/relationships/hyperlink" Target="https://www.cipd.org.uk/knowledge/podcasts/whats-hampering-good-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1814</TotalTime>
  <Pages>13</Pages>
  <Words>5857</Words>
  <Characters>33385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293</cp:revision>
  <dcterms:created xsi:type="dcterms:W3CDTF">2025-07-25T09:44:00Z</dcterms:created>
  <dcterms:modified xsi:type="dcterms:W3CDTF">2025-07-26T22:43:00Z</dcterms:modified>
</cp:coreProperties>
</file>