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06AFE4" w14:textId="4CCD0BF6" w:rsidR="0027472F" w:rsidRPr="00EE4034" w:rsidRDefault="00EE4034">
      <w:pPr>
        <w:rPr>
          <w:sz w:val="24"/>
          <w:szCs w:val="24"/>
          <w:u w:val="single"/>
        </w:rPr>
      </w:pPr>
      <w:r w:rsidRPr="00EE4034">
        <w:rPr>
          <w:sz w:val="24"/>
          <w:szCs w:val="24"/>
          <w:u w:val="single"/>
        </w:rPr>
        <w:t>From Maccabees to Masada: Jews, Christian and Romans (167BCE – 74CE)</w:t>
      </w:r>
    </w:p>
    <w:p w14:paraId="2CB704CE" w14:textId="5802E4E3" w:rsidR="00EE4034" w:rsidRPr="00EE4034" w:rsidRDefault="00EE4034">
      <w:pPr>
        <w:rPr>
          <w:sz w:val="24"/>
          <w:szCs w:val="24"/>
          <w:u w:val="single"/>
        </w:rPr>
      </w:pPr>
      <w:r w:rsidRPr="00EE4034">
        <w:rPr>
          <w:sz w:val="24"/>
          <w:szCs w:val="24"/>
          <w:u w:val="single"/>
        </w:rPr>
        <w:t>Assessment 1: Portfolio Part 1: Article Review</w:t>
      </w:r>
      <w:r>
        <w:rPr>
          <w:sz w:val="24"/>
          <w:szCs w:val="24"/>
          <w:u w:val="single"/>
        </w:rPr>
        <w:t>:</w:t>
      </w:r>
    </w:p>
    <w:p w14:paraId="1AEAC54B" w14:textId="41C5B022" w:rsidR="00EE4034" w:rsidRDefault="00EE4034" w:rsidP="00EE4034">
      <w:pPr>
        <w:jc w:val="center"/>
        <w:rPr>
          <w:sz w:val="24"/>
          <w:szCs w:val="24"/>
          <w:u w:val="single"/>
        </w:rPr>
      </w:pPr>
      <w:r w:rsidRPr="00EE4034">
        <w:rPr>
          <w:sz w:val="24"/>
          <w:szCs w:val="24"/>
          <w:u w:val="single"/>
        </w:rPr>
        <w:t>M. Himmelfarb</w:t>
      </w:r>
      <w:r>
        <w:rPr>
          <w:sz w:val="24"/>
          <w:szCs w:val="24"/>
          <w:u w:val="single"/>
        </w:rPr>
        <w:t>.</w:t>
      </w:r>
      <w:r w:rsidRPr="00EE4034">
        <w:rPr>
          <w:sz w:val="24"/>
          <w:szCs w:val="24"/>
          <w:u w:val="single"/>
        </w:rPr>
        <w:t xml:space="preserve"> (1998). ‘Judaism and Hellenism in 2 Maccabees’, </w:t>
      </w:r>
      <w:r w:rsidRPr="00EE4034">
        <w:rPr>
          <w:i/>
          <w:iCs/>
          <w:sz w:val="24"/>
          <w:szCs w:val="24"/>
          <w:u w:val="single"/>
        </w:rPr>
        <w:t>Poetics Today.</w:t>
      </w:r>
      <w:r w:rsidRPr="00EE4034">
        <w:rPr>
          <w:sz w:val="24"/>
          <w:szCs w:val="24"/>
          <w:u w:val="single"/>
        </w:rPr>
        <w:t xml:space="preserve"> 19. 1. 19-40.</w:t>
      </w:r>
    </w:p>
    <w:p w14:paraId="33904C23" w14:textId="4D7AC981" w:rsidR="00EE4034" w:rsidRDefault="00EE4034" w:rsidP="00EE4034">
      <w:r>
        <w:t xml:space="preserve">When studying ancient history key events, people and places are likely to continuously garner significant attention. This is true when investigating the ruins of Rome, </w:t>
      </w:r>
      <w:r w:rsidR="005D12A3">
        <w:t>exploring the tombs</w:t>
      </w:r>
      <w:r>
        <w:t xml:space="preserve"> of </w:t>
      </w:r>
      <w:r w:rsidR="005D12A3">
        <w:t>Egypt,</w:t>
      </w:r>
      <w:r>
        <w:t xml:space="preserve"> or analysing </w:t>
      </w:r>
      <w:r w:rsidR="005D12A3">
        <w:t>rediscovered religious texts. The latter of which is essential for those wishing to study Jewish history. One cannot hope to understand the origins</w:t>
      </w:r>
      <w:r w:rsidR="007054F4">
        <w:t>,</w:t>
      </w:r>
      <w:r w:rsidR="005D12A3">
        <w:t xml:space="preserve"> or indeed </w:t>
      </w:r>
      <w:r w:rsidR="007054F4">
        <w:t xml:space="preserve">fundamental </w:t>
      </w:r>
      <w:r w:rsidR="005D12A3">
        <w:t>foundational aspects of modern Judaism</w:t>
      </w:r>
      <w:r w:rsidR="007054F4">
        <w:t>,</w:t>
      </w:r>
      <w:r w:rsidR="005D12A3">
        <w:t xml:space="preserve"> without first familiarising oneself with pivotal moments in Jewish history. The Maccabean revolt</w:t>
      </w:r>
      <w:r w:rsidR="007054F4">
        <w:t>,</w:t>
      </w:r>
      <w:r w:rsidR="005D12A3">
        <w:t xml:space="preserve"> that </w:t>
      </w:r>
      <w:r w:rsidR="007054F4">
        <w:t xml:space="preserve">sparked the beginning of </w:t>
      </w:r>
      <w:r w:rsidR="00465E01">
        <w:t>The Second Temple Period</w:t>
      </w:r>
      <w:r w:rsidR="007054F4">
        <w:t xml:space="preserve">, </w:t>
      </w:r>
      <w:r w:rsidR="005D12A3">
        <w:t xml:space="preserve">constitutes one such event. </w:t>
      </w:r>
      <w:r w:rsidR="007054F4">
        <w:t xml:space="preserve">Himmelfarb chooses to particularly focus upon 2 Maccabees in their analysis of the relationship between </w:t>
      </w:r>
      <w:r w:rsidR="009F5598">
        <w:t xml:space="preserve">Judaism and Hellenism. </w:t>
      </w:r>
    </w:p>
    <w:p w14:paraId="3202627E" w14:textId="0F49C997" w:rsidR="00431B0A" w:rsidRDefault="009F5598" w:rsidP="00EE4034">
      <w:r>
        <w:t>The afore mentioned analysis takes place in the article entitled, ‘Judaism and Hellenism in 2 Maccabees’.</w:t>
      </w:r>
      <w:r>
        <w:rPr>
          <w:rStyle w:val="FootnoteReference"/>
        </w:rPr>
        <w:footnoteReference w:id="1"/>
      </w:r>
      <w:r>
        <w:t xml:space="preserve"> </w:t>
      </w:r>
      <w:r w:rsidR="00537D8C">
        <w:t>P</w:t>
      </w:r>
      <w:r>
        <w:t xml:space="preserve">roduced in the year 1998 for inclusion in the </w:t>
      </w:r>
      <w:r>
        <w:rPr>
          <w:i/>
          <w:iCs/>
        </w:rPr>
        <w:t>Hellenism and Hebraism Reconsidered: The Poetics of Cultural Influence and Exchange</w:t>
      </w:r>
      <w:r>
        <w:t xml:space="preserve">, edition of the, </w:t>
      </w:r>
      <w:r w:rsidRPr="009F5598">
        <w:rPr>
          <w:i/>
          <w:iCs/>
        </w:rPr>
        <w:t>Poetics Today</w:t>
      </w:r>
      <w:r>
        <w:rPr>
          <w:i/>
          <w:iCs/>
        </w:rPr>
        <w:t>,</w:t>
      </w:r>
      <w:r>
        <w:t xml:space="preserve"> journal. As stated </w:t>
      </w:r>
      <w:r w:rsidR="00A4424B">
        <w:t xml:space="preserve">clearly </w:t>
      </w:r>
      <w:r>
        <w:t xml:space="preserve">by Himmelfarb, within the introduction of the article, it was formulated </w:t>
      </w:r>
      <w:r w:rsidR="00537D8C">
        <w:t>to</w:t>
      </w:r>
      <w:r>
        <w:t xml:space="preserve"> consider the ways in which 2 Maccabees engages with notions and aspects of Hellenism.</w:t>
      </w:r>
      <w:r w:rsidR="00537D8C">
        <w:t xml:space="preserve"> </w:t>
      </w:r>
      <w:r>
        <w:t xml:space="preserve">Himmelfarb postulates a number of points. Firstly, identifying Judaism and Hellenism </w:t>
      </w:r>
      <w:r w:rsidR="00537D8C">
        <w:t xml:space="preserve">in </w:t>
      </w:r>
      <w:r>
        <w:t>oppos</w:t>
      </w:r>
      <w:r w:rsidR="00537D8C">
        <w:t>ition</w:t>
      </w:r>
      <w:r>
        <w:t xml:space="preserve">, at least nominally. </w:t>
      </w:r>
      <w:r w:rsidR="00537D8C">
        <w:t>T</w:t>
      </w:r>
      <w:r>
        <w:t xml:space="preserve">he </w:t>
      </w:r>
      <w:r w:rsidR="00537D8C">
        <w:t xml:space="preserve">focus upon the </w:t>
      </w:r>
      <w:r>
        <w:t xml:space="preserve">threat of Greek ideology and values upon the Jewish way of life. </w:t>
      </w:r>
      <w:r w:rsidR="00465E01">
        <w:t>The gymnasium</w:t>
      </w:r>
      <w:r w:rsidR="00537D8C">
        <w:t xml:space="preserve"> is </w:t>
      </w:r>
      <w:r w:rsidR="00465E01">
        <w:t xml:space="preserve">influential in igniting said shift. The text itself partakes in typically Greek literary forms, themes, and motifs. </w:t>
      </w:r>
      <w:r w:rsidR="00537D8C">
        <w:t>F</w:t>
      </w:r>
      <w:r w:rsidR="00465E01">
        <w:t xml:space="preserve">urther summarised thus, Judaism and Hellenism interact in complex ways, Hellenism encroached upon Jewish practices, 2 Maccabees contains within itself a polarity in style and </w:t>
      </w:r>
      <w:r w:rsidR="00A4424B">
        <w:t>story</w:t>
      </w:r>
      <w:r w:rsidR="00465E01">
        <w:t xml:space="preserve">. </w:t>
      </w:r>
      <w:r w:rsidR="00537D8C">
        <w:t xml:space="preserve">The article as a whole can be split into two main parts. Understanding the definition of the term Hellenism and then an analysis of the ways in which the text itself has become Hellenised. </w:t>
      </w:r>
    </w:p>
    <w:p w14:paraId="6095C857" w14:textId="5F16D52E" w:rsidR="005A0D0F" w:rsidRDefault="00A4424B" w:rsidP="00EE4034">
      <w:r>
        <w:t>Beginning with a brief and helpful introduction Himmelfarb</w:t>
      </w:r>
      <w:r w:rsidR="00651CA9">
        <w:t xml:space="preserve"> clearly identifies her goals and primary sources. </w:t>
      </w:r>
      <w:r w:rsidR="00537D8C">
        <w:t>P</w:t>
      </w:r>
      <w:r>
        <w:t>rovid</w:t>
      </w:r>
      <w:r w:rsidR="00537D8C">
        <w:t xml:space="preserve">ing </w:t>
      </w:r>
      <w:r>
        <w:t>contextual information crucial to an understanding of the arguments set to follow.</w:t>
      </w:r>
      <w:r>
        <w:rPr>
          <w:rStyle w:val="FootnoteReference"/>
        </w:rPr>
        <w:footnoteReference w:id="2"/>
      </w:r>
      <w:r>
        <w:t xml:space="preserve"> She outlines a basic summary of the Maccabean revolt without dwelling too much upon this. Doing so succinctly allows readers a recap of the events directly pertaining to the article without overshadowing the intended content. </w:t>
      </w:r>
      <w:r w:rsidR="005A0D0F">
        <w:t>Further context is then provided with a</w:t>
      </w:r>
      <w:r w:rsidR="00537D8C">
        <w:t xml:space="preserve"> </w:t>
      </w:r>
      <w:r w:rsidR="005A0D0F">
        <w:t xml:space="preserve">discussion of 1 Maccabees. This is achieved in a similar manner, concise and rudimentary. </w:t>
      </w:r>
      <w:r w:rsidR="006C5D8D">
        <w:t>Himmelfarb does not go into extreme detail</w:t>
      </w:r>
      <w:r w:rsidR="00537D8C">
        <w:t xml:space="preserve">, we can therefore </w:t>
      </w:r>
      <w:r w:rsidR="006C5D8D">
        <w:t xml:space="preserve">assume the expected audience of the article is understood as having pre-existing knowledge of this subject area, at minimum an educated awareness. </w:t>
      </w:r>
    </w:p>
    <w:p w14:paraId="75F251F5" w14:textId="14C70C71" w:rsidR="00651CA9" w:rsidRDefault="006C5D8D" w:rsidP="00EE4034">
      <w:r>
        <w:t>Important also to note here is the inclusion of scholarly summaries in support. Allowing for a brief, yet necessary consideration of textual criticism within scholarly debates.</w:t>
      </w:r>
      <w:r>
        <w:rPr>
          <w:rStyle w:val="FootnoteReference"/>
        </w:rPr>
        <w:footnoteReference w:id="3"/>
      </w:r>
      <w:r w:rsidR="005A0D0F">
        <w:t xml:space="preserve"> </w:t>
      </w:r>
      <w:r w:rsidR="00A4424B">
        <w:t xml:space="preserve">Both </w:t>
      </w:r>
      <w:proofErr w:type="spellStart"/>
      <w:r w:rsidR="00A4424B">
        <w:t>Bickerman</w:t>
      </w:r>
      <w:proofErr w:type="spellEnd"/>
      <w:r w:rsidR="00A4424B">
        <w:t xml:space="preserve"> and </w:t>
      </w:r>
      <w:proofErr w:type="spellStart"/>
      <w:r w:rsidR="00A4424B">
        <w:t>Habicht</w:t>
      </w:r>
      <w:proofErr w:type="spellEnd"/>
      <w:r>
        <w:t xml:space="preserve"> are utilised to show the contradictory nature of 2 Maccabees.</w:t>
      </w:r>
      <w:r>
        <w:rPr>
          <w:rStyle w:val="FootnoteReference"/>
        </w:rPr>
        <w:footnoteReference w:id="4"/>
      </w:r>
      <w:r w:rsidR="00651CA9">
        <w:t xml:space="preserve"> </w:t>
      </w:r>
      <w:r w:rsidR="00537D8C">
        <w:t>P</w:t>
      </w:r>
      <w:r w:rsidR="00651CA9">
        <w:t>roduced entirely in Greek, likely in Alexandria in Egypt, by Jason of Cyrene of the Jewish Diaspora</w:t>
      </w:r>
      <w:r w:rsidR="00537D8C">
        <w:t>,</w:t>
      </w:r>
      <w:r w:rsidR="00A106F0">
        <w:rPr>
          <w:rStyle w:val="FootnoteReference"/>
        </w:rPr>
        <w:footnoteReference w:id="5"/>
      </w:r>
      <w:r w:rsidR="00A106F0">
        <w:t xml:space="preserve"> </w:t>
      </w:r>
      <w:r w:rsidR="00537D8C">
        <w:t>y</w:t>
      </w:r>
      <w:r w:rsidR="00A106F0">
        <w:t xml:space="preserve">et the main premise of the work is to critique and admonish Jewish persons adopting Greek customs. Himmelfarb goes on to explore authorial rights as a means of assessing why this contradiction may well occur. The presence </w:t>
      </w:r>
      <w:r w:rsidR="00A106F0">
        <w:lastRenderedPageBreak/>
        <w:t>of an epitomiser is identified within the work and highlighted by Himmelfarb.</w:t>
      </w:r>
      <w:r w:rsidR="00A106F0">
        <w:rPr>
          <w:rStyle w:val="FootnoteReference"/>
        </w:rPr>
        <w:footnoteReference w:id="6"/>
      </w:r>
      <w:r w:rsidR="00A106F0">
        <w:t xml:space="preserve"> Queries into the effect of this epitomiser</w:t>
      </w:r>
      <w:r w:rsidR="00E461E8">
        <w:t>,</w:t>
      </w:r>
      <w:r w:rsidR="00A106F0">
        <w:t xml:space="preserve"> upon the original text Jason produced</w:t>
      </w:r>
      <w:r w:rsidR="00E461E8">
        <w:t>,</w:t>
      </w:r>
      <w:r w:rsidR="00A106F0">
        <w:t xml:space="preserve"> are made. </w:t>
      </w:r>
      <w:r w:rsidR="00E461E8">
        <w:t>T</w:t>
      </w:r>
      <w:r w:rsidR="00A106F0">
        <w:t xml:space="preserve">his epitomiser </w:t>
      </w:r>
      <w:r w:rsidR="00E461E8">
        <w:t xml:space="preserve">suggests it is to them that </w:t>
      </w:r>
      <w:r w:rsidR="00A106F0">
        <w:t>we owe</w:t>
      </w:r>
      <w:r w:rsidR="00E461E8">
        <w:t>, “rhetorical flourishes”,</w:t>
      </w:r>
      <w:r w:rsidR="00E461E8">
        <w:rPr>
          <w:rStyle w:val="FootnoteReference"/>
        </w:rPr>
        <w:footnoteReference w:id="7"/>
      </w:r>
      <w:r w:rsidR="00E461E8">
        <w:t xml:space="preserve"> in 2 Maccabees. Himmelfarb is not convinced and argues that without Jason’s unchanged text we cannot hope to know to whom the tone is indebted. Whilst </w:t>
      </w:r>
      <w:r w:rsidR="00537D8C">
        <w:t xml:space="preserve">stylistic </w:t>
      </w:r>
      <w:r w:rsidR="00E461E8">
        <w:t xml:space="preserve">differences do exist, they occur </w:t>
      </w:r>
      <w:r w:rsidR="00537D8C">
        <w:t xml:space="preserve">more </w:t>
      </w:r>
      <w:r w:rsidR="00E461E8">
        <w:t>in relation to subject matter than</w:t>
      </w:r>
      <w:r w:rsidR="00537D8C">
        <w:t xml:space="preserve"> anything</w:t>
      </w:r>
      <w:r w:rsidR="00E461E8">
        <w:t>.</w:t>
      </w:r>
      <w:r w:rsidR="00E461E8">
        <w:rPr>
          <w:rStyle w:val="FootnoteReference"/>
        </w:rPr>
        <w:footnoteReference w:id="8"/>
      </w:r>
      <w:r w:rsidR="00E461E8">
        <w:t xml:space="preserve"> With the appropriate references made to relevant textual passages, this interpretation is satisfactory. </w:t>
      </w:r>
      <w:r w:rsidR="005A0D0F">
        <w:t xml:space="preserve">An outline of the overall article is then provided so as to indicate what can </w:t>
      </w:r>
      <w:r w:rsidR="00A80EAB">
        <w:t xml:space="preserve">be </w:t>
      </w:r>
      <w:r w:rsidR="005A0D0F">
        <w:t>anticipate</w:t>
      </w:r>
      <w:r w:rsidR="00A80EAB">
        <w:t>d, f</w:t>
      </w:r>
      <w:r w:rsidR="005A0D0F">
        <w:t xml:space="preserve">or purposes of clarity this is most helpful. </w:t>
      </w:r>
    </w:p>
    <w:p w14:paraId="7DEE617A" w14:textId="1355F412" w:rsidR="005A0D0F" w:rsidRDefault="005A0D0F" w:rsidP="00EE4034">
      <w:r>
        <w:t xml:space="preserve">Usage of the term </w:t>
      </w:r>
      <w:r>
        <w:rPr>
          <w:i/>
          <w:iCs/>
        </w:rPr>
        <w:t>Hellenismos</w:t>
      </w:r>
      <w:r>
        <w:t xml:space="preserve"> is identified within the primary text and translated appropriately as an antithesis of </w:t>
      </w:r>
      <w:proofErr w:type="spellStart"/>
      <w:r>
        <w:rPr>
          <w:i/>
          <w:iCs/>
        </w:rPr>
        <w:t>Ioudaismos</w:t>
      </w:r>
      <w:proofErr w:type="spellEnd"/>
      <w:r>
        <w:t>.</w:t>
      </w:r>
      <w:r>
        <w:rPr>
          <w:rStyle w:val="FootnoteReference"/>
        </w:rPr>
        <w:footnoteReference w:id="9"/>
      </w:r>
      <w:r>
        <w:t xml:space="preserve"> Himmelfarb provides her own translations of either term as, ‘Hellenism’, and, ‘Judaism’, respectively. From here she goes on to provide an understanding of what exactly is meant by Hellenism in this context. Identified directly with, “the gymnasium and the behaviour associated with it”.</w:t>
      </w:r>
      <w:r>
        <w:rPr>
          <w:rStyle w:val="FootnoteReference"/>
        </w:rPr>
        <w:footnoteReference w:id="10"/>
      </w:r>
      <w:r>
        <w:t xml:space="preserve"> Placing this activity in direct contrast to the “law” is argued to actually relate to the, “Jewish way of life”.</w:t>
      </w:r>
      <w:r>
        <w:rPr>
          <w:rStyle w:val="FootnoteReference"/>
        </w:rPr>
        <w:footnoteReference w:id="11"/>
      </w:r>
      <w:r>
        <w:t xml:space="preserve"> </w:t>
      </w:r>
      <w:r w:rsidR="000579EF">
        <w:t>Here Himmelfarb argues that, “no evidence”,</w:t>
      </w:r>
      <w:r w:rsidR="000579EF">
        <w:rPr>
          <w:rStyle w:val="FootnoteReference"/>
        </w:rPr>
        <w:footnoteReference w:id="12"/>
      </w:r>
      <w:r w:rsidR="000579EF">
        <w:t xml:space="preserve"> is given within 2 Maccabees to identify disloyalty on the part of Jason, newly appointed high priest by way of Antiochus IV, or his followers alike to their Jewish faith. Such a statement demands contention. When reading 2 Maccabees to suggest that Jason is a loyal high priest is woefully unfounded. Within the text itself he is said to be, “no true high priest”,</w:t>
      </w:r>
      <w:r w:rsidR="000579EF">
        <w:rPr>
          <w:rStyle w:val="FootnoteReference"/>
        </w:rPr>
        <w:footnoteReference w:id="13"/>
      </w:r>
      <w:r w:rsidR="000579EF">
        <w:t xml:space="preserve"> because of his, “corruption”,</w:t>
      </w:r>
      <w:r w:rsidR="005B0689">
        <w:t xml:space="preserve"> and “wickedness”.</w:t>
      </w:r>
      <w:r w:rsidR="000579EF">
        <w:rPr>
          <w:rStyle w:val="FootnoteReference"/>
        </w:rPr>
        <w:footnoteReference w:id="14"/>
      </w:r>
      <w:r w:rsidR="005B0689">
        <w:t xml:space="preserve"> Indeed the overall sentiment within this section of the text is overwhelmingly hostile to both Jason and Hellenization because both remove the Jewish peoples from their traditional practices, ergo displaying abhorrent disloyalty.</w:t>
      </w:r>
      <w:r w:rsidR="005B0689">
        <w:rPr>
          <w:rStyle w:val="FootnoteReference"/>
        </w:rPr>
        <w:footnoteReference w:id="15"/>
      </w:r>
      <w:r w:rsidR="005B0689">
        <w:t xml:space="preserve"> Himmelfarb argues that so long as they continued to observe their normal worship of God alongside the new Greek activities, Jason and his followers were not acting untoward by any means.</w:t>
      </w:r>
      <w:r w:rsidR="00FD6F75">
        <w:t xml:space="preserve"> Surely this does not suffice as one cannot partake in activities that repress, dominate, and condemn Judaism whilst also practicing Judaism. One cannot be both the oppressor and the oppressed with integrity. As such at the very least Jason can be said to have a divided</w:t>
      </w:r>
      <w:r w:rsidR="00D20A41">
        <w:t xml:space="preserve">, disjointed, even compromised so called loyalty. </w:t>
      </w:r>
      <w:r w:rsidR="00FD6F75">
        <w:t>Within the text the donation of Jason to Tyre for athletic games as one example of his wrongdoing as it was given for sacrifices to Hercules. Yet Himmelfarb is dismissive of this suggesting that he was merely paying the entry fee without concern for how the contribution would be utilised.</w:t>
      </w:r>
      <w:r w:rsidR="00FD6F75">
        <w:rPr>
          <w:rStyle w:val="FootnoteReference"/>
        </w:rPr>
        <w:footnoteReference w:id="16"/>
      </w:r>
      <w:r w:rsidR="00FD6F75">
        <w:t xml:space="preserve"> In saying so they ascribe motive without having adequate evidence. The intention of Jason in this regard can only ever be entirely speculative. Both the text and Himmelfarb cannot assert meaning with any certainty or conviction.  </w:t>
      </w:r>
    </w:p>
    <w:p w14:paraId="2B82D516" w14:textId="6F7C2499" w:rsidR="005A0D0F" w:rsidRDefault="0033510B" w:rsidP="00EE4034">
      <w:r>
        <w:t xml:space="preserve">Within this same area of the article Himmelfarb argues it is not idolatry that poses an issue for 2 Maccabees rather the values that accompany Greek ideological assertions. In this next section of the article the problematisation of Hellenism is framed as the fight between tradition and newness. A conquering of pasts ideals, values and conduct by way of new-fangled Greek prestige. Ancestral importance gives way to athletic prowess, sacrifice is replaced by exercise and virtue by </w:t>
      </w:r>
      <w:r>
        <w:lastRenderedPageBreak/>
        <w:t>wickedness.</w:t>
      </w:r>
      <w:r>
        <w:rPr>
          <w:rStyle w:val="FootnoteReference"/>
        </w:rPr>
        <w:footnoteReference w:id="17"/>
      </w:r>
      <w:r>
        <w:t xml:space="preserve"> The Greek way of life is so dangerous because it offers an alternative to the Jewish and in doing so leads people astray. </w:t>
      </w:r>
      <w:r w:rsidR="00431B0A">
        <w:t>The true threat of Hellenization is in the transformative power it could weaponised against Judaism.</w:t>
      </w:r>
      <w:r w:rsidR="00431B0A">
        <w:rPr>
          <w:rStyle w:val="FootnoteReference"/>
        </w:rPr>
        <w:footnoteReference w:id="18"/>
      </w:r>
      <w:r w:rsidR="00431B0A">
        <w:t xml:space="preserve"> This argument is aptly shown with reference to the depicted scene of priests running to train in the gymnasium, abandoning their position as religious figures aside their alter.</w:t>
      </w:r>
      <w:r w:rsidR="00431B0A">
        <w:rPr>
          <w:rStyle w:val="FootnoteReference"/>
        </w:rPr>
        <w:footnoteReference w:id="19"/>
      </w:r>
      <w:r w:rsidR="00431B0A">
        <w:t xml:space="preserve"> So blatantly a contras to those earlier priest seen defending the temple and alter against </w:t>
      </w:r>
      <w:proofErr w:type="spellStart"/>
      <w:r w:rsidR="00431B0A">
        <w:t>Heliodorus</w:t>
      </w:r>
      <w:proofErr w:type="spellEnd"/>
      <w:r w:rsidR="00431B0A">
        <w:t xml:space="preserve"> one cannot deny the impact of such imagery nor codified anxiety to which it alludes.</w:t>
      </w:r>
      <w:r w:rsidR="00431B0A">
        <w:rPr>
          <w:rStyle w:val="FootnoteReference"/>
        </w:rPr>
        <w:footnoteReference w:id="20"/>
      </w:r>
      <w:r w:rsidR="00431B0A">
        <w:t xml:space="preserve"> Having successfully identified the, “real complaint”,</w:t>
      </w:r>
      <w:r w:rsidR="00431B0A">
        <w:rPr>
          <w:rStyle w:val="FootnoteReference"/>
        </w:rPr>
        <w:footnoteReference w:id="21"/>
      </w:r>
      <w:r w:rsidR="00431B0A">
        <w:t xml:space="preserve"> in 2 Maccabees Himmelfarb must then go on to address how the text itself falls pray to this dangerous Hellenization. </w:t>
      </w:r>
    </w:p>
    <w:p w14:paraId="12B61FF4" w14:textId="7A747348" w:rsidR="00465E01" w:rsidRDefault="00537D8C" w:rsidP="00EE4034">
      <w:r>
        <w:t>Himmelfarb makes fantastic use of the source material to give a thoroug</w:t>
      </w:r>
      <w:r w:rsidR="008E151D">
        <w:t xml:space="preserve">h, </w:t>
      </w:r>
      <w:r>
        <w:t>detailed analysis. In a structured and composite manner, she</w:t>
      </w:r>
      <w:r w:rsidR="00A80EAB">
        <w:t xml:space="preserve"> investigates Greek historical and rhetorical conventions</w:t>
      </w:r>
      <w:r w:rsidR="008E151D">
        <w:t xml:space="preserve"> in 2 Maccabees</w:t>
      </w:r>
      <w:r w:rsidR="00A80EAB">
        <w:t xml:space="preserve">. </w:t>
      </w:r>
      <w:r w:rsidR="008E151D">
        <w:t>Demonstrating</w:t>
      </w:r>
      <w:r w:rsidR="00A80EAB">
        <w:t xml:space="preserve"> this point, she </w:t>
      </w:r>
      <w:r>
        <w:t>utilises four</w:t>
      </w:r>
      <w:r w:rsidR="00A80EAB">
        <w:t xml:space="preserve"> </w:t>
      </w:r>
      <w:r>
        <w:t>examples</w:t>
      </w:r>
      <w:r w:rsidR="00A80EAB">
        <w:t xml:space="preserve"> selected from</w:t>
      </w:r>
      <w:r>
        <w:t xml:space="preserve"> within the text.</w:t>
      </w:r>
      <w:r w:rsidR="00A80EAB">
        <w:t xml:space="preserve"> First is the presence of divine beings, on the surface a typical</w:t>
      </w:r>
      <w:r w:rsidR="008E151D">
        <w:t>ly</w:t>
      </w:r>
      <w:r w:rsidR="00A80EAB">
        <w:t xml:space="preserve"> biblical inclusion, described in a rather more Hellenistic way.</w:t>
      </w:r>
      <w:r w:rsidR="00A80EAB">
        <w:rPr>
          <w:rStyle w:val="FootnoteReference"/>
        </w:rPr>
        <w:footnoteReference w:id="22"/>
      </w:r>
      <w:r w:rsidR="00A80EAB">
        <w:t xml:space="preserve"> Himmelfarb could have included here a quotation </w:t>
      </w:r>
      <w:r w:rsidR="008E151D">
        <w:t xml:space="preserve">from </w:t>
      </w:r>
      <w:r w:rsidR="00A80EAB">
        <w:t>Greek literature showing the description of a God or Goddess to further emphasises this point, alas she does not. Secondly Judea being referred to in language typically associated with a Greek polis.</w:t>
      </w:r>
      <w:r w:rsidR="008E151D">
        <w:t xml:space="preserve"> Renaud’s approach is argued against here. Plural versus singular term usage is used to show the evolution of the Torah as </w:t>
      </w:r>
      <w:r w:rsidR="008E151D" w:rsidRPr="008E151D">
        <w:rPr>
          <w:i/>
          <w:iCs/>
        </w:rPr>
        <w:t>law</w:t>
      </w:r>
      <w:r w:rsidR="008E151D">
        <w:t xml:space="preserve"> to new Greek codified </w:t>
      </w:r>
      <w:r w:rsidR="008E151D" w:rsidRPr="008E151D">
        <w:rPr>
          <w:i/>
          <w:iCs/>
        </w:rPr>
        <w:t>laws</w:t>
      </w:r>
      <w:r w:rsidR="008E151D">
        <w:t>. Himmelfarb states that Renaud, “overstates the difference”,</w:t>
      </w:r>
      <w:r w:rsidR="008E151D">
        <w:rPr>
          <w:rStyle w:val="FootnoteReference"/>
        </w:rPr>
        <w:footnoteReference w:id="23"/>
      </w:r>
      <w:r w:rsidR="008E151D">
        <w:t xml:space="preserve"> and gives sufficient reasoning as to why making her standpoint more agreeable in this instance. Judea becoming conceptualised as a polis is present</w:t>
      </w:r>
      <w:r w:rsidR="008E151D" w:rsidRPr="008E151D">
        <w:t xml:space="preserve"> </w:t>
      </w:r>
      <w:r w:rsidR="008E151D">
        <w:t>at this point in history, if not yet fully realised. Language is also exemplified</w:t>
      </w:r>
      <w:r w:rsidR="00586B40">
        <w:t xml:space="preserve"> in relation martyrs. Specifically, the use of Greek praise such as, </w:t>
      </w:r>
      <w:proofErr w:type="spellStart"/>
      <w:r w:rsidR="00586B40">
        <w:rPr>
          <w:i/>
          <w:iCs/>
        </w:rPr>
        <w:t>gennaios</w:t>
      </w:r>
      <w:proofErr w:type="spellEnd"/>
      <w:r w:rsidR="00586B40">
        <w:rPr>
          <w:i/>
          <w:iCs/>
        </w:rPr>
        <w:t xml:space="preserve"> </w:t>
      </w:r>
      <w:r w:rsidR="00586B40">
        <w:t>(noble)</w:t>
      </w:r>
      <w:r w:rsidR="00586B40">
        <w:rPr>
          <w:i/>
          <w:iCs/>
        </w:rPr>
        <w:t xml:space="preserve">, </w:t>
      </w:r>
      <w:proofErr w:type="spellStart"/>
      <w:r w:rsidR="00586B40">
        <w:rPr>
          <w:i/>
          <w:iCs/>
        </w:rPr>
        <w:t>eugenes</w:t>
      </w:r>
      <w:proofErr w:type="spellEnd"/>
      <w:r w:rsidR="00586B40">
        <w:rPr>
          <w:i/>
          <w:iCs/>
        </w:rPr>
        <w:t xml:space="preserve"> </w:t>
      </w:r>
      <w:r w:rsidR="00586B40">
        <w:t xml:space="preserve">(well-born), and </w:t>
      </w:r>
      <w:proofErr w:type="spellStart"/>
      <w:r w:rsidR="00586B40">
        <w:rPr>
          <w:i/>
          <w:iCs/>
        </w:rPr>
        <w:t>kalon</w:t>
      </w:r>
      <w:proofErr w:type="spellEnd"/>
      <w:r w:rsidR="00586B40">
        <w:rPr>
          <w:i/>
          <w:iCs/>
        </w:rPr>
        <w:t xml:space="preserve"> kai </w:t>
      </w:r>
      <w:proofErr w:type="spellStart"/>
      <w:r w:rsidR="00586B40">
        <w:rPr>
          <w:i/>
          <w:iCs/>
        </w:rPr>
        <w:t>agathon</w:t>
      </w:r>
      <w:proofErr w:type="spellEnd"/>
      <w:r w:rsidR="00586B40">
        <w:rPr>
          <w:i/>
          <w:iCs/>
        </w:rPr>
        <w:t xml:space="preserve"> </w:t>
      </w:r>
      <w:r w:rsidR="00586B40">
        <w:t>(beautiful and good).</w:t>
      </w:r>
      <w:r w:rsidR="00586B40">
        <w:rPr>
          <w:rStyle w:val="FootnoteReference"/>
        </w:rPr>
        <w:footnoteReference w:id="24"/>
      </w:r>
      <w:r w:rsidR="00586B40">
        <w:t xml:space="preserve"> Clearly the text has come to, “understand its heroes in terms drawn from Greek culture”.</w:t>
      </w:r>
      <w:r w:rsidR="00586B40">
        <w:rPr>
          <w:rStyle w:val="FootnoteReference"/>
        </w:rPr>
        <w:footnoteReference w:id="25"/>
      </w:r>
      <w:r w:rsidR="00586B40">
        <w:t xml:space="preserve"> Showing yet another way in which the text whilst championing the Jewish people and their cause does so in strictly Hellenic ways. Himmelfarb’s use of key episodes is evocative in exemplifying her points making for a compelling argument. </w:t>
      </w:r>
    </w:p>
    <w:p w14:paraId="60777901" w14:textId="112D7EF1" w:rsidR="00586B40" w:rsidRDefault="000D70EB" w:rsidP="00EE4034">
      <w:r>
        <w:t xml:space="preserve">Overall, the article is well written, structurally sound and makes relevant and effective use of both primary sources and scholarship. Himmelfarb is successful in achieving her aims to demonstrate complexity between Hellenism and Judaism with regards to socio-political elements and within the text of 2 Maccabees. She is able to encapsulate eloquently the difficulty Hellenic-Jews faced when existing in this turbulent new landscape of domination. She uses an expert tone and maintains complexity appropriate to the assumed academic readership. The article and its sources are accessible to said audience which is also beneficial. She identifies and shows the ways in which Jewish works were utilising, adapting, and reshaping Hellenic interference in literature, the likes of which was both inevitable and inescapable due to the Greek rulership over Judea. </w:t>
      </w:r>
    </w:p>
    <w:p w14:paraId="196B9010" w14:textId="4E82653E" w:rsidR="000D70EB" w:rsidRDefault="000D70EB" w:rsidP="00EE4034"/>
    <w:p w14:paraId="79D14B9E" w14:textId="77777777" w:rsidR="000D70EB" w:rsidRDefault="000D70EB" w:rsidP="00EE4034">
      <w:pPr>
        <w:rPr>
          <w:sz w:val="24"/>
          <w:szCs w:val="24"/>
          <w:u w:val="single"/>
        </w:rPr>
      </w:pPr>
    </w:p>
    <w:p w14:paraId="7B72D489" w14:textId="1F617BA6" w:rsidR="000D70EB" w:rsidRPr="000D70EB" w:rsidRDefault="000D70EB" w:rsidP="00EE4034">
      <w:pPr>
        <w:rPr>
          <w:sz w:val="24"/>
          <w:szCs w:val="24"/>
          <w:u w:val="single"/>
        </w:rPr>
      </w:pPr>
      <w:r w:rsidRPr="000D70EB">
        <w:rPr>
          <w:sz w:val="24"/>
          <w:szCs w:val="24"/>
          <w:u w:val="single"/>
        </w:rPr>
        <w:lastRenderedPageBreak/>
        <w:t xml:space="preserve">Bibliography: </w:t>
      </w:r>
    </w:p>
    <w:p w14:paraId="35D0BAED" w14:textId="6D4EF511" w:rsidR="000D70EB" w:rsidRDefault="000D70EB" w:rsidP="00EE4034">
      <w:pPr>
        <w:rPr>
          <w:u w:val="single"/>
        </w:rPr>
      </w:pPr>
      <w:r w:rsidRPr="000D70EB">
        <w:rPr>
          <w:u w:val="single"/>
        </w:rPr>
        <w:t>Ancient Sources:</w:t>
      </w:r>
    </w:p>
    <w:p w14:paraId="5E87E333" w14:textId="37B92C73" w:rsidR="00C7446B" w:rsidRDefault="00C7446B" w:rsidP="00EE4034">
      <w:r w:rsidRPr="00C7446B">
        <w:t>1 Maccabees, Holy Bible: New Revised Standard Version</w:t>
      </w:r>
      <w:r>
        <w:t xml:space="preserve">. Available at: </w:t>
      </w:r>
      <w:hyperlink r:id="rId6" w:history="1">
        <w:r>
          <w:rPr>
            <w:rStyle w:val="Hyperlink"/>
          </w:rPr>
          <w:t>https://www.biblegateway.com/passage/?search=1+Maccabees+1&amp;version=NRSV</w:t>
        </w:r>
      </w:hyperlink>
      <w:r>
        <w:t>. [Accessed: 20/05/2020].</w:t>
      </w:r>
    </w:p>
    <w:p w14:paraId="55EB0B52" w14:textId="6EC2D43C" w:rsidR="00C7446B" w:rsidRDefault="00C7446B" w:rsidP="00EE4034">
      <w:r>
        <w:t>2</w:t>
      </w:r>
      <w:r w:rsidRPr="00C7446B">
        <w:t xml:space="preserve"> Maccabees, Holy Bible: New Revised Standard Version</w:t>
      </w:r>
      <w:r>
        <w:t>. Available at:</w:t>
      </w:r>
      <w:r>
        <w:t xml:space="preserve"> </w:t>
      </w:r>
      <w:hyperlink r:id="rId7" w:history="1">
        <w:r>
          <w:rPr>
            <w:rStyle w:val="Hyperlink"/>
          </w:rPr>
          <w:t>https://www.biblegateway.com/passage/?search=2%20Maccabees%201&amp;version=NRSV</w:t>
        </w:r>
      </w:hyperlink>
      <w:r>
        <w:t xml:space="preserve">. </w:t>
      </w:r>
      <w:r>
        <w:t xml:space="preserve">[Accessed: </w:t>
      </w:r>
      <w:r>
        <w:t>18</w:t>
      </w:r>
      <w:r>
        <w:t>/05/2020].</w:t>
      </w:r>
    </w:p>
    <w:p w14:paraId="51307164" w14:textId="7325261B" w:rsidR="000D70EB" w:rsidRDefault="000D70EB" w:rsidP="00EE4034">
      <w:pPr>
        <w:rPr>
          <w:u w:val="single"/>
        </w:rPr>
      </w:pPr>
      <w:r>
        <w:rPr>
          <w:u w:val="single"/>
        </w:rPr>
        <w:t>Modern Scholarship:</w:t>
      </w:r>
    </w:p>
    <w:p w14:paraId="416EFC32" w14:textId="77777777" w:rsidR="00C7446B" w:rsidRDefault="00C7446B" w:rsidP="00EE4034">
      <w:proofErr w:type="spellStart"/>
      <w:r>
        <w:t>Hengel</w:t>
      </w:r>
      <w:proofErr w:type="spellEnd"/>
      <w:r>
        <w:t xml:space="preserve">, M. (2003). </w:t>
      </w:r>
      <w:r w:rsidRPr="00C7446B">
        <w:rPr>
          <w:i/>
          <w:iCs/>
        </w:rPr>
        <w:t>Judaism and Hellenism: Studies in their Encounter in Palestine during the Early Hellenistic Period</w:t>
      </w:r>
      <w:r>
        <w:rPr>
          <w:i/>
          <w:iCs/>
        </w:rPr>
        <w:t xml:space="preserve">. </w:t>
      </w:r>
      <w:r>
        <w:t xml:space="preserve">Wipf and Stock Publishers. </w:t>
      </w:r>
    </w:p>
    <w:p w14:paraId="59CDDFBB" w14:textId="77777777" w:rsidR="00C7446B" w:rsidRPr="00C7446B" w:rsidRDefault="00C7446B" w:rsidP="00EE4034">
      <w:pPr>
        <w:rPr>
          <w:i/>
          <w:iCs/>
        </w:rPr>
      </w:pPr>
      <w:r>
        <w:t xml:space="preserve">Himmelfarb, M. (1998). ‘Judaism and Hellenism in 2 Maccabees. </w:t>
      </w:r>
      <w:r>
        <w:rPr>
          <w:i/>
          <w:iCs/>
        </w:rPr>
        <w:t xml:space="preserve">Poetics Today. </w:t>
      </w:r>
      <w:r>
        <w:t xml:space="preserve">19. 1. 19-40.  </w:t>
      </w:r>
    </w:p>
    <w:p w14:paraId="4A0CF368" w14:textId="77777777" w:rsidR="00C7446B" w:rsidRDefault="00C7446B" w:rsidP="00EE4034">
      <w:proofErr w:type="spellStart"/>
      <w:r>
        <w:t>Honigman</w:t>
      </w:r>
      <w:proofErr w:type="spellEnd"/>
      <w:r>
        <w:t xml:space="preserve">, S. (2014). </w:t>
      </w:r>
      <w:r w:rsidRPr="00C7446B">
        <w:rPr>
          <w:i/>
          <w:iCs/>
        </w:rPr>
        <w:t xml:space="preserve">Tales of High Priests and Taxes: The Books of the Maccabees and the Judean Rebellion Against </w:t>
      </w:r>
      <w:proofErr w:type="spellStart"/>
      <w:r w:rsidRPr="00C7446B">
        <w:rPr>
          <w:i/>
          <w:iCs/>
        </w:rPr>
        <w:t>Antiochos</w:t>
      </w:r>
      <w:proofErr w:type="spellEnd"/>
      <w:r w:rsidRPr="00C7446B">
        <w:rPr>
          <w:i/>
          <w:iCs/>
        </w:rPr>
        <w:t xml:space="preserve"> IV</w:t>
      </w:r>
      <w:r w:rsidRPr="00C7446B">
        <w:rPr>
          <w:i/>
          <w:iCs/>
        </w:rPr>
        <w:t>.</w:t>
      </w:r>
      <w:r>
        <w:rPr>
          <w:i/>
          <w:iCs/>
        </w:rPr>
        <w:t xml:space="preserve"> </w:t>
      </w:r>
      <w:r>
        <w:t>University of California Press.</w:t>
      </w:r>
    </w:p>
    <w:p w14:paraId="6DE2BAE4" w14:textId="77777777" w:rsidR="00C7446B" w:rsidRDefault="00C7446B" w:rsidP="00EE4034">
      <w:proofErr w:type="spellStart"/>
      <w:r>
        <w:t>Norich</w:t>
      </w:r>
      <w:proofErr w:type="spellEnd"/>
      <w:r>
        <w:t xml:space="preserve">, A.; </w:t>
      </w:r>
      <w:proofErr w:type="spellStart"/>
      <w:r>
        <w:t>Eliav</w:t>
      </w:r>
      <w:proofErr w:type="spellEnd"/>
      <w:r>
        <w:t xml:space="preserve">, Y.Z. (2008). </w:t>
      </w:r>
      <w:r w:rsidRPr="00C7446B">
        <w:rPr>
          <w:i/>
          <w:iCs/>
        </w:rPr>
        <w:t>Jewish Literatures and Cultures: Context and Intertext</w:t>
      </w:r>
      <w:r w:rsidRPr="00C7446B">
        <w:rPr>
          <w:i/>
          <w:iCs/>
        </w:rPr>
        <w:t>.</w:t>
      </w:r>
      <w:r>
        <w:rPr>
          <w:i/>
          <w:iCs/>
        </w:rPr>
        <w:t xml:space="preserve"> </w:t>
      </w:r>
      <w:r>
        <w:t>Society of Biblical Lit.</w:t>
      </w:r>
    </w:p>
    <w:p w14:paraId="2E289C10" w14:textId="77777777" w:rsidR="00C7446B" w:rsidRDefault="00C7446B" w:rsidP="00EE4034">
      <w:proofErr w:type="spellStart"/>
      <w:r>
        <w:t>Osterloh</w:t>
      </w:r>
      <w:proofErr w:type="spellEnd"/>
      <w:r>
        <w:t xml:space="preserve">, K. L. (2008). ‘Judea, Rome and Hellenistic </w:t>
      </w:r>
      <w:proofErr w:type="spellStart"/>
      <w:r w:rsidRPr="00C7446B">
        <w:rPr>
          <w:i/>
          <w:iCs/>
        </w:rPr>
        <w:t>Oikoumene</w:t>
      </w:r>
      <w:proofErr w:type="spellEnd"/>
      <w:r w:rsidRPr="00C7446B">
        <w:rPr>
          <w:i/>
          <w:iCs/>
        </w:rPr>
        <w:t>’</w:t>
      </w:r>
      <w:r>
        <w:t xml:space="preserve">, in </w:t>
      </w:r>
      <w:proofErr w:type="spellStart"/>
      <w:r>
        <w:t>Iricinschi</w:t>
      </w:r>
      <w:proofErr w:type="spellEnd"/>
      <w:r>
        <w:t xml:space="preserve">, E.; </w:t>
      </w:r>
      <w:proofErr w:type="spellStart"/>
      <w:r>
        <w:t>Zellentin</w:t>
      </w:r>
      <w:proofErr w:type="spellEnd"/>
      <w:r>
        <w:t xml:space="preserve">, H.M. (ed.). </w:t>
      </w:r>
      <w:r>
        <w:rPr>
          <w:i/>
          <w:iCs/>
        </w:rPr>
        <w:t xml:space="preserve">Heresy and Identity in Late Antiquity. </w:t>
      </w:r>
      <w:r>
        <w:t xml:space="preserve">Mohr </w:t>
      </w:r>
      <w:proofErr w:type="spellStart"/>
      <w:r>
        <w:t>Siebeck</w:t>
      </w:r>
      <w:proofErr w:type="spellEnd"/>
      <w:r>
        <w:t xml:space="preserve">. </w:t>
      </w:r>
    </w:p>
    <w:p w14:paraId="532BA7D3" w14:textId="0D3FEF0C" w:rsidR="009F5598" w:rsidRPr="009F5598" w:rsidRDefault="00465E01" w:rsidP="00EE4034">
      <w:r>
        <w:t xml:space="preserve"> </w:t>
      </w:r>
    </w:p>
    <w:sectPr w:rsidR="009F5598" w:rsidRPr="009F559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2F08EA" w14:textId="77777777" w:rsidR="00D14D80" w:rsidRDefault="00D14D80" w:rsidP="00EE4034">
      <w:pPr>
        <w:spacing w:after="0" w:line="240" w:lineRule="auto"/>
      </w:pPr>
      <w:r>
        <w:separator/>
      </w:r>
    </w:p>
  </w:endnote>
  <w:endnote w:type="continuationSeparator" w:id="0">
    <w:p w14:paraId="52D82A72" w14:textId="77777777" w:rsidR="00D14D80" w:rsidRDefault="00D14D80" w:rsidP="00EE4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9EF1FD" w14:textId="77777777" w:rsidR="00D14D80" w:rsidRDefault="00D14D80" w:rsidP="00EE4034">
      <w:pPr>
        <w:spacing w:after="0" w:line="240" w:lineRule="auto"/>
      </w:pPr>
      <w:r>
        <w:separator/>
      </w:r>
    </w:p>
  </w:footnote>
  <w:footnote w:type="continuationSeparator" w:id="0">
    <w:p w14:paraId="2C91ECE9" w14:textId="77777777" w:rsidR="00D14D80" w:rsidRDefault="00D14D80" w:rsidP="00EE4034">
      <w:pPr>
        <w:spacing w:after="0" w:line="240" w:lineRule="auto"/>
      </w:pPr>
      <w:r>
        <w:continuationSeparator/>
      </w:r>
    </w:p>
  </w:footnote>
  <w:footnote w:id="1">
    <w:p w14:paraId="4BC0C51D" w14:textId="45FFE210" w:rsidR="00A80EAB" w:rsidRDefault="00A80EAB">
      <w:pPr>
        <w:pStyle w:val="FootnoteText"/>
      </w:pPr>
      <w:r>
        <w:rPr>
          <w:rStyle w:val="FootnoteReference"/>
        </w:rPr>
        <w:footnoteRef/>
      </w:r>
      <w:r>
        <w:t xml:space="preserve"> Himmelfarb. (1998).</w:t>
      </w:r>
    </w:p>
  </w:footnote>
  <w:footnote w:id="2">
    <w:p w14:paraId="442C6818" w14:textId="052C9988" w:rsidR="00A80EAB" w:rsidRDefault="00A80EAB">
      <w:pPr>
        <w:pStyle w:val="FootnoteText"/>
      </w:pPr>
      <w:r>
        <w:rPr>
          <w:rStyle w:val="FootnoteReference"/>
        </w:rPr>
        <w:footnoteRef/>
      </w:r>
      <w:r>
        <w:t xml:space="preserve"> Ibid. 19-20.</w:t>
      </w:r>
    </w:p>
  </w:footnote>
  <w:footnote w:id="3">
    <w:p w14:paraId="2A7C7A4E" w14:textId="531EB016" w:rsidR="00A80EAB" w:rsidRDefault="00A80EAB">
      <w:pPr>
        <w:pStyle w:val="FootnoteText"/>
      </w:pPr>
      <w:r>
        <w:rPr>
          <w:rStyle w:val="FootnoteReference"/>
        </w:rPr>
        <w:footnoteRef/>
      </w:r>
      <w:r>
        <w:t xml:space="preserve"> Ibid. 20.</w:t>
      </w:r>
    </w:p>
  </w:footnote>
  <w:footnote w:id="4">
    <w:p w14:paraId="7076A061" w14:textId="03220A5A" w:rsidR="00A80EAB" w:rsidRDefault="00A80EAB">
      <w:pPr>
        <w:pStyle w:val="FootnoteText"/>
      </w:pPr>
      <w:r>
        <w:rPr>
          <w:rStyle w:val="FootnoteReference"/>
        </w:rPr>
        <w:footnoteRef/>
      </w:r>
      <w:r>
        <w:t xml:space="preserve"> Ibid.</w:t>
      </w:r>
    </w:p>
  </w:footnote>
  <w:footnote w:id="5">
    <w:p w14:paraId="1859EC2D" w14:textId="5D3516E7" w:rsidR="00A80EAB" w:rsidRDefault="00A80EAB">
      <w:pPr>
        <w:pStyle w:val="FootnoteText"/>
      </w:pPr>
      <w:r>
        <w:rPr>
          <w:rStyle w:val="FootnoteReference"/>
        </w:rPr>
        <w:footnoteRef/>
      </w:r>
      <w:r>
        <w:t xml:space="preserve"> Ibid. 22.; </w:t>
      </w:r>
      <w:proofErr w:type="spellStart"/>
      <w:r>
        <w:t>Hengal</w:t>
      </w:r>
      <w:proofErr w:type="spellEnd"/>
      <w:r>
        <w:t>. (2003). 95.</w:t>
      </w:r>
    </w:p>
  </w:footnote>
  <w:footnote w:id="6">
    <w:p w14:paraId="7F9CF670" w14:textId="06D641C1" w:rsidR="00A80EAB" w:rsidRDefault="00A80EAB">
      <w:pPr>
        <w:pStyle w:val="FootnoteText"/>
      </w:pPr>
      <w:r>
        <w:rPr>
          <w:rStyle w:val="FootnoteReference"/>
        </w:rPr>
        <w:footnoteRef/>
      </w:r>
      <w:r>
        <w:t xml:space="preserve"> 2 Maccabees 2: 24-26.; Himmelfarb. (1998). 22.</w:t>
      </w:r>
    </w:p>
  </w:footnote>
  <w:footnote w:id="7">
    <w:p w14:paraId="0D2EA4E8" w14:textId="529E1078" w:rsidR="00A80EAB" w:rsidRDefault="00A80EAB">
      <w:pPr>
        <w:pStyle w:val="FootnoteText"/>
      </w:pPr>
      <w:r>
        <w:rPr>
          <w:rStyle w:val="FootnoteReference"/>
        </w:rPr>
        <w:footnoteRef/>
      </w:r>
      <w:r>
        <w:t xml:space="preserve"> Ibid. </w:t>
      </w:r>
    </w:p>
  </w:footnote>
  <w:footnote w:id="8">
    <w:p w14:paraId="1CDB816D" w14:textId="7FEC3D0C" w:rsidR="00A80EAB" w:rsidRDefault="00A80EAB">
      <w:pPr>
        <w:pStyle w:val="FootnoteText"/>
      </w:pPr>
      <w:r>
        <w:rPr>
          <w:rStyle w:val="FootnoteReference"/>
        </w:rPr>
        <w:footnoteRef/>
      </w:r>
      <w:r>
        <w:t xml:space="preserve"> Ibid. </w:t>
      </w:r>
    </w:p>
  </w:footnote>
  <w:footnote w:id="9">
    <w:p w14:paraId="13E7E81C" w14:textId="47C4A67F" w:rsidR="00A80EAB" w:rsidRDefault="00A80EAB">
      <w:pPr>
        <w:pStyle w:val="FootnoteText"/>
      </w:pPr>
      <w:r>
        <w:rPr>
          <w:rStyle w:val="FootnoteReference"/>
        </w:rPr>
        <w:footnoteRef/>
      </w:r>
      <w:r>
        <w:t xml:space="preserve"> Ibid. 24.</w:t>
      </w:r>
    </w:p>
  </w:footnote>
  <w:footnote w:id="10">
    <w:p w14:paraId="1FF501F5" w14:textId="5E089DF6" w:rsidR="00A80EAB" w:rsidRDefault="00A80EAB">
      <w:pPr>
        <w:pStyle w:val="FootnoteText"/>
      </w:pPr>
      <w:r>
        <w:rPr>
          <w:rStyle w:val="FootnoteReference"/>
        </w:rPr>
        <w:footnoteRef/>
      </w:r>
      <w:r>
        <w:t xml:space="preserve"> Ibid. </w:t>
      </w:r>
    </w:p>
  </w:footnote>
  <w:footnote w:id="11">
    <w:p w14:paraId="74219578" w14:textId="2B1F6F87" w:rsidR="00A80EAB" w:rsidRDefault="00A80EAB">
      <w:pPr>
        <w:pStyle w:val="FootnoteText"/>
      </w:pPr>
      <w:r>
        <w:rPr>
          <w:rStyle w:val="FootnoteReference"/>
        </w:rPr>
        <w:footnoteRef/>
      </w:r>
      <w:r>
        <w:t xml:space="preserve"> Ibid. </w:t>
      </w:r>
    </w:p>
  </w:footnote>
  <w:footnote w:id="12">
    <w:p w14:paraId="1674E266" w14:textId="5FDA311F" w:rsidR="00A80EAB" w:rsidRDefault="00A80EAB">
      <w:pPr>
        <w:pStyle w:val="FootnoteText"/>
      </w:pPr>
      <w:r>
        <w:rPr>
          <w:rStyle w:val="FootnoteReference"/>
        </w:rPr>
        <w:footnoteRef/>
      </w:r>
      <w:r>
        <w:t xml:space="preserve"> Ibid.</w:t>
      </w:r>
    </w:p>
  </w:footnote>
  <w:footnote w:id="13">
    <w:p w14:paraId="0D8EFE2C" w14:textId="4448F461" w:rsidR="00A80EAB" w:rsidRDefault="00A80EAB">
      <w:pPr>
        <w:pStyle w:val="FootnoteText"/>
      </w:pPr>
      <w:r>
        <w:rPr>
          <w:rStyle w:val="FootnoteReference"/>
        </w:rPr>
        <w:footnoteRef/>
      </w:r>
      <w:r>
        <w:t xml:space="preserve"> 2 Maccabees 4:13.</w:t>
      </w:r>
    </w:p>
  </w:footnote>
  <w:footnote w:id="14">
    <w:p w14:paraId="70629646" w14:textId="45AA6911" w:rsidR="00A80EAB" w:rsidRDefault="00A80EAB">
      <w:pPr>
        <w:pStyle w:val="FootnoteText"/>
      </w:pPr>
      <w:r>
        <w:rPr>
          <w:rStyle w:val="FootnoteReference"/>
        </w:rPr>
        <w:footnoteRef/>
      </w:r>
      <w:r>
        <w:t xml:space="preserve"> 2 Maccabees 4:7.; 4:13.</w:t>
      </w:r>
    </w:p>
  </w:footnote>
  <w:footnote w:id="15">
    <w:p w14:paraId="0CCD9A37" w14:textId="169AAE28" w:rsidR="00A80EAB" w:rsidRDefault="00A80EAB">
      <w:pPr>
        <w:pStyle w:val="FootnoteText"/>
      </w:pPr>
      <w:r>
        <w:rPr>
          <w:rStyle w:val="FootnoteReference"/>
        </w:rPr>
        <w:footnoteRef/>
      </w:r>
      <w:r>
        <w:t xml:space="preserve"> </w:t>
      </w:r>
      <w:proofErr w:type="spellStart"/>
      <w:r>
        <w:t>Hengal</w:t>
      </w:r>
      <w:proofErr w:type="spellEnd"/>
      <w:r>
        <w:t xml:space="preserve">. (2003). 98.; </w:t>
      </w:r>
      <w:proofErr w:type="spellStart"/>
      <w:r>
        <w:t>Honigman</w:t>
      </w:r>
      <w:proofErr w:type="spellEnd"/>
      <w:r>
        <w:t>. (2014). 202.</w:t>
      </w:r>
    </w:p>
  </w:footnote>
  <w:footnote w:id="16">
    <w:p w14:paraId="555D3C01" w14:textId="6E87B4C4" w:rsidR="00A80EAB" w:rsidRDefault="00A80EAB">
      <w:pPr>
        <w:pStyle w:val="FootnoteText"/>
      </w:pPr>
      <w:r>
        <w:rPr>
          <w:rStyle w:val="FootnoteReference"/>
        </w:rPr>
        <w:footnoteRef/>
      </w:r>
      <w:r>
        <w:t xml:space="preserve"> Himmelfarb. (1998). 26.</w:t>
      </w:r>
    </w:p>
  </w:footnote>
  <w:footnote w:id="17">
    <w:p w14:paraId="0A5C41B1" w14:textId="74DF604A" w:rsidR="00A80EAB" w:rsidRDefault="00A80EAB">
      <w:pPr>
        <w:pStyle w:val="FootnoteText"/>
      </w:pPr>
      <w:r>
        <w:rPr>
          <w:rStyle w:val="FootnoteReference"/>
        </w:rPr>
        <w:footnoteRef/>
      </w:r>
      <w:r>
        <w:t xml:space="preserve"> Ibid. 27-28.</w:t>
      </w:r>
    </w:p>
  </w:footnote>
  <w:footnote w:id="18">
    <w:p w14:paraId="121C18BD" w14:textId="10CD1145" w:rsidR="00A80EAB" w:rsidRDefault="00A80EAB">
      <w:pPr>
        <w:pStyle w:val="FootnoteText"/>
      </w:pPr>
      <w:r>
        <w:rPr>
          <w:rStyle w:val="FootnoteReference"/>
        </w:rPr>
        <w:footnoteRef/>
      </w:r>
      <w:r>
        <w:t xml:space="preserve"> Ibid. </w:t>
      </w:r>
    </w:p>
  </w:footnote>
  <w:footnote w:id="19">
    <w:p w14:paraId="6010F8A7" w14:textId="49D41288" w:rsidR="00A80EAB" w:rsidRDefault="00A80EAB">
      <w:pPr>
        <w:pStyle w:val="FootnoteText"/>
      </w:pPr>
      <w:r>
        <w:rPr>
          <w:rStyle w:val="FootnoteReference"/>
        </w:rPr>
        <w:footnoteRef/>
      </w:r>
      <w:r>
        <w:t xml:space="preserve"> 2 Maccabees 4:14-15.; Himmelfarb. (1998). 27.</w:t>
      </w:r>
    </w:p>
  </w:footnote>
  <w:footnote w:id="20">
    <w:p w14:paraId="31BF934A" w14:textId="7CFCB2A3" w:rsidR="00A80EAB" w:rsidRDefault="00A80EAB">
      <w:pPr>
        <w:pStyle w:val="FootnoteText"/>
      </w:pPr>
      <w:r>
        <w:rPr>
          <w:rStyle w:val="FootnoteReference"/>
        </w:rPr>
        <w:footnoteRef/>
      </w:r>
      <w:r>
        <w:t xml:space="preserve"> 2 Maccabees 3:15.</w:t>
      </w:r>
    </w:p>
  </w:footnote>
  <w:footnote w:id="21">
    <w:p w14:paraId="1877592B" w14:textId="6B39008D" w:rsidR="00A80EAB" w:rsidRDefault="00A80EAB">
      <w:pPr>
        <w:pStyle w:val="FootnoteText"/>
      </w:pPr>
      <w:r>
        <w:rPr>
          <w:rStyle w:val="FootnoteReference"/>
        </w:rPr>
        <w:footnoteRef/>
      </w:r>
      <w:r>
        <w:t xml:space="preserve"> Himmelfarb. (1998). 27.</w:t>
      </w:r>
    </w:p>
  </w:footnote>
  <w:footnote w:id="22">
    <w:p w14:paraId="72AC1769" w14:textId="6A2C8F11" w:rsidR="00A80EAB" w:rsidRDefault="00A80EAB">
      <w:pPr>
        <w:pStyle w:val="FootnoteText"/>
      </w:pPr>
      <w:r>
        <w:rPr>
          <w:rStyle w:val="FootnoteReference"/>
        </w:rPr>
        <w:footnoteRef/>
      </w:r>
      <w:r>
        <w:t xml:space="preserve"> Ibid. 30.</w:t>
      </w:r>
    </w:p>
  </w:footnote>
  <w:footnote w:id="23">
    <w:p w14:paraId="4BE13335" w14:textId="0379700B" w:rsidR="008E151D" w:rsidRDefault="008E151D">
      <w:pPr>
        <w:pStyle w:val="FootnoteText"/>
      </w:pPr>
      <w:r>
        <w:rPr>
          <w:rStyle w:val="FootnoteReference"/>
        </w:rPr>
        <w:footnoteRef/>
      </w:r>
      <w:r>
        <w:t xml:space="preserve"> Ibid. </w:t>
      </w:r>
    </w:p>
  </w:footnote>
  <w:footnote w:id="24">
    <w:p w14:paraId="1374D4DE" w14:textId="36D967CE" w:rsidR="00586B40" w:rsidRDefault="00586B40">
      <w:pPr>
        <w:pStyle w:val="FootnoteText"/>
      </w:pPr>
      <w:r>
        <w:rPr>
          <w:rStyle w:val="FootnoteReference"/>
        </w:rPr>
        <w:footnoteRef/>
      </w:r>
      <w:r>
        <w:t xml:space="preserve"> Ibid. 33-36.</w:t>
      </w:r>
    </w:p>
  </w:footnote>
  <w:footnote w:id="25">
    <w:p w14:paraId="1B4FD835" w14:textId="0ABD084D" w:rsidR="00586B40" w:rsidRDefault="00586B40">
      <w:pPr>
        <w:pStyle w:val="FootnoteText"/>
      </w:pPr>
      <w:r>
        <w:rPr>
          <w:rStyle w:val="FootnoteReference"/>
        </w:rPr>
        <w:footnoteRef/>
      </w:r>
      <w:r>
        <w:t xml:space="preserve"> Ibid.32.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101EBB" w14:textId="7FC100C1" w:rsidR="00A80EAB" w:rsidRDefault="00A80EAB">
    <w:pPr>
      <w:pStyle w:val="Header"/>
    </w:pPr>
    <w:r>
      <w:ptab w:relativeTo="margin" w:alignment="center" w:leader="none"/>
    </w:r>
    <w:r>
      <w:ptab w:relativeTo="margin" w:alignment="right" w:leader="none"/>
    </w:r>
    <w:r>
      <w:t>Sophie Taylor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034"/>
    <w:rsid w:val="000579EF"/>
    <w:rsid w:val="00067360"/>
    <w:rsid w:val="000D70EB"/>
    <w:rsid w:val="0027472F"/>
    <w:rsid w:val="0033510B"/>
    <w:rsid w:val="00431B0A"/>
    <w:rsid w:val="00465E01"/>
    <w:rsid w:val="00537D8C"/>
    <w:rsid w:val="00586B40"/>
    <w:rsid w:val="005A0D0F"/>
    <w:rsid w:val="005B0689"/>
    <w:rsid w:val="005D12A3"/>
    <w:rsid w:val="00651CA9"/>
    <w:rsid w:val="006C5D8D"/>
    <w:rsid w:val="007054F4"/>
    <w:rsid w:val="008E151D"/>
    <w:rsid w:val="009F5598"/>
    <w:rsid w:val="00A106F0"/>
    <w:rsid w:val="00A4424B"/>
    <w:rsid w:val="00A80EAB"/>
    <w:rsid w:val="00C7446B"/>
    <w:rsid w:val="00D14D80"/>
    <w:rsid w:val="00D20A41"/>
    <w:rsid w:val="00E461E8"/>
    <w:rsid w:val="00EE4034"/>
    <w:rsid w:val="00F630CF"/>
    <w:rsid w:val="00FD6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D0875"/>
  <w15:chartTrackingRefBased/>
  <w15:docId w15:val="{01E0EB23-AF42-4256-B228-DC7900F65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4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034"/>
  </w:style>
  <w:style w:type="paragraph" w:styleId="Footer">
    <w:name w:val="footer"/>
    <w:basedOn w:val="Normal"/>
    <w:link w:val="FooterChar"/>
    <w:uiPriority w:val="99"/>
    <w:unhideWhenUsed/>
    <w:rsid w:val="00EE40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034"/>
  </w:style>
  <w:style w:type="paragraph" w:styleId="FootnoteText">
    <w:name w:val="footnote text"/>
    <w:basedOn w:val="Normal"/>
    <w:link w:val="FootnoteTextChar"/>
    <w:uiPriority w:val="99"/>
    <w:semiHidden/>
    <w:unhideWhenUsed/>
    <w:rsid w:val="007054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54F4"/>
    <w:rPr>
      <w:sz w:val="20"/>
      <w:szCs w:val="20"/>
    </w:rPr>
  </w:style>
  <w:style w:type="character" w:styleId="FootnoteReference">
    <w:name w:val="footnote reference"/>
    <w:basedOn w:val="DefaultParagraphFont"/>
    <w:uiPriority w:val="99"/>
    <w:semiHidden/>
    <w:unhideWhenUsed/>
    <w:rsid w:val="007054F4"/>
    <w:rPr>
      <w:vertAlign w:val="superscript"/>
    </w:rPr>
  </w:style>
  <w:style w:type="character" w:styleId="Hyperlink">
    <w:name w:val="Hyperlink"/>
    <w:basedOn w:val="DefaultParagraphFont"/>
    <w:uiPriority w:val="99"/>
    <w:semiHidden/>
    <w:unhideWhenUsed/>
    <w:rsid w:val="00C744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0421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biblegateway.com/passage/?search=2%20Maccabees%201&amp;version=NRS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blegateway.com/passage/?search=1+Maccabees+1&amp;version=NRSV"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4</Pages>
  <Words>1706</Words>
  <Characters>9727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Sheep</dc:creator>
  <cp:keywords/>
  <dc:description/>
  <cp:lastModifiedBy>Sophie Sheep</cp:lastModifiedBy>
  <cp:revision>2</cp:revision>
  <dcterms:created xsi:type="dcterms:W3CDTF">2020-05-29T12:32:00Z</dcterms:created>
  <dcterms:modified xsi:type="dcterms:W3CDTF">2020-05-29T17:22:00Z</dcterms:modified>
</cp:coreProperties>
</file>