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F501B5" w14:textId="77777777" w:rsidR="00457CC6" w:rsidRPr="00A13F4B" w:rsidRDefault="00457CC6" w:rsidP="00457CC6">
      <w:pPr>
        <w:spacing w:line="360" w:lineRule="auto"/>
        <w:jc w:val="center"/>
        <w:rPr>
          <w:rFonts w:ascii="Times New Roman" w:hAnsi="Times New Roman" w:cs="Times New Roman"/>
          <w:b/>
          <w:bCs/>
          <w:sz w:val="32"/>
          <w:szCs w:val="32"/>
        </w:rPr>
      </w:pPr>
      <w:r w:rsidRPr="00A13F4B">
        <w:rPr>
          <w:rFonts w:ascii="Times New Roman" w:hAnsi="Times New Roman" w:cs="Times New Roman"/>
          <w:b/>
          <w:bCs/>
          <w:noProof/>
          <w:sz w:val="32"/>
          <w:szCs w:val="32"/>
        </w:rPr>
        <w:drawing>
          <wp:inline distT="0" distB="0" distL="0" distR="0" wp14:anchorId="24E22072" wp14:editId="12038571">
            <wp:extent cx="3787140" cy="1257300"/>
            <wp:effectExtent l="0" t="0" r="3810" b="0"/>
            <wp:docPr id="321312231"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a black squar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7140" cy="1257300"/>
                    </a:xfrm>
                    <a:prstGeom prst="rect">
                      <a:avLst/>
                    </a:prstGeom>
                    <a:noFill/>
                    <a:ln>
                      <a:noFill/>
                    </a:ln>
                  </pic:spPr>
                </pic:pic>
              </a:graphicData>
            </a:graphic>
          </wp:inline>
        </w:drawing>
      </w:r>
    </w:p>
    <w:p w14:paraId="5C4F26DD" w14:textId="77777777" w:rsidR="00457CC6" w:rsidRPr="00A13F4B" w:rsidRDefault="00457CC6" w:rsidP="00457CC6">
      <w:pPr>
        <w:spacing w:line="360" w:lineRule="auto"/>
        <w:jc w:val="center"/>
        <w:rPr>
          <w:rFonts w:ascii="Times New Roman" w:hAnsi="Times New Roman" w:cs="Times New Roman"/>
          <w:b/>
          <w:bCs/>
          <w:sz w:val="32"/>
          <w:szCs w:val="32"/>
        </w:rPr>
      </w:pPr>
    </w:p>
    <w:p w14:paraId="6392C945" w14:textId="77777777" w:rsidR="00457CC6" w:rsidRPr="00A13F4B" w:rsidRDefault="00457CC6" w:rsidP="00457CC6">
      <w:pPr>
        <w:spacing w:line="360" w:lineRule="auto"/>
        <w:jc w:val="center"/>
        <w:rPr>
          <w:rFonts w:ascii="Times New Roman" w:hAnsi="Times New Roman" w:cs="Times New Roman"/>
          <w:b/>
          <w:bCs/>
          <w:sz w:val="32"/>
          <w:szCs w:val="32"/>
        </w:rPr>
      </w:pPr>
    </w:p>
    <w:p w14:paraId="114045DE" w14:textId="77777777" w:rsidR="00457CC6" w:rsidRPr="00A13F4B" w:rsidRDefault="00457CC6" w:rsidP="00457CC6">
      <w:pPr>
        <w:spacing w:line="360" w:lineRule="auto"/>
        <w:jc w:val="center"/>
        <w:rPr>
          <w:rFonts w:ascii="Times New Roman" w:hAnsi="Times New Roman" w:cs="Times New Roman"/>
          <w:b/>
          <w:bCs/>
          <w:sz w:val="32"/>
          <w:szCs w:val="32"/>
        </w:rPr>
      </w:pPr>
    </w:p>
    <w:p w14:paraId="20A69FB3" w14:textId="77777777" w:rsidR="005D59D9" w:rsidRPr="00FA1EBE" w:rsidRDefault="005D59D9" w:rsidP="005D59D9">
      <w:pPr>
        <w:spacing w:line="360" w:lineRule="auto"/>
        <w:jc w:val="center"/>
        <w:rPr>
          <w:rFonts w:ascii="Times New Roman" w:hAnsi="Times New Roman" w:cs="Times New Roman"/>
          <w:b/>
          <w:bCs/>
          <w:sz w:val="32"/>
          <w:szCs w:val="32"/>
        </w:rPr>
      </w:pPr>
      <w:r w:rsidRPr="00FA1EBE">
        <w:rPr>
          <w:rFonts w:ascii="Times New Roman" w:hAnsi="Times New Roman" w:cs="Times New Roman"/>
          <w:b/>
          <w:bCs/>
          <w:sz w:val="32"/>
          <w:szCs w:val="32"/>
        </w:rPr>
        <w:t xml:space="preserve">Module name: </w:t>
      </w:r>
      <w:r>
        <w:rPr>
          <w:rFonts w:ascii="Times New Roman" w:hAnsi="Times New Roman" w:cs="Times New Roman"/>
          <w:b/>
          <w:bCs/>
          <w:sz w:val="32"/>
          <w:szCs w:val="32"/>
        </w:rPr>
        <w:t xml:space="preserve">Health Economics </w:t>
      </w:r>
    </w:p>
    <w:p w14:paraId="33495F15" w14:textId="77777777" w:rsidR="005D59D9" w:rsidRPr="00FA1EBE" w:rsidRDefault="005D59D9" w:rsidP="005D59D9">
      <w:pPr>
        <w:spacing w:line="360" w:lineRule="auto"/>
        <w:jc w:val="center"/>
        <w:rPr>
          <w:rFonts w:ascii="Times New Roman" w:hAnsi="Times New Roman" w:cs="Times New Roman"/>
          <w:b/>
          <w:bCs/>
          <w:sz w:val="32"/>
          <w:szCs w:val="32"/>
        </w:rPr>
      </w:pPr>
      <w:r w:rsidRPr="00FA1EBE">
        <w:rPr>
          <w:rFonts w:ascii="Times New Roman" w:hAnsi="Times New Roman" w:cs="Times New Roman"/>
          <w:b/>
          <w:bCs/>
          <w:sz w:val="32"/>
          <w:szCs w:val="32"/>
        </w:rPr>
        <w:t xml:space="preserve">Module Lead: </w:t>
      </w:r>
      <w:r>
        <w:rPr>
          <w:rFonts w:ascii="Times New Roman" w:hAnsi="Times New Roman" w:cs="Times New Roman"/>
          <w:b/>
          <w:bCs/>
          <w:sz w:val="32"/>
          <w:szCs w:val="32"/>
        </w:rPr>
        <w:t>Dr. L. Simona Ferraraccio</w:t>
      </w:r>
    </w:p>
    <w:p w14:paraId="20D1864B" w14:textId="77777777" w:rsidR="005D59D9" w:rsidRPr="00FA1EBE" w:rsidRDefault="005D59D9" w:rsidP="005D59D9">
      <w:pPr>
        <w:spacing w:line="360" w:lineRule="auto"/>
        <w:jc w:val="center"/>
        <w:rPr>
          <w:rFonts w:ascii="Times New Roman" w:hAnsi="Times New Roman" w:cs="Times New Roman"/>
          <w:b/>
          <w:bCs/>
          <w:sz w:val="32"/>
          <w:szCs w:val="32"/>
        </w:rPr>
      </w:pPr>
      <w:r w:rsidRPr="00FA1EBE">
        <w:rPr>
          <w:rFonts w:ascii="Times New Roman" w:hAnsi="Times New Roman" w:cs="Times New Roman"/>
          <w:b/>
          <w:bCs/>
          <w:sz w:val="32"/>
          <w:szCs w:val="32"/>
        </w:rPr>
        <w:t>Module code: BMHP502</w:t>
      </w:r>
      <w:r>
        <w:rPr>
          <w:rFonts w:ascii="Times New Roman" w:hAnsi="Times New Roman" w:cs="Times New Roman"/>
          <w:b/>
          <w:bCs/>
          <w:sz w:val="32"/>
          <w:szCs w:val="32"/>
        </w:rPr>
        <w:t>2</w:t>
      </w:r>
    </w:p>
    <w:p w14:paraId="2119A0AC" w14:textId="77777777" w:rsidR="005D59D9" w:rsidRPr="00FA1EBE" w:rsidRDefault="005D59D9" w:rsidP="005D59D9">
      <w:pPr>
        <w:spacing w:line="360" w:lineRule="auto"/>
        <w:jc w:val="center"/>
        <w:rPr>
          <w:rFonts w:ascii="Times New Roman" w:hAnsi="Times New Roman" w:cs="Times New Roman"/>
          <w:b/>
          <w:bCs/>
          <w:sz w:val="32"/>
          <w:szCs w:val="32"/>
          <w:lang w:val="nl-NL"/>
        </w:rPr>
      </w:pPr>
      <w:r w:rsidRPr="00FA1EBE">
        <w:rPr>
          <w:rFonts w:ascii="Times New Roman" w:hAnsi="Times New Roman" w:cs="Times New Roman"/>
          <w:b/>
          <w:bCs/>
          <w:sz w:val="32"/>
          <w:szCs w:val="32"/>
          <w:lang w:val="nl-NL"/>
        </w:rPr>
        <w:t>Student: Tami Biban</w:t>
      </w:r>
    </w:p>
    <w:p w14:paraId="6F35AD84" w14:textId="77777777" w:rsidR="005D59D9" w:rsidRPr="00FA1EBE" w:rsidRDefault="005D59D9" w:rsidP="005D59D9">
      <w:pPr>
        <w:spacing w:line="360" w:lineRule="auto"/>
        <w:jc w:val="center"/>
        <w:rPr>
          <w:rFonts w:ascii="Times New Roman" w:hAnsi="Times New Roman" w:cs="Times New Roman"/>
          <w:b/>
          <w:bCs/>
          <w:sz w:val="32"/>
          <w:szCs w:val="32"/>
          <w:lang w:val="nl-NL"/>
        </w:rPr>
      </w:pPr>
      <w:r w:rsidRPr="00FA1EBE">
        <w:rPr>
          <w:rFonts w:ascii="Times New Roman" w:hAnsi="Times New Roman" w:cs="Times New Roman"/>
          <w:b/>
          <w:bCs/>
          <w:sz w:val="32"/>
          <w:szCs w:val="32"/>
          <w:lang w:val="nl-NL"/>
        </w:rPr>
        <w:t>Student ID: 2311222</w:t>
      </w:r>
    </w:p>
    <w:p w14:paraId="794E8248" w14:textId="20C3F5EF" w:rsidR="005D59D9" w:rsidRPr="00FA1EBE" w:rsidRDefault="005D59D9" w:rsidP="005D59D9">
      <w:pPr>
        <w:spacing w:line="360" w:lineRule="auto"/>
        <w:jc w:val="center"/>
        <w:rPr>
          <w:rFonts w:ascii="Times New Roman" w:hAnsi="Times New Roman" w:cs="Times New Roman"/>
          <w:b/>
          <w:bCs/>
          <w:sz w:val="32"/>
          <w:szCs w:val="32"/>
        </w:rPr>
      </w:pPr>
      <w:r w:rsidRPr="00FA1EBE">
        <w:rPr>
          <w:rFonts w:ascii="Times New Roman" w:hAnsi="Times New Roman" w:cs="Times New Roman"/>
          <w:b/>
          <w:bCs/>
          <w:sz w:val="32"/>
          <w:szCs w:val="32"/>
        </w:rPr>
        <w:t xml:space="preserve">Word count: </w:t>
      </w:r>
      <w:r w:rsidR="000F27D1">
        <w:rPr>
          <w:rFonts w:ascii="Times New Roman" w:hAnsi="Times New Roman" w:cs="Times New Roman"/>
          <w:b/>
          <w:bCs/>
          <w:sz w:val="32"/>
          <w:szCs w:val="32"/>
        </w:rPr>
        <w:t>991</w:t>
      </w:r>
    </w:p>
    <w:p w14:paraId="50B0ACCD" w14:textId="0A7E0C32" w:rsidR="00457CC6" w:rsidRPr="00A13F4B" w:rsidRDefault="00457CC6" w:rsidP="00457CC6">
      <w:pPr>
        <w:spacing w:line="360" w:lineRule="auto"/>
        <w:jc w:val="center"/>
        <w:rPr>
          <w:rFonts w:ascii="Times New Roman" w:hAnsi="Times New Roman" w:cs="Times New Roman"/>
          <w:b/>
          <w:bCs/>
          <w:sz w:val="32"/>
          <w:szCs w:val="32"/>
        </w:rPr>
      </w:pPr>
    </w:p>
    <w:p w14:paraId="2935E092" w14:textId="77777777" w:rsidR="00457CC6" w:rsidRDefault="00457CC6" w:rsidP="0040309C">
      <w:pPr>
        <w:spacing w:line="240" w:lineRule="auto"/>
        <w:rPr>
          <w:rFonts w:ascii="Times New Roman" w:hAnsi="Times New Roman" w:cs="Times New Roman"/>
          <w:b/>
          <w:bCs/>
          <w:sz w:val="24"/>
          <w:szCs w:val="24"/>
        </w:rPr>
      </w:pPr>
    </w:p>
    <w:p w14:paraId="2650C48C" w14:textId="77777777" w:rsidR="00A3491C" w:rsidRDefault="00A3491C" w:rsidP="00C94BC3">
      <w:pPr>
        <w:spacing w:line="240" w:lineRule="auto"/>
        <w:jc w:val="both"/>
        <w:rPr>
          <w:rFonts w:ascii="Times New Roman" w:hAnsi="Times New Roman" w:cs="Times New Roman"/>
          <w:b/>
          <w:bCs/>
          <w:sz w:val="24"/>
          <w:szCs w:val="24"/>
        </w:rPr>
      </w:pPr>
    </w:p>
    <w:p w14:paraId="6C7ADE8B" w14:textId="77777777" w:rsidR="00A3491C" w:rsidRDefault="00A3491C" w:rsidP="00C94BC3">
      <w:pPr>
        <w:spacing w:line="240" w:lineRule="auto"/>
        <w:jc w:val="both"/>
        <w:rPr>
          <w:rFonts w:ascii="Times New Roman" w:hAnsi="Times New Roman" w:cs="Times New Roman"/>
          <w:b/>
          <w:bCs/>
          <w:sz w:val="24"/>
          <w:szCs w:val="24"/>
        </w:rPr>
      </w:pPr>
    </w:p>
    <w:p w14:paraId="7F340330" w14:textId="77777777" w:rsidR="00A3491C" w:rsidRDefault="00A3491C" w:rsidP="00C94BC3">
      <w:pPr>
        <w:spacing w:line="240" w:lineRule="auto"/>
        <w:jc w:val="both"/>
        <w:rPr>
          <w:rFonts w:ascii="Times New Roman" w:hAnsi="Times New Roman" w:cs="Times New Roman"/>
          <w:b/>
          <w:bCs/>
          <w:sz w:val="24"/>
          <w:szCs w:val="24"/>
        </w:rPr>
      </w:pPr>
    </w:p>
    <w:p w14:paraId="70D4CFAB" w14:textId="77777777" w:rsidR="00A3491C" w:rsidRDefault="00A3491C" w:rsidP="00C94BC3">
      <w:pPr>
        <w:spacing w:line="240" w:lineRule="auto"/>
        <w:jc w:val="both"/>
        <w:rPr>
          <w:rFonts w:ascii="Times New Roman" w:hAnsi="Times New Roman" w:cs="Times New Roman"/>
          <w:b/>
          <w:bCs/>
          <w:sz w:val="24"/>
          <w:szCs w:val="24"/>
        </w:rPr>
      </w:pPr>
    </w:p>
    <w:p w14:paraId="57BF9500" w14:textId="77777777" w:rsidR="00A3491C" w:rsidRDefault="00A3491C" w:rsidP="00C94BC3">
      <w:pPr>
        <w:spacing w:line="240" w:lineRule="auto"/>
        <w:jc w:val="both"/>
        <w:rPr>
          <w:rFonts w:ascii="Times New Roman" w:hAnsi="Times New Roman" w:cs="Times New Roman"/>
          <w:b/>
          <w:bCs/>
          <w:sz w:val="24"/>
          <w:szCs w:val="24"/>
        </w:rPr>
      </w:pPr>
    </w:p>
    <w:p w14:paraId="541ACC1F" w14:textId="77777777" w:rsidR="00A76D48" w:rsidRPr="00A76D48" w:rsidRDefault="00A76D48" w:rsidP="00605A22">
      <w:pPr>
        <w:spacing w:line="240" w:lineRule="auto"/>
        <w:jc w:val="both"/>
        <w:rPr>
          <w:rFonts w:ascii="Times New Roman" w:hAnsi="Times New Roman" w:cs="Times New Roman"/>
          <w:b/>
          <w:bCs/>
          <w:sz w:val="24"/>
          <w:szCs w:val="24"/>
        </w:rPr>
      </w:pPr>
      <w:r w:rsidRPr="00A76D48">
        <w:rPr>
          <w:rFonts w:ascii="Times New Roman" w:hAnsi="Times New Roman" w:cs="Times New Roman"/>
          <w:b/>
          <w:bCs/>
          <w:sz w:val="24"/>
          <w:szCs w:val="24"/>
        </w:rPr>
        <w:lastRenderedPageBreak/>
        <w:t>Introduction</w:t>
      </w:r>
    </w:p>
    <w:p w14:paraId="2315B314"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This paper reflects on the group debate exploring the advantages and disadvantages of financing Universal Health Coverage (UHC) through tax-based and mandatory insurance-based mechanisms. UHC refers to ensuring that all individuals have access to the health services they need without suffering financial hardship. This paper will examine the health economics principles and global examples of each financing model before arguing in favour of the tax-based model as the most inclusive and sustainable approach to achieving UHC. A short reflection on my individual contribution to the debate is also included.</w:t>
      </w:r>
    </w:p>
    <w:p w14:paraId="1283DCBC" w14:textId="77777777" w:rsidR="00A76D48" w:rsidRPr="00A76D48" w:rsidRDefault="00A76D48" w:rsidP="00605A22">
      <w:pPr>
        <w:spacing w:line="240" w:lineRule="auto"/>
        <w:jc w:val="both"/>
        <w:rPr>
          <w:rFonts w:ascii="Times New Roman" w:hAnsi="Times New Roman" w:cs="Times New Roman"/>
          <w:b/>
          <w:bCs/>
          <w:sz w:val="24"/>
          <w:szCs w:val="24"/>
        </w:rPr>
      </w:pPr>
      <w:r w:rsidRPr="00A76D48">
        <w:rPr>
          <w:rFonts w:ascii="Times New Roman" w:hAnsi="Times New Roman" w:cs="Times New Roman"/>
          <w:b/>
          <w:bCs/>
          <w:sz w:val="24"/>
          <w:szCs w:val="24"/>
        </w:rPr>
        <w:t>Health Economics and UHC: Background and Challenges</w:t>
      </w:r>
    </w:p>
    <w:p w14:paraId="67B7E34C"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 xml:space="preserve">Universal Health Coverage (UHC) is widely recognised as a cornerstone of effective public health policy. It is essential not only for improving health outcomes but also for advancing social justice, reducing poverty, and promoting inclusive economic development. UHC ensures that all individuals have access to essential health services—such as prevention, treatment, rehabilitation, and palliative care—without risk of financial hardship. From a health economics standpoint, UHC is not simply about providing services but about how scarce health resources are allocated efficiently and equitably across populations (O'Connell, </w:t>
      </w:r>
      <w:proofErr w:type="spellStart"/>
      <w:r w:rsidRPr="00A76D48">
        <w:rPr>
          <w:rFonts w:ascii="Times New Roman" w:hAnsi="Times New Roman" w:cs="Times New Roman"/>
          <w:sz w:val="24"/>
          <w:szCs w:val="24"/>
        </w:rPr>
        <w:t>Rasanathan</w:t>
      </w:r>
      <w:proofErr w:type="spellEnd"/>
      <w:r w:rsidRPr="00A76D48">
        <w:rPr>
          <w:rFonts w:ascii="Times New Roman" w:hAnsi="Times New Roman" w:cs="Times New Roman"/>
          <w:sz w:val="24"/>
          <w:szCs w:val="24"/>
        </w:rPr>
        <w:t xml:space="preserve"> and Chopra, 2014).</w:t>
      </w:r>
    </w:p>
    <w:p w14:paraId="1497D3FF"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Health economics principles such as allocative efficiency, technical efficiency, and equity are central to evaluating UHC financing models. Allocative efficiency ensures resources are used for services with the highest health return; technical efficiency focuses on delivering services at the lowest cost; equity ensures that access is based on need, not ability to pay. UHC financing methods need to offer financial security, lessen the need for people to pay out of their own pockets, and fix problems in the market such as uneven information, unfair choices, and imbalanced power between healthcare providers and patients (Olsen, 2017).</w:t>
      </w:r>
    </w:p>
    <w:p w14:paraId="1FAC9B01"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Achieving UHC requires a strong health system, which includes a well-trained workforce, sufficient infrastructure, a reliable supply chain for medicines, and effective governance structures. Crucially, it also demands a sustainable, inclusive financing mechanism that reaches the entire population. Countries must mobilise sufficient domestic revenue, prioritise health in public spending, and ensure the fair distribution of resources (Jordi et al., 2020).</w:t>
      </w:r>
    </w:p>
    <w:p w14:paraId="3BC34623"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However, many countries, particularly low- and middle-income nations, face complex challenges. Large informal employment sectors make it difficult to collect payroll-based insurance contributions. Weak tax systems, political instability, and external debt burdens further constrain the ability to fund UHC through public revenue. In such settings, the implementation of contributory insurance schemes can deepen inequalities rather than resolve them. Furthermore, donor dependency can create unsustainable funding patterns, while urban-rural divides in health infrastructure limit equitable access (Jordi et al., 2020).</w:t>
      </w:r>
    </w:p>
    <w:p w14:paraId="4D667F36"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These realities mean that achieving UHC is not just a technical task but a political and social one. Tailoring policies to each country's demographic, economic, and institutional context is necessary. Inclusive and cost-effective strategies, particularly those grounded in progressive public financing, offer the most viable pathway to equitable UHC implementation.</w:t>
      </w:r>
    </w:p>
    <w:p w14:paraId="702B13EE" w14:textId="77777777" w:rsidR="00A76D48" w:rsidRPr="00A76D48" w:rsidRDefault="00A76D48" w:rsidP="00605A22">
      <w:pPr>
        <w:spacing w:line="240" w:lineRule="auto"/>
        <w:jc w:val="both"/>
        <w:rPr>
          <w:rFonts w:ascii="Times New Roman" w:hAnsi="Times New Roman" w:cs="Times New Roman"/>
          <w:b/>
          <w:bCs/>
          <w:sz w:val="24"/>
          <w:szCs w:val="24"/>
        </w:rPr>
      </w:pPr>
      <w:r w:rsidRPr="00A76D48">
        <w:rPr>
          <w:rFonts w:ascii="Times New Roman" w:hAnsi="Times New Roman" w:cs="Times New Roman"/>
          <w:b/>
          <w:bCs/>
          <w:sz w:val="24"/>
          <w:szCs w:val="24"/>
        </w:rPr>
        <w:t> </w:t>
      </w:r>
    </w:p>
    <w:p w14:paraId="3FA87F15" w14:textId="77777777" w:rsidR="00A76D48" w:rsidRPr="00A76D48" w:rsidRDefault="00A76D48" w:rsidP="00605A22">
      <w:pPr>
        <w:spacing w:line="240" w:lineRule="auto"/>
        <w:jc w:val="both"/>
        <w:rPr>
          <w:rFonts w:ascii="Times New Roman" w:hAnsi="Times New Roman" w:cs="Times New Roman"/>
          <w:b/>
          <w:bCs/>
          <w:sz w:val="24"/>
          <w:szCs w:val="24"/>
        </w:rPr>
      </w:pPr>
      <w:r w:rsidRPr="00A76D48">
        <w:rPr>
          <w:rFonts w:ascii="Times New Roman" w:hAnsi="Times New Roman" w:cs="Times New Roman"/>
          <w:b/>
          <w:bCs/>
          <w:sz w:val="24"/>
          <w:szCs w:val="24"/>
        </w:rPr>
        <w:lastRenderedPageBreak/>
        <w:t>Tax-Based Financing: The Case of the United Kingdom</w:t>
      </w:r>
    </w:p>
    <w:p w14:paraId="3E201894"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One of the most prominent and long-standing examples of a tax-based healthcare system is the United Kingdom’s National Health Service (NHS). Established in 1948, the NHS is funded primarily through general taxation, with additional contributions from National Insurance. It provides comprehensive healthcare services that are free at the point of use for all legal residents, regardless of income, employment status, or health condition. This financing model reflects the principle that healthcare is a public good and a fundamental right (Dayan et al., 2018).</w:t>
      </w:r>
    </w:p>
    <w:p w14:paraId="705BB855"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The NHS pools resources from the entire population, enabling risk-sharing and cross-subsidisation between high- and low-income groups. Its structure allows for cost control through centralised purchasing, unified planning, and standardised care delivery. Administrative costs are notably lower than in insurance-based systems due to the absence of private billing and multiple payers (Lorenzoni et al., 2019).</w:t>
      </w:r>
    </w:p>
    <w:p w14:paraId="09BB9B87"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Despite challenges such as long waiting times for elective procedures and periodic underfunding, the NHS remains a globally respected example of a system that delivers equitable healthcare. These limitations are operational rather than systemic and can be addressed through better resource management and investment. Overall, the NHS demonstrates how tax-based financing can successfully operationalise the principles of UHC by ensuring universal, equitable access to care (Dayan et al., 2018).</w:t>
      </w:r>
    </w:p>
    <w:p w14:paraId="7D4A4D40" w14:textId="77777777" w:rsidR="00A76D48" w:rsidRPr="00A76D48" w:rsidRDefault="00A76D48" w:rsidP="00605A22">
      <w:pPr>
        <w:spacing w:line="240" w:lineRule="auto"/>
        <w:jc w:val="both"/>
        <w:rPr>
          <w:rFonts w:ascii="Times New Roman" w:hAnsi="Times New Roman" w:cs="Times New Roman"/>
          <w:b/>
          <w:bCs/>
          <w:sz w:val="24"/>
          <w:szCs w:val="24"/>
        </w:rPr>
      </w:pPr>
      <w:r w:rsidRPr="00A76D48">
        <w:rPr>
          <w:rFonts w:ascii="Times New Roman" w:hAnsi="Times New Roman" w:cs="Times New Roman"/>
          <w:b/>
          <w:bCs/>
          <w:sz w:val="24"/>
          <w:szCs w:val="24"/>
        </w:rPr>
        <w:t>Mandatory Insurance Financing: The Case of Germany</w:t>
      </w:r>
    </w:p>
    <w:p w14:paraId="26828DD5"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 xml:space="preserve">Germany exemplifies the Bismarck model, </w:t>
      </w:r>
      <w:proofErr w:type="gramStart"/>
      <w:r w:rsidRPr="00A76D48">
        <w:rPr>
          <w:rFonts w:ascii="Times New Roman" w:hAnsi="Times New Roman" w:cs="Times New Roman"/>
          <w:sz w:val="24"/>
          <w:szCs w:val="24"/>
        </w:rPr>
        <w:t>where</w:t>
      </w:r>
      <w:proofErr w:type="gramEnd"/>
      <w:r w:rsidRPr="00A76D48">
        <w:rPr>
          <w:rFonts w:ascii="Times New Roman" w:hAnsi="Times New Roman" w:cs="Times New Roman"/>
          <w:sz w:val="24"/>
          <w:szCs w:val="24"/>
        </w:rPr>
        <w:t xml:space="preserve"> mandatory social health insurance finances healthcare. Employers and employees contribute to non-profit ‘sickness funds’, and insurance is legally required. While Germany’s system provides comprehensive coverage and allows for choice and competition, it has notable disadvantages. The model relies heavily on formal employment, making it less effective in countries with large informal economies. Administrative costs are also higher due to the presence of multiple insurers, and complexity can result in inequality and inefficiencies. Although successful in high-income contexts, this model may not be suitable or scalable for lower-income countries or those with fewer formalised labour markets (Tulchinsky, 2018).</w:t>
      </w:r>
    </w:p>
    <w:p w14:paraId="7987E856" w14:textId="77777777" w:rsidR="00A76D48" w:rsidRPr="00A76D48" w:rsidRDefault="00A76D48" w:rsidP="00605A22">
      <w:pPr>
        <w:spacing w:line="240" w:lineRule="auto"/>
        <w:jc w:val="both"/>
        <w:rPr>
          <w:rFonts w:ascii="Times New Roman" w:hAnsi="Times New Roman" w:cs="Times New Roman"/>
          <w:b/>
          <w:bCs/>
          <w:sz w:val="24"/>
          <w:szCs w:val="24"/>
        </w:rPr>
      </w:pPr>
      <w:r w:rsidRPr="00A76D48">
        <w:rPr>
          <w:rFonts w:ascii="Times New Roman" w:hAnsi="Times New Roman" w:cs="Times New Roman"/>
          <w:b/>
          <w:bCs/>
          <w:sz w:val="24"/>
          <w:szCs w:val="24"/>
        </w:rPr>
        <w:t>Positions and Recommendations</w:t>
      </w:r>
    </w:p>
    <w:p w14:paraId="6DE921C7"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 xml:space="preserve">Having examined both models, I firmly support the tax-based approach to financing UHC. It is simpler to administer, inherently more equitable, and better suited to ensuring </w:t>
      </w:r>
      <w:proofErr w:type="gramStart"/>
      <w:r w:rsidRPr="00A76D48">
        <w:rPr>
          <w:rFonts w:ascii="Times New Roman" w:hAnsi="Times New Roman" w:cs="Times New Roman"/>
          <w:sz w:val="24"/>
          <w:szCs w:val="24"/>
        </w:rPr>
        <w:t>coverage</w:t>
      </w:r>
      <w:proofErr w:type="gramEnd"/>
      <w:r w:rsidRPr="00A76D48">
        <w:rPr>
          <w:rFonts w:ascii="Times New Roman" w:hAnsi="Times New Roman" w:cs="Times New Roman"/>
          <w:sz w:val="24"/>
          <w:szCs w:val="24"/>
        </w:rPr>
        <w:t xml:space="preserve"> for all, especially in countries with diverse populations and informal employment. Tax-based systems offer a more direct route to universal inclusion without relying on labour market attachments. For countries without UHC, I recommend a phased transition toward public financing for essential services, with taxation as the foundation. Policymakers must prioritise progressive tax reforms and investment in primary healthcare. Providers will benefit from predictable funding streams, and populations will experience reduced financial stress and improved health outcomes.</w:t>
      </w:r>
    </w:p>
    <w:p w14:paraId="23C1B6EC" w14:textId="77777777" w:rsidR="00A76D48" w:rsidRPr="00A76D48" w:rsidRDefault="00A76D48" w:rsidP="00605A22">
      <w:pPr>
        <w:spacing w:line="240" w:lineRule="auto"/>
        <w:jc w:val="both"/>
        <w:rPr>
          <w:rFonts w:ascii="Times New Roman" w:hAnsi="Times New Roman" w:cs="Times New Roman"/>
          <w:b/>
          <w:bCs/>
          <w:sz w:val="24"/>
          <w:szCs w:val="24"/>
        </w:rPr>
      </w:pPr>
      <w:r w:rsidRPr="00A76D48">
        <w:rPr>
          <w:rFonts w:ascii="Times New Roman" w:hAnsi="Times New Roman" w:cs="Times New Roman"/>
          <w:b/>
          <w:bCs/>
          <w:sz w:val="24"/>
          <w:szCs w:val="24"/>
        </w:rPr>
        <w:t>Conclusion</w:t>
      </w:r>
    </w:p>
    <w:p w14:paraId="5993374D" w14:textId="77777777" w:rsidR="00A76D48" w:rsidRPr="00A76D48" w:rsidRDefault="00A76D48" w:rsidP="00605A22">
      <w:pPr>
        <w:spacing w:line="240" w:lineRule="auto"/>
        <w:jc w:val="both"/>
        <w:rPr>
          <w:rFonts w:ascii="Times New Roman" w:hAnsi="Times New Roman" w:cs="Times New Roman"/>
          <w:sz w:val="24"/>
          <w:szCs w:val="24"/>
        </w:rPr>
      </w:pPr>
      <w:r w:rsidRPr="00A76D48">
        <w:rPr>
          <w:rFonts w:ascii="Times New Roman" w:hAnsi="Times New Roman" w:cs="Times New Roman"/>
          <w:sz w:val="24"/>
          <w:szCs w:val="24"/>
        </w:rPr>
        <w:t xml:space="preserve">In conclusion, both financing mechanisms can support UHC, but tax-based systems stand out for their equity, inclusivity, and cost-efficiency. The NHS and other similar systems demonstrate that </w:t>
      </w:r>
      <w:r w:rsidRPr="00A76D48">
        <w:rPr>
          <w:rFonts w:ascii="Times New Roman" w:hAnsi="Times New Roman" w:cs="Times New Roman"/>
          <w:sz w:val="24"/>
          <w:szCs w:val="24"/>
        </w:rPr>
        <w:lastRenderedPageBreak/>
        <w:t>tax funding can ensure access without creating financial barriers. To achieve UHC globally, we must advocate for models that prioritise the most vulnerable, promote shared responsibility, and ensure that care is based on need—not the ability to pay. The tax-based model best embodies these principles and remains the most effective strategy for realising the goals of Universal Health Coverage.</w:t>
      </w:r>
    </w:p>
    <w:p w14:paraId="663D9E9B" w14:textId="77777777" w:rsidR="00AC4400" w:rsidRDefault="00AC4400" w:rsidP="0040309C">
      <w:pPr>
        <w:spacing w:line="240" w:lineRule="auto"/>
        <w:rPr>
          <w:rFonts w:ascii="Times New Roman" w:hAnsi="Times New Roman" w:cs="Times New Roman"/>
          <w:sz w:val="24"/>
          <w:szCs w:val="24"/>
        </w:rPr>
      </w:pPr>
    </w:p>
    <w:p w14:paraId="758B4F80"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4E610A98"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63967DD9"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45406092"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23E7C604"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750A595D"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6436250D"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66B2570F"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6334E4EC"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34690D02"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4BE380DD" w14:textId="77777777" w:rsidR="003E7FB3" w:rsidRDefault="003E7FB3"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12E67432" w14:textId="77777777" w:rsidR="00070375" w:rsidRDefault="00070375"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78561ABD" w14:textId="77777777" w:rsidR="00070375" w:rsidRDefault="00070375" w:rsidP="005F0255">
      <w:pPr>
        <w:widowControl w:val="0"/>
        <w:autoSpaceDE w:val="0"/>
        <w:autoSpaceDN w:val="0"/>
        <w:adjustRightInd w:val="0"/>
        <w:spacing w:after="240" w:line="360" w:lineRule="auto"/>
        <w:jc w:val="both"/>
        <w:rPr>
          <w:rFonts w:ascii="Times New Roman" w:hAnsi="Times New Roman" w:cs="Times New Roman"/>
          <w:sz w:val="36"/>
          <w:szCs w:val="36"/>
        </w:rPr>
      </w:pPr>
    </w:p>
    <w:p w14:paraId="338D92B6" w14:textId="1A606468" w:rsidR="005F0255" w:rsidRDefault="005F0255" w:rsidP="005F0255">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sz w:val="36"/>
          <w:szCs w:val="36"/>
        </w:rPr>
        <w:lastRenderedPageBreak/>
        <w:t>Reference:</w:t>
      </w:r>
    </w:p>
    <w:p w14:paraId="59422F0D" w14:textId="77777777" w:rsidR="005F0255" w:rsidRDefault="005F0255" w:rsidP="005F0255">
      <w:pPr>
        <w:pStyle w:val="ListParagraph"/>
        <w:widowControl w:val="0"/>
        <w:numPr>
          <w:ilvl w:val="0"/>
          <w:numId w:val="11"/>
        </w:numPr>
        <w:autoSpaceDE w:val="0"/>
        <w:autoSpaceDN w:val="0"/>
        <w:adjustRightInd w:val="0"/>
        <w:spacing w:after="240" w:line="360" w:lineRule="auto"/>
        <w:jc w:val="both"/>
        <w:rPr>
          <w:rFonts w:ascii="Times New Roman" w:hAnsi="Times New Roman" w:cs="Times New Roman"/>
        </w:rPr>
      </w:pPr>
      <w:r w:rsidRPr="00636667">
        <w:rPr>
          <w:rFonts w:ascii="Times New Roman" w:hAnsi="Times New Roman" w:cs="Times New Roman"/>
        </w:rPr>
        <w:t xml:space="preserve">Dayan, M., Ward, D, Gardner, T. and Kelly, E. (2018) </w:t>
      </w:r>
      <w:r w:rsidRPr="00636667">
        <w:rPr>
          <w:rFonts w:ascii="Times New Roman" w:hAnsi="Times New Roman" w:cs="Times New Roman"/>
          <w:i/>
          <w:iCs/>
        </w:rPr>
        <w:t xml:space="preserve">Mark Dayan How good is the </w:t>
      </w:r>
      <w:proofErr w:type="gramStart"/>
      <w:r w:rsidRPr="00636667">
        <w:rPr>
          <w:rFonts w:ascii="Times New Roman" w:hAnsi="Times New Roman" w:cs="Times New Roman"/>
          <w:i/>
          <w:iCs/>
        </w:rPr>
        <w:t>NHS?</w:t>
      </w:r>
      <w:r w:rsidRPr="00636667">
        <w:rPr>
          <w:rFonts w:ascii="Times New Roman" w:hAnsi="Times New Roman" w:cs="Times New Roman"/>
        </w:rPr>
        <w:t>.</w:t>
      </w:r>
      <w:proofErr w:type="gramEnd"/>
      <w:r w:rsidRPr="00636667">
        <w:rPr>
          <w:rFonts w:ascii="Times New Roman" w:hAnsi="Times New Roman" w:cs="Times New Roman"/>
        </w:rPr>
        <w:t xml:space="preserve"> Available at: </w:t>
      </w:r>
      <w:hyperlink r:id="rId9" w:history="1">
        <w:r w:rsidRPr="00636667">
          <w:rPr>
            <w:rFonts w:ascii="Times New Roman" w:hAnsi="Times New Roman" w:cs="Times New Roman"/>
          </w:rPr>
          <w:t>https://www.health.org.uk/sites/default/files/NHS-70-How-good-is-the-NHS.pdf</w:t>
        </w:r>
      </w:hyperlink>
      <w:r w:rsidRPr="00636667">
        <w:rPr>
          <w:rFonts w:ascii="Times New Roman" w:hAnsi="Times New Roman" w:cs="Times New Roman"/>
        </w:rPr>
        <w:t>.</w:t>
      </w:r>
    </w:p>
    <w:p w14:paraId="5B13E4E1" w14:textId="77777777" w:rsidR="005F0255" w:rsidRDefault="005F0255" w:rsidP="005F0255">
      <w:pPr>
        <w:pStyle w:val="ListParagraph"/>
        <w:widowControl w:val="0"/>
        <w:numPr>
          <w:ilvl w:val="0"/>
          <w:numId w:val="11"/>
        </w:numPr>
        <w:autoSpaceDE w:val="0"/>
        <w:autoSpaceDN w:val="0"/>
        <w:adjustRightInd w:val="0"/>
        <w:spacing w:after="240" w:line="360" w:lineRule="auto"/>
        <w:jc w:val="both"/>
        <w:rPr>
          <w:rFonts w:ascii="Times New Roman" w:hAnsi="Times New Roman" w:cs="Times New Roman"/>
        </w:rPr>
      </w:pPr>
      <w:r w:rsidRPr="00636667">
        <w:rPr>
          <w:rFonts w:ascii="Times New Roman" w:hAnsi="Times New Roman" w:cs="Times New Roman"/>
        </w:rPr>
        <w:t xml:space="preserve">Jordi, E., </w:t>
      </w:r>
      <w:proofErr w:type="spellStart"/>
      <w:r w:rsidRPr="00636667">
        <w:rPr>
          <w:rFonts w:ascii="Times New Roman" w:hAnsi="Times New Roman" w:cs="Times New Roman"/>
        </w:rPr>
        <w:t>Pley</w:t>
      </w:r>
      <w:proofErr w:type="spellEnd"/>
      <w:r w:rsidRPr="00636667">
        <w:rPr>
          <w:rFonts w:ascii="Times New Roman" w:hAnsi="Times New Roman" w:cs="Times New Roman"/>
        </w:rPr>
        <w:t xml:space="preserve">, C., Jowett, M., Abou </w:t>
      </w:r>
      <w:proofErr w:type="spellStart"/>
      <w:r w:rsidRPr="00636667">
        <w:rPr>
          <w:rFonts w:ascii="Times New Roman" w:hAnsi="Times New Roman" w:cs="Times New Roman"/>
        </w:rPr>
        <w:t>Jaoude</w:t>
      </w:r>
      <w:proofErr w:type="spellEnd"/>
      <w:r w:rsidRPr="00636667">
        <w:rPr>
          <w:rFonts w:ascii="Times New Roman" w:hAnsi="Times New Roman" w:cs="Times New Roman"/>
        </w:rPr>
        <w:t xml:space="preserve">, G.J. and </w:t>
      </w:r>
      <w:proofErr w:type="spellStart"/>
      <w:r w:rsidRPr="00636667">
        <w:rPr>
          <w:rFonts w:ascii="Times New Roman" w:hAnsi="Times New Roman" w:cs="Times New Roman"/>
        </w:rPr>
        <w:t>Haghparast</w:t>
      </w:r>
      <w:proofErr w:type="spellEnd"/>
      <w:r w:rsidRPr="00636667">
        <w:rPr>
          <w:rFonts w:ascii="Times New Roman" w:hAnsi="Times New Roman" w:cs="Times New Roman"/>
        </w:rPr>
        <w:t xml:space="preserve">-Bidgoli, H. (2020) ‘Assessing the efficiency of countries in making progress towards universal health coverage: a data envelopment analysis of 172 </w:t>
      </w:r>
      <w:proofErr w:type="gramStart"/>
      <w:r w:rsidRPr="00636667">
        <w:rPr>
          <w:rFonts w:ascii="Times New Roman" w:hAnsi="Times New Roman" w:cs="Times New Roman"/>
        </w:rPr>
        <w:t>countries’</w:t>
      </w:r>
      <w:proofErr w:type="gramEnd"/>
      <w:r w:rsidRPr="00636667">
        <w:rPr>
          <w:rFonts w:ascii="Times New Roman" w:hAnsi="Times New Roman" w:cs="Times New Roman"/>
        </w:rPr>
        <w:t xml:space="preserve">. </w:t>
      </w:r>
      <w:r w:rsidRPr="00636667">
        <w:rPr>
          <w:rFonts w:ascii="Times New Roman" w:hAnsi="Times New Roman" w:cs="Times New Roman"/>
          <w:i/>
          <w:iCs/>
        </w:rPr>
        <w:t>BMJ Global Health</w:t>
      </w:r>
      <w:r w:rsidRPr="00636667">
        <w:rPr>
          <w:rFonts w:ascii="Times New Roman" w:hAnsi="Times New Roman" w:cs="Times New Roman"/>
        </w:rPr>
        <w:t xml:space="preserve"> 5(10), p. e002992. </w:t>
      </w:r>
      <w:r>
        <w:rPr>
          <w:rFonts w:ascii="Times New Roman" w:hAnsi="Times New Roman" w:cs="Times New Roman"/>
        </w:rPr>
        <w:t>Available at</w:t>
      </w:r>
      <w:r w:rsidRPr="00636667">
        <w:rPr>
          <w:rFonts w:ascii="Times New Roman" w:hAnsi="Times New Roman" w:cs="Times New Roman"/>
        </w:rPr>
        <w:t xml:space="preserve">: </w:t>
      </w:r>
      <w:hyperlink r:id="rId10" w:history="1">
        <w:r w:rsidRPr="00636667">
          <w:rPr>
            <w:rFonts w:ascii="Times New Roman" w:hAnsi="Times New Roman" w:cs="Times New Roman"/>
          </w:rPr>
          <w:t>https://doi.org/10.1136/bmjgh-2020-002992</w:t>
        </w:r>
      </w:hyperlink>
      <w:r w:rsidRPr="00636667">
        <w:rPr>
          <w:rFonts w:ascii="Times New Roman" w:hAnsi="Times New Roman" w:cs="Times New Roman"/>
        </w:rPr>
        <w:t>.</w:t>
      </w:r>
    </w:p>
    <w:p w14:paraId="25407FCE" w14:textId="77777777" w:rsidR="005F0255" w:rsidRDefault="005F0255" w:rsidP="005F0255">
      <w:pPr>
        <w:pStyle w:val="ListParagraph"/>
        <w:widowControl w:val="0"/>
        <w:numPr>
          <w:ilvl w:val="0"/>
          <w:numId w:val="11"/>
        </w:numPr>
        <w:autoSpaceDE w:val="0"/>
        <w:autoSpaceDN w:val="0"/>
        <w:adjustRightInd w:val="0"/>
        <w:spacing w:after="240" w:line="360" w:lineRule="auto"/>
        <w:jc w:val="both"/>
        <w:rPr>
          <w:rFonts w:ascii="Times New Roman" w:hAnsi="Times New Roman" w:cs="Times New Roman"/>
        </w:rPr>
      </w:pPr>
      <w:r w:rsidRPr="00150DD0">
        <w:rPr>
          <w:rFonts w:ascii="Times New Roman" w:hAnsi="Times New Roman" w:cs="Times New Roman"/>
        </w:rPr>
        <w:t xml:space="preserve">Lorenzoni, L, Barber, S and Ong, P. (2019) </w:t>
      </w:r>
      <w:r w:rsidRPr="00150DD0">
        <w:rPr>
          <w:rFonts w:ascii="Times New Roman" w:hAnsi="Times New Roman" w:cs="Times New Roman"/>
          <w:i/>
          <w:iCs/>
        </w:rPr>
        <w:t>Price setting and price regulation in health care Lessons for advancing Universal Health Coverage</w:t>
      </w:r>
      <w:r w:rsidRPr="00150DD0">
        <w:rPr>
          <w:rFonts w:ascii="Times New Roman" w:hAnsi="Times New Roman" w:cs="Times New Roman"/>
        </w:rPr>
        <w:t xml:space="preserve">. Available at: </w:t>
      </w:r>
      <w:hyperlink r:id="rId11" w:history="1">
        <w:r w:rsidRPr="00150DD0">
          <w:rPr>
            <w:rFonts w:ascii="Times New Roman" w:hAnsi="Times New Roman" w:cs="Times New Roman"/>
          </w:rPr>
          <w:t>https://www.oecd.org/content/dam/oecd/en/publications/reports/2019/06/price-setting-and-price-regulation-in-health-care_1c38bffd/ed3c16ff-en.pdf</w:t>
        </w:r>
      </w:hyperlink>
      <w:r w:rsidRPr="00150DD0">
        <w:rPr>
          <w:rFonts w:ascii="Times New Roman" w:hAnsi="Times New Roman" w:cs="Times New Roman"/>
        </w:rPr>
        <w:t>.</w:t>
      </w:r>
    </w:p>
    <w:p w14:paraId="3673C32D" w14:textId="77777777" w:rsidR="005F0255" w:rsidRDefault="005F0255" w:rsidP="005F0255">
      <w:pPr>
        <w:pStyle w:val="ListParagraph"/>
        <w:widowControl w:val="0"/>
        <w:numPr>
          <w:ilvl w:val="0"/>
          <w:numId w:val="11"/>
        </w:numPr>
        <w:autoSpaceDE w:val="0"/>
        <w:autoSpaceDN w:val="0"/>
        <w:adjustRightInd w:val="0"/>
        <w:spacing w:after="240" w:line="360" w:lineRule="auto"/>
        <w:jc w:val="both"/>
        <w:rPr>
          <w:rFonts w:ascii="Times New Roman" w:hAnsi="Times New Roman" w:cs="Times New Roman"/>
        </w:rPr>
      </w:pPr>
      <w:r w:rsidRPr="00150DD0">
        <w:rPr>
          <w:rFonts w:ascii="Times New Roman" w:hAnsi="Times New Roman" w:cs="Times New Roman"/>
        </w:rPr>
        <w:t xml:space="preserve">O’Connell, T., </w:t>
      </w:r>
      <w:proofErr w:type="spellStart"/>
      <w:r w:rsidRPr="00150DD0">
        <w:rPr>
          <w:rFonts w:ascii="Times New Roman" w:hAnsi="Times New Roman" w:cs="Times New Roman"/>
        </w:rPr>
        <w:t>Rasanathan</w:t>
      </w:r>
      <w:proofErr w:type="spellEnd"/>
      <w:r w:rsidRPr="00150DD0">
        <w:rPr>
          <w:rFonts w:ascii="Times New Roman" w:hAnsi="Times New Roman" w:cs="Times New Roman"/>
        </w:rPr>
        <w:t xml:space="preserve">, K. and Chopra, M. (2014) ‘What does universal health coverage mean?’ </w:t>
      </w:r>
      <w:r w:rsidRPr="00150DD0">
        <w:rPr>
          <w:rFonts w:ascii="Times New Roman" w:hAnsi="Times New Roman" w:cs="Times New Roman"/>
          <w:i/>
          <w:iCs/>
        </w:rPr>
        <w:t>The Lancet</w:t>
      </w:r>
      <w:r w:rsidRPr="00150DD0">
        <w:rPr>
          <w:rFonts w:ascii="Times New Roman" w:hAnsi="Times New Roman" w:cs="Times New Roman"/>
        </w:rPr>
        <w:t xml:space="preserve"> 383(9913), pp. 277–279. Available at: </w:t>
      </w:r>
      <w:hyperlink r:id="rId12" w:history="1">
        <w:r w:rsidRPr="00150DD0">
          <w:rPr>
            <w:rFonts w:ascii="Times New Roman" w:hAnsi="Times New Roman" w:cs="Times New Roman"/>
          </w:rPr>
          <w:t>https://www.thelancet.com/journals/lancet/article/PIIS0140-6736(13)60955-1/fulltext?_eventId=login</w:t>
        </w:r>
      </w:hyperlink>
      <w:r w:rsidRPr="00150DD0">
        <w:rPr>
          <w:rFonts w:ascii="Times New Roman" w:hAnsi="Times New Roman" w:cs="Times New Roman"/>
        </w:rPr>
        <w:t>.</w:t>
      </w:r>
    </w:p>
    <w:p w14:paraId="121357D0" w14:textId="77777777" w:rsidR="005F0255" w:rsidRDefault="005F0255" w:rsidP="005F0255">
      <w:pPr>
        <w:pStyle w:val="ListParagraph"/>
        <w:widowControl w:val="0"/>
        <w:numPr>
          <w:ilvl w:val="0"/>
          <w:numId w:val="11"/>
        </w:numPr>
        <w:autoSpaceDE w:val="0"/>
        <w:autoSpaceDN w:val="0"/>
        <w:adjustRightInd w:val="0"/>
        <w:spacing w:after="240" w:line="360" w:lineRule="auto"/>
        <w:jc w:val="both"/>
        <w:rPr>
          <w:rFonts w:ascii="Times New Roman" w:hAnsi="Times New Roman" w:cs="Times New Roman"/>
        </w:rPr>
      </w:pPr>
      <w:r w:rsidRPr="00150DD0">
        <w:rPr>
          <w:rFonts w:ascii="Times New Roman" w:hAnsi="Times New Roman" w:cs="Times New Roman"/>
        </w:rPr>
        <w:t xml:space="preserve">Olsen, J.A. (2017) </w:t>
      </w:r>
      <w:r w:rsidRPr="00150DD0">
        <w:rPr>
          <w:rFonts w:ascii="Times New Roman" w:hAnsi="Times New Roman" w:cs="Times New Roman"/>
          <w:i/>
          <w:iCs/>
        </w:rPr>
        <w:t>Principles in Health Economics and Policy</w:t>
      </w:r>
      <w:r w:rsidRPr="00150DD0">
        <w:rPr>
          <w:rFonts w:ascii="Times New Roman" w:hAnsi="Times New Roman" w:cs="Times New Roman"/>
        </w:rPr>
        <w:t xml:space="preserve">. Oxford University Press. Available at: </w:t>
      </w:r>
      <w:hyperlink r:id="rId13" w:anchor="v=onepage&amp;q=allocative%20efficiency&amp;f=false" w:history="1">
        <w:r w:rsidRPr="00150DD0">
          <w:rPr>
            <w:rFonts w:ascii="Times New Roman" w:hAnsi="Times New Roman" w:cs="Times New Roman"/>
          </w:rPr>
          <w:t>https://books.google.com/books?hl=en&amp;lr=&amp;id=OXAuDwAAQBAJ&amp;oi=fnd&amp;pg=PP1&amp;dq=health+economics+principles+in+Universal+health+coverage&amp;ots=jUddLLnX08&amp;sig=0cJKN3uUqUrMYJY7wLKJko7OaZ4&amp;redir_esc=y#v=onepage&amp;q=allocative%20efficiency&amp;f=false</w:t>
        </w:r>
      </w:hyperlink>
      <w:r w:rsidRPr="00150DD0">
        <w:rPr>
          <w:rFonts w:ascii="Times New Roman" w:hAnsi="Times New Roman" w:cs="Times New Roman"/>
        </w:rPr>
        <w:t xml:space="preserve"> (Accessed: 30 April 2025).</w:t>
      </w:r>
    </w:p>
    <w:p w14:paraId="0B1C7E76" w14:textId="77777777" w:rsidR="005F0255" w:rsidRPr="00150DD0" w:rsidRDefault="005F0255" w:rsidP="005F0255">
      <w:pPr>
        <w:pStyle w:val="ListParagraph"/>
        <w:widowControl w:val="0"/>
        <w:numPr>
          <w:ilvl w:val="0"/>
          <w:numId w:val="11"/>
        </w:numPr>
        <w:autoSpaceDE w:val="0"/>
        <w:autoSpaceDN w:val="0"/>
        <w:adjustRightInd w:val="0"/>
        <w:spacing w:after="240" w:line="360" w:lineRule="auto"/>
        <w:jc w:val="both"/>
        <w:rPr>
          <w:rFonts w:ascii="Times New Roman" w:hAnsi="Times New Roman" w:cs="Times New Roman"/>
        </w:rPr>
      </w:pPr>
      <w:r w:rsidRPr="00150DD0">
        <w:rPr>
          <w:rFonts w:ascii="Times New Roman" w:hAnsi="Times New Roman" w:cs="Times New Roman"/>
        </w:rPr>
        <w:t xml:space="preserve">Tulchinsky, T.H. (2018) ‘Bismarck and the Long Road to Universal Health Coverage’. </w:t>
      </w:r>
      <w:r w:rsidRPr="00150DD0">
        <w:rPr>
          <w:rFonts w:ascii="Times New Roman" w:hAnsi="Times New Roman" w:cs="Times New Roman"/>
          <w:i/>
          <w:iCs/>
        </w:rPr>
        <w:t xml:space="preserve">Case Studies in Public </w:t>
      </w:r>
      <w:proofErr w:type="gramStart"/>
      <w:r w:rsidRPr="00150DD0">
        <w:rPr>
          <w:rFonts w:ascii="Times New Roman" w:hAnsi="Times New Roman" w:cs="Times New Roman"/>
          <w:i/>
          <w:iCs/>
        </w:rPr>
        <w:t>Health</w:t>
      </w:r>
      <w:r w:rsidRPr="00150DD0">
        <w:rPr>
          <w:rFonts w:ascii="Times New Roman" w:hAnsi="Times New Roman" w:cs="Times New Roman"/>
        </w:rPr>
        <w:t xml:space="preserve"> ,</w:t>
      </w:r>
      <w:proofErr w:type="gramEnd"/>
      <w:r w:rsidRPr="00150DD0">
        <w:rPr>
          <w:rFonts w:ascii="Times New Roman" w:hAnsi="Times New Roman" w:cs="Times New Roman"/>
        </w:rPr>
        <w:t xml:space="preserve"> pp. 131–179. Available at: </w:t>
      </w:r>
      <w:hyperlink r:id="rId14" w:history="1">
        <w:r w:rsidRPr="00150DD0">
          <w:rPr>
            <w:rFonts w:ascii="Times New Roman" w:hAnsi="Times New Roman" w:cs="Times New Roman"/>
          </w:rPr>
          <w:t>https://www.ncbi.nlm.nih.gov/pmc/articles/PMC7149836/</w:t>
        </w:r>
      </w:hyperlink>
      <w:r w:rsidRPr="00150DD0">
        <w:rPr>
          <w:rFonts w:ascii="Times New Roman" w:hAnsi="Times New Roman" w:cs="Times New Roman"/>
        </w:rPr>
        <w:t>.</w:t>
      </w:r>
    </w:p>
    <w:p w14:paraId="71DF7126" w14:textId="2BC805A7" w:rsidR="00905713" w:rsidRPr="00AC4400" w:rsidRDefault="00905713" w:rsidP="005F0255">
      <w:pPr>
        <w:spacing w:line="240" w:lineRule="auto"/>
        <w:rPr>
          <w:rFonts w:ascii="Times New Roman" w:hAnsi="Times New Roman" w:cs="Times New Roman"/>
          <w:sz w:val="24"/>
          <w:szCs w:val="24"/>
        </w:rPr>
      </w:pPr>
    </w:p>
    <w:sectPr w:rsidR="00905713" w:rsidRPr="00AC4400" w:rsidSect="009C436B">
      <w:footerReference w:type="default" r:id="rId15"/>
      <w:pgSz w:w="12240" w:h="15840"/>
      <w:pgMar w:top="1440" w:right="1440" w:bottom="1440" w:left="1440" w:header="283" w:footer="283"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4E2DD" w14:textId="77777777" w:rsidR="002E5D8B" w:rsidRDefault="002E5D8B" w:rsidP="002E5D8B">
      <w:pPr>
        <w:spacing w:after="0" w:line="240" w:lineRule="auto"/>
      </w:pPr>
      <w:r>
        <w:separator/>
      </w:r>
    </w:p>
  </w:endnote>
  <w:endnote w:type="continuationSeparator" w:id="0">
    <w:p w14:paraId="6A342F3D" w14:textId="77777777" w:rsidR="002E5D8B" w:rsidRDefault="002E5D8B" w:rsidP="002E5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3AC43" w14:textId="7FCC5B71" w:rsidR="002E5D8B" w:rsidRDefault="002E5D8B" w:rsidP="00A3491C">
    <w:pPr>
      <w:pStyle w:val="Footer"/>
      <w:jc w:val="both"/>
    </w:pPr>
    <w:r w:rsidRPr="00FA1EBE">
      <w:rPr>
        <w:rFonts w:ascii="Times New Roman" w:hAnsi="Times New Roman" w:cs="Times New Roman"/>
        <w:b/>
        <w:bCs/>
        <w:noProof/>
        <w:sz w:val="32"/>
        <w:szCs w:val="32"/>
      </w:rPr>
      <w:drawing>
        <wp:inline distT="0" distB="0" distL="0" distR="0" wp14:anchorId="6DB5A52D" wp14:editId="6C8EAFD9">
          <wp:extent cx="1233805" cy="538162"/>
          <wp:effectExtent l="0" t="0" r="4445" b="0"/>
          <wp:docPr id="572562639"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a black square&#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03801" cy="568693"/>
                  </a:xfrm>
                  <a:prstGeom prst="rect">
                    <a:avLst/>
                  </a:prstGeom>
                  <a:noFill/>
                  <a:ln>
                    <a:noFill/>
                  </a:ln>
                </pic:spPr>
              </pic:pic>
            </a:graphicData>
          </a:graphic>
        </wp:inline>
      </w:drawing>
    </w:r>
    <w:r>
      <w:t xml:space="preserve">  </w:t>
    </w:r>
    <w:sdt>
      <w:sdtPr>
        <w:id w:val="998225660"/>
        <w:docPartObj>
          <w:docPartGallery w:val="Page Numbers (Bottom of Page)"/>
          <w:docPartUnique/>
        </w:docPartObj>
      </w:sdtPr>
      <w:sdtEndPr/>
      <w:sdtContent>
        <w:r>
          <w:t xml:space="preserve">     </w:t>
        </w:r>
        <w:r w:rsidR="00A3491C">
          <w:t xml:space="preserve">                  </w:t>
        </w:r>
        <w:r>
          <w:t xml:space="preserve">                                                                                                                                </w:t>
        </w:r>
        <w:r>
          <w:fldChar w:fldCharType="begin"/>
        </w:r>
        <w:r>
          <w:instrText>PAGE   \* MERGEFORMAT</w:instrText>
        </w:r>
        <w:r>
          <w:fldChar w:fldCharType="separate"/>
        </w:r>
        <w:r>
          <w:t>1</w:t>
        </w:r>
        <w: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C41B47" w14:textId="77777777" w:rsidR="002E5D8B" w:rsidRDefault="002E5D8B" w:rsidP="002E5D8B">
      <w:pPr>
        <w:spacing w:after="0" w:line="240" w:lineRule="auto"/>
      </w:pPr>
      <w:r>
        <w:separator/>
      </w:r>
    </w:p>
  </w:footnote>
  <w:footnote w:type="continuationSeparator" w:id="0">
    <w:p w14:paraId="2B901159" w14:textId="77777777" w:rsidR="002E5D8B" w:rsidRDefault="002E5D8B" w:rsidP="002E5D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FAE2FFC"/>
    <w:multiLevelType w:val="hybridMultilevel"/>
    <w:tmpl w:val="32F69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6601E5"/>
    <w:multiLevelType w:val="hybridMultilevel"/>
    <w:tmpl w:val="9EE8AB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7395006">
    <w:abstractNumId w:val="8"/>
  </w:num>
  <w:num w:numId="2" w16cid:durableId="1945728811">
    <w:abstractNumId w:val="6"/>
  </w:num>
  <w:num w:numId="3" w16cid:durableId="806051083">
    <w:abstractNumId w:val="5"/>
  </w:num>
  <w:num w:numId="4" w16cid:durableId="702752292">
    <w:abstractNumId w:val="4"/>
  </w:num>
  <w:num w:numId="5" w16cid:durableId="74672491">
    <w:abstractNumId w:val="7"/>
  </w:num>
  <w:num w:numId="6" w16cid:durableId="895240664">
    <w:abstractNumId w:val="3"/>
  </w:num>
  <w:num w:numId="7" w16cid:durableId="1665888114">
    <w:abstractNumId w:val="2"/>
  </w:num>
  <w:num w:numId="8" w16cid:durableId="1087918019">
    <w:abstractNumId w:val="1"/>
  </w:num>
  <w:num w:numId="9" w16cid:durableId="1726836066">
    <w:abstractNumId w:val="0"/>
  </w:num>
  <w:num w:numId="10" w16cid:durableId="187069379">
    <w:abstractNumId w:val="10"/>
  </w:num>
  <w:num w:numId="11" w16cid:durableId="18964998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25F"/>
    <w:rsid w:val="00034616"/>
    <w:rsid w:val="0006063C"/>
    <w:rsid w:val="00070375"/>
    <w:rsid w:val="000A68F7"/>
    <w:rsid w:val="000B136B"/>
    <w:rsid w:val="000F27D1"/>
    <w:rsid w:val="0015074B"/>
    <w:rsid w:val="001F074E"/>
    <w:rsid w:val="0029639D"/>
    <w:rsid w:val="002E5D8B"/>
    <w:rsid w:val="00326F90"/>
    <w:rsid w:val="00340AE0"/>
    <w:rsid w:val="003E7FB3"/>
    <w:rsid w:val="0040309C"/>
    <w:rsid w:val="00444F8F"/>
    <w:rsid w:val="00457CC6"/>
    <w:rsid w:val="005D59D9"/>
    <w:rsid w:val="005F0255"/>
    <w:rsid w:val="00605A22"/>
    <w:rsid w:val="00761F68"/>
    <w:rsid w:val="00905713"/>
    <w:rsid w:val="009C436B"/>
    <w:rsid w:val="009C4909"/>
    <w:rsid w:val="00A3491C"/>
    <w:rsid w:val="00A76D48"/>
    <w:rsid w:val="00AA1D8D"/>
    <w:rsid w:val="00AB7397"/>
    <w:rsid w:val="00AC4400"/>
    <w:rsid w:val="00B418BD"/>
    <w:rsid w:val="00B47730"/>
    <w:rsid w:val="00BC04D2"/>
    <w:rsid w:val="00C00559"/>
    <w:rsid w:val="00C94BC3"/>
    <w:rsid w:val="00CB0664"/>
    <w:rsid w:val="00F2174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77FC570"/>
  <w14:defaultImageDpi w14:val="300"/>
  <w15:docId w15:val="{2D753620-1961-401F-8FFB-4468A57CA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C4400"/>
    <w:rPr>
      <w:color w:val="0000FF" w:themeColor="hyperlink"/>
      <w:u w:val="single"/>
    </w:rPr>
  </w:style>
  <w:style w:type="character" w:styleId="UnresolvedMention">
    <w:name w:val="Unresolved Mention"/>
    <w:basedOn w:val="DefaultParagraphFont"/>
    <w:uiPriority w:val="99"/>
    <w:semiHidden/>
    <w:unhideWhenUsed/>
    <w:rsid w:val="00AC4400"/>
    <w:rPr>
      <w:color w:val="605E5C"/>
      <w:shd w:val="clear" w:color="auto" w:fill="E1DFDD"/>
    </w:rPr>
  </w:style>
  <w:style w:type="character" w:styleId="FollowedHyperlink">
    <w:name w:val="FollowedHyperlink"/>
    <w:basedOn w:val="DefaultParagraphFont"/>
    <w:uiPriority w:val="99"/>
    <w:semiHidden/>
    <w:unhideWhenUsed/>
    <w:rsid w:val="00C0055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050105">
      <w:bodyDiv w:val="1"/>
      <w:marLeft w:val="0"/>
      <w:marRight w:val="0"/>
      <w:marTop w:val="0"/>
      <w:marBottom w:val="0"/>
      <w:divBdr>
        <w:top w:val="none" w:sz="0" w:space="0" w:color="auto"/>
        <w:left w:val="none" w:sz="0" w:space="0" w:color="auto"/>
        <w:bottom w:val="none" w:sz="0" w:space="0" w:color="auto"/>
        <w:right w:val="none" w:sz="0" w:space="0" w:color="auto"/>
      </w:divBdr>
    </w:div>
    <w:div w:id="782925397">
      <w:bodyDiv w:val="1"/>
      <w:marLeft w:val="0"/>
      <w:marRight w:val="0"/>
      <w:marTop w:val="0"/>
      <w:marBottom w:val="0"/>
      <w:divBdr>
        <w:top w:val="none" w:sz="0" w:space="0" w:color="auto"/>
        <w:left w:val="none" w:sz="0" w:space="0" w:color="auto"/>
        <w:bottom w:val="none" w:sz="0" w:space="0" w:color="auto"/>
        <w:right w:val="none" w:sz="0" w:space="0" w:color="auto"/>
      </w:divBdr>
    </w:div>
    <w:div w:id="958147948">
      <w:bodyDiv w:val="1"/>
      <w:marLeft w:val="0"/>
      <w:marRight w:val="0"/>
      <w:marTop w:val="0"/>
      <w:marBottom w:val="0"/>
      <w:divBdr>
        <w:top w:val="none" w:sz="0" w:space="0" w:color="auto"/>
        <w:left w:val="none" w:sz="0" w:space="0" w:color="auto"/>
        <w:bottom w:val="none" w:sz="0" w:space="0" w:color="auto"/>
        <w:right w:val="none" w:sz="0" w:space="0" w:color="auto"/>
      </w:divBdr>
    </w:div>
    <w:div w:id="1365904541">
      <w:bodyDiv w:val="1"/>
      <w:marLeft w:val="0"/>
      <w:marRight w:val="0"/>
      <w:marTop w:val="0"/>
      <w:marBottom w:val="0"/>
      <w:divBdr>
        <w:top w:val="none" w:sz="0" w:space="0" w:color="auto"/>
        <w:left w:val="none" w:sz="0" w:space="0" w:color="auto"/>
        <w:bottom w:val="none" w:sz="0" w:space="0" w:color="auto"/>
        <w:right w:val="none" w:sz="0" w:space="0" w:color="auto"/>
      </w:divBdr>
    </w:div>
    <w:div w:id="1543861259">
      <w:bodyDiv w:val="1"/>
      <w:marLeft w:val="0"/>
      <w:marRight w:val="0"/>
      <w:marTop w:val="0"/>
      <w:marBottom w:val="0"/>
      <w:divBdr>
        <w:top w:val="none" w:sz="0" w:space="0" w:color="auto"/>
        <w:left w:val="none" w:sz="0" w:space="0" w:color="auto"/>
        <w:bottom w:val="none" w:sz="0" w:space="0" w:color="auto"/>
        <w:right w:val="none" w:sz="0" w:space="0" w:color="auto"/>
      </w:divBdr>
    </w:div>
    <w:div w:id="1705325835">
      <w:bodyDiv w:val="1"/>
      <w:marLeft w:val="0"/>
      <w:marRight w:val="0"/>
      <w:marTop w:val="0"/>
      <w:marBottom w:val="0"/>
      <w:divBdr>
        <w:top w:val="none" w:sz="0" w:space="0" w:color="auto"/>
        <w:left w:val="none" w:sz="0" w:space="0" w:color="auto"/>
        <w:bottom w:val="none" w:sz="0" w:space="0" w:color="auto"/>
        <w:right w:val="none" w:sz="0" w:space="0" w:color="auto"/>
      </w:divBdr>
    </w:div>
    <w:div w:id="1728531514">
      <w:bodyDiv w:val="1"/>
      <w:marLeft w:val="0"/>
      <w:marRight w:val="0"/>
      <w:marTop w:val="0"/>
      <w:marBottom w:val="0"/>
      <w:divBdr>
        <w:top w:val="none" w:sz="0" w:space="0" w:color="auto"/>
        <w:left w:val="none" w:sz="0" w:space="0" w:color="auto"/>
        <w:bottom w:val="none" w:sz="0" w:space="0" w:color="auto"/>
        <w:right w:val="none" w:sz="0" w:space="0" w:color="auto"/>
      </w:divBdr>
    </w:div>
    <w:div w:id="176313757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m/books?hl=en&amp;lr=&amp;id=OXAuDwAAQBAJ&amp;oi=fnd&amp;pg=PP1&amp;dq=health+economics+principles+in+Universal+health+coverage&amp;ots=jUddLLnX08&amp;sig=0cJKN3uUqUrMYJY7wLKJko7OaZ4&amp;redir_esc=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lancet.com/journals/lancet/article/PIIS0140-6736(13)60955-1/fulltext?_eventId=logi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ecd.org/content/dam/oecd/en/publications/reports/2019/06/price-setting-and-price-regulation-in-health-care_1c38bffd/ed3c16ff-en.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36/bmjgh-2020-002992" TargetMode="External"/><Relationship Id="rId4" Type="http://schemas.openxmlformats.org/officeDocument/2006/relationships/settings" Target="settings.xml"/><Relationship Id="rId9" Type="http://schemas.openxmlformats.org/officeDocument/2006/relationships/hyperlink" Target="https://www.health.org.uk/sites/default/files/NHS-70-How-good-is-the-NHS.pdf" TargetMode="External"/><Relationship Id="rId14" Type="http://schemas.openxmlformats.org/officeDocument/2006/relationships/hyperlink" Target="https://www.ncbi.nlm.nih.gov/pmc/articles/PMC7149836/"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1442</Words>
  <Characters>8225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9648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Tami Biban</cp:lastModifiedBy>
  <cp:revision>2</cp:revision>
  <dcterms:created xsi:type="dcterms:W3CDTF">2025-05-02T20:41:00Z</dcterms:created>
  <dcterms:modified xsi:type="dcterms:W3CDTF">2025-05-02T20:41:00Z</dcterms:modified>
  <cp:category/>
</cp:coreProperties>
</file>