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0"/>
      </w:pPr>
    </w:p>
    <w:p>
      <w:pPr>
        <w:spacing w:after="160"/>
        <w:jc w:val="center"/>
      </w:pPr>
      <w:r>
        <w:rPr>
          <w:b/>
          <w:bCs/>
          <w:sz w:val="26"/>
          <w:szCs w:val="26"/>
        </w:rPr>
        <w:t xml:space="preserve">University of Wales Trinity Saint David</w:t>
      </w:r>
    </w:p>
    <w:p>
      <w:pPr>
        <w:spacing w:after="160"/>
        <w:jc w:val="center"/>
      </w:pPr>
      <w:r>
        <w:rPr>
          <w:i w:val="false"/>
          <w:iCs w:val="false"/>
          <w:sz w:val="22"/>
          <w:szCs w:val="22"/>
        </w:rPr>
        <w:t xml:space="preserve">Certificate of Higher Education Skills for the Workplace (Health &amp; Social Care)</w:t>
      </w:r>
    </w:p>
    <w:p>
      <w:pPr>
        <w:spacing w:after="300"/>
      </w:pPr>
    </w:p>
    <w:p>
      <w:pPr>
        <w:spacing w:after="160"/>
        <w:jc w:val="center"/>
      </w:pPr>
      <w:r>
        <w:rPr>
          <w:b/>
          <w:bCs/>
          <w:sz w:val="24"/>
          <w:szCs w:val="24"/>
        </w:rPr>
        <w:t xml:space="preserve">LCHS4007: Digital Skills and Research Methods</w:t>
      </w:r>
    </w:p>
    <w:p>
      <w:pPr>
        <w:spacing w:after="160"/>
        <w:jc w:val="center"/>
      </w:pPr>
      <w:r>
        <w:rPr>
          <w:b/>
          <w:bCs/>
          <w:sz w:val="24"/>
          <w:szCs w:val="24"/>
        </w:rPr>
        <w:t xml:space="preserve">Component 2: Research Report</w:t>
      </w:r>
    </w:p>
    <w:p>
      <w:pPr>
        <w:spacing w:after="160"/>
        <w:jc w:val="center"/>
      </w:pPr>
      <w:r>
        <w:rPr>
          <w:i/>
          <w:iCs/>
          <w:sz w:val="22"/>
          <w:szCs w:val="22"/>
        </w:rPr>
        <w:t xml:space="preserve">Research Literacy: Learning How to Read a Research Paper</w:t>
      </w:r>
    </w:p>
    <w:p>
      <w:pPr>
        <w:spacing w:after="400"/>
      </w:pPr>
    </w:p>
    <w:p>
      <w:pPr>
        <w:spacing w:after="160"/>
        <w:jc w:val="center"/>
      </w:pPr>
      <w:r>
        <w:rPr>
          <w:i w:val="false"/>
          <w:iCs w:val="false"/>
          <w:sz w:val="22"/>
          <w:szCs w:val="22"/>
        </w:rPr>
        <w:t xml:space="preserve">Student Name: Melania Dias</w:t>
      </w:r>
    </w:p>
    <w:p>
      <w:pPr>
        <w:spacing w:after="160"/>
        <w:jc w:val="center"/>
      </w:pPr>
      <w:r>
        <w:rPr>
          <w:i w:val="false"/>
          <w:iCs w:val="false"/>
          <w:sz w:val="22"/>
          <w:szCs w:val="22"/>
        </w:rPr>
        <w:t xml:space="preserve">Student ID Number: 2211689</w:t>
      </w:r>
    </w:p>
    <w:p>
      <w:pPr>
        <w:spacing w:after="160"/>
        <w:jc w:val="center"/>
      </w:pPr>
      <w:r>
        <w:rPr>
          <w:i w:val="false"/>
          <w:iCs w:val="false"/>
          <w:sz w:val="22"/>
          <w:szCs w:val="22"/>
        </w:rPr>
        <w:t xml:space="preserve">Lecturer: Kwame Assa-Agyei</w:t>
      </w:r>
    </w:p>
    <w:p>
      <w:pPr>
        <w:spacing w:after="160"/>
        <w:jc w:val="center"/>
      </w:pPr>
      <w:r>
        <w:rPr>
          <w:i w:val="false"/>
          <w:iCs w:val="false"/>
          <w:sz w:val="22"/>
          <w:szCs w:val="22"/>
        </w:rPr>
        <w:t xml:space="preserve">Submission Deadline: Tuesday 18th August 2026</w:t>
      </w:r>
    </w:p>
    <w:p>
      <w:pPr>
        <w:spacing w:after="160"/>
        <w:jc w:val="center"/>
      </w:pPr>
      <w:r>
        <w:rPr>
          <w:i w:val="false"/>
          <w:iCs w:val="false"/>
          <w:sz w:val="22"/>
          <w:szCs w:val="22"/>
        </w:rPr>
        <w:t xml:space="preserve">Word Count: Approximately 1,500 words</w:t>
      </w:r>
    </w:p>
    <w:p>
      <w:r>
        <w:br w:type="page"/>
      </w:r>
    </w:p>
    <w:p>
      <w:pPr>
        <w:pStyle w:val="Heading1"/>
        <w:spacing w:after="160" w:before="320"/>
      </w:pPr>
      <w:r>
        <w:t xml:space="preserve">Table of Contents</w:t>
      </w:r>
    </w:p>
    <w:p>
      <w:pPr>
        <w:spacing w:after="120"/>
      </w:pPr>
      <w:r>
        <w:t xml:space="preserve">Section 1: Introducing the Research Paper and Topic Development</w:t>
      </w:r>
    </w:p>
    <w:p>
      <w:pPr>
        <w:spacing w:after="120"/>
      </w:pPr>
      <w:r>
        <w:t xml:space="preserve">Section 2: Understanding the Purpose and Research Question</w:t>
      </w:r>
    </w:p>
    <w:p>
      <w:pPr>
        <w:spacing w:after="120"/>
      </w:pPr>
      <w:r>
        <w:t xml:space="preserve">Section 3: Understanding the Research Methods</w:t>
      </w:r>
    </w:p>
    <w:p>
      <w:pPr>
        <w:spacing w:after="120"/>
      </w:pPr>
      <w:r>
        <w:t xml:space="preserve">Section 4: Conclusion</w:t>
      </w:r>
    </w:p>
    <w:p>
      <w:pPr>
        <w:spacing w:after="120"/>
      </w:pPr>
      <w:r>
        <w:t xml:space="preserve">Reference List</w:t>
      </w:r>
    </w:p>
    <w:p>
      <w:r>
        <w:br w:type="page"/>
      </w:r>
    </w:p>
    <w:p>
      <w:pPr>
        <w:pStyle w:val="Heading1"/>
        <w:spacing w:after="160" w:before="320"/>
      </w:pPr>
      <w:r>
        <w:t xml:space="preserve">Section 1: Introducing the Research Paper and Topic Development</w:t>
      </w:r>
    </w:p>
    <w:p>
      <w:pPr>
        <w:pStyle w:val="Heading2"/>
        <w:spacing w:after="120" w:before="240"/>
      </w:pPr>
      <w:r>
        <w:t xml:space="preserve">1.1 Paper Details (Title, Author(s) and Year of Publication)</w:t>
      </w:r>
    </w:p>
    <w:p>
      <w:pPr>
        <w:spacing w:after="200" w:line="360" w:lineRule="auto"/>
      </w:pPr>
      <w:r>
        <w:t xml:space="preserve">This report examines a paper entitled 'A cross-sectional study of discipline-based self-perceived digital literacy competencies of nursing students', authored by Martzoukou, Luders, Mair, Kostagiolas, Johnson, Work and Fulton, and published in 2024 in the Journal of Advanced Nursing (80, pp. 656-672). The study is a quantitative, open-access, peer-reviewed piece of research carried out at Robert Gordon University (RGU) in Aberdeen, Scotland.</w:t>
      </w:r>
    </w:p>
    <w:p>
      <w:pPr>
        <w:pStyle w:val="Heading2"/>
        <w:spacing w:after="120" w:before="240"/>
      </w:pPr>
      <w:r>
        <w:t xml:space="preserve">1.2 Main Topic or Problem Explored in the Paper</w:t>
      </w:r>
    </w:p>
    <w:p>
      <w:pPr>
        <w:spacing w:after="200" w:line="360" w:lineRule="auto"/>
      </w:pPr>
      <w:r>
        <w:t xml:space="preserve">The study examines how nursing, midwifery and paramedic students perceive their own digital competence, focusing on areas such as information literacy, digital research, digital creation, digital communication, digital innovation and digital wellbeing. The researchers were responding to a wider context in which the COVID-19 pandemic accelerated healthcare organisations' use of digital tools, making these skills increasingly essential to effective practice (Whitelaw et al., 2020). The Royal College of Nursing (2018) had already flagged the importance of strong technology skills for nurses even before the pandemic, yet earlier evidence pointed to considerable variation in digital literacy across the health sector (Good Things Foundation and NHS England, 2015). Against this backdrop, the study set out to identify exactly where the gaps lay for this particular group of students.</w:t>
      </w:r>
    </w:p>
    <w:p>
      <w:pPr>
        <w:pStyle w:val="Heading2"/>
        <w:spacing w:after="120" w:before="240"/>
      </w:pPr>
      <w:r>
        <w:t xml:space="preserve">1.3 Who Is the Research About?</w:t>
      </w:r>
    </w:p>
    <w:p>
      <w:pPr>
        <w:spacing w:after="200" w:line="360" w:lineRule="auto"/>
      </w:pPr>
      <w:r>
        <w:t xml:space="preserve">The research focused on nursing, midwifery and paramedic practice students at a single Scottish university, with a total of 182 participants taking part. The majority were undergraduate, first-year and female, and most were studying on pre-registration nursing courses, with midwifery and paramedic students making up a smaller share of the sample. The researchers focused on this group because they represent the next generation of the health and social care workforce, who will need strong digital skills both to complete their studies and to practise safely once qualified.</w:t>
      </w:r>
    </w:p>
    <w:p>
      <w:pPr>
        <w:pStyle w:val="Heading2"/>
        <w:spacing w:after="120" w:before="240"/>
      </w:pPr>
      <w:r>
        <w:t xml:space="preserve">1.4 Why Is This Topic Important in UK Health and Social Care?</w:t>
      </w:r>
    </w:p>
    <w:p>
      <w:pPr>
        <w:spacing w:after="200" w:line="360" w:lineRule="auto"/>
      </w:pPr>
      <w:r>
        <w:t xml:space="preserve">This work is highly relevant to UK health and social care because the NHS has identified six key digital capabilities that staff need, extending well beyond basic technical skills to include information management, communication, research and innovation (NHS, 2018). The push to equip professionals with stronger digital competence is also driven by the NHS Long Term Plan and the digital transformation agenda set out by Health Education England (Health Education England, 2019; Booth et al., 2021). Identifying digital skill gaps among nursing students is therefore an important step in helping graduates deliver evidence-based, safe and effective care within an increasingly digital healthcare system.</w:t>
      </w:r>
    </w:p>
    <w:p>
      <w:pPr>
        <w:pStyle w:val="Heading1"/>
        <w:spacing w:after="160" w:before="320"/>
      </w:pPr>
      <w:r>
        <w:t xml:space="preserve">Section 2: Understanding the Purpose and Research Question</w:t>
      </w:r>
    </w:p>
    <w:p>
      <w:pPr>
        <w:pStyle w:val="Heading2"/>
        <w:spacing w:after="120" w:before="240"/>
      </w:pPr>
      <w:r>
        <w:t xml:space="preserve">2.1 Research Question(s) or Objectives</w:t>
      </w:r>
    </w:p>
    <w:p>
      <w:pPr>
        <w:spacing w:after="200" w:line="360" w:lineRule="auto"/>
      </w:pPr>
      <w:r>
        <w:t xml:space="preserve">The study used an existing, discipline-specific self-assessment survey tool to explore nursing, midwifery and paramedic students' self-perceived digital competencies, with four main objectives. The first was to adapt a general digital competencies survey so that it reflected the specific needs of nursing and allied health students. The second was to examine students' digital competencies across different demographic groups using this adapted survey. The third was to discuss with students the challenges they faced in developing their digital skills. The fourth was to make recommendations for a discipline-specific approach to digital skills development and to gather together useful digital literacy training resources (Martzoukou et al., 2024). The study also tested two working hypotheses: that self-assessed competencies would differ between age groups, and that they would differ between pre-registration and post-registration students.</w:t>
      </w:r>
    </w:p>
    <w:p>
      <w:pPr>
        <w:pStyle w:val="Heading1"/>
        <w:spacing w:after="160" w:before="320"/>
      </w:pPr>
      <w:r>
        <w:t xml:space="preserve">Section 3: Understanding the Research Methods</w:t>
      </w:r>
    </w:p>
    <w:p>
      <w:pPr>
        <w:pStyle w:val="Heading2"/>
        <w:spacing w:after="120" w:before="240"/>
      </w:pPr>
      <w:r>
        <w:t xml:space="preserve">3.1 Overview of Quantitative, Qualitative, and Mixed-Methods Research</w:t>
      </w:r>
    </w:p>
    <w:p>
      <w:pPr>
        <w:spacing w:after="200" w:line="360" w:lineRule="auto"/>
      </w:pPr>
      <w:r>
        <w:t xml:space="preserve">Quantitative research involves gathering and analysing numerical data. It relies on tools such as surveys, checklists or experimental designs to produce results that can be tested statistically, and is well suited to generalising findings to larger populations or exploring patterns between variables in an objective, systematic way (Creswell and Plano Clark, 2010). For example, asking a group of nurses to rate their confidence using digital health systems on a scale of one to five would generate quantitative data.</w:t>
      </w:r>
    </w:p>
    <w:p>
      <w:pPr>
        <w:spacing w:after="200" w:line="360" w:lineRule="auto"/>
      </w:pPr>
      <w:r>
        <w:t xml:space="preserve">Qualitative research, by contrast, is concerned with people's experiences, perceptions, opinions and the meanings they attach to events. It is usually carried out through in-depth interviews, focus groups or observation, with the data analysed through interpretation rather than statistical calculation (Kiger and Varpio, 2020). In health and social care, qualitative approaches are particularly well suited to smaller-scale studies exploring the lived experience of patients, carers or practitioners, such as an investigation into nurses' attitudes towards using electronic patient records in their day-to-day work.</w:t>
      </w:r>
    </w:p>
    <w:p>
      <w:pPr>
        <w:spacing w:after="200" w:line="360" w:lineRule="auto"/>
      </w:pPr>
      <w:r>
        <w:t xml:space="preserve">Mixed-methods research combines both approaches within a single study, allowing researchers to draw on the breadth and generalisability of quantitative data alongside the depth and context offered by qualitative data (Creswell and Plano Clark, 2010). Many questions in nursing and healthcare research are too complex to answer through numbers alone, which is one reason mixed-methods designs have become increasingly popular.</w:t>
      </w:r>
    </w:p>
    <w:p>
      <w:pPr>
        <w:pStyle w:val="Heading2"/>
        <w:spacing w:after="120" w:before="240"/>
      </w:pPr>
      <w:r>
        <w:t xml:space="preserve">3.2 Research Methodology Used in Your Chosen Paper and Why</w:t>
      </w:r>
    </w:p>
    <w:p>
      <w:pPr>
        <w:spacing w:after="200" w:line="360" w:lineRule="auto"/>
      </w:pPr>
      <w:r>
        <w:t xml:space="preserve">The study by Martzoukou et al. (2024) used a predominantly quantitative, cross-sectional survey design, with a small amount of supplementary qualitative data gathered through open-ended questions within the same survey. In practice, this meant the research was built around a primary quantitative dataset, enriched by qualitative detail rather than driven by it.</w:t>
      </w:r>
    </w:p>
    <w:p>
      <w:pPr>
        <w:spacing w:after="200" w:line="360" w:lineRule="auto"/>
      </w:pPr>
      <w:r>
        <w:t xml:space="preserve">Data collection took place in two phases. In the first, the research team worked with academic staff from the nursing, midwifery and paramedic practice departments, along with a student representative, to adapt an existing general digital competencies survey (Martzoukou et al., 2020) so that it reflected the specific digital demands of healthcare students. In the second phase, the adapted questionnaire was sent to the whole student population of the school, around 1,200 students, using a General Data Protection Regulation (GDPR) compliant online tool called JISC 'Online Surveys', with participation being voluntary and anonymous.</w:t>
      </w:r>
    </w:p>
    <w:p>
      <w:pPr>
        <w:spacing w:after="200" w:line="360" w:lineRule="auto"/>
      </w:pPr>
      <w:r>
        <w:t xml:space="preserve">The survey covered fourteen dimensions of digital competence, including everyday digital participation, information literacy, digital creation, digital research, digital communication, digital innovation, digital learning, digital identity management and digital wellbeing (Martzoukou et al., 2024). Students rated themselves on each item using a five-point Likert scale ranging from Novice to Expert, and three open-ended questions asked them to describe, in their own words, how they had learned digital skills, how they kept them up to date, and how these skills had helped them with their academic work. Health-specific examples were built into the survey, such as the Critical Appraisal Skills Programme (CASP) tool, the British National Formulary (BNF) app, and references to CINAHL and MEDLINE, which helped make the questions feel relevant to this particular group of students.</w:t>
      </w:r>
    </w:p>
    <w:p>
      <w:pPr>
        <w:spacing w:after="200" w:line="360" w:lineRule="auto"/>
      </w:pPr>
      <w:r>
        <w:t xml:space="preserve">The quantitative data were analysed in IBM SPSS Statistics (version 28) using descriptive statistics such as frequencies, percentages, means, medians and modes. Because the data were not normally distributed, according to Kolmogorov-Smirnov and Shapiro-Wilk tests, the researchers used non-parametric tests, specifically the Mann-Whitney U-test and Kruskal-Wallis H-test, to compare groups, with statistical significance set at p&lt;0.05, and reliability confirmed using Cronbach's alpha (Martzoukou et al., 2024). The open-ended responses were analysed separately using thematic analysis (Kiger and Varpio, 2020), which involved manually coding participants' comments into themes and sub-themes.</w:t>
      </w:r>
    </w:p>
    <w:p>
      <w:pPr>
        <w:spacing w:after="200" w:line="360" w:lineRule="auto"/>
      </w:pPr>
      <w:r>
        <w:t xml:space="preserve">This largely quantitative approach suited the research well, since the aim was to measure and statistically compare self-perceived competence across a reasonably large group of 182 students, while the added open-ended questions gave the researchers a way to explain and add depth to the numerical results.</w:t>
      </w:r>
    </w:p>
    <w:p>
      <w:pPr>
        <w:pStyle w:val="Heading2"/>
        <w:spacing w:after="120" w:before="240"/>
      </w:pPr>
      <w:r>
        <w:t xml:space="preserve">3.3 Primary and Secondary Data: Definitions, Differences, and Application to Your Paper</w:t>
      </w:r>
    </w:p>
    <w:p>
      <w:pPr>
        <w:spacing w:after="200" w:line="360" w:lineRule="auto"/>
      </w:pPr>
      <w:r>
        <w:t xml:space="preserve">There is an important distinction between primary and secondary data. Primary data is collected directly by the researcher, for their own study and its original purpose, for example through interviews, questionnaires or observation. Secondary data, by contrast, has already been collected and published by other researchers or organisations, such as hospital statistics, government health reports, or data from earlier studies (O'Connor, 2020). Secondary data analysis is a well-established technique in nursing research and can generate new insights to inform practice and policy without the time and cost of collecting new data.</w:t>
      </w:r>
    </w:p>
    <w:p>
      <w:pPr>
        <w:spacing w:after="200" w:line="360" w:lineRule="auto"/>
      </w:pPr>
      <w:r>
        <w:t xml:space="preserve">The data used in this study were entirely primary. A bespoke self-assessment questionnaire was designed specifically for this research and administered directly to nursing, midwifery and paramedic students, following the two-phase process described above. No existing datasets were reused as part of the analysis, although the survey instrument itself was adapted from an earlier, previously validated tool developed by Martzoukou et al. (2020).</w:t>
      </w:r>
    </w:p>
    <w:p>
      <w:pPr>
        <w:pStyle w:val="Heading1"/>
        <w:spacing w:after="160" w:before="320"/>
      </w:pPr>
      <w:r>
        <w:t xml:space="preserve">Section 4: Conclusion</w:t>
      </w:r>
    </w:p>
    <w:p>
      <w:pPr>
        <w:spacing w:after="200" w:line="360" w:lineRule="auto"/>
      </w:pPr>
      <w:r>
        <w:t xml:space="preserve">This report has examined Martzoukou et al.'s (2024) study of nursing, midwifery and paramedic students' self-perceived digital literacy competencies at a Scottish university. The research found that students generally felt confident in areas such as everyday digital participation, general ICT use and digital wellbeing, but notably less confident in information literacy, digital research and digital innovation, skills that are particularly important for evidence-based nursing practice. Younger students and those on pre-registration courses tended to rate themselves more highly than older or post-registration students, and most participants said they had picked up their digital skills informally, through everyday trial and error, rather than through any structured teaching. This matters for UK health and social care because the NHS has set out clear expectations around digital capability, and any gaps in these skills among newly qualified staff could affect the quality and safety of patient care (NHS, 2018; Health Education England, 2019).</w:t>
      </w:r>
    </w:p>
    <w:p>
      <w:pPr>
        <w:spacing w:after="200" w:line="360" w:lineRule="auto"/>
      </w:pPr>
      <w:r>
        <w:t xml:space="preserve">The study used a largely quantitative, cross-sectional design, built around a bespoke self-assessment survey analysed through descriptive and non-parametric statistics, with a smaller thematic analysis of open-ended comments adding further depth and explanation to the numbers.</w:t>
      </w:r>
    </w:p>
    <w:p>
      <w:pPr>
        <w:spacing w:after="200" w:line="360" w:lineRule="auto"/>
      </w:pPr>
      <w:r>
        <w:t xml:space="preserve">Working through this report has helped me appreciate how the choice of a quantitative approach suited a study wanting to measure and compare competence levels across a fairly large sample, and has given me a clearer sense of the ethical considerations, such as informed consent, anonymity and GDPR compliance, that need to sit behind any research involving real participants. The finding that most students still learn digital skills informally, through trial and error, has also made me think about how important it is for training in digital and information literacy to be built more deliberately into nursing education, since these are exactly the skills needed to critically appraise healthcare literature and support evidence-based practice.</w:t>
      </w:r>
    </w:p>
    <w:p>
      <w:pPr>
        <w:pStyle w:val="Heading1"/>
        <w:spacing w:after="160" w:before="320"/>
      </w:pPr>
      <w:r>
        <w:t xml:space="preserve">Reference List</w:t>
      </w:r>
    </w:p>
    <w:p>
      <w:pPr>
        <w:spacing w:after="160" w:line="360" w:lineRule="auto"/>
        <w:ind w:left="720" w:hanging="720"/>
      </w:pPr>
      <w:r>
        <w:t xml:space="preserve">Booth, R.G., Strudwick, G., McBride, S., O'Connor, S. and Solano Lopez, A.L. (2021) 'How the nursing profession should adapt for a digital future', British Medical Journal, 373, p. 1190.</w:t>
      </w:r>
    </w:p>
    <w:p>
      <w:pPr>
        <w:spacing w:after="160" w:line="360" w:lineRule="auto"/>
        <w:ind w:left="720" w:hanging="720"/>
      </w:pPr>
      <w:r>
        <w:t xml:space="preserve">Creswell, J.W. and Plano Clark, V.L. (2010) Designing and Conducting Mixed Methods Research. 2nd edn. London: Sage.</w:t>
      </w:r>
    </w:p>
    <w:p>
      <w:pPr>
        <w:spacing w:after="160" w:line="360" w:lineRule="auto"/>
        <w:ind w:left="720" w:hanging="720"/>
      </w:pPr>
      <w:r>
        <w:t xml:space="preserve">Good Things Foundation and NHS England (2015) Improving Digital Health Skills in Communities: Findings from the Evaluation of Years 1 and 2 of the Widening Digital Participation Programme. London: Good Things Foundation and NHS England.</w:t>
      </w:r>
    </w:p>
    <w:p>
      <w:pPr>
        <w:spacing w:after="160" w:line="360" w:lineRule="auto"/>
        <w:ind w:left="720" w:hanging="720"/>
      </w:pPr>
      <w:r>
        <w:t xml:space="preserve">Health Education England (2019) The Topol Review: Preparing the Healthcare Workforce to Deliver the Digital Future. Leeds: Health Education England.</w:t>
      </w:r>
    </w:p>
    <w:p>
      <w:pPr>
        <w:spacing w:after="160" w:line="360" w:lineRule="auto"/>
        <w:ind w:left="720" w:hanging="720"/>
      </w:pPr>
      <w:r>
        <w:t xml:space="preserve">Kiger, M.E. and Varpio, L. (2020) 'Thematic analysis of qualitative data: AMEE Guide No. 131', Medical Teacher, 42(8), pp. 846-854.</w:t>
      </w:r>
    </w:p>
    <w:p>
      <w:pPr>
        <w:spacing w:after="160" w:line="360" w:lineRule="auto"/>
        <w:ind w:left="720" w:hanging="720"/>
      </w:pPr>
      <w:r>
        <w:t xml:space="preserve">Martzoukou, K., Fulton, C., Kostagiolas, P. and Lavranos, C. (2020) 'A study of higher education students' self-perceived digital competences for learning and everyday life online participation', Journal of Documentation, 76(6), pp. 1413-1458.</w:t>
      </w:r>
    </w:p>
    <w:p>
      <w:pPr>
        <w:spacing w:after="160" w:line="360" w:lineRule="auto"/>
        <w:ind w:left="720" w:hanging="720"/>
      </w:pPr>
      <w:r>
        <w:t xml:space="preserve">Martzoukou, K., Luders, E.S., Mair, J., Kostagiolas, P., Johnson, N., Work, F. and Fulton, C. (2024) 'A cross-sectional study of discipline-based self-perceived digital literacy competencies of nursing students', Journal of Advanced Nursing, 80, pp. 656-672.</w:t>
      </w:r>
    </w:p>
    <w:p>
      <w:pPr>
        <w:spacing w:after="160" w:line="360" w:lineRule="auto"/>
        <w:ind w:left="720" w:hanging="720"/>
      </w:pPr>
      <w:r>
        <w:t xml:space="preserve">National Health Service (NHS) (2018) A Health and Care Digital Capabilities Framework. London: NHS.</w:t>
      </w:r>
    </w:p>
    <w:p>
      <w:pPr>
        <w:spacing w:after="160" w:line="360" w:lineRule="auto"/>
        <w:ind w:left="720" w:hanging="720"/>
      </w:pPr>
      <w:r>
        <w:t xml:space="preserve">O'Connor, S. (2020) 'Secondary data analysis in nursing research: a contemporary discussion', Clinical Nursing Research, 29(5), pp. 279-284.</w:t>
      </w:r>
    </w:p>
    <w:p>
      <w:pPr>
        <w:spacing w:after="160" w:line="360" w:lineRule="auto"/>
        <w:ind w:left="720" w:hanging="720"/>
      </w:pPr>
      <w:r>
        <w:t xml:space="preserve">Royal College of Nursing (RCN) (2018) The UK Nursing Labour Market Review 2018. London: RCN.</w:t>
      </w:r>
    </w:p>
    <w:p>
      <w:pPr>
        <w:spacing w:after="160" w:line="360" w:lineRule="auto"/>
        <w:ind w:left="720" w:hanging="720"/>
      </w:pPr>
      <w:r>
        <w:t xml:space="preserve">Whitelaw, S., Mamas, M.A., Topol, E. and Van Spall, H.G. (2020) 'Applications of digital technology in COVID-19 pandemic planning and response', The Lancet Digital Health, 2(8), pp. e435-440.</w:t>
      </w:r>
    </w:p>
    <w:sectPr>
      <w:footerReference w:type="default" r:id="rId7"/>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2026-08-03T11:18:05.045Z</dcterms:created>
  <dcterms:modified xsi:type="dcterms:W3CDTF">2026-08-03T11:18:05.058Z</dcterms:modified>
</cp:coreProperties>
</file>

<file path=docProps/custom.xml><?xml version="1.0" encoding="utf-8"?>
<Properties xmlns="http://schemas.openxmlformats.org/officeDocument/2006/custom-properties" xmlns:vt="http://schemas.openxmlformats.org/officeDocument/2006/docPropsVTypes"/>
</file>