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9AB626F" w:rsidR="7908378C" w:rsidRDefault="7908378C" w:rsidP="33572C6E">
            <w:pPr>
              <w:ind w:right="237"/>
              <w:rPr>
                <w:b/>
                <w:bCs/>
                <w:color w:val="auto"/>
                <w:sz w:val="32"/>
                <w:szCs w:val="32"/>
              </w:rPr>
            </w:pPr>
            <w:r w:rsidRPr="33572C6E">
              <w:rPr>
                <w:b/>
                <w:bCs/>
                <w:color w:val="auto"/>
                <w:sz w:val="32"/>
                <w:szCs w:val="32"/>
              </w:rPr>
              <w:t xml:space="preserve">Learner name: </w:t>
            </w:r>
            <w:r w:rsidR="00C81FC4">
              <w:rPr>
                <w:b/>
                <w:bCs/>
                <w:color w:val="auto"/>
                <w:sz w:val="32"/>
                <w:szCs w:val="32"/>
              </w:rPr>
              <w:t>Shane Black</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61713692" w:rsidR="7908378C" w:rsidRDefault="00C81FC4" w:rsidP="33572C6E">
            <w:pPr>
              <w:ind w:right="237"/>
              <w:rPr>
                <w:b/>
                <w:bCs/>
                <w:color w:val="auto"/>
                <w:sz w:val="32"/>
                <w:szCs w:val="32"/>
              </w:rPr>
            </w:pPr>
            <w:r>
              <w:rPr>
                <w:b/>
                <w:bCs/>
                <w:color w:val="auto"/>
                <w:sz w:val="32"/>
                <w:szCs w:val="32"/>
              </w:rPr>
              <w:t>2134303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C81FC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CD32A9C" w14:textId="77777777" w:rsidR="00C81FC4" w:rsidRDefault="00C81FC4" w:rsidP="00C81FC4">
      <w:pPr>
        <w:jc w:val="both"/>
      </w:pPr>
      <w:r>
        <w:t xml:space="preserve">Throughout this essay I will discuss and evaluate an incident of extreme domestic abuse that I have dealt with as a response officer during my short career with South Wales Police. To aid my reflective writing throughout this essay I will be using Driscoll’s ‘Model of reflection’ (Driscoll, 1994). Driscoll based this model on Borton’s concept ‘What? So What? Now What?’ (Borton, 1970), in 1994 Driscoll expanded on this model by studying a group of nurses in a clinical setting and recognised that nurses may deal with certain individuals in this setting that cause their behaviour or level of care towards those individuals to change due to the behaviour of those they are dealing with. The first element, </w:t>
      </w:r>
      <w:proofErr w:type="gramStart"/>
      <w:r>
        <w:t>What?,</w:t>
      </w:r>
      <w:proofErr w:type="gramEnd"/>
      <w:r>
        <w:t xml:space="preserve"> deals directly with the event itself which requires reflection, it is a description of that event. The second element, So </w:t>
      </w:r>
      <w:proofErr w:type="gramStart"/>
      <w:r>
        <w:t>What?,</w:t>
      </w:r>
      <w:proofErr w:type="gramEnd"/>
      <w:r>
        <w:t xml:space="preserve"> is an analysis of the event whereby any learning around the event is identified and then reflected upon. The final element, Now </w:t>
      </w:r>
      <w:proofErr w:type="gramStart"/>
      <w:r>
        <w:t>What?,</w:t>
      </w:r>
      <w:proofErr w:type="gramEnd"/>
      <w:r>
        <w:t xml:space="preserve"> is where any action identified from the second element, or also thought of as the learning or reflective stage, are put into practice and implemented for future use when dealing with the same or similar event.</w:t>
      </w:r>
    </w:p>
    <w:p w14:paraId="7C168AD2" w14:textId="77777777" w:rsidR="00C81FC4" w:rsidRDefault="00C81FC4" w:rsidP="00C81FC4">
      <w:pPr>
        <w:jc w:val="both"/>
      </w:pPr>
    </w:p>
    <w:p w14:paraId="07D886B7" w14:textId="77777777" w:rsidR="00C81FC4" w:rsidRDefault="00C81FC4" w:rsidP="00C81FC4">
      <w:pPr>
        <w:jc w:val="both"/>
      </w:pPr>
      <w:r>
        <w:t xml:space="preserve">Domestic abuse is defined as </w:t>
      </w:r>
    </w:p>
    <w:p w14:paraId="18B4C7AA" w14:textId="77777777" w:rsidR="00C81FC4" w:rsidRDefault="00C81FC4" w:rsidP="00C81FC4">
      <w:pPr>
        <w:tabs>
          <w:tab w:val="left" w:pos="3320"/>
        </w:tabs>
        <w:jc w:val="center"/>
      </w:pPr>
      <w:r>
        <w:t>“</w:t>
      </w:r>
      <w:r w:rsidRPr="000E5BD5">
        <w:rPr>
          <w:i/>
          <w:iCs/>
        </w:rPr>
        <w:t>Behaviour of a person (A) towards another person (B) is ‘domestic abuse’ if A and B are each aged 16 or over and are personally connected to each other, and the behaviour is abusive. Behaviour is ‘abusive’ if it consists of any of the following: physical or sexual abuse, violence or threatening behaviour, controlling or coercive behaviour, economic abuse, psychological, emotional or other abuse and it does not matter whether the behaviour consists of a single incident or a course on conduct</w:t>
      </w:r>
      <w:r>
        <w:t>.” (Domestic Abuse Act 2021, The Crown Prosecution Service, 2021)</w:t>
      </w:r>
    </w:p>
    <w:p w14:paraId="6A5C8C89" w14:textId="77777777" w:rsidR="00C81FC4" w:rsidRDefault="00C81FC4" w:rsidP="00C81FC4"/>
    <w:p w14:paraId="7B88646B" w14:textId="77777777" w:rsidR="00C81FC4" w:rsidRDefault="00C81FC4" w:rsidP="00C81FC4">
      <w:r>
        <w:t xml:space="preserve">The Office for National Statistics (ONS) published the results of the Crime Survey for England and Wales for the year ending March 2022 in November 2022 (ONS, 2022). The findings of this survey showed that in the year ending March 2022 there were 1,500,369 police recorded incidents and crimes, of those recorded as a crime (approximately 60%) there was an increase of 7.7% compared to the previous year (ONS, 2022). Domestic related incidents and crimes are on the increase which appears a very accurate reflection on my day-to-day calls as a response officer. </w:t>
      </w:r>
    </w:p>
    <w:p w14:paraId="3A81585B" w14:textId="77777777" w:rsidR="00C81FC4" w:rsidRDefault="00C81FC4" w:rsidP="00C81FC4"/>
    <w:p w14:paraId="0F275BBA" w14:textId="77777777" w:rsidR="00C81FC4" w:rsidRDefault="00C81FC4" w:rsidP="00C81FC4">
      <w:r>
        <w:t xml:space="preserve">In August 2023 I was asked to convey a female from custody to the hospital to have her jaw examined following complaints of pain during a health care assessment. On my arrival in custody, I was briefed of the circumstances to her arrest by the custody sergeant and advised that she had a suspected broken jaw which required further examination in hospital, I was also informed that she had been arrested for slashing her partner with a knife and that her partner was also in custody for the assault against her. Something didn’t feel right which led me to querying the circumstances further however due to both parties attending custody intoxicated not much else was known. I must admit that I had already judged the female based on the circumstances provided to me and that I attended her cell believing that this was going to be a challenging time as she had attacked her partner with a knife. When I attended the cell and opened the door, I was greeted by a young female who appeared frightened, she was holding a teddy bear and initially would not speak to me, only nod or shake her head. Her clothing had been seized due to the nature of the offence, so I requested custody clothing be provided which she appeared very grateful for. </w:t>
      </w:r>
    </w:p>
    <w:p w14:paraId="73F698AD" w14:textId="77777777" w:rsidR="00C81FC4" w:rsidRDefault="00C81FC4" w:rsidP="00C81FC4"/>
    <w:p w14:paraId="564C2832" w14:textId="77777777" w:rsidR="00C81FC4" w:rsidRPr="00381D0F" w:rsidRDefault="00C81FC4" w:rsidP="00C81FC4">
      <w:pPr>
        <w:rPr>
          <w:color w:val="000000" w:themeColor="text1"/>
        </w:rPr>
      </w:pPr>
      <w:r w:rsidRPr="00A16930">
        <w:rPr>
          <w:color w:val="auto"/>
        </w:rPr>
        <w:t xml:space="preserve">I felt guilty that I had judged her based on the circumstances and instantly felt there was something wrong with the situation, </w:t>
      </w:r>
      <w:r>
        <w:rPr>
          <w:color w:val="000000" w:themeColor="text1"/>
        </w:rPr>
        <w:t>I sat with her and explained my role and why I am there. Once in the rear of the vehicle she appeared in pain, when questioned she explained that the top of her leg was sore.</w:t>
      </w:r>
      <w:r>
        <w:rPr>
          <w:color w:val="FF0000"/>
        </w:rPr>
        <w:t xml:space="preserve"> </w:t>
      </w:r>
      <w:r>
        <w:rPr>
          <w:color w:val="000000" w:themeColor="text1"/>
        </w:rPr>
        <w:t xml:space="preserve">When being booked into A&amp;E she appeared to be limping, in pain and was visibly upset, I could see the back of her leg appeared wet. I was conscious that victims of domestic abuse do not always disclose the whole situation to others due to fear of increased or expanded violence, threats from the perpetrator, and how the disclosure will affect social interactions </w:t>
      </w:r>
      <w:r w:rsidRPr="00665A5A">
        <w:rPr>
          <w:rFonts w:cstheme="minorHAnsi"/>
        </w:rPr>
        <w:t>(Boethius and Åkerström, 2020)</w:t>
      </w:r>
      <w:r>
        <w:rPr>
          <w:rFonts w:cstheme="minorHAnsi"/>
        </w:rPr>
        <w:t>.</w:t>
      </w:r>
      <w:r w:rsidRPr="00241ABC">
        <w:rPr>
          <w:color w:val="FF0000"/>
        </w:rPr>
        <w:t xml:space="preserve"> </w:t>
      </w:r>
      <w:r>
        <w:rPr>
          <w:color w:val="000000" w:themeColor="text1"/>
        </w:rPr>
        <w:t xml:space="preserve">When being triaged I was approached by a nurse who advised she had some serious injuries to her lower body in the form of stab wounds, the most serious may require surgery. Due to the location of these injuries and how closed off the victim was with me I decided to request a female officer attend my location to take photographs and to speak to the victim in private, </w:t>
      </w:r>
      <w:r w:rsidRPr="00EB0DDE">
        <w:rPr>
          <w:rFonts w:cstheme="minorHAnsi"/>
        </w:rPr>
        <w:t>Miller and Segal (2018</w:t>
      </w:r>
      <w:r>
        <w:rPr>
          <w:rFonts w:cstheme="minorHAnsi"/>
        </w:rPr>
        <w:t>) explain that victimisation data revealed that an increase in female officers in a particular area correlated with an increase in reported domestic abuse cases to police, I hoped that the presence of a female officer may help put the victim at ease.</w:t>
      </w:r>
      <w:r w:rsidRPr="00241ABC">
        <w:rPr>
          <w:color w:val="FF0000"/>
        </w:rPr>
        <w:t xml:space="preserve"> </w:t>
      </w:r>
      <w:r>
        <w:rPr>
          <w:color w:val="000000" w:themeColor="text1"/>
        </w:rPr>
        <w:t xml:space="preserve">Triage revealed the female to also have a broken jaw, broken nose, and several broken teeth. </w:t>
      </w:r>
    </w:p>
    <w:p w14:paraId="42AEF00A" w14:textId="77777777" w:rsidR="00C81FC4" w:rsidRDefault="00C81FC4" w:rsidP="00C81FC4"/>
    <w:p w14:paraId="4C3B7C5C" w14:textId="77777777" w:rsidR="00C81FC4" w:rsidRDefault="00C81FC4" w:rsidP="00C81FC4">
      <w:r>
        <w:t>Unconscious bias is defined as “The tendency of us as humans to act in ways that are prompted by a range of assumptions and biases that we are not aware of” (</w:t>
      </w:r>
      <w:r>
        <w:rPr>
          <w:i/>
          <w:iCs/>
        </w:rPr>
        <w:t>University of Edinburgh</w:t>
      </w:r>
      <w:r>
        <w:t xml:space="preserve">, 2020). I have never reflected on unconscious bias until this moment as I didn’t believe I fell into the category of someone who has any unconscious biases. On reflection I can now see that I did have an unconscious bias when I attended custody, I immediately judged the female based on the little I knew about her without giving any thought to her story or experience, ultimately this made me dismissive of any thoughts of her potentially being the victim, I immediately thought of her as an aggressor. </w:t>
      </w:r>
    </w:p>
    <w:p w14:paraId="211EAF43" w14:textId="77777777" w:rsidR="00C81FC4" w:rsidRDefault="00C81FC4" w:rsidP="00C81FC4"/>
    <w:p w14:paraId="31366F03" w14:textId="77777777" w:rsidR="00C81FC4" w:rsidRDefault="00C81FC4" w:rsidP="00C81FC4">
      <w:pPr>
        <w:spacing w:before="240"/>
        <w:rPr>
          <w:rFonts w:cstheme="minorHAnsi"/>
        </w:rPr>
      </w:pPr>
      <w:r w:rsidRPr="00A16930">
        <w:rPr>
          <w:rFonts w:cstheme="minorHAnsi"/>
          <w:color w:val="auto"/>
        </w:rPr>
        <w:t xml:space="preserve">The Victim Code (College of Policing, 2021) sets out 12 key rights for victims of crimes. </w:t>
      </w:r>
      <w:r>
        <w:rPr>
          <w:rFonts w:cstheme="minorHAnsi"/>
        </w:rPr>
        <w:t xml:space="preserve">I had to ensure that she knew we were aware of the whole situation and are taking her account seriously and that the relevant support was being put in place for her immediately and in the future. With the victim’s permission I contacted her family and arranged to convey them to the hospital to be with her during what was clearly a distressing time. There was still a suspect in custody who needed to be dealt with, to do this, we had to progress the investigation as much as possible. Whilst her family were on route to the hospital a statement along with initial investigation actions to enable the suspect to be interviewed. </w:t>
      </w:r>
    </w:p>
    <w:p w14:paraId="104D9F7C" w14:textId="77777777" w:rsidR="00C81FC4" w:rsidRDefault="00C81FC4" w:rsidP="00C81FC4">
      <w:pPr>
        <w:spacing w:before="240"/>
        <w:rPr>
          <w:rFonts w:cstheme="minorHAnsi"/>
        </w:rPr>
      </w:pPr>
    </w:p>
    <w:p w14:paraId="0CEBFFEA" w14:textId="77777777" w:rsidR="00C81FC4" w:rsidRDefault="00C81FC4" w:rsidP="00C81FC4">
      <w:pPr>
        <w:rPr>
          <w:rFonts w:cstheme="minorHAnsi"/>
        </w:rPr>
      </w:pPr>
      <w:r>
        <w:rPr>
          <w:rFonts w:cstheme="minorHAnsi"/>
        </w:rPr>
        <w:t xml:space="preserve">Both individuals were arrested in the early hours of the morning, when officers left the hospital a significant amount of the suspects custody clock had now been used. I had spoken to the officer who would be dealing with the suspect and had been advised that there were no outstanding actions required to interview the suspect </w:t>
      </w:r>
      <w:proofErr w:type="spellStart"/>
      <w:r>
        <w:rPr>
          <w:rFonts w:cstheme="minorHAnsi"/>
        </w:rPr>
        <w:t>therefor</w:t>
      </w:r>
      <w:proofErr w:type="spellEnd"/>
      <w:r>
        <w:rPr>
          <w:rFonts w:cstheme="minorHAnsi"/>
        </w:rPr>
        <w:t xml:space="preserve"> the officer would now be preparing for the interview. As I was leaving the hospital, I realised that I had not discussed any sort of safeguarding needs with the victim, I was confident with submitting the basic safeguarding measures however I needed to discuss this further with the victim. I discussed the possibility of a restraining order on conviction which the victim was keen to request, I felt that this measure would be highly appropriate in this situation, research shows that a restraining order is violation were reduced when used in combination with arrest </w:t>
      </w:r>
      <w:r w:rsidRPr="00450571">
        <w:rPr>
          <w:rFonts w:asciiTheme="minorHAnsi" w:hAnsiTheme="minorHAnsi" w:cstheme="minorHAnsi"/>
          <w:sz w:val="22"/>
          <w:szCs w:val="22"/>
        </w:rPr>
        <w:t xml:space="preserve">(Cordier </w:t>
      </w:r>
      <w:r w:rsidRPr="00450571">
        <w:rPr>
          <w:rFonts w:asciiTheme="minorHAnsi" w:hAnsiTheme="minorHAnsi" w:cstheme="minorHAnsi"/>
          <w:i/>
          <w:iCs/>
          <w:sz w:val="22"/>
          <w:szCs w:val="22"/>
        </w:rPr>
        <w:t>et al</w:t>
      </w:r>
      <w:r w:rsidRPr="00450571">
        <w:rPr>
          <w:rFonts w:asciiTheme="minorHAnsi" w:hAnsiTheme="minorHAnsi" w:cstheme="minorHAnsi"/>
          <w:sz w:val="22"/>
          <w:szCs w:val="22"/>
        </w:rPr>
        <w:t>, 2019)</w:t>
      </w:r>
      <w:r>
        <w:rPr>
          <w:rFonts w:cstheme="minorHAnsi"/>
        </w:rPr>
        <w:t xml:space="preserve">. I completed the Domestic Abuse, Stalking, Harassment, and Honour </w:t>
      </w:r>
      <w:r>
        <w:rPr>
          <w:rFonts w:cstheme="minorHAnsi"/>
        </w:rPr>
        <w:lastRenderedPageBreak/>
        <w:t xml:space="preserve">Based Violence (DASH) questionnaire which showed the victim to be a high-risk victim. I find the DASH questionnaire to be a useful tool when documenting the victims past experiences however some believe that the questionnaire does not help officers in identifying high risk revictimization of victims </w:t>
      </w:r>
      <w:r w:rsidRPr="000634AC">
        <w:rPr>
          <w:rFonts w:asciiTheme="minorHAnsi" w:hAnsiTheme="minorHAnsi" w:cstheme="minorHAnsi"/>
          <w:sz w:val="22"/>
          <w:szCs w:val="22"/>
        </w:rPr>
        <w:t>(Turner, Medina and Brown, 2019</w:t>
      </w:r>
      <w:r>
        <w:rPr>
          <w:rFonts w:cstheme="minorHAnsi"/>
        </w:rPr>
        <w:t xml:space="preserve">). The suspect had a long history of serious domestic abuse against different women, </w:t>
      </w:r>
      <w:r w:rsidRPr="000634AC">
        <w:rPr>
          <w:rFonts w:asciiTheme="minorHAnsi" w:hAnsiTheme="minorHAnsi" w:cstheme="minorHAnsi"/>
          <w:sz w:val="22"/>
          <w:szCs w:val="22"/>
        </w:rPr>
        <w:t>Boxall and Morgan (2020)</w:t>
      </w:r>
      <w:r>
        <w:rPr>
          <w:rFonts w:cstheme="minorHAnsi"/>
        </w:rPr>
        <w:t xml:space="preserve"> conducted a study that found that 1 in 4 young people were involved in domestic violence within 6 weeks of a previous incident, the risk of the victim being a repeat victim was clearly high, with this in mind I again spoke to the officer in case and relayed my concerns and suggested that we should seek a remand in custody to further safeguard the victim.</w:t>
      </w:r>
    </w:p>
    <w:p w14:paraId="54C55965" w14:textId="77777777" w:rsidR="00C81FC4" w:rsidRDefault="00C81FC4" w:rsidP="00C81FC4">
      <w:pPr>
        <w:rPr>
          <w:rFonts w:cstheme="minorHAnsi"/>
        </w:rPr>
      </w:pPr>
    </w:p>
    <w:p w14:paraId="32036A08" w14:textId="77777777" w:rsidR="00C81FC4" w:rsidRDefault="00C81FC4" w:rsidP="00C81FC4">
      <w:pPr>
        <w:rPr>
          <w:rFonts w:cstheme="minorHAnsi"/>
        </w:rPr>
      </w:pPr>
      <w:r>
        <w:rPr>
          <w:rFonts w:cstheme="minorHAnsi"/>
        </w:rPr>
        <w:t xml:space="preserve">Based on the information gained during the DASH questionnaire, a high-risk Public Protection Notice (PPN) was submitted. I was confident that when the situation was discussed in a Multi-Agency Risk Assessment Conference (MARAC) that those present would agree with my assessment and actively seek to help the victim. </w:t>
      </w:r>
      <w:r w:rsidRPr="00C865EF">
        <w:rPr>
          <w:rFonts w:asciiTheme="minorHAnsi" w:hAnsiTheme="minorHAnsi" w:cstheme="minorHAnsi"/>
          <w:sz w:val="22"/>
          <w:szCs w:val="22"/>
        </w:rPr>
        <w:t>Welsh (2022)</w:t>
      </w:r>
      <w:r>
        <w:rPr>
          <w:rFonts w:cstheme="minorHAnsi"/>
        </w:rPr>
        <w:t xml:space="preserve"> believes that MARAC and similar initiatives have had great success since their inception, the aim of MARAC is to highlight specific cases and referrals to all relevant agencies so that those agencies involved can make an informed decision on not only the risk but how to best support the individual referred.</w:t>
      </w:r>
    </w:p>
    <w:p w14:paraId="480795CA" w14:textId="77777777" w:rsidR="00C81FC4" w:rsidRDefault="00C81FC4" w:rsidP="00C81FC4">
      <w:pPr>
        <w:rPr>
          <w:rFonts w:cstheme="minorHAnsi"/>
        </w:rPr>
      </w:pPr>
    </w:p>
    <w:p w14:paraId="660A3AE6" w14:textId="77777777" w:rsidR="00C81FC4" w:rsidRDefault="00C81FC4" w:rsidP="00C81FC4">
      <w:r>
        <w:t>On my return to the station, I had a handover meeting with my Sergeant where I discussed the actions taken so far and any actions outstanding</w:t>
      </w:r>
      <w:r w:rsidRPr="00F03F74">
        <w:rPr>
          <w:color w:val="auto"/>
        </w:rPr>
        <w:t xml:space="preserve">. Post incident debriefing is something that the College of Policing actively encourage (College of Policing, 2013), </w:t>
      </w:r>
      <w:r>
        <w:t xml:space="preserve">I have found that handover meetings and debriefs following a complex incident have helped me clear my mind and focus on what the next steps are. I raised my concerns around my own unconscious bias and had a discussion with my Sergeant, I was reminded that the most important thing is that I recognised the situation and took steps to correct this. </w:t>
      </w:r>
    </w:p>
    <w:p w14:paraId="31828590" w14:textId="77777777" w:rsidR="00C81FC4" w:rsidRDefault="00C81FC4" w:rsidP="00C81FC4"/>
    <w:p w14:paraId="774AB063" w14:textId="77777777" w:rsidR="00C81FC4" w:rsidRDefault="00C81FC4" w:rsidP="00C81FC4">
      <w:r>
        <w:t>Thakrar (2018) states that one method to overcome unconscious bias is to understand not only what unconscious bias is but what your unconscious bias may be. On reflection of the incident that I have discussed in this essay I realised that I do have an unconscious bias when dealing with individuals, I judged a person who had been arrested for a domestic violence matter based purely on the little we knew about the situation at the time. I cannot say whether I would have or how I would have reacted differently should I have known the full facts the moment I walked into custody, what this incident has taught me is that I must remember my training and above all else, I must remember to treat everyone that I meet on a day to day basis as individuals rather than paint them all with the same brush.</w:t>
      </w:r>
    </w:p>
    <w:p w14:paraId="075DC652" w14:textId="77777777" w:rsidR="00C81FC4" w:rsidRDefault="00C81FC4" w:rsidP="00C81FC4">
      <w:pPr>
        <w:spacing w:before="240"/>
        <w:rPr>
          <w:b/>
          <w:bCs/>
        </w:rPr>
      </w:pPr>
    </w:p>
    <w:p w14:paraId="338DF11C" w14:textId="77777777" w:rsidR="00C81FC4" w:rsidRDefault="00C81FC4" w:rsidP="00C81FC4">
      <w:pPr>
        <w:spacing w:before="240"/>
      </w:pPr>
      <w:r>
        <w:rPr>
          <w:rFonts w:cstheme="minorHAnsi"/>
        </w:rPr>
        <w:t xml:space="preserve">Dealing with this incident forced me to reflect on multiple things. Firstly, I revisited my initial training and how we often discussed trauma responses in victim. </w:t>
      </w:r>
      <w:r>
        <w:t xml:space="preserve">Franklin, Garza and Bouffard (2019) highlight that </w:t>
      </w:r>
      <w:r w:rsidRPr="00306C58">
        <w:t>police misperceptions surrounding trauma have had adverse consequences for victims, case processing, and public safety</w:t>
      </w:r>
      <w:r>
        <w:rPr>
          <w:i/>
          <w:iCs/>
        </w:rPr>
        <w:t xml:space="preserve">. </w:t>
      </w:r>
      <w:r>
        <w:t>I recalled my initial attendance at the victims’ cell and how distant she was, I had a gut feeling that there was more to this than we knew however I failed to see the significant clue right in front of me, that her current presentation was in fact a trauma response to the brutal incident that occurred only 5 hours previously, my failure to recognise this could have led to significant issues with the case as a whole and could have damaged this individuals perceptions of the police.</w:t>
      </w:r>
    </w:p>
    <w:p w14:paraId="67679749" w14:textId="77777777" w:rsidR="00C81FC4" w:rsidRDefault="00C81FC4" w:rsidP="00C81FC4">
      <w:pPr>
        <w:spacing w:before="240"/>
      </w:pPr>
    </w:p>
    <w:p w14:paraId="0C23BCBD" w14:textId="77777777" w:rsidR="00C81FC4" w:rsidRDefault="00C81FC4" w:rsidP="00C81FC4">
      <w:r>
        <w:t xml:space="preserve">More recently I have been made aware that the victim in this case has decided to retract her statement and no longer wishes to support police action or attend court. In a sample study of 400 cases </w:t>
      </w:r>
      <w:proofErr w:type="spellStart"/>
      <w:r>
        <w:t>crimed</w:t>
      </w:r>
      <w:proofErr w:type="spellEnd"/>
      <w:r>
        <w:t xml:space="preserve"> as domestic violence, it was found that 52.4% of victims withdrew from the process </w:t>
      </w:r>
      <w:r w:rsidRPr="005E52C7">
        <w:rPr>
          <w:rFonts w:asciiTheme="minorHAnsi" w:hAnsiTheme="minorHAnsi" w:cstheme="minorHAnsi"/>
          <w:sz w:val="22"/>
          <w:szCs w:val="22"/>
        </w:rPr>
        <w:t xml:space="preserve">(McPhee </w:t>
      </w:r>
      <w:r w:rsidRPr="005E52C7">
        <w:rPr>
          <w:rFonts w:asciiTheme="minorHAnsi" w:hAnsiTheme="minorHAnsi" w:cstheme="minorHAnsi"/>
          <w:i/>
          <w:iCs/>
          <w:sz w:val="22"/>
          <w:szCs w:val="22"/>
        </w:rPr>
        <w:t>et al</w:t>
      </w:r>
      <w:r w:rsidRPr="005E52C7">
        <w:rPr>
          <w:rFonts w:asciiTheme="minorHAnsi" w:hAnsiTheme="minorHAnsi" w:cstheme="minorHAnsi"/>
          <w:sz w:val="22"/>
          <w:szCs w:val="22"/>
        </w:rPr>
        <w:t>, 2021)</w:t>
      </w:r>
      <w:r>
        <w:rPr>
          <w:rFonts w:cstheme="minorHAnsi"/>
        </w:rPr>
        <w:t xml:space="preserve">. I spoke to the officer in case who believes that the victim has remained in contact with the suspect whilst he has been on remand. I have also received a court warning for this case and have taken the opportunity to bring myself up to date with the case, it appears as though the PPN was shared, and the victim was allocated a support worker along with regular contact with the domestic violence team, however, despite the support being offered she unfortunately still wishes to withdraw. </w:t>
      </w:r>
    </w:p>
    <w:p w14:paraId="520C63BE" w14:textId="77777777" w:rsidR="00C81FC4" w:rsidRDefault="00C81FC4" w:rsidP="00C81FC4">
      <w:pPr>
        <w:rPr>
          <w:b/>
          <w:bCs/>
          <w:sz w:val="28"/>
          <w:szCs w:val="28"/>
        </w:rPr>
      </w:pPr>
      <w:r w:rsidRPr="00866872">
        <w:rPr>
          <w:b/>
          <w:bCs/>
          <w:sz w:val="28"/>
          <w:szCs w:val="28"/>
        </w:rPr>
        <w:t>Word</w:t>
      </w:r>
      <w:r>
        <w:rPr>
          <w:b/>
          <w:bCs/>
          <w:sz w:val="28"/>
          <w:szCs w:val="28"/>
        </w:rPr>
        <w:t xml:space="preserve"> count:</w:t>
      </w:r>
      <w:r w:rsidRPr="00866872">
        <w:rPr>
          <w:b/>
          <w:bCs/>
          <w:sz w:val="28"/>
          <w:szCs w:val="28"/>
        </w:rPr>
        <w:t xml:space="preserve"> </w:t>
      </w:r>
      <w:r>
        <w:rPr>
          <w:b/>
          <w:bCs/>
          <w:sz w:val="28"/>
          <w:szCs w:val="28"/>
        </w:rPr>
        <w:t>2044</w:t>
      </w:r>
    </w:p>
    <w:p w14:paraId="06491356" w14:textId="076758B3" w:rsidR="00A221AB" w:rsidRDefault="00A221AB" w:rsidP="5CE196A1">
      <w:pPr>
        <w:pStyle w:val="paragraph"/>
        <w:spacing w:before="0" w:beforeAutospacing="0" w:after="0" w:afterAutospacing="0"/>
        <w:rPr>
          <w:b/>
          <w:bCs/>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08B1FF13" w14:textId="77777777" w:rsidR="00C81FC4" w:rsidRDefault="00C81FC4" w:rsidP="00C81FC4">
      <w:r>
        <w:t>During this essay I will be discussing a complex domestic abuse incident that I have attended as a response officer. As above I will again be using Driscoll’s ‘Model of reflection’ (Driscoll, 1994). I will firstly discuss the ‘What?’ element which is the incident itself. Secondly, I will discuss the ‘So What?’ element, which is the analysis of the event itself, it is during this element that I will discover any learning from the incident. The third element is the ‘What Now?’ stage, during this element I will reflect upon the whole incident and the learning I have identified during the second stage.</w:t>
      </w:r>
    </w:p>
    <w:p w14:paraId="2F934003" w14:textId="77777777" w:rsidR="00C81FC4" w:rsidRDefault="00C81FC4" w:rsidP="00C81FC4"/>
    <w:p w14:paraId="3F0B9133" w14:textId="77777777" w:rsidR="00C81FC4" w:rsidRDefault="00C81FC4" w:rsidP="00C81FC4">
      <w:pPr>
        <w:rPr>
          <w:rFonts w:cstheme="minorHAnsi"/>
        </w:rPr>
      </w:pPr>
      <w:r>
        <w:t xml:space="preserve">The incident I will be discussing involves domestic abuse Actual Bodily Harm, Stalking with Fear of Violence, Coercive and Controlling Behaviour, and honour-based abuse. A call was received from a third-party reporting that her friend from Iran had been assaulted by her husband, no further information was known. Once I was able to contact the reporting person, I was able to agree an appropriate time for the reporting person and the potential victim to attend the police station to speak to us further. </w:t>
      </w:r>
      <w:proofErr w:type="spellStart"/>
      <w:r w:rsidRPr="00BC5453">
        <w:rPr>
          <w:rFonts w:cstheme="minorHAnsi"/>
        </w:rPr>
        <w:t>Bigizadeh</w:t>
      </w:r>
      <w:proofErr w:type="spellEnd"/>
      <w:r w:rsidRPr="00BC5453">
        <w:rPr>
          <w:rFonts w:cstheme="minorHAnsi"/>
        </w:rPr>
        <w:t xml:space="preserve"> et al. (2021)</w:t>
      </w:r>
      <w:r>
        <w:rPr>
          <w:rFonts w:cstheme="minorHAnsi"/>
        </w:rPr>
        <w:t xml:space="preserve"> reports that in a study of 496 Iranian women, 47.4% reported that they had sustained some form of domestic violence in their life. </w:t>
      </w:r>
    </w:p>
    <w:p w14:paraId="39CE30C3" w14:textId="77777777" w:rsidR="00C81FC4" w:rsidRDefault="00C81FC4" w:rsidP="00C81FC4">
      <w:pPr>
        <w:rPr>
          <w:rFonts w:cstheme="minorHAnsi"/>
        </w:rPr>
      </w:pPr>
    </w:p>
    <w:p w14:paraId="36317D82" w14:textId="77777777" w:rsidR="00C81FC4" w:rsidRDefault="00C81FC4" w:rsidP="00C81FC4">
      <w:pPr>
        <w:rPr>
          <w:color w:val="000000" w:themeColor="text1"/>
        </w:rPr>
      </w:pPr>
      <w:r>
        <w:rPr>
          <w:rFonts w:cstheme="minorHAnsi"/>
        </w:rPr>
        <w:t>I immediately began to prepare for the arrival of the reporting person and the potential victim, I was recalling the training I had received to date and being mindful of capturing any golden hour evidence</w:t>
      </w:r>
      <w:r w:rsidRPr="002929AD">
        <w:rPr>
          <w:rFonts w:cstheme="minorHAnsi"/>
          <w:color w:val="000000" w:themeColor="text1"/>
        </w:rPr>
        <w:t xml:space="preserve">. </w:t>
      </w:r>
      <w:r w:rsidRPr="002929AD">
        <w:rPr>
          <w:color w:val="000000" w:themeColor="text1"/>
        </w:rPr>
        <w:t xml:space="preserve">The College of Policing (Investigation Process, 2013) describes the golden hour as </w:t>
      </w:r>
      <w:r>
        <w:rPr>
          <w:color w:val="000000" w:themeColor="text1"/>
        </w:rPr>
        <w:t xml:space="preserve">being the time immediately following the commission of an offence whereby evidence is most fresh, and the best evidence can be gained. On arrival to the station my plan was to conduct a victim statement, the victim had visible facial injuries, when I began talking to her, I quickly released that she spoke no English and her friend was unable to speak much Farsi. Language line was conducted however the interpreter made it clear from the start that the victim only wished to speak to a female interpreter, and they had nobody available. I had not predicted an issue with an interpreter, until their arrival I had not considered the need for an interpreter at all. After seeking advice from my sergeant, I called WITS, they did have a female Farsi interpreter available however she would not be able to arrive at the station for another 3 hours or so. </w:t>
      </w:r>
    </w:p>
    <w:p w14:paraId="23A8C7CF" w14:textId="77777777" w:rsidR="00C81FC4" w:rsidRDefault="00C81FC4" w:rsidP="00C81FC4">
      <w:pPr>
        <w:rPr>
          <w:color w:val="000000" w:themeColor="text1"/>
        </w:rPr>
      </w:pPr>
    </w:p>
    <w:p w14:paraId="1D06130A" w14:textId="77777777" w:rsidR="00C81FC4" w:rsidRDefault="00C81FC4" w:rsidP="00C81FC4">
      <w:pPr>
        <w:rPr>
          <w:rFonts w:cstheme="minorHAnsi"/>
        </w:rPr>
      </w:pPr>
      <w:r>
        <w:rPr>
          <w:color w:val="000000" w:themeColor="text1"/>
        </w:rPr>
        <w:t>Investigating any report of domestic violence can be challenging. From August the 31</w:t>
      </w:r>
      <w:r w:rsidRPr="001950B0">
        <w:rPr>
          <w:color w:val="000000" w:themeColor="text1"/>
          <w:vertAlign w:val="superscript"/>
        </w:rPr>
        <w:t>st</w:t>
      </w:r>
      <w:r>
        <w:rPr>
          <w:color w:val="000000" w:themeColor="text1"/>
        </w:rPr>
        <w:t xml:space="preserve"> 2013 to June the 30</w:t>
      </w:r>
      <w:r w:rsidRPr="001950B0">
        <w:rPr>
          <w:color w:val="000000" w:themeColor="text1"/>
          <w:vertAlign w:val="superscript"/>
        </w:rPr>
        <w:t>th</w:t>
      </w:r>
      <w:r>
        <w:rPr>
          <w:color w:val="000000" w:themeColor="text1"/>
        </w:rPr>
        <w:t xml:space="preserve"> 2017 recorded incidents of domestic abuse rose by 88% </w:t>
      </w:r>
      <w:r>
        <w:rPr>
          <w:rFonts w:ascii="Open Sans" w:hAnsi="Open Sans" w:cs="Open Sans"/>
          <w:color w:val="333333"/>
          <w:sz w:val="26"/>
          <w:szCs w:val="26"/>
        </w:rPr>
        <w:t>(</w:t>
      </w:r>
      <w:r w:rsidRPr="001950B0">
        <w:rPr>
          <w:rFonts w:cstheme="minorHAnsi"/>
          <w:color w:val="333333"/>
        </w:rPr>
        <w:t>HMICFRS</w:t>
      </w:r>
      <w:r>
        <w:rPr>
          <w:rFonts w:cstheme="minorHAnsi"/>
          <w:color w:val="333333"/>
        </w:rPr>
        <w:t>, 2019) with the Office for National Statics showing a further increase of 24% to March 31</w:t>
      </w:r>
      <w:r w:rsidRPr="001950B0">
        <w:rPr>
          <w:rFonts w:cstheme="minorHAnsi"/>
          <w:color w:val="333333"/>
          <w:vertAlign w:val="superscript"/>
        </w:rPr>
        <w:t>st</w:t>
      </w:r>
      <w:r>
        <w:rPr>
          <w:rFonts w:cstheme="minorHAnsi"/>
          <w:color w:val="333333"/>
        </w:rPr>
        <w:t xml:space="preserve">, 2019 (ONS, 2019). </w:t>
      </w:r>
      <w:r w:rsidRPr="00A822DC">
        <w:rPr>
          <w:rFonts w:cstheme="minorHAnsi"/>
        </w:rPr>
        <w:t>Saxton et al. (2020)</w:t>
      </w:r>
      <w:r>
        <w:rPr>
          <w:rFonts w:cstheme="minorHAnsi"/>
        </w:rPr>
        <w:t xml:space="preserve"> describes these challenges of being on the systemic, organisational, and individual level. When there’s also cultural complexities to think about it becomes difficult to know which direction the investigation should take. The victim in this case appeared on edge, concerned about being speaking to police. I requested her friend translate what she could so that I had some idea of what was occurring. I did not feel it would be appropriate to keep them both at the station for 9 hours, when it was suggested that there would be a long wait the victim did not want to return to her home, her friend kindly offered to take her to her home which was local whilst we awaited the interpreter. Immediate safeguarding was necessary, I requested an urgent critical marker on her friend address </w:t>
      </w:r>
      <w:proofErr w:type="gramStart"/>
      <w:r>
        <w:rPr>
          <w:rFonts w:cstheme="minorHAnsi"/>
        </w:rPr>
        <w:t>and also</w:t>
      </w:r>
      <w:proofErr w:type="gramEnd"/>
      <w:r>
        <w:rPr>
          <w:rFonts w:cstheme="minorHAnsi"/>
        </w:rPr>
        <w:t xml:space="preserve"> for regular patrols in the area in case the victims’ husband were to attend unannounced. I now had some time to properly manage this investigation as I realised that not considering the need for an interpreter was a mistake, however, should I have not had this initial interaction with the victim I would not have conducted any immediate safeguarding.</w:t>
      </w:r>
    </w:p>
    <w:p w14:paraId="0D151B03" w14:textId="77777777" w:rsidR="00C81FC4" w:rsidRDefault="00C81FC4" w:rsidP="00C81FC4">
      <w:pPr>
        <w:rPr>
          <w:rFonts w:cstheme="minorHAnsi"/>
        </w:rPr>
      </w:pPr>
    </w:p>
    <w:p w14:paraId="7DB9F44A" w14:textId="77777777" w:rsidR="00C81FC4" w:rsidRDefault="00C81FC4" w:rsidP="00C81FC4">
      <w:pPr>
        <w:rPr>
          <w:rFonts w:cstheme="minorHAnsi"/>
        </w:rPr>
      </w:pPr>
      <w:r w:rsidRPr="00A851D8">
        <w:rPr>
          <w:rFonts w:cstheme="minorHAnsi"/>
        </w:rPr>
        <w:t>Htun and Jensenius (2020)</w:t>
      </w:r>
      <w:r>
        <w:rPr>
          <w:rFonts w:cstheme="minorHAnsi"/>
        </w:rPr>
        <w:t xml:space="preserve"> state that “</w:t>
      </w:r>
      <w:r>
        <w:rPr>
          <w:rFonts w:cstheme="minorHAnsi"/>
          <w:i/>
          <w:iCs/>
        </w:rPr>
        <w:t>women need a firm structural foundation to contest and to exit from violence and harassment in their daily lives”</w:t>
      </w:r>
      <w:r>
        <w:rPr>
          <w:rFonts w:cstheme="minorHAnsi"/>
        </w:rPr>
        <w:t xml:space="preserve">, this is echoed by </w:t>
      </w:r>
      <w:r w:rsidRPr="00A851D8">
        <w:rPr>
          <w:rFonts w:cstheme="minorHAnsi"/>
        </w:rPr>
        <w:t xml:space="preserve">Taherkhani, </w:t>
      </w:r>
      <w:proofErr w:type="spellStart"/>
      <w:r w:rsidRPr="00A851D8">
        <w:rPr>
          <w:rFonts w:cstheme="minorHAnsi"/>
        </w:rPr>
        <w:t>Negarandeh</w:t>
      </w:r>
      <w:proofErr w:type="spellEnd"/>
      <w:r w:rsidRPr="00A851D8">
        <w:rPr>
          <w:rFonts w:cstheme="minorHAnsi"/>
        </w:rPr>
        <w:t xml:space="preserve"> and </w:t>
      </w:r>
      <w:proofErr w:type="spellStart"/>
      <w:r w:rsidRPr="00A851D8">
        <w:rPr>
          <w:rFonts w:cstheme="minorHAnsi"/>
        </w:rPr>
        <w:t>Farshadpour</w:t>
      </w:r>
      <w:proofErr w:type="spellEnd"/>
      <w:r w:rsidRPr="00A851D8">
        <w:rPr>
          <w:rFonts w:cstheme="minorHAnsi"/>
        </w:rPr>
        <w:t xml:space="preserve"> (2019)</w:t>
      </w:r>
      <w:r>
        <w:rPr>
          <w:rFonts w:cstheme="minorHAnsi"/>
        </w:rPr>
        <w:t xml:space="preserve"> who state that it is even more of a challenge for Iranian women due to the fear, lack of resources, and beliefs and attitudes that their culture has. </w:t>
      </w:r>
    </w:p>
    <w:p w14:paraId="61DDAF8B" w14:textId="77777777" w:rsidR="00C81FC4" w:rsidRDefault="00C81FC4" w:rsidP="00C81FC4">
      <w:pPr>
        <w:rPr>
          <w:rFonts w:cstheme="minorHAnsi"/>
        </w:rPr>
      </w:pPr>
    </w:p>
    <w:p w14:paraId="10A460A9" w14:textId="77777777" w:rsidR="00C81FC4" w:rsidRDefault="00C81FC4" w:rsidP="00C81FC4">
      <w:pPr>
        <w:rPr>
          <w:rFonts w:cstheme="minorHAnsi"/>
        </w:rPr>
      </w:pPr>
      <w:r>
        <w:rPr>
          <w:rFonts w:cstheme="minorHAnsi"/>
        </w:rPr>
        <w:t xml:space="preserve">Once the interpreter arrived at the station, I recontacted the reporting person and requested that she return to the station with the victim. The reporting person advised me that her friend no longer wanted to speak to us due to fear of repercussions, the fear of consequences and repercussions is a barrier to reporting abuse that victims often have </w:t>
      </w:r>
      <w:r w:rsidRPr="009232C7">
        <w:rPr>
          <w:rFonts w:cstheme="minorHAnsi"/>
        </w:rPr>
        <w:t>(Heron and Eisma, 2021)</w:t>
      </w:r>
      <w:r>
        <w:rPr>
          <w:rFonts w:cstheme="minorHAnsi"/>
        </w:rPr>
        <w:t xml:space="preserve">. After some discussion I agreed to attend the reporting persons address and speak to </w:t>
      </w:r>
      <w:proofErr w:type="spellStart"/>
      <w:r>
        <w:rPr>
          <w:rFonts w:cstheme="minorHAnsi"/>
        </w:rPr>
        <w:t>to</w:t>
      </w:r>
      <w:proofErr w:type="spellEnd"/>
      <w:r>
        <w:rPr>
          <w:rFonts w:cstheme="minorHAnsi"/>
        </w:rPr>
        <w:t xml:space="preserve"> the victim in person as best I could, she did not want the interpreter to be involved at this point. </w:t>
      </w:r>
    </w:p>
    <w:p w14:paraId="0D1CDBDC" w14:textId="77777777" w:rsidR="00C81FC4" w:rsidRDefault="00C81FC4" w:rsidP="00C81FC4">
      <w:pPr>
        <w:rPr>
          <w:rFonts w:cstheme="minorHAnsi"/>
        </w:rPr>
      </w:pPr>
    </w:p>
    <w:p w14:paraId="272B3DB2" w14:textId="77777777" w:rsidR="00C81FC4" w:rsidRDefault="00C81FC4" w:rsidP="00C81FC4">
      <w:pPr>
        <w:rPr>
          <w:rFonts w:cstheme="minorHAnsi"/>
        </w:rPr>
      </w:pPr>
      <w:r>
        <w:rPr>
          <w:rFonts w:cstheme="minorHAnsi"/>
        </w:rPr>
        <w:t xml:space="preserve">When I arrived, I used Google translate to discuss the points that the reporting person could not translate accurately. I knew I needed to find a way to reengage with the victim, despite dealing with uncountable victims of domestic abuse during my short career I had not met one that came across as so scared. </w:t>
      </w:r>
      <w:r w:rsidRPr="00761758">
        <w:rPr>
          <w:rFonts w:cstheme="minorHAnsi"/>
        </w:rPr>
        <w:t>Birdsall and Boulton (2022)</w:t>
      </w:r>
      <w:r>
        <w:rPr>
          <w:rFonts w:cstheme="minorHAnsi"/>
        </w:rPr>
        <w:t xml:space="preserve"> argue that for the police to provide a victim centred approach they also need to place more attention on understanding the decision-making process of those victims. I knew there was more here than the assault, I somehow had to convince the victim to provide more details. </w:t>
      </w:r>
      <w:proofErr w:type="spellStart"/>
      <w:r w:rsidRPr="00D900CB">
        <w:rPr>
          <w:rFonts w:cstheme="minorHAnsi"/>
        </w:rPr>
        <w:t>Einnovate</w:t>
      </w:r>
      <w:proofErr w:type="spellEnd"/>
      <w:r w:rsidRPr="00D900CB">
        <w:rPr>
          <w:rFonts w:cstheme="minorHAnsi"/>
        </w:rPr>
        <w:t xml:space="preserve"> (2023)</w:t>
      </w:r>
      <w:r>
        <w:rPr>
          <w:rFonts w:cstheme="minorHAnsi"/>
        </w:rPr>
        <w:t xml:space="preserve"> estimates that less than 24% of domestic abuse is reported, I was conscious that it wasn’t actually the victim that reported this to us, this was still a third party report at this point, by engaging with the victim and being open and honest about how we can safeguard her she did agree to provide a statement and request that I convey her and her friend to the station. </w:t>
      </w:r>
    </w:p>
    <w:p w14:paraId="40EAA709" w14:textId="77777777" w:rsidR="00C81FC4" w:rsidRDefault="00C81FC4" w:rsidP="00C81FC4">
      <w:pPr>
        <w:rPr>
          <w:rFonts w:cstheme="minorHAnsi"/>
        </w:rPr>
      </w:pPr>
    </w:p>
    <w:p w14:paraId="0516E827" w14:textId="77777777" w:rsidR="00C81FC4" w:rsidRDefault="00C81FC4" w:rsidP="00C81FC4">
      <w:pPr>
        <w:rPr>
          <w:rFonts w:cstheme="minorHAnsi"/>
        </w:rPr>
      </w:pPr>
      <w:r>
        <w:rPr>
          <w:rFonts w:cstheme="minorHAnsi"/>
        </w:rPr>
        <w:t xml:space="preserve">A full account was taken from the victim with the help of her friend and the interpreter. The victim had endured years of abuse, ranging from assault to coercive and controlling behaviour. Following the most recent assault she had told her husband that she was ending the marriage, she explained that due to her culture a divorce is not easy, and she risked being shunned from her community for doing so which would leave her vulnerable due to relying on her husband for almost everything, </w:t>
      </w:r>
      <w:r w:rsidRPr="00CF1DAE">
        <w:rPr>
          <w:rFonts w:cstheme="minorHAnsi"/>
        </w:rPr>
        <w:t>Sandhu and Barrett (2020)</w:t>
      </w:r>
      <w:r>
        <w:rPr>
          <w:rFonts w:cstheme="minorHAnsi"/>
        </w:rPr>
        <w:t xml:space="preserve"> explain that cultural notions of honour, shame, and experiences of power and control all play a part in subjugating the women. In hr statement she disclosed that since telling her husband she wanted a divorce he had been following her, often with a what she believed to be a knife, despite speaking to her local mosque for advice they were unable to help her, family and friends had all stopped speaking to her. The victim and her husband had two children together, the oldest was 18, the youngest 12. The victim made the decision to reach out to her friend due to a change in behaviour from her 18-year-old, who was in the process of having an arranged marriage. The victim was concerned that her oldest son’s behaviour had become hostile towards her, almost abusive.</w:t>
      </w:r>
    </w:p>
    <w:p w14:paraId="5AD4D883" w14:textId="77777777" w:rsidR="00C81FC4" w:rsidRDefault="00C81FC4" w:rsidP="00C81FC4">
      <w:pPr>
        <w:rPr>
          <w:rFonts w:cstheme="minorHAnsi"/>
        </w:rPr>
      </w:pPr>
    </w:p>
    <w:p w14:paraId="32830A35" w14:textId="77777777" w:rsidR="00C81FC4" w:rsidRDefault="00C81FC4" w:rsidP="00C81FC4">
      <w:pPr>
        <w:rPr>
          <w:rFonts w:cstheme="minorHAnsi"/>
        </w:rPr>
      </w:pPr>
      <w:r>
        <w:rPr>
          <w:rFonts w:cstheme="minorHAnsi"/>
        </w:rPr>
        <w:t xml:space="preserve">It is widely reported what effect domestic abuse can have on children. Adverse Childhood Experiences (ACEs) can have a lasting effect on children and create what Lenore E Walker described in 1979 as the Cycle of Abuse. </w:t>
      </w:r>
      <w:r w:rsidRPr="00017958">
        <w:rPr>
          <w:rFonts w:cstheme="minorHAnsi"/>
        </w:rPr>
        <w:t>Cox (2019)</w:t>
      </w:r>
      <w:r>
        <w:rPr>
          <w:rFonts w:cstheme="minorHAnsi"/>
        </w:rPr>
        <w:t xml:space="preserve"> explains that victims of child abuse or neglect can be predisposed to become criminal offenders or abusers themselves later in life, whilst Cox (2019) discusses this in terms of direct abuse towards children there are studies that show that other types of ACEs are being researched. </w:t>
      </w:r>
      <w:r w:rsidRPr="00D7719F">
        <w:rPr>
          <w:rFonts w:cstheme="minorHAnsi"/>
        </w:rPr>
        <w:t>Morton, Curran and O’Gorman (2022)</w:t>
      </w:r>
      <w:r>
        <w:rPr>
          <w:rFonts w:cstheme="minorHAnsi"/>
        </w:rPr>
        <w:t xml:space="preserve"> explain how familial relationships and home environments experienced as a child can also influence a child in adulthood. The inclusion of the children in this report created its own challenges. Whilst the oldest son was an adult, the behaviour he had begun to express towards the victim was concerning, I gained as many details as possible with the decision to submit a detailed PPN in relation to this separately to the other points in the case. A study of 3,500 PPNs by </w:t>
      </w:r>
      <w:r w:rsidRPr="00500EC6">
        <w:rPr>
          <w:rFonts w:cstheme="minorHAnsi"/>
        </w:rPr>
        <w:t>Ford et al. (2019)</w:t>
      </w:r>
      <w:r>
        <w:rPr>
          <w:rFonts w:cstheme="minorHAnsi"/>
        </w:rPr>
        <w:t xml:space="preserve"> showed that only 57.5% were referred to statutory agencies. </w:t>
      </w:r>
    </w:p>
    <w:p w14:paraId="682B6D51" w14:textId="77777777" w:rsidR="00C81FC4" w:rsidRDefault="00C81FC4" w:rsidP="00C81FC4">
      <w:pPr>
        <w:rPr>
          <w:rFonts w:cstheme="minorHAnsi"/>
        </w:rPr>
      </w:pPr>
    </w:p>
    <w:p w14:paraId="650DA300" w14:textId="77777777" w:rsidR="00C81FC4" w:rsidRDefault="00C81FC4" w:rsidP="00C81FC4">
      <w:pPr>
        <w:rPr>
          <w:rFonts w:cstheme="minorHAnsi"/>
        </w:rPr>
      </w:pPr>
      <w:r>
        <w:rPr>
          <w:rFonts w:cstheme="minorHAnsi"/>
        </w:rPr>
        <w:t xml:space="preserve"> From receiving various training in ACEs during my initial training and through my previous role within South Wales Police I also had immediate concerns about the victim’s youngest son, at the time of taking the statement he was in school so immediate safeguarding was not an issue however long-term safeguarding was. Apart from submitting a further PPN I was struggling with how to do this, the victims’ viewpoint was clear on the matter, she wanted to remove her son from the household to keep him safe, she feared for his safety as much as she did for her own. </w:t>
      </w:r>
      <w:r w:rsidRPr="00C3218A">
        <w:rPr>
          <w:rFonts w:cstheme="minorHAnsi"/>
        </w:rPr>
        <w:t>Callaghan et al. (2015)</w:t>
      </w:r>
      <w:r>
        <w:rPr>
          <w:rFonts w:cstheme="minorHAnsi"/>
        </w:rPr>
        <w:t xml:space="preserve"> argues that children are significantly affected in situation where violence and abuse occur between adult intimate partners and can reasonably described as victims of abuse themselves.</w:t>
      </w:r>
      <w:r>
        <w:rPr>
          <w:rFonts w:ascii="Times New Roman" w:hAnsi="Times New Roman" w:cs="Times New Roman"/>
          <w:sz w:val="24"/>
          <w:szCs w:val="24"/>
        </w:rPr>
        <w:t xml:space="preserve"> </w:t>
      </w:r>
      <w:r>
        <w:rPr>
          <w:rFonts w:cstheme="minorHAnsi"/>
        </w:rPr>
        <w:t>I understood this concern and could feel the fear that the victim had regarding her youngest son remaining in this relationship.</w:t>
      </w:r>
    </w:p>
    <w:p w14:paraId="57332A63" w14:textId="77777777" w:rsidR="00C81FC4" w:rsidRDefault="00C81FC4" w:rsidP="00C81FC4">
      <w:pPr>
        <w:rPr>
          <w:rFonts w:cstheme="minorHAnsi"/>
        </w:rPr>
      </w:pPr>
    </w:p>
    <w:p w14:paraId="60EE0DAD" w14:textId="77777777" w:rsidR="00C81FC4" w:rsidRDefault="00C81FC4" w:rsidP="00C81FC4">
      <w:pPr>
        <w:rPr>
          <w:rFonts w:cstheme="minorHAnsi"/>
        </w:rPr>
      </w:pPr>
      <w:r>
        <w:rPr>
          <w:rFonts w:cstheme="minorHAnsi"/>
        </w:rPr>
        <w:t xml:space="preserve">Once the initial investigation was complete, I now had to consider immediate and ongoing safeguarding for the victim and her youngest child. I knew at the very basic level a high-risk public protection notice needed to be submitted and that the arrest of the subject was a priority. I had a discussion with the victim’s friend who agreed that she could stay with her for a short time, her friend also agreed to accompany her to the school to collect her son, I made a phone call to the school with the permission of the victim and explained that her son was to leave with his mother and friend, should anyone else attempt to collect him they were to call the police and advise of this. Child welfare services have come under criticism in recent years, they have been described as having distinct and disconnected practice cultures and orientation </w:t>
      </w:r>
      <w:r w:rsidRPr="008F09F4">
        <w:rPr>
          <w:rFonts w:cstheme="minorHAnsi"/>
        </w:rPr>
        <w:t>(Rogers and Parkinson, 2017)</w:t>
      </w:r>
      <w:r>
        <w:rPr>
          <w:rFonts w:cstheme="minorHAnsi"/>
        </w:rPr>
        <w:t xml:space="preserve">, I was confident in my options for safeguarding the victim but less so with my options for her son, due to the media attention </w:t>
      </w:r>
      <w:r>
        <w:rPr>
          <w:rFonts w:cstheme="minorHAnsi"/>
        </w:rPr>
        <w:lastRenderedPageBreak/>
        <w:t xml:space="preserve">that domestic incidents involving children can bring I was constantly mindful of how I could better protect her son. With advice from my supervisor, I decided to call social services directly along with submitting a separate high risk public protection notice for him. Next, I spoke with Women’s Aid, an annual survey showed that 5,071 women were supported with refuge in 2018-2019 </w:t>
      </w:r>
      <w:r w:rsidRPr="00C035B3">
        <w:rPr>
          <w:rFonts w:cstheme="minorHAnsi"/>
        </w:rPr>
        <w:t>(Women’s Aid, 2024)</w:t>
      </w:r>
      <w:r>
        <w:rPr>
          <w:rFonts w:cstheme="minorHAnsi"/>
        </w:rPr>
        <w:t>, Women’s Aid agreed to contact the victim and discuss options with her.</w:t>
      </w:r>
    </w:p>
    <w:p w14:paraId="278F8D66" w14:textId="77777777" w:rsidR="00C81FC4" w:rsidRDefault="00C81FC4" w:rsidP="00C81FC4">
      <w:pPr>
        <w:rPr>
          <w:rFonts w:cstheme="minorHAnsi"/>
        </w:rPr>
      </w:pPr>
    </w:p>
    <w:p w14:paraId="49305CF1" w14:textId="77777777" w:rsidR="00C81FC4" w:rsidRPr="004D5F06" w:rsidRDefault="00C81FC4" w:rsidP="00C81FC4">
      <w:pPr>
        <w:rPr>
          <w:rFonts w:ascii="Times New Roman" w:hAnsi="Times New Roman" w:cs="Times New Roman"/>
          <w:sz w:val="24"/>
          <w:szCs w:val="24"/>
        </w:rPr>
      </w:pPr>
      <w:r>
        <w:rPr>
          <w:rFonts w:cstheme="minorHAnsi"/>
        </w:rPr>
        <w:t xml:space="preserve">I returned to duty the following afternoon and could see that the suspect had been arrested during the late afternoon the previous day and that a specialist department had agreed to continue the investigation and that Women’s Aid had been in contact with the victim and that refuge was being discussed. Following interview, the suspect was remanded due to the risk that he posed to the victim and that MOSOVO (Management of Sexual Offenders and Violent Offenders) officers would engage with the suspect following a court decision, it has been researched that offenders who engage with multi-agency public protection arrangements are less likely to reoffend than those who do not </w:t>
      </w:r>
      <w:r w:rsidRPr="004D5F06">
        <w:rPr>
          <w:rFonts w:cstheme="minorHAnsi"/>
        </w:rPr>
        <w:t>(ARU, 2023)</w:t>
      </w:r>
    </w:p>
    <w:p w14:paraId="5F6A700D" w14:textId="77777777" w:rsidR="00C81FC4" w:rsidRDefault="00C81FC4" w:rsidP="00C81FC4">
      <w:pPr>
        <w:rPr>
          <w:rFonts w:cstheme="minorHAnsi"/>
        </w:rPr>
      </w:pPr>
    </w:p>
    <w:p w14:paraId="4A5DAD4D" w14:textId="77777777" w:rsidR="00C81FC4" w:rsidRDefault="00C81FC4" w:rsidP="00C81FC4">
      <w:pPr>
        <w:rPr>
          <w:rFonts w:cstheme="minorHAnsi"/>
        </w:rPr>
      </w:pPr>
      <w:r>
        <w:rPr>
          <w:rFonts w:cstheme="minorHAnsi"/>
        </w:rPr>
        <w:t xml:space="preserve">This was the first call of this nature that I had dealt with, I had not had to complete any investigation with an interpreter previously and I had not had to deal with the same incident for a full shift before, I didn’t realise how mentally draining an investigation such as this could be. When I was first assigned to the call and arranged for a statement to be completed I had not considered the need for an interpreter at all, whilst I would not assume a language barrier I should have at the very least asked the question, this was an oversight that could have led to a detrimental delay in the investigation, since this incident I have made a habit of asking whether the person I am arranging appointments with needs an appropriate adult or interpreter. I am now more aware of cultural issues and honour-based abuse following this incident and regularly remind myself of how these issues or needs can affect a victim or a suspect when dealing with them. The initial investigation was difficult due to the cultural differences, including the language barrier, it was something I had never dealt with previously and on reflection something that we do not deal with much in my sector, it gave me the opportunity to upskill on my investigation technique and to learn some new skills. </w:t>
      </w:r>
    </w:p>
    <w:p w14:paraId="11598F26" w14:textId="36D2A701" w:rsidR="00C81FC4" w:rsidRPr="00486835" w:rsidRDefault="00C81FC4" w:rsidP="00C81FC4">
      <w:pPr>
        <w:rPr>
          <w:rFonts w:cstheme="minorHAnsi"/>
        </w:rPr>
      </w:pPr>
      <w:r w:rsidRPr="009F61D0">
        <w:rPr>
          <w:rFonts w:cstheme="minorHAnsi"/>
          <w:b/>
          <w:bCs/>
          <w:sz w:val="24"/>
          <w:szCs w:val="24"/>
        </w:rPr>
        <w:t>Word count: 21</w:t>
      </w:r>
      <w:r>
        <w:rPr>
          <w:rFonts w:cstheme="minorHAnsi"/>
          <w:b/>
          <w:bCs/>
          <w:sz w:val="24"/>
          <w:szCs w:val="24"/>
        </w:rPr>
        <w:t>44</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76B6FAAC" w14:textId="78791342" w:rsidR="0FF883D4" w:rsidRDefault="0FF883D4" w:rsidP="0FF883D4">
      <w:pPr>
        <w:ind w:left="2880" w:right="225" w:firstLine="720"/>
        <w:rPr>
          <w:b/>
          <w:bCs/>
          <w:sz w:val="24"/>
          <w:szCs w:val="24"/>
          <w:lang w:eastAsia="zh-TW"/>
        </w:rPr>
      </w:pPr>
    </w:p>
    <w:p w14:paraId="1BE61C3E" w14:textId="77777777" w:rsidR="00C81FC4" w:rsidRDefault="00C81FC4" w:rsidP="0FF883D4">
      <w:pPr>
        <w:ind w:left="2880" w:right="225" w:firstLine="720"/>
        <w:rPr>
          <w:b/>
          <w:bCs/>
          <w:sz w:val="24"/>
          <w:szCs w:val="24"/>
          <w:lang w:eastAsia="zh-TW"/>
        </w:rPr>
      </w:pPr>
    </w:p>
    <w:p w14:paraId="66B0F5AB" w14:textId="77777777" w:rsidR="00C81FC4" w:rsidRDefault="00C81FC4" w:rsidP="0FF883D4">
      <w:pPr>
        <w:ind w:left="2880" w:right="225" w:firstLine="720"/>
        <w:rPr>
          <w:b/>
          <w:bCs/>
          <w:sz w:val="24"/>
          <w:szCs w:val="24"/>
          <w:lang w:eastAsia="zh-TW"/>
        </w:rPr>
      </w:pPr>
    </w:p>
    <w:p w14:paraId="3F54BCA4" w14:textId="77777777" w:rsidR="00C81FC4" w:rsidRDefault="00C81FC4" w:rsidP="0FF883D4">
      <w:pPr>
        <w:ind w:left="2880" w:right="225" w:firstLine="720"/>
        <w:rPr>
          <w:b/>
          <w:bCs/>
          <w:sz w:val="24"/>
          <w:szCs w:val="24"/>
          <w:lang w:eastAsia="zh-TW"/>
        </w:rPr>
      </w:pPr>
    </w:p>
    <w:p w14:paraId="1425794D" w14:textId="77777777" w:rsidR="00C81FC4" w:rsidRDefault="00C81FC4" w:rsidP="0FF883D4">
      <w:pPr>
        <w:ind w:left="2880" w:right="225" w:firstLine="720"/>
        <w:rPr>
          <w:b/>
          <w:bCs/>
          <w:sz w:val="24"/>
          <w:szCs w:val="24"/>
          <w:lang w:eastAsia="zh-TW"/>
        </w:rPr>
      </w:pPr>
    </w:p>
    <w:p w14:paraId="1ADEFAE5" w14:textId="490AEA1E" w:rsidR="0FF883D4" w:rsidRDefault="5CE196A1" w:rsidP="5CE196A1">
      <w:r w:rsidRPr="5CE196A1">
        <w:rPr>
          <w:rFonts w:eastAsia="Arial"/>
          <w:b/>
          <w:bCs/>
          <w:color w:val="000000" w:themeColor="text1"/>
          <w:sz w:val="24"/>
          <w:szCs w:val="24"/>
        </w:rPr>
        <w:t xml:space="preserve">Authentication signature: </w:t>
      </w:r>
      <w:r w:rsidR="00C81FC4">
        <w:rPr>
          <w:rFonts w:eastAsia="Arial"/>
          <w:b/>
          <w:bCs/>
          <w:color w:val="000000" w:themeColor="text1"/>
          <w:sz w:val="24"/>
          <w:szCs w:val="24"/>
        </w:rPr>
        <w:t>Shane Black</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A3EF7AA" w:rsidR="0FF883D4" w:rsidRDefault="5CE196A1" w:rsidP="5CE196A1">
      <w:r w:rsidRPr="5CE196A1">
        <w:rPr>
          <w:rFonts w:eastAsia="Arial"/>
          <w:b/>
          <w:bCs/>
          <w:color w:val="000000" w:themeColor="text1"/>
          <w:sz w:val="24"/>
          <w:szCs w:val="24"/>
        </w:rPr>
        <w:t xml:space="preserve">Signed: </w:t>
      </w:r>
      <w:r w:rsidR="00C81FC4">
        <w:rPr>
          <w:rFonts w:eastAsia="Arial"/>
          <w:b/>
          <w:bCs/>
          <w:color w:val="000000" w:themeColor="text1"/>
          <w:sz w:val="24"/>
          <w:szCs w:val="24"/>
        </w:rPr>
        <w:t>Shane Black</w:t>
      </w:r>
    </w:p>
    <w:p w14:paraId="563192E7" w14:textId="7A83C86F" w:rsidR="0FF883D4" w:rsidRDefault="5CE196A1" w:rsidP="5CE196A1">
      <w:r w:rsidRPr="5CE196A1">
        <w:rPr>
          <w:rFonts w:eastAsia="Arial"/>
          <w:b/>
          <w:bCs/>
          <w:color w:val="000000" w:themeColor="text1"/>
          <w:sz w:val="24"/>
          <w:szCs w:val="24"/>
        </w:rPr>
        <w:t xml:space="preserve"> </w:t>
      </w:r>
    </w:p>
    <w:p w14:paraId="482B2B3A" w14:textId="3F5F56CE" w:rsidR="0FF883D4" w:rsidRPr="00C81FC4" w:rsidRDefault="5CE196A1" w:rsidP="00C81FC4">
      <w:pPr>
        <w:sectPr w:rsidR="0FF883D4" w:rsidRPr="00C81FC4"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C81FC4">
        <w:t>11.03.2024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B209A12" w14:textId="77777777" w:rsidR="00C81FC4"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6C062F47" w14:textId="77777777" w:rsidR="00C81FC4" w:rsidRDefault="00C81FC4" w:rsidP="00EA28F1">
      <w:pPr>
        <w:keepNext/>
        <w:spacing w:before="240" w:after="60"/>
        <w:ind w:right="237"/>
        <w:jc w:val="both"/>
        <w:rPr>
          <w:sz w:val="24"/>
          <w:szCs w:val="24"/>
        </w:rPr>
      </w:pPr>
    </w:p>
    <w:p w14:paraId="4450BA4B" w14:textId="77777777" w:rsidR="00C81FC4" w:rsidRPr="00CD7680" w:rsidRDefault="00C81FC4" w:rsidP="00C81FC4">
      <w:pPr>
        <w:rPr>
          <w:color w:val="05103E"/>
          <w:sz w:val="24"/>
          <w:szCs w:val="24"/>
        </w:rPr>
      </w:pPr>
      <w:r w:rsidRPr="008E548F">
        <w:rPr>
          <w:color w:val="auto"/>
          <w:sz w:val="24"/>
          <w:szCs w:val="24"/>
        </w:rPr>
        <w:t>ARU (2023).</w:t>
      </w:r>
      <w:r w:rsidRPr="008E548F">
        <w:rPr>
          <w:i/>
          <w:iCs/>
          <w:color w:val="auto"/>
          <w:sz w:val="24"/>
          <w:szCs w:val="24"/>
          <w:bdr w:val="single" w:sz="2" w:space="0" w:color="ECEDEE" w:frame="1"/>
        </w:rPr>
        <w:t xml:space="preserve"> ‘MAPPA scheme reduces reoffending</w:t>
      </w:r>
      <w:r>
        <w:rPr>
          <w:i/>
          <w:iCs/>
          <w:sz w:val="24"/>
          <w:szCs w:val="24"/>
          <w:bdr w:val="single" w:sz="2" w:space="0" w:color="ECEDEE" w:frame="1"/>
        </w:rPr>
        <w:t>’</w:t>
      </w:r>
      <w:r w:rsidRPr="008E548F">
        <w:rPr>
          <w:i/>
          <w:iCs/>
          <w:color w:val="auto"/>
          <w:sz w:val="24"/>
          <w:szCs w:val="24"/>
          <w:bdr w:val="single" w:sz="2" w:space="0" w:color="ECEDEE" w:frame="1"/>
        </w:rPr>
        <w:t xml:space="preserve"> </w:t>
      </w:r>
      <w:r w:rsidRPr="008E548F">
        <w:rPr>
          <w:color w:val="auto"/>
          <w:sz w:val="24"/>
          <w:szCs w:val="24"/>
        </w:rPr>
        <w:t> </w:t>
      </w:r>
      <w:hyperlink r:id="rId16" w:anchor=":~:text=A%20%27first%20of%20its%20kind,than%20those%20who%20do%20not" w:history="1">
        <w:r w:rsidRPr="008E548F">
          <w:rPr>
            <w:rStyle w:val="Hyperlink"/>
            <w:sz w:val="24"/>
            <w:szCs w:val="24"/>
            <w:bdr w:val="single" w:sz="2" w:space="0" w:color="ECEDEE" w:frame="1"/>
          </w:rPr>
          <w:t>https://</w:t>
        </w:r>
        <w:r w:rsidRPr="008E548F">
          <w:rPr>
            <w:rStyle w:val="Hyperlink"/>
            <w:sz w:val="24"/>
            <w:szCs w:val="24"/>
            <w:bdr w:val="single" w:sz="2" w:space="0" w:color="ECEDEE" w:frame="1"/>
          </w:rPr>
          <w:t>w</w:t>
        </w:r>
        <w:r w:rsidRPr="008E548F">
          <w:rPr>
            <w:rStyle w:val="Hyperlink"/>
            <w:sz w:val="24"/>
            <w:szCs w:val="24"/>
            <w:bdr w:val="single" w:sz="2" w:space="0" w:color="ECEDEE" w:frame="1"/>
          </w:rPr>
          <w:t>ww.aru.ac.uk/news/mappa-scheme-reduces-reoffending-new-research#:~:text=A%20%27first%20of%20its%20kind,than%20those%20who%20do%20not</w:t>
        </w:r>
      </w:hyperlink>
      <w:r w:rsidRPr="008E548F">
        <w:rPr>
          <w:rStyle w:val="url"/>
          <w:color w:val="05103E"/>
          <w:sz w:val="24"/>
          <w:szCs w:val="24"/>
          <w:bdr w:val="single" w:sz="2" w:space="0" w:color="ECEDEE" w:frame="1"/>
        </w:rPr>
        <w:t xml:space="preserve">. </w:t>
      </w:r>
      <w:r w:rsidRPr="008E548F">
        <w:rPr>
          <w:rStyle w:val="url"/>
          <w:color w:val="auto"/>
          <w:sz w:val="24"/>
          <w:szCs w:val="24"/>
          <w:bdr w:val="single" w:sz="2" w:space="0" w:color="ECEDEE" w:frame="1"/>
        </w:rPr>
        <w:t>(Accessed: 8</w:t>
      </w:r>
      <w:r w:rsidRPr="008E548F">
        <w:rPr>
          <w:rStyle w:val="url"/>
          <w:color w:val="auto"/>
          <w:sz w:val="24"/>
          <w:szCs w:val="24"/>
          <w:bdr w:val="single" w:sz="2" w:space="0" w:color="ECEDEE" w:frame="1"/>
          <w:vertAlign w:val="superscript"/>
        </w:rPr>
        <w:t>th</w:t>
      </w:r>
      <w:r w:rsidRPr="008E548F">
        <w:rPr>
          <w:rStyle w:val="url"/>
          <w:color w:val="auto"/>
          <w:sz w:val="24"/>
          <w:szCs w:val="24"/>
          <w:bdr w:val="single" w:sz="2" w:space="0" w:color="ECEDEE" w:frame="1"/>
        </w:rPr>
        <w:t xml:space="preserve"> of March 2024)</w:t>
      </w:r>
    </w:p>
    <w:p w14:paraId="6807A0B1" w14:textId="77777777" w:rsidR="00C81FC4" w:rsidRDefault="00C81FC4" w:rsidP="00C81FC4">
      <w:pPr>
        <w:rPr>
          <w:sz w:val="24"/>
          <w:szCs w:val="24"/>
        </w:rPr>
      </w:pPr>
      <w:proofErr w:type="spellStart"/>
      <w:r w:rsidRPr="008E548F">
        <w:rPr>
          <w:color w:val="auto"/>
          <w:sz w:val="24"/>
          <w:szCs w:val="24"/>
        </w:rPr>
        <w:t>Bigizadeh</w:t>
      </w:r>
      <w:proofErr w:type="spellEnd"/>
      <w:r w:rsidRPr="008E548F">
        <w:rPr>
          <w:color w:val="auto"/>
          <w:sz w:val="24"/>
          <w:szCs w:val="24"/>
        </w:rPr>
        <w:t>, S. </w:t>
      </w:r>
      <w:r w:rsidRPr="008E548F">
        <w:rPr>
          <w:i/>
          <w:iCs/>
          <w:color w:val="auto"/>
          <w:sz w:val="24"/>
          <w:szCs w:val="24"/>
          <w:bdr w:val="single" w:sz="2" w:space="0" w:color="ECEDEE" w:frame="1"/>
        </w:rPr>
        <w:t>et al.</w:t>
      </w:r>
      <w:r w:rsidRPr="008E548F">
        <w:rPr>
          <w:color w:val="auto"/>
          <w:sz w:val="24"/>
          <w:szCs w:val="24"/>
        </w:rPr>
        <w:t xml:space="preserve"> (2021) 'Attitude Toward Violence and its Relationship </w:t>
      </w:r>
      <w:proofErr w:type="gramStart"/>
      <w:r w:rsidRPr="008E548F">
        <w:rPr>
          <w:color w:val="auto"/>
          <w:sz w:val="24"/>
          <w:szCs w:val="24"/>
        </w:rPr>
        <w:t>With</w:t>
      </w:r>
      <w:proofErr w:type="gramEnd"/>
      <w:r w:rsidRPr="008E548F">
        <w:rPr>
          <w:color w:val="auto"/>
          <w:sz w:val="24"/>
          <w:szCs w:val="24"/>
        </w:rPr>
        <w:t xml:space="preserve"> Self-Esteem and Self-Efficacy Among Iranian Women,' </w:t>
      </w:r>
      <w:r w:rsidRPr="008E548F">
        <w:rPr>
          <w:i/>
          <w:iCs/>
          <w:color w:val="auto"/>
          <w:sz w:val="24"/>
          <w:szCs w:val="24"/>
          <w:bdr w:val="single" w:sz="2" w:space="0" w:color="ECEDEE" w:frame="1"/>
        </w:rPr>
        <w:t>Journal of Psychosocial Nursing and Mental Health Services</w:t>
      </w:r>
      <w:r w:rsidRPr="008E548F">
        <w:rPr>
          <w:color w:val="auto"/>
          <w:sz w:val="24"/>
          <w:szCs w:val="24"/>
        </w:rPr>
        <w:t>, 59(4), pp. 31–37. </w:t>
      </w:r>
    </w:p>
    <w:p w14:paraId="07AC9127" w14:textId="77777777" w:rsidR="00C81FC4" w:rsidRDefault="00C81FC4" w:rsidP="00C81FC4">
      <w:pPr>
        <w:rPr>
          <w:sz w:val="24"/>
          <w:szCs w:val="24"/>
        </w:rPr>
      </w:pPr>
      <w:r w:rsidRPr="008E548F">
        <w:rPr>
          <w:color w:val="auto"/>
          <w:sz w:val="24"/>
          <w:szCs w:val="24"/>
        </w:rPr>
        <w:t>Birdsall, N. and Boulton, L. (2022) 'Theorising victim decision making in the police response to domestic abuse,' </w:t>
      </w:r>
      <w:r w:rsidRPr="008E548F">
        <w:rPr>
          <w:i/>
          <w:iCs/>
          <w:color w:val="auto"/>
          <w:sz w:val="24"/>
          <w:szCs w:val="24"/>
          <w:bdr w:val="single" w:sz="2" w:space="0" w:color="ECEDEE" w:frame="1"/>
        </w:rPr>
        <w:t>International Review of Victimology</w:t>
      </w:r>
      <w:r w:rsidRPr="008E548F">
        <w:rPr>
          <w:color w:val="auto"/>
          <w:sz w:val="24"/>
          <w:szCs w:val="24"/>
        </w:rPr>
        <w:t>, 28(3), pp. 330–344. </w:t>
      </w:r>
    </w:p>
    <w:p w14:paraId="02493966" w14:textId="77777777" w:rsidR="00C81FC4" w:rsidRPr="00486835" w:rsidRDefault="00C81FC4" w:rsidP="00C81FC4">
      <w:pPr>
        <w:rPr>
          <w:color w:val="auto"/>
          <w:sz w:val="24"/>
          <w:szCs w:val="24"/>
        </w:rPr>
      </w:pPr>
      <w:r w:rsidRPr="00486835">
        <w:rPr>
          <w:color w:val="auto"/>
          <w:sz w:val="24"/>
          <w:szCs w:val="24"/>
        </w:rPr>
        <w:t>Boethius, S. and Åkerström, M. (2020) 'Revealing hidden realities: disclosing domestic abuse to informal others,' </w:t>
      </w:r>
      <w:r w:rsidRPr="00486835">
        <w:rPr>
          <w:i/>
          <w:iCs/>
          <w:color w:val="auto"/>
          <w:sz w:val="24"/>
          <w:szCs w:val="24"/>
          <w:bdr w:val="single" w:sz="2" w:space="0" w:color="ECEDEE" w:frame="1"/>
        </w:rPr>
        <w:t>Nordic Journal of Criminology</w:t>
      </w:r>
      <w:r w:rsidRPr="00486835">
        <w:rPr>
          <w:color w:val="auto"/>
          <w:sz w:val="24"/>
          <w:szCs w:val="24"/>
        </w:rPr>
        <w:t>, 21(2), pp. 186–202. </w:t>
      </w:r>
    </w:p>
    <w:p w14:paraId="4E2BA252" w14:textId="77777777" w:rsidR="00C81FC4" w:rsidRDefault="00C81FC4" w:rsidP="00C81FC4">
      <w:pPr>
        <w:rPr>
          <w:sz w:val="24"/>
          <w:szCs w:val="24"/>
        </w:rPr>
      </w:pPr>
      <w:r w:rsidRPr="005673C1">
        <w:rPr>
          <w:sz w:val="24"/>
          <w:szCs w:val="24"/>
        </w:rPr>
        <w:t>Borton, T. (1970</w:t>
      </w:r>
      <w:r w:rsidRPr="005673C1">
        <w:rPr>
          <w:i/>
          <w:iCs/>
          <w:sz w:val="24"/>
          <w:szCs w:val="24"/>
        </w:rPr>
        <w:t>) Reach Touch and Teach</w:t>
      </w:r>
      <w:r w:rsidRPr="005673C1">
        <w:rPr>
          <w:sz w:val="24"/>
          <w:szCs w:val="24"/>
        </w:rPr>
        <w:t>. New York: McGraw-Hill Paperbacks</w:t>
      </w:r>
    </w:p>
    <w:p w14:paraId="7AFEFA55" w14:textId="77777777" w:rsidR="00C81FC4" w:rsidRDefault="00C81FC4" w:rsidP="00C81FC4">
      <w:pPr>
        <w:rPr>
          <w:sz w:val="24"/>
          <w:szCs w:val="24"/>
        </w:rPr>
      </w:pPr>
      <w:r w:rsidRPr="00486835">
        <w:rPr>
          <w:color w:val="auto"/>
          <w:sz w:val="24"/>
          <w:szCs w:val="24"/>
        </w:rPr>
        <w:t>Boxall, H. and Morgan, A. (2020) </w:t>
      </w:r>
      <w:r w:rsidRPr="00486835">
        <w:rPr>
          <w:i/>
          <w:iCs/>
          <w:color w:val="auto"/>
          <w:sz w:val="24"/>
          <w:szCs w:val="24"/>
          <w:bdr w:val="single" w:sz="2" w:space="0" w:color="ECEDEE" w:frame="1"/>
        </w:rPr>
        <w:t>Repeat domestic and family violence among young people</w:t>
      </w:r>
      <w:r w:rsidRPr="00486835">
        <w:rPr>
          <w:color w:val="auto"/>
          <w:sz w:val="24"/>
          <w:szCs w:val="24"/>
        </w:rPr>
        <w:t>. </w:t>
      </w:r>
    </w:p>
    <w:p w14:paraId="22D677DB" w14:textId="77777777" w:rsidR="00C81FC4" w:rsidRPr="005673C1" w:rsidRDefault="00C81FC4" w:rsidP="00C81FC4">
      <w:pPr>
        <w:rPr>
          <w:sz w:val="24"/>
          <w:szCs w:val="24"/>
        </w:rPr>
      </w:pPr>
      <w:r w:rsidRPr="008E548F">
        <w:rPr>
          <w:color w:val="auto"/>
          <w:sz w:val="24"/>
          <w:szCs w:val="24"/>
        </w:rPr>
        <w:t>Callaghan, J. </w:t>
      </w:r>
      <w:r w:rsidRPr="008E548F">
        <w:rPr>
          <w:i/>
          <w:iCs/>
          <w:color w:val="auto"/>
          <w:sz w:val="24"/>
          <w:szCs w:val="24"/>
          <w:bdr w:val="single" w:sz="2" w:space="0" w:color="ECEDEE" w:frame="1"/>
        </w:rPr>
        <w:t>et al.</w:t>
      </w:r>
      <w:r w:rsidRPr="008E548F">
        <w:rPr>
          <w:color w:val="auto"/>
          <w:sz w:val="24"/>
          <w:szCs w:val="24"/>
        </w:rPr>
        <w:t> (2015) 'Beyond “Witnessing”: Children’s experiences of coercive control in domestic violence and abuse,' </w:t>
      </w:r>
      <w:r w:rsidRPr="008E548F">
        <w:rPr>
          <w:i/>
          <w:iCs/>
          <w:color w:val="auto"/>
          <w:sz w:val="24"/>
          <w:szCs w:val="24"/>
          <w:bdr w:val="single" w:sz="2" w:space="0" w:color="ECEDEE" w:frame="1"/>
        </w:rPr>
        <w:t>Journal of Interpersonal Violence</w:t>
      </w:r>
      <w:r w:rsidRPr="008E548F">
        <w:rPr>
          <w:color w:val="auto"/>
          <w:sz w:val="24"/>
          <w:szCs w:val="24"/>
        </w:rPr>
        <w:t>, 33(10), pp. 1551–1581. </w:t>
      </w:r>
    </w:p>
    <w:p w14:paraId="18C0D278" w14:textId="77777777" w:rsidR="00C81FC4" w:rsidRPr="005673C1" w:rsidRDefault="00C81FC4" w:rsidP="00C81FC4">
      <w:pPr>
        <w:rPr>
          <w:color w:val="05103E"/>
          <w:sz w:val="24"/>
          <w:szCs w:val="24"/>
          <w:bdr w:val="single" w:sz="2" w:space="0" w:color="ECEDEE" w:frame="1"/>
        </w:rPr>
      </w:pPr>
      <w:r w:rsidRPr="005673C1">
        <w:rPr>
          <w:sz w:val="24"/>
          <w:szCs w:val="24"/>
          <w:bdr w:val="single" w:sz="2" w:space="0" w:color="ECEDEE" w:frame="1"/>
        </w:rPr>
        <w:t>College of Policing</w:t>
      </w:r>
      <w:r w:rsidRPr="005673C1">
        <w:rPr>
          <w:sz w:val="24"/>
          <w:szCs w:val="24"/>
        </w:rPr>
        <w:t> (2013). </w:t>
      </w:r>
      <w:r w:rsidRPr="005673C1">
        <w:rPr>
          <w:i/>
          <w:iCs/>
          <w:sz w:val="24"/>
          <w:szCs w:val="24"/>
          <w:bdr w:val="single" w:sz="2" w:space="0" w:color="ECEDEE" w:frame="1"/>
        </w:rPr>
        <w:t>Briefing and debriefing</w:t>
      </w:r>
      <w:r w:rsidRPr="005673C1">
        <w:rPr>
          <w:sz w:val="24"/>
          <w:szCs w:val="24"/>
        </w:rPr>
        <w:t>.</w:t>
      </w:r>
      <w:r w:rsidRPr="005673C1">
        <w:rPr>
          <w:color w:val="05103E"/>
          <w:sz w:val="24"/>
          <w:szCs w:val="24"/>
        </w:rPr>
        <w:t> </w:t>
      </w:r>
      <w:hyperlink r:id="rId17" w:history="1">
        <w:r w:rsidRPr="005673C1">
          <w:rPr>
            <w:rStyle w:val="Hyperlink"/>
            <w:sz w:val="24"/>
            <w:szCs w:val="24"/>
            <w:bdr w:val="single" w:sz="2" w:space="0" w:color="ECEDEE" w:frame="1"/>
          </w:rPr>
          <w:t>https://www.college.police.uk/app/operations/briefing-and-debriefing</w:t>
        </w:r>
      </w:hyperlink>
      <w:r w:rsidRPr="005673C1">
        <w:rPr>
          <w:color w:val="05103E"/>
          <w:sz w:val="24"/>
          <w:szCs w:val="24"/>
          <w:bdr w:val="single" w:sz="2" w:space="0" w:color="ECEDEE" w:frame="1"/>
        </w:rPr>
        <w:t xml:space="preserve"> (Accessed: 29</w:t>
      </w:r>
      <w:r w:rsidRPr="005673C1">
        <w:rPr>
          <w:color w:val="05103E"/>
          <w:sz w:val="24"/>
          <w:szCs w:val="24"/>
          <w:bdr w:val="single" w:sz="2" w:space="0" w:color="ECEDEE" w:frame="1"/>
          <w:vertAlign w:val="superscript"/>
        </w:rPr>
        <w:t>th</w:t>
      </w:r>
      <w:r w:rsidRPr="005673C1">
        <w:rPr>
          <w:color w:val="05103E"/>
          <w:sz w:val="24"/>
          <w:szCs w:val="24"/>
          <w:bdr w:val="single" w:sz="2" w:space="0" w:color="ECEDEE" w:frame="1"/>
        </w:rPr>
        <w:t xml:space="preserve"> October 2023)</w:t>
      </w:r>
    </w:p>
    <w:p w14:paraId="38570B21" w14:textId="77777777" w:rsidR="00C81FC4" w:rsidRPr="005673C1" w:rsidRDefault="00C81FC4" w:rsidP="00C81FC4">
      <w:pPr>
        <w:rPr>
          <w:color w:val="05103E"/>
          <w:sz w:val="24"/>
          <w:szCs w:val="24"/>
        </w:rPr>
      </w:pPr>
      <w:r w:rsidRPr="005673C1">
        <w:rPr>
          <w:i/>
          <w:iCs/>
          <w:sz w:val="24"/>
          <w:szCs w:val="24"/>
          <w:bdr w:val="single" w:sz="2" w:space="0" w:color="ECEDEE" w:frame="1"/>
        </w:rPr>
        <w:t>College of Policing</w:t>
      </w:r>
      <w:r w:rsidRPr="005673C1">
        <w:rPr>
          <w:sz w:val="24"/>
          <w:szCs w:val="24"/>
        </w:rPr>
        <w:t> (2013). </w:t>
      </w:r>
      <w:r w:rsidRPr="005673C1">
        <w:rPr>
          <w:i/>
          <w:iCs/>
          <w:sz w:val="24"/>
          <w:szCs w:val="24"/>
          <w:bdr w:val="single" w:sz="2" w:space="0" w:color="ECEDEE" w:frame="1"/>
        </w:rPr>
        <w:t>Managing effective investigations</w:t>
      </w:r>
      <w:r w:rsidRPr="005673C1">
        <w:rPr>
          <w:color w:val="05103E"/>
          <w:sz w:val="24"/>
          <w:szCs w:val="24"/>
        </w:rPr>
        <w:t>. </w:t>
      </w:r>
      <w:hyperlink r:id="rId18" w:history="1">
        <w:r w:rsidRPr="005673C1">
          <w:rPr>
            <w:rStyle w:val="Hyperlink"/>
            <w:sz w:val="24"/>
            <w:szCs w:val="24"/>
            <w:bdr w:val="single" w:sz="2" w:space="0" w:color="ECEDEE" w:frame="1"/>
          </w:rPr>
          <w:t>https://www.college.police.uk/app/investigation/managing-effective-investigations</w:t>
        </w:r>
      </w:hyperlink>
      <w:r w:rsidRPr="005673C1">
        <w:rPr>
          <w:color w:val="05103E"/>
          <w:sz w:val="24"/>
          <w:szCs w:val="24"/>
        </w:rPr>
        <w:t>. (Accessed 29</w:t>
      </w:r>
      <w:r w:rsidRPr="005673C1">
        <w:rPr>
          <w:color w:val="05103E"/>
          <w:sz w:val="24"/>
          <w:szCs w:val="24"/>
          <w:vertAlign w:val="superscript"/>
        </w:rPr>
        <w:t>th</w:t>
      </w:r>
      <w:r w:rsidRPr="005673C1">
        <w:rPr>
          <w:color w:val="05103E"/>
          <w:sz w:val="24"/>
          <w:szCs w:val="24"/>
        </w:rPr>
        <w:t xml:space="preserve"> October 2023).</w:t>
      </w:r>
    </w:p>
    <w:p w14:paraId="7E52BA0A" w14:textId="77777777" w:rsidR="00C81FC4" w:rsidRDefault="00C81FC4" w:rsidP="00C81FC4">
      <w:pPr>
        <w:rPr>
          <w:sz w:val="24"/>
          <w:szCs w:val="24"/>
        </w:rPr>
      </w:pPr>
      <w:r w:rsidRPr="005673C1">
        <w:rPr>
          <w:sz w:val="24"/>
          <w:szCs w:val="24"/>
        </w:rPr>
        <w:t xml:space="preserve">College of Policing (2021) </w:t>
      </w:r>
      <w:r w:rsidRPr="005673C1">
        <w:rPr>
          <w:i/>
          <w:iCs/>
          <w:sz w:val="24"/>
          <w:szCs w:val="24"/>
        </w:rPr>
        <w:t>Victims Code for Policing</w:t>
      </w:r>
      <w:r w:rsidRPr="005673C1">
        <w:rPr>
          <w:sz w:val="24"/>
          <w:szCs w:val="24"/>
        </w:rPr>
        <w:t xml:space="preserve">. Available at: </w:t>
      </w:r>
      <w:r w:rsidRPr="005673C1">
        <w:rPr>
          <w:sz w:val="24"/>
          <w:szCs w:val="24"/>
          <w:u w:val="single"/>
        </w:rPr>
        <w:t>https://www.college.police.uk/guidance/victims-code/victims-rights-policing</w:t>
      </w:r>
      <w:r w:rsidRPr="005673C1">
        <w:rPr>
          <w:sz w:val="24"/>
          <w:szCs w:val="24"/>
        </w:rPr>
        <w:t xml:space="preserve"> (Accessed: 29</w:t>
      </w:r>
      <w:r w:rsidRPr="005673C1">
        <w:rPr>
          <w:sz w:val="24"/>
          <w:szCs w:val="24"/>
          <w:vertAlign w:val="superscript"/>
        </w:rPr>
        <w:t>th</w:t>
      </w:r>
      <w:r w:rsidRPr="005673C1">
        <w:rPr>
          <w:sz w:val="24"/>
          <w:szCs w:val="24"/>
        </w:rPr>
        <w:t xml:space="preserve"> October 2023).</w:t>
      </w:r>
    </w:p>
    <w:p w14:paraId="46B815A8" w14:textId="77777777" w:rsidR="00C81FC4" w:rsidRDefault="00C81FC4" w:rsidP="00C81FC4">
      <w:pPr>
        <w:rPr>
          <w:sz w:val="24"/>
          <w:szCs w:val="24"/>
        </w:rPr>
      </w:pPr>
      <w:r w:rsidRPr="00486835">
        <w:rPr>
          <w:color w:val="auto"/>
          <w:sz w:val="24"/>
          <w:szCs w:val="24"/>
        </w:rPr>
        <w:t>Cordier, R. </w:t>
      </w:r>
      <w:r w:rsidRPr="00486835">
        <w:rPr>
          <w:i/>
          <w:iCs/>
          <w:color w:val="auto"/>
          <w:sz w:val="24"/>
          <w:szCs w:val="24"/>
          <w:bdr w:val="single" w:sz="2" w:space="0" w:color="ECEDEE" w:frame="1"/>
        </w:rPr>
        <w:t>et al.</w:t>
      </w:r>
      <w:r w:rsidRPr="00486835">
        <w:rPr>
          <w:color w:val="auto"/>
          <w:sz w:val="24"/>
          <w:szCs w:val="24"/>
        </w:rPr>
        <w:t> (2019) 'The Effectiveness of Protection Orders in Reducing Recidivism in Domestic Violence: A Systematic Review and Meta-Analysis,' </w:t>
      </w:r>
      <w:r w:rsidRPr="00486835">
        <w:rPr>
          <w:i/>
          <w:iCs/>
          <w:color w:val="auto"/>
          <w:sz w:val="24"/>
          <w:szCs w:val="24"/>
          <w:bdr w:val="single" w:sz="2" w:space="0" w:color="ECEDEE" w:frame="1"/>
        </w:rPr>
        <w:t>Trauma, Violence, &amp; Abuse</w:t>
      </w:r>
      <w:r w:rsidRPr="00486835">
        <w:rPr>
          <w:color w:val="auto"/>
          <w:sz w:val="24"/>
          <w:szCs w:val="24"/>
        </w:rPr>
        <w:t>, 22(4), pp. 804–828. </w:t>
      </w:r>
    </w:p>
    <w:p w14:paraId="1F23A9F8" w14:textId="77777777" w:rsidR="00C81FC4" w:rsidRPr="00486835" w:rsidRDefault="00C81FC4" w:rsidP="00C81FC4">
      <w:pPr>
        <w:rPr>
          <w:color w:val="auto"/>
          <w:sz w:val="24"/>
          <w:szCs w:val="24"/>
        </w:rPr>
      </w:pPr>
      <w:r w:rsidRPr="008E548F">
        <w:rPr>
          <w:color w:val="auto"/>
          <w:sz w:val="24"/>
          <w:szCs w:val="24"/>
        </w:rPr>
        <w:t>Cox, M.A. (2019) </w:t>
      </w:r>
      <w:r w:rsidRPr="008E548F">
        <w:rPr>
          <w:i/>
          <w:iCs/>
          <w:color w:val="auto"/>
          <w:sz w:val="24"/>
          <w:szCs w:val="24"/>
          <w:bdr w:val="single" w:sz="2" w:space="0" w:color="ECEDEE" w:frame="1"/>
        </w:rPr>
        <w:t>Child abuse and crime: Testing in the 'Cycle of Violence' theory</w:t>
      </w:r>
      <w:r w:rsidRPr="008E548F">
        <w:rPr>
          <w:color w:val="auto"/>
          <w:sz w:val="24"/>
          <w:szCs w:val="24"/>
        </w:rPr>
        <w:t>. </w:t>
      </w:r>
    </w:p>
    <w:p w14:paraId="363C6410" w14:textId="77777777" w:rsidR="00C81FC4" w:rsidRDefault="00C81FC4" w:rsidP="00C81FC4">
      <w:pPr>
        <w:rPr>
          <w:sz w:val="24"/>
          <w:szCs w:val="24"/>
        </w:rPr>
      </w:pPr>
      <w:r w:rsidRPr="005673C1">
        <w:rPr>
          <w:sz w:val="24"/>
          <w:szCs w:val="24"/>
        </w:rPr>
        <w:t xml:space="preserve">Driscoll, J. (1994) </w:t>
      </w:r>
      <w:r w:rsidRPr="005673C1">
        <w:rPr>
          <w:i/>
          <w:iCs/>
          <w:sz w:val="24"/>
          <w:szCs w:val="24"/>
        </w:rPr>
        <w:t>Reflective practice for practise. Senior Nurse</w:t>
      </w:r>
      <w:r w:rsidRPr="005673C1">
        <w:rPr>
          <w:sz w:val="24"/>
          <w:szCs w:val="24"/>
        </w:rPr>
        <w:t>, 14(1), pp.47-50.</w:t>
      </w:r>
    </w:p>
    <w:p w14:paraId="45D792E7" w14:textId="77777777" w:rsidR="00C81FC4" w:rsidRDefault="00C81FC4" w:rsidP="00C81FC4">
      <w:pPr>
        <w:rPr>
          <w:rStyle w:val="url"/>
          <w:color w:val="05103E"/>
          <w:sz w:val="24"/>
          <w:szCs w:val="24"/>
          <w:bdr w:val="single" w:sz="2" w:space="0" w:color="ECEDEE" w:frame="1"/>
        </w:rPr>
      </w:pPr>
      <w:proofErr w:type="spellStart"/>
      <w:r w:rsidRPr="008E548F">
        <w:rPr>
          <w:color w:val="auto"/>
          <w:sz w:val="24"/>
          <w:szCs w:val="24"/>
        </w:rPr>
        <w:t>Einnovate</w:t>
      </w:r>
      <w:proofErr w:type="spellEnd"/>
      <w:r w:rsidRPr="008E548F">
        <w:rPr>
          <w:color w:val="auto"/>
          <w:sz w:val="24"/>
          <w:szCs w:val="24"/>
        </w:rPr>
        <w:t xml:space="preserve"> (2023) </w:t>
      </w:r>
      <w:r w:rsidRPr="008E548F">
        <w:rPr>
          <w:i/>
          <w:iCs/>
          <w:color w:val="auto"/>
          <w:sz w:val="24"/>
          <w:szCs w:val="24"/>
          <w:bdr w:val="single" w:sz="2" w:space="0" w:color="ECEDEE" w:frame="1"/>
        </w:rPr>
        <w:t>Domestic Abuse Statistics UK, NCDV</w:t>
      </w:r>
      <w:r w:rsidRPr="008E548F">
        <w:rPr>
          <w:color w:val="auto"/>
          <w:sz w:val="24"/>
          <w:szCs w:val="24"/>
        </w:rPr>
        <w:t>. </w:t>
      </w:r>
      <w:hyperlink r:id="rId19" w:anchor=":~:text=It%20is%20estimated%20that%20less,is%20reported%20to%20the%20police" w:history="1">
        <w:r w:rsidRPr="008E548F">
          <w:rPr>
            <w:rStyle w:val="Hyperlink"/>
            <w:sz w:val="24"/>
            <w:szCs w:val="24"/>
            <w:bdr w:val="single" w:sz="2" w:space="0" w:color="ECEDEE" w:frame="1"/>
          </w:rPr>
          <w:t>https://www.ncdv.org.uk/domestic-abuse-statistics-uk/#:~:text=It%20is%20estimated%20that%20less,is%20reported%20to%20the%20police</w:t>
        </w:r>
      </w:hyperlink>
      <w:r w:rsidRPr="008E548F">
        <w:rPr>
          <w:rStyle w:val="url"/>
          <w:color w:val="05103E"/>
          <w:sz w:val="24"/>
          <w:szCs w:val="24"/>
          <w:bdr w:val="single" w:sz="2" w:space="0" w:color="ECEDEE" w:frame="1"/>
        </w:rPr>
        <w:t>. (Accessed: 4</w:t>
      </w:r>
      <w:r w:rsidRPr="008E548F">
        <w:rPr>
          <w:rStyle w:val="url"/>
          <w:color w:val="05103E"/>
          <w:sz w:val="24"/>
          <w:szCs w:val="24"/>
          <w:bdr w:val="single" w:sz="2" w:space="0" w:color="ECEDEE" w:frame="1"/>
          <w:vertAlign w:val="superscript"/>
        </w:rPr>
        <w:t>th</w:t>
      </w:r>
      <w:r w:rsidRPr="008E548F">
        <w:rPr>
          <w:rStyle w:val="url"/>
          <w:color w:val="05103E"/>
          <w:sz w:val="24"/>
          <w:szCs w:val="24"/>
          <w:bdr w:val="single" w:sz="2" w:space="0" w:color="ECEDEE" w:frame="1"/>
        </w:rPr>
        <w:t xml:space="preserve"> of March 2024).</w:t>
      </w:r>
    </w:p>
    <w:p w14:paraId="7A2B80A1" w14:textId="77777777" w:rsidR="00C81FC4" w:rsidRPr="00CD7680" w:rsidRDefault="00C81FC4" w:rsidP="00C81FC4">
      <w:pPr>
        <w:rPr>
          <w:color w:val="auto"/>
          <w:sz w:val="24"/>
          <w:szCs w:val="24"/>
        </w:rPr>
      </w:pPr>
      <w:r w:rsidRPr="008E548F">
        <w:rPr>
          <w:color w:val="auto"/>
          <w:sz w:val="24"/>
          <w:szCs w:val="24"/>
        </w:rPr>
        <w:t>Ford, K. </w:t>
      </w:r>
      <w:r w:rsidRPr="008E548F">
        <w:rPr>
          <w:i/>
          <w:iCs/>
          <w:color w:val="auto"/>
          <w:sz w:val="24"/>
          <w:szCs w:val="24"/>
          <w:bdr w:val="single" w:sz="2" w:space="0" w:color="ECEDEE" w:frame="1"/>
        </w:rPr>
        <w:t>et al.</w:t>
      </w:r>
      <w:r w:rsidRPr="008E548F">
        <w:rPr>
          <w:color w:val="auto"/>
          <w:sz w:val="24"/>
          <w:szCs w:val="24"/>
        </w:rPr>
        <w:t> (2019) 'Understanding the outcome of police safeguarding notifications to social services in South Wales,' </w:t>
      </w:r>
      <w:r w:rsidRPr="008E548F">
        <w:rPr>
          <w:i/>
          <w:iCs/>
          <w:color w:val="auto"/>
          <w:sz w:val="24"/>
          <w:szCs w:val="24"/>
          <w:bdr w:val="single" w:sz="2" w:space="0" w:color="ECEDEE" w:frame="1"/>
        </w:rPr>
        <w:t>The Police Journal</w:t>
      </w:r>
      <w:r w:rsidRPr="008E548F">
        <w:rPr>
          <w:color w:val="auto"/>
          <w:sz w:val="24"/>
          <w:szCs w:val="24"/>
        </w:rPr>
        <w:t>, 93(2), pp. 87–108. </w:t>
      </w:r>
    </w:p>
    <w:p w14:paraId="71F2A316" w14:textId="77777777" w:rsidR="00C81FC4" w:rsidRDefault="00C81FC4" w:rsidP="00C81FC4">
      <w:pPr>
        <w:rPr>
          <w:sz w:val="24"/>
          <w:szCs w:val="24"/>
        </w:rPr>
      </w:pPr>
      <w:r w:rsidRPr="00BC215E">
        <w:rPr>
          <w:sz w:val="24"/>
          <w:szCs w:val="24"/>
        </w:rPr>
        <w:lastRenderedPageBreak/>
        <w:t xml:space="preserve">Franklin, C.A., Garza, A.D. and Bouffard, L.A. (2019) </w:t>
      </w:r>
      <w:r w:rsidRPr="00BC215E">
        <w:rPr>
          <w:i/>
          <w:iCs/>
          <w:sz w:val="24"/>
          <w:szCs w:val="24"/>
        </w:rPr>
        <w:t xml:space="preserve">'Police Perceptions of Crime Victim </w:t>
      </w:r>
      <w:proofErr w:type="spellStart"/>
      <w:r w:rsidRPr="00BC215E">
        <w:rPr>
          <w:i/>
          <w:iCs/>
          <w:sz w:val="24"/>
          <w:szCs w:val="24"/>
        </w:rPr>
        <w:t>Behaviors</w:t>
      </w:r>
      <w:proofErr w:type="spellEnd"/>
      <w:r w:rsidRPr="00BC215E">
        <w:rPr>
          <w:i/>
          <w:iCs/>
          <w:sz w:val="24"/>
          <w:szCs w:val="24"/>
        </w:rPr>
        <w:t>: A Trend analysis exploring mandatory training and knowledge of sexual and domestic violence survivors’ trauma responses</w:t>
      </w:r>
      <w:r w:rsidRPr="00BC215E">
        <w:rPr>
          <w:sz w:val="24"/>
          <w:szCs w:val="24"/>
        </w:rPr>
        <w:t>,' </w:t>
      </w:r>
      <w:r w:rsidRPr="00BC215E">
        <w:rPr>
          <w:i/>
          <w:iCs/>
          <w:sz w:val="24"/>
          <w:szCs w:val="24"/>
          <w:bdr w:val="single" w:sz="2" w:space="0" w:color="ECEDEE" w:frame="1"/>
        </w:rPr>
        <w:t>Crime &amp; Delinquency</w:t>
      </w:r>
      <w:r w:rsidRPr="00BC215E">
        <w:rPr>
          <w:sz w:val="24"/>
          <w:szCs w:val="24"/>
        </w:rPr>
        <w:t>, 66(8), pp. 1055–</w:t>
      </w:r>
      <w:proofErr w:type="gramStart"/>
      <w:r w:rsidRPr="00BC215E">
        <w:rPr>
          <w:sz w:val="24"/>
          <w:szCs w:val="24"/>
        </w:rPr>
        <w:t>1086</w:t>
      </w:r>
      <w:proofErr w:type="gramEnd"/>
    </w:p>
    <w:p w14:paraId="046773EA" w14:textId="77777777" w:rsidR="00C81FC4" w:rsidRDefault="00C81FC4" w:rsidP="00C81FC4">
      <w:pPr>
        <w:rPr>
          <w:sz w:val="24"/>
          <w:szCs w:val="24"/>
        </w:rPr>
      </w:pPr>
      <w:r w:rsidRPr="008E548F">
        <w:rPr>
          <w:color w:val="auto"/>
          <w:sz w:val="24"/>
          <w:szCs w:val="24"/>
        </w:rPr>
        <w:t>Heron, R.L. and Eisma, M.C. (2021) 'Barriers and facilitators of disclosing domestic violence to the healthcare service: A systematic review of qualitative research,' </w:t>
      </w:r>
      <w:r w:rsidRPr="008E548F">
        <w:rPr>
          <w:i/>
          <w:iCs/>
          <w:color w:val="auto"/>
          <w:sz w:val="24"/>
          <w:szCs w:val="24"/>
          <w:bdr w:val="single" w:sz="2" w:space="0" w:color="ECEDEE" w:frame="1"/>
        </w:rPr>
        <w:t>Health &amp; Social Care in the Community</w:t>
      </w:r>
      <w:r w:rsidRPr="008E548F">
        <w:rPr>
          <w:color w:val="auto"/>
          <w:sz w:val="24"/>
          <w:szCs w:val="24"/>
        </w:rPr>
        <w:t>, 29(3), pp. 612–630. </w:t>
      </w:r>
    </w:p>
    <w:p w14:paraId="0FD6814C" w14:textId="77777777" w:rsidR="00C81FC4" w:rsidRDefault="00C81FC4" w:rsidP="00C81FC4">
      <w:pPr>
        <w:rPr>
          <w:rFonts w:cstheme="minorHAnsi"/>
          <w:sz w:val="24"/>
          <w:szCs w:val="24"/>
          <w:shd w:val="clear" w:color="auto" w:fill="FFFFFF"/>
        </w:rPr>
      </w:pPr>
      <w:r w:rsidRPr="008E548F">
        <w:rPr>
          <w:rFonts w:asciiTheme="minorHAnsi" w:hAnsiTheme="minorHAnsi" w:cstheme="minorHAnsi"/>
          <w:color w:val="auto"/>
          <w:sz w:val="24"/>
          <w:szCs w:val="24"/>
          <w:shd w:val="clear" w:color="auto" w:fill="FFFFFF"/>
        </w:rPr>
        <w:t>HMICFRS, 2019. The police response to domestic abuse: An update report.</w:t>
      </w:r>
    </w:p>
    <w:p w14:paraId="332AF74F" w14:textId="77777777" w:rsidR="00C81FC4" w:rsidRPr="00CD7680" w:rsidRDefault="00C81FC4" w:rsidP="00C81FC4">
      <w:pPr>
        <w:rPr>
          <w:rFonts w:cstheme="minorBidi"/>
          <w:sz w:val="24"/>
          <w:szCs w:val="24"/>
        </w:rPr>
      </w:pPr>
      <w:r w:rsidRPr="008E548F">
        <w:rPr>
          <w:color w:val="auto"/>
          <w:sz w:val="24"/>
          <w:szCs w:val="24"/>
        </w:rPr>
        <w:t>Htun, M. and Jensenius, F.R. (2020) 'Fighting Violence Against Women: Laws, Norms &amp; Challenges Ahead,' </w:t>
      </w:r>
      <w:r w:rsidRPr="008E548F">
        <w:rPr>
          <w:i/>
          <w:iCs/>
          <w:color w:val="auto"/>
          <w:sz w:val="24"/>
          <w:szCs w:val="24"/>
          <w:bdr w:val="single" w:sz="2" w:space="0" w:color="ECEDEE" w:frame="1"/>
        </w:rPr>
        <w:t>Daedalus</w:t>
      </w:r>
      <w:r w:rsidRPr="008E548F">
        <w:rPr>
          <w:color w:val="auto"/>
          <w:sz w:val="24"/>
          <w:szCs w:val="24"/>
        </w:rPr>
        <w:t>, 149(1), pp. 144–159. </w:t>
      </w:r>
    </w:p>
    <w:p w14:paraId="125E5C1B" w14:textId="77777777" w:rsidR="00C81FC4" w:rsidRPr="00486835" w:rsidRDefault="00C81FC4" w:rsidP="00C81FC4">
      <w:pPr>
        <w:rPr>
          <w:b/>
          <w:bCs/>
          <w:sz w:val="22"/>
          <w:szCs w:val="22"/>
        </w:rPr>
      </w:pPr>
      <w:r w:rsidRPr="00486835">
        <w:rPr>
          <w:color w:val="auto"/>
          <w:sz w:val="22"/>
          <w:szCs w:val="22"/>
        </w:rPr>
        <w:t>McPhee, D. </w:t>
      </w:r>
      <w:r w:rsidRPr="00486835">
        <w:rPr>
          <w:i/>
          <w:iCs/>
          <w:color w:val="auto"/>
          <w:sz w:val="22"/>
          <w:szCs w:val="22"/>
          <w:bdr w:val="single" w:sz="2" w:space="0" w:color="ECEDEE" w:frame="1"/>
        </w:rPr>
        <w:t>et al.</w:t>
      </w:r>
      <w:r w:rsidRPr="00486835">
        <w:rPr>
          <w:color w:val="auto"/>
          <w:sz w:val="22"/>
          <w:szCs w:val="22"/>
        </w:rPr>
        <w:t> (2021) 'Criminal justice responses to domestic violence and abuse in England: an analysis of case attrition and inequalities using police data,' </w:t>
      </w:r>
      <w:r w:rsidRPr="00486835">
        <w:rPr>
          <w:i/>
          <w:iCs/>
          <w:color w:val="auto"/>
          <w:sz w:val="22"/>
          <w:szCs w:val="22"/>
          <w:bdr w:val="single" w:sz="2" w:space="0" w:color="ECEDEE" w:frame="1"/>
        </w:rPr>
        <w:t>Policing &amp; Society</w:t>
      </w:r>
      <w:r w:rsidRPr="00486835">
        <w:rPr>
          <w:color w:val="auto"/>
          <w:sz w:val="22"/>
          <w:szCs w:val="22"/>
        </w:rPr>
        <w:t>, 32(8), pp. 963–980. </w:t>
      </w:r>
    </w:p>
    <w:p w14:paraId="49003972" w14:textId="77777777" w:rsidR="00C81FC4" w:rsidRDefault="00C81FC4" w:rsidP="00C81FC4">
      <w:pPr>
        <w:rPr>
          <w:sz w:val="24"/>
          <w:szCs w:val="24"/>
        </w:rPr>
      </w:pPr>
      <w:r w:rsidRPr="00486835">
        <w:rPr>
          <w:color w:val="auto"/>
          <w:sz w:val="24"/>
          <w:szCs w:val="24"/>
        </w:rPr>
        <w:t>Miller, A.R. and Segal, C. (2018) 'Do female officers improve law enforcement quality? Effects on crime reporting and domestic violence,' </w:t>
      </w:r>
      <w:r w:rsidRPr="00486835">
        <w:rPr>
          <w:i/>
          <w:iCs/>
          <w:color w:val="auto"/>
          <w:sz w:val="24"/>
          <w:szCs w:val="24"/>
          <w:bdr w:val="single" w:sz="2" w:space="0" w:color="ECEDEE" w:frame="1"/>
        </w:rPr>
        <w:t>The Review of Economic Studies</w:t>
      </w:r>
      <w:r w:rsidRPr="00486835">
        <w:rPr>
          <w:color w:val="auto"/>
          <w:sz w:val="24"/>
          <w:szCs w:val="24"/>
        </w:rPr>
        <w:t>, 86(5), pp. 2220–2247. </w:t>
      </w:r>
    </w:p>
    <w:p w14:paraId="28A8A8C0" w14:textId="77777777" w:rsidR="00C81FC4" w:rsidRDefault="00C81FC4" w:rsidP="00C81FC4">
      <w:pPr>
        <w:rPr>
          <w:sz w:val="24"/>
          <w:szCs w:val="24"/>
        </w:rPr>
      </w:pPr>
      <w:r w:rsidRPr="008E548F">
        <w:rPr>
          <w:color w:val="auto"/>
          <w:sz w:val="24"/>
          <w:szCs w:val="24"/>
        </w:rPr>
        <w:t>Morton, S., Curran, M. and O’Gorman, M.B. (2022) 'Adverse Childhood Experiences, Domestic Violence and Substance Misuse: An Action Research study on routine enquiry and practice responses,' </w:t>
      </w:r>
      <w:r w:rsidRPr="008E548F">
        <w:rPr>
          <w:i/>
          <w:iCs/>
          <w:color w:val="auto"/>
          <w:sz w:val="24"/>
          <w:szCs w:val="24"/>
          <w:bdr w:val="single" w:sz="2" w:space="0" w:color="ECEDEE" w:frame="1"/>
        </w:rPr>
        <w:t>Frontiers in Psychiatry</w:t>
      </w:r>
      <w:r w:rsidRPr="008E548F">
        <w:rPr>
          <w:color w:val="auto"/>
          <w:sz w:val="24"/>
          <w:szCs w:val="24"/>
        </w:rPr>
        <w:t>, 13. </w:t>
      </w:r>
    </w:p>
    <w:p w14:paraId="695E9B86" w14:textId="77777777" w:rsidR="00C81FC4" w:rsidRPr="00CD7680" w:rsidRDefault="00C81FC4" w:rsidP="00C81FC4">
      <w:pPr>
        <w:rPr>
          <w:sz w:val="22"/>
          <w:szCs w:val="22"/>
        </w:rPr>
      </w:pPr>
      <w:r w:rsidRPr="008E548F">
        <w:rPr>
          <w:rFonts w:asciiTheme="minorHAnsi" w:hAnsiTheme="minorHAnsi" w:cstheme="minorHAnsi"/>
          <w:color w:val="auto"/>
          <w:sz w:val="24"/>
          <w:szCs w:val="24"/>
          <w:shd w:val="clear" w:color="auto" w:fill="FFFFFF"/>
        </w:rPr>
        <w:t>Office of National Statistics (ONS), 2019. Domestic abuse in England and Wales overview: November 2019.</w:t>
      </w:r>
      <w:r w:rsidRPr="008E548F">
        <w:rPr>
          <w:rFonts w:ascii="Open Sans" w:hAnsi="Open Sans" w:cs="Open Sans"/>
          <w:color w:val="auto"/>
          <w:shd w:val="clear" w:color="auto" w:fill="FFFFFF"/>
        </w:rPr>
        <w:t xml:space="preserve"> </w:t>
      </w:r>
      <w:hyperlink r:id="rId20" w:tgtFrame="_blank" w:history="1">
        <w:r>
          <w:rPr>
            <w:rStyle w:val="Hyperlink"/>
            <w:rFonts w:ascii="Open Sans" w:hAnsi="Open Sans" w:cs="Open Sans"/>
            <w:color w:val="10147E"/>
            <w:shd w:val="clear" w:color="auto" w:fill="FFFFFF"/>
          </w:rPr>
          <w:t>www.ons.gov.uk</w:t>
        </w:r>
      </w:hyperlink>
      <w:r>
        <w:t xml:space="preserve"> </w:t>
      </w:r>
      <w:r w:rsidRPr="008E548F">
        <w:rPr>
          <w:sz w:val="24"/>
          <w:szCs w:val="24"/>
        </w:rPr>
        <w:t>(Accessed: 1</w:t>
      </w:r>
      <w:r w:rsidRPr="008E548F">
        <w:rPr>
          <w:sz w:val="24"/>
          <w:szCs w:val="24"/>
          <w:vertAlign w:val="superscript"/>
        </w:rPr>
        <w:t>st</w:t>
      </w:r>
      <w:r w:rsidRPr="008E548F">
        <w:rPr>
          <w:sz w:val="24"/>
          <w:szCs w:val="24"/>
        </w:rPr>
        <w:t xml:space="preserve"> of March 2024)</w:t>
      </w:r>
    </w:p>
    <w:p w14:paraId="6D815259" w14:textId="77777777" w:rsidR="00C81FC4" w:rsidRDefault="00C81FC4" w:rsidP="00C81FC4">
      <w:pPr>
        <w:rPr>
          <w:sz w:val="24"/>
          <w:szCs w:val="24"/>
          <w:bdr w:val="single" w:sz="2" w:space="0" w:color="ECEDEE" w:frame="1"/>
        </w:rPr>
      </w:pPr>
      <w:r w:rsidRPr="005673C1">
        <w:rPr>
          <w:sz w:val="24"/>
          <w:szCs w:val="24"/>
        </w:rPr>
        <w:t xml:space="preserve">Office for National Statistics (2022) </w:t>
      </w:r>
      <w:r w:rsidRPr="005673C1">
        <w:rPr>
          <w:i/>
          <w:iCs/>
          <w:sz w:val="24"/>
          <w:szCs w:val="24"/>
        </w:rPr>
        <w:t>'Domestic abuse in England and Wales overview - Office for National Statistics</w:t>
      </w:r>
      <w:r w:rsidRPr="005673C1">
        <w:rPr>
          <w:sz w:val="24"/>
          <w:szCs w:val="24"/>
        </w:rPr>
        <w:t xml:space="preserve">,'. </w:t>
      </w:r>
      <w:r w:rsidRPr="005673C1">
        <w:rPr>
          <w:sz w:val="24"/>
          <w:szCs w:val="24"/>
          <w:bdr w:val="single" w:sz="2" w:space="0" w:color="ECEDEE" w:frame="1"/>
        </w:rPr>
        <w:t xml:space="preserve"> </w:t>
      </w:r>
      <w:hyperlink r:id="rId21" w:anchor="cite-this-statistical-bulletin" w:history="1">
        <w:r w:rsidRPr="005673C1">
          <w:rPr>
            <w:rStyle w:val="Hyperlink"/>
            <w:sz w:val="24"/>
            <w:szCs w:val="24"/>
            <w:bdr w:val="single" w:sz="2" w:space="0" w:color="ECEDEE" w:frame="1"/>
          </w:rPr>
          <w:t>https://www.ons.gov.uk/peoplepopulationandcommunity/crimeandjustice/bulletins/domesticabuseinenglandandwalesoverview/november2022#cite-this-statistical-bulletin</w:t>
        </w:r>
      </w:hyperlink>
      <w:r w:rsidRPr="005673C1">
        <w:rPr>
          <w:sz w:val="24"/>
          <w:szCs w:val="24"/>
          <w:bdr w:val="single" w:sz="2" w:space="0" w:color="ECEDEE" w:frame="1"/>
        </w:rPr>
        <w:t xml:space="preserve"> (Accessed: 28</w:t>
      </w:r>
      <w:r w:rsidRPr="005673C1">
        <w:rPr>
          <w:sz w:val="24"/>
          <w:szCs w:val="24"/>
          <w:bdr w:val="single" w:sz="2" w:space="0" w:color="ECEDEE" w:frame="1"/>
          <w:vertAlign w:val="superscript"/>
        </w:rPr>
        <w:t>th</w:t>
      </w:r>
      <w:r w:rsidRPr="005673C1">
        <w:rPr>
          <w:sz w:val="24"/>
          <w:szCs w:val="24"/>
          <w:bdr w:val="single" w:sz="2" w:space="0" w:color="ECEDEE" w:frame="1"/>
        </w:rPr>
        <w:t xml:space="preserve"> September 2023).</w:t>
      </w:r>
    </w:p>
    <w:p w14:paraId="1541050A" w14:textId="77777777" w:rsidR="00C81FC4" w:rsidRPr="00CD7680" w:rsidRDefault="00C81FC4" w:rsidP="00C81FC4">
      <w:pPr>
        <w:rPr>
          <w:sz w:val="24"/>
          <w:szCs w:val="24"/>
        </w:rPr>
      </w:pPr>
      <w:r w:rsidRPr="008E548F">
        <w:rPr>
          <w:color w:val="auto"/>
          <w:sz w:val="24"/>
          <w:szCs w:val="24"/>
        </w:rPr>
        <w:t>Rogers, M. and Parkinson, K. (2017) 'Exploring approaches to child welfare in contexts of domestic violence and abuse: Family group conferences,' </w:t>
      </w:r>
      <w:r w:rsidRPr="008E548F">
        <w:rPr>
          <w:i/>
          <w:iCs/>
          <w:color w:val="auto"/>
          <w:sz w:val="24"/>
          <w:szCs w:val="24"/>
          <w:bdr w:val="single" w:sz="2" w:space="0" w:color="ECEDEE" w:frame="1"/>
        </w:rPr>
        <w:t>Child &amp; Family Social Work</w:t>
      </w:r>
      <w:r w:rsidRPr="008E548F">
        <w:rPr>
          <w:color w:val="auto"/>
          <w:sz w:val="24"/>
          <w:szCs w:val="24"/>
        </w:rPr>
        <w:t>, 23(1), pp. 105–112. </w:t>
      </w:r>
    </w:p>
    <w:p w14:paraId="7A6B08E7" w14:textId="77777777" w:rsidR="00C81FC4" w:rsidRPr="00CD7680" w:rsidRDefault="00C81FC4" w:rsidP="00C81FC4">
      <w:pPr>
        <w:rPr>
          <w:sz w:val="24"/>
          <w:szCs w:val="24"/>
        </w:rPr>
      </w:pPr>
      <w:r w:rsidRPr="008E548F">
        <w:rPr>
          <w:color w:val="auto"/>
          <w:sz w:val="24"/>
          <w:szCs w:val="24"/>
        </w:rPr>
        <w:t>Sandhu, K. and Barrett, H. (2020) '“Should I stay, or should I go?”: The experiences of, and choices available to women of South Asian heritage living in the UK when leaving a relationship of choice following Intimate Partner Violence (IPV),' </w:t>
      </w:r>
      <w:r w:rsidRPr="008E548F">
        <w:rPr>
          <w:i/>
          <w:iCs/>
          <w:color w:val="auto"/>
          <w:sz w:val="24"/>
          <w:szCs w:val="24"/>
          <w:bdr w:val="single" w:sz="2" w:space="0" w:color="ECEDEE" w:frame="1"/>
        </w:rPr>
        <w:t>Social Sciences</w:t>
      </w:r>
      <w:r w:rsidRPr="008E548F">
        <w:rPr>
          <w:color w:val="auto"/>
          <w:sz w:val="24"/>
          <w:szCs w:val="24"/>
        </w:rPr>
        <w:t>, 9(9), p. 151. </w:t>
      </w:r>
    </w:p>
    <w:p w14:paraId="77416F90" w14:textId="77777777" w:rsidR="00C81FC4" w:rsidRDefault="00C81FC4" w:rsidP="00C81FC4">
      <w:pPr>
        <w:rPr>
          <w:sz w:val="24"/>
          <w:szCs w:val="24"/>
        </w:rPr>
      </w:pPr>
      <w:r w:rsidRPr="008E548F">
        <w:rPr>
          <w:color w:val="auto"/>
          <w:sz w:val="24"/>
          <w:szCs w:val="24"/>
        </w:rPr>
        <w:t>Saxton, M. </w:t>
      </w:r>
      <w:r w:rsidRPr="008E548F">
        <w:rPr>
          <w:i/>
          <w:iCs/>
          <w:color w:val="auto"/>
          <w:sz w:val="24"/>
          <w:szCs w:val="24"/>
          <w:bdr w:val="single" w:sz="2" w:space="0" w:color="ECEDEE" w:frame="1"/>
        </w:rPr>
        <w:t>et al.</w:t>
      </w:r>
      <w:r w:rsidRPr="008E548F">
        <w:rPr>
          <w:color w:val="auto"/>
          <w:sz w:val="24"/>
          <w:szCs w:val="24"/>
        </w:rPr>
        <w:t> (2020) 'Complexities of the police response to intimate partner violence: Police officers’ perspectives on the challenges of keeping families safe,' </w:t>
      </w:r>
      <w:r w:rsidRPr="008E548F">
        <w:rPr>
          <w:i/>
          <w:iCs/>
          <w:color w:val="auto"/>
          <w:sz w:val="24"/>
          <w:szCs w:val="24"/>
          <w:bdr w:val="single" w:sz="2" w:space="0" w:color="ECEDEE" w:frame="1"/>
        </w:rPr>
        <w:t>Journal of Interpersonal Violence</w:t>
      </w:r>
      <w:r w:rsidRPr="008E548F">
        <w:rPr>
          <w:color w:val="auto"/>
          <w:sz w:val="24"/>
          <w:szCs w:val="24"/>
        </w:rPr>
        <w:t>, 37(5–6), pp. 2557–2580. </w:t>
      </w:r>
    </w:p>
    <w:p w14:paraId="2461EC03" w14:textId="77777777" w:rsidR="00C81FC4" w:rsidRPr="00CD7680" w:rsidRDefault="00C81FC4" w:rsidP="00C81FC4">
      <w:pPr>
        <w:rPr>
          <w:sz w:val="24"/>
          <w:szCs w:val="24"/>
        </w:rPr>
      </w:pPr>
      <w:r w:rsidRPr="008E548F">
        <w:rPr>
          <w:color w:val="auto"/>
          <w:sz w:val="24"/>
          <w:szCs w:val="24"/>
        </w:rPr>
        <w:t xml:space="preserve">Taherkhani, S., </w:t>
      </w:r>
      <w:proofErr w:type="spellStart"/>
      <w:r w:rsidRPr="008E548F">
        <w:rPr>
          <w:color w:val="auto"/>
          <w:sz w:val="24"/>
          <w:szCs w:val="24"/>
        </w:rPr>
        <w:t>Negarandeh</w:t>
      </w:r>
      <w:proofErr w:type="spellEnd"/>
      <w:r w:rsidRPr="008E548F">
        <w:rPr>
          <w:color w:val="auto"/>
          <w:sz w:val="24"/>
          <w:szCs w:val="24"/>
        </w:rPr>
        <w:t xml:space="preserve">, R. and </w:t>
      </w:r>
      <w:proofErr w:type="spellStart"/>
      <w:r w:rsidRPr="008E548F">
        <w:rPr>
          <w:color w:val="auto"/>
          <w:sz w:val="24"/>
          <w:szCs w:val="24"/>
        </w:rPr>
        <w:t>Farshadpour</w:t>
      </w:r>
      <w:proofErr w:type="spellEnd"/>
      <w:r w:rsidRPr="008E548F">
        <w:rPr>
          <w:color w:val="auto"/>
          <w:sz w:val="24"/>
          <w:szCs w:val="24"/>
        </w:rPr>
        <w:t>, F. (2019) 'Barriers to leaving a relationship from the perspective of married abused Iranian women: Secondary analysis of the interviews with Abused women,' </w:t>
      </w:r>
      <w:r w:rsidRPr="008E548F">
        <w:rPr>
          <w:i/>
          <w:iCs/>
          <w:color w:val="auto"/>
          <w:sz w:val="24"/>
          <w:szCs w:val="24"/>
          <w:bdr w:val="single" w:sz="2" w:space="0" w:color="ECEDEE" w:frame="1"/>
        </w:rPr>
        <w:t>Journal of Interpersonal Violence</w:t>
      </w:r>
      <w:r w:rsidRPr="008E548F">
        <w:rPr>
          <w:color w:val="auto"/>
          <w:sz w:val="24"/>
          <w:szCs w:val="24"/>
        </w:rPr>
        <w:t>, 35(19–20), pp. 4162–4184. </w:t>
      </w:r>
    </w:p>
    <w:p w14:paraId="5BA7FCF0" w14:textId="77777777" w:rsidR="00C81FC4" w:rsidRDefault="00C81FC4" w:rsidP="00C81FC4">
      <w:pPr>
        <w:rPr>
          <w:color w:val="05103E"/>
          <w:sz w:val="24"/>
          <w:szCs w:val="24"/>
          <w:bdr w:val="single" w:sz="2" w:space="0" w:color="ECEDEE" w:frame="1"/>
        </w:rPr>
      </w:pPr>
      <w:r w:rsidRPr="005673C1">
        <w:rPr>
          <w:color w:val="05103E"/>
          <w:sz w:val="24"/>
          <w:szCs w:val="24"/>
        </w:rPr>
        <w:t xml:space="preserve">Thakrar, M. (2018) </w:t>
      </w:r>
      <w:r w:rsidRPr="005673C1">
        <w:rPr>
          <w:i/>
          <w:iCs/>
          <w:color w:val="05103E"/>
          <w:sz w:val="24"/>
          <w:szCs w:val="24"/>
        </w:rPr>
        <w:t xml:space="preserve">'Unconscious Bias </w:t>
      </w:r>
      <w:proofErr w:type="gramStart"/>
      <w:r w:rsidRPr="005673C1">
        <w:rPr>
          <w:i/>
          <w:iCs/>
          <w:color w:val="05103E"/>
          <w:sz w:val="24"/>
          <w:szCs w:val="24"/>
        </w:rPr>
        <w:t>And</w:t>
      </w:r>
      <w:proofErr w:type="gramEnd"/>
      <w:r w:rsidRPr="005673C1">
        <w:rPr>
          <w:i/>
          <w:iCs/>
          <w:color w:val="05103E"/>
          <w:sz w:val="24"/>
          <w:szCs w:val="24"/>
        </w:rPr>
        <w:t xml:space="preserve"> Three Ways To Overcome It</w:t>
      </w:r>
      <w:r w:rsidRPr="005673C1">
        <w:rPr>
          <w:color w:val="05103E"/>
          <w:sz w:val="24"/>
          <w:szCs w:val="24"/>
        </w:rPr>
        <w:t>,' </w:t>
      </w:r>
      <w:r w:rsidRPr="005673C1">
        <w:rPr>
          <w:i/>
          <w:iCs/>
          <w:color w:val="05103E"/>
          <w:sz w:val="24"/>
          <w:szCs w:val="24"/>
          <w:bdr w:val="single" w:sz="2" w:space="0" w:color="ECEDEE" w:frame="1"/>
        </w:rPr>
        <w:t>Forbes</w:t>
      </w:r>
      <w:r w:rsidRPr="005673C1">
        <w:rPr>
          <w:color w:val="05103E"/>
          <w:sz w:val="24"/>
          <w:szCs w:val="24"/>
        </w:rPr>
        <w:t>, 19 November. </w:t>
      </w:r>
      <w:hyperlink r:id="rId22" w:history="1">
        <w:r w:rsidRPr="005673C1">
          <w:rPr>
            <w:rStyle w:val="Hyperlink"/>
            <w:sz w:val="24"/>
            <w:szCs w:val="24"/>
            <w:bdr w:val="single" w:sz="2" w:space="0" w:color="ECEDEE" w:frame="1"/>
          </w:rPr>
          <w:t>https://www.forbes.com/sites/forbescoachescouncil/2018/11/19/unconscious-bias-and-three-ways-to-overcome-it/</w:t>
        </w:r>
      </w:hyperlink>
      <w:r w:rsidRPr="005673C1">
        <w:rPr>
          <w:color w:val="05103E"/>
          <w:sz w:val="24"/>
          <w:szCs w:val="24"/>
          <w:bdr w:val="single" w:sz="2" w:space="0" w:color="ECEDEE" w:frame="1"/>
        </w:rPr>
        <w:t xml:space="preserve"> (accessed: 29</w:t>
      </w:r>
      <w:r w:rsidRPr="005673C1">
        <w:rPr>
          <w:color w:val="05103E"/>
          <w:sz w:val="24"/>
          <w:szCs w:val="24"/>
          <w:bdr w:val="single" w:sz="2" w:space="0" w:color="ECEDEE" w:frame="1"/>
          <w:vertAlign w:val="superscript"/>
        </w:rPr>
        <w:t>th</w:t>
      </w:r>
      <w:r w:rsidRPr="005673C1">
        <w:rPr>
          <w:color w:val="05103E"/>
          <w:sz w:val="24"/>
          <w:szCs w:val="24"/>
          <w:bdr w:val="single" w:sz="2" w:space="0" w:color="ECEDEE" w:frame="1"/>
        </w:rPr>
        <w:t xml:space="preserve"> October 2023).</w:t>
      </w:r>
    </w:p>
    <w:p w14:paraId="569F78D3" w14:textId="77777777" w:rsidR="00C81FC4" w:rsidRPr="00486835" w:rsidRDefault="00C81FC4" w:rsidP="00C81FC4">
      <w:pPr>
        <w:rPr>
          <w:color w:val="auto"/>
          <w:sz w:val="24"/>
          <w:szCs w:val="24"/>
        </w:rPr>
      </w:pPr>
      <w:r w:rsidRPr="00486835">
        <w:rPr>
          <w:color w:val="auto"/>
          <w:sz w:val="24"/>
          <w:szCs w:val="24"/>
        </w:rPr>
        <w:t>Turner, E., Medina, J. and Brown, G. (2019) 'Dashing Hopes? the Predictive Accuracy of Domestic Abuse Risk Assessment by Police,' </w:t>
      </w:r>
      <w:r w:rsidRPr="00486835">
        <w:rPr>
          <w:i/>
          <w:iCs/>
          <w:color w:val="auto"/>
          <w:sz w:val="24"/>
          <w:szCs w:val="24"/>
          <w:bdr w:val="single" w:sz="2" w:space="0" w:color="ECEDEE" w:frame="1"/>
        </w:rPr>
        <w:t>The British Journal of Criminology</w:t>
      </w:r>
      <w:r w:rsidRPr="00486835">
        <w:rPr>
          <w:color w:val="auto"/>
          <w:sz w:val="24"/>
          <w:szCs w:val="24"/>
        </w:rPr>
        <w:t>, 59(5), pp. 1013–1034. </w:t>
      </w:r>
    </w:p>
    <w:p w14:paraId="3EEB173C" w14:textId="77777777" w:rsidR="00C81FC4" w:rsidRDefault="00C81FC4" w:rsidP="00C81FC4">
      <w:pPr>
        <w:rPr>
          <w:color w:val="05103E"/>
          <w:sz w:val="24"/>
          <w:szCs w:val="24"/>
        </w:rPr>
      </w:pPr>
      <w:r w:rsidRPr="005673C1">
        <w:rPr>
          <w:i/>
          <w:iCs/>
          <w:color w:val="05103E"/>
          <w:sz w:val="24"/>
          <w:szCs w:val="24"/>
          <w:bdr w:val="single" w:sz="2" w:space="0" w:color="ECEDEE" w:frame="1"/>
        </w:rPr>
        <w:t>Unconscious bias</w:t>
      </w:r>
      <w:r w:rsidRPr="005673C1">
        <w:rPr>
          <w:color w:val="05103E"/>
          <w:sz w:val="24"/>
          <w:szCs w:val="24"/>
        </w:rPr>
        <w:t> (2020). </w:t>
      </w:r>
      <w:hyperlink r:id="rId23" w:history="1">
        <w:r w:rsidRPr="005673C1">
          <w:rPr>
            <w:rStyle w:val="Hyperlink"/>
            <w:sz w:val="24"/>
            <w:szCs w:val="24"/>
            <w:bdr w:val="single" w:sz="2" w:space="0" w:color="ECEDEE" w:frame="1"/>
          </w:rPr>
          <w:t>https://www.ed.ac.uk/equality-diversity/students/unconscious-bias</w:t>
        </w:r>
      </w:hyperlink>
      <w:r w:rsidRPr="005673C1">
        <w:rPr>
          <w:color w:val="05103E"/>
          <w:sz w:val="24"/>
          <w:szCs w:val="24"/>
        </w:rPr>
        <w:t>. (Accessed: 28</w:t>
      </w:r>
      <w:r w:rsidRPr="005673C1">
        <w:rPr>
          <w:color w:val="05103E"/>
          <w:sz w:val="24"/>
          <w:szCs w:val="24"/>
          <w:vertAlign w:val="superscript"/>
        </w:rPr>
        <w:t>th</w:t>
      </w:r>
      <w:r w:rsidRPr="005673C1">
        <w:rPr>
          <w:color w:val="05103E"/>
          <w:sz w:val="24"/>
          <w:szCs w:val="24"/>
        </w:rPr>
        <w:t xml:space="preserve"> September 2023).</w:t>
      </w:r>
    </w:p>
    <w:p w14:paraId="5BE737CE" w14:textId="77777777" w:rsidR="00C81FC4" w:rsidRDefault="00C81FC4" w:rsidP="00C81FC4">
      <w:r w:rsidRPr="00486835">
        <w:rPr>
          <w:color w:val="auto"/>
          <w:sz w:val="22"/>
          <w:szCs w:val="22"/>
        </w:rPr>
        <w:lastRenderedPageBreak/>
        <w:t>Welsh, K. (2022) 'Long-term partners – Reflections on the shifts in partnership responses to domestic violence,' </w:t>
      </w:r>
      <w:r w:rsidRPr="00486835">
        <w:rPr>
          <w:i/>
          <w:iCs/>
          <w:color w:val="auto"/>
          <w:sz w:val="22"/>
          <w:szCs w:val="22"/>
          <w:bdr w:val="single" w:sz="2" w:space="0" w:color="ECEDEE" w:frame="1"/>
        </w:rPr>
        <w:t>International Review of Victimology</w:t>
      </w:r>
      <w:r w:rsidRPr="00486835">
        <w:rPr>
          <w:color w:val="auto"/>
          <w:sz w:val="22"/>
          <w:szCs w:val="22"/>
        </w:rPr>
        <w:t>, 29(1), pp. 27–51. </w:t>
      </w:r>
    </w:p>
    <w:p w14:paraId="5054BFF6" w14:textId="77777777" w:rsidR="00C81FC4" w:rsidRPr="008E548F" w:rsidRDefault="00C81FC4" w:rsidP="00C81FC4">
      <w:pPr>
        <w:rPr>
          <w:color w:val="05103E"/>
          <w:sz w:val="24"/>
          <w:szCs w:val="24"/>
        </w:rPr>
      </w:pPr>
      <w:r w:rsidRPr="008E548F">
        <w:rPr>
          <w:color w:val="auto"/>
          <w:sz w:val="24"/>
          <w:szCs w:val="24"/>
        </w:rPr>
        <w:t>Women’s Aid (2024) </w:t>
      </w:r>
      <w:r w:rsidRPr="008E548F">
        <w:rPr>
          <w:i/>
          <w:iCs/>
          <w:color w:val="auto"/>
          <w:sz w:val="24"/>
          <w:szCs w:val="24"/>
          <w:bdr w:val="single" w:sz="2" w:space="0" w:color="ECEDEE" w:frame="1"/>
        </w:rPr>
        <w:t>Domestic abuse services - Women’s Aid</w:t>
      </w:r>
      <w:r w:rsidRPr="008E548F">
        <w:rPr>
          <w:color w:val="auto"/>
          <w:sz w:val="24"/>
          <w:szCs w:val="24"/>
        </w:rPr>
        <w:t>.</w:t>
      </w:r>
      <w:r w:rsidRPr="008E548F">
        <w:rPr>
          <w:color w:val="05103E"/>
          <w:sz w:val="24"/>
          <w:szCs w:val="24"/>
        </w:rPr>
        <w:t> </w:t>
      </w:r>
      <w:hyperlink r:id="rId24" w:history="1">
        <w:r w:rsidRPr="008E548F">
          <w:rPr>
            <w:rStyle w:val="Hyperlink"/>
            <w:sz w:val="24"/>
            <w:szCs w:val="24"/>
            <w:bdr w:val="single" w:sz="2" w:space="0" w:color="ECEDEE" w:frame="1"/>
          </w:rPr>
          <w:t>https://www.womensaid.org.uk/domestic-abuse-services/</w:t>
        </w:r>
      </w:hyperlink>
      <w:r w:rsidRPr="008E548F">
        <w:rPr>
          <w:color w:val="05103E"/>
          <w:sz w:val="24"/>
          <w:szCs w:val="24"/>
        </w:rPr>
        <w:t xml:space="preserve">. </w:t>
      </w:r>
      <w:r w:rsidRPr="008E548F">
        <w:rPr>
          <w:color w:val="auto"/>
          <w:sz w:val="24"/>
          <w:szCs w:val="24"/>
        </w:rPr>
        <w:t>(Accessed: 8</w:t>
      </w:r>
      <w:r w:rsidRPr="008E548F">
        <w:rPr>
          <w:color w:val="auto"/>
          <w:sz w:val="24"/>
          <w:szCs w:val="24"/>
          <w:vertAlign w:val="superscript"/>
        </w:rPr>
        <w:t>th</w:t>
      </w:r>
      <w:r w:rsidRPr="008E548F">
        <w:rPr>
          <w:color w:val="auto"/>
          <w:sz w:val="24"/>
          <w:szCs w:val="24"/>
        </w:rPr>
        <w:t xml:space="preserve"> of March 2024)</w:t>
      </w:r>
    </w:p>
    <w:p w14:paraId="0AB807FE" w14:textId="7CC350F8" w:rsidR="1E8636EB" w:rsidRPr="00C81FC4" w:rsidRDefault="00EA28F1" w:rsidP="00EA28F1">
      <w:pPr>
        <w:keepNext/>
        <w:spacing w:before="240" w:after="60"/>
        <w:ind w:right="237"/>
        <w:jc w:val="both"/>
        <w:rPr>
          <w:sz w:val="24"/>
          <w:szCs w:val="24"/>
        </w:rPr>
      </w:pPr>
      <w:r>
        <w:rPr>
          <w:sz w:val="24"/>
          <w:szCs w:val="24"/>
        </w:rPr>
        <w:t xml:space="preserve"> </w:t>
      </w:r>
    </w:p>
    <w:sectPr w:rsidR="1E8636EB" w:rsidRPr="00C81FC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5DFC21BE"/>
    <w:lvl w:ilvl="0" w:tplc="D5104030">
      <w:start w:val="1"/>
      <w:numFmt w:val="decimal"/>
      <w:lvlText w:val="%1."/>
      <w:lvlJc w:val="left"/>
      <w:pPr>
        <w:ind w:left="720" w:hanging="360"/>
      </w:pPr>
    </w:lvl>
    <w:lvl w:ilvl="1" w:tplc="CE96CE9C">
      <w:start w:val="1"/>
      <w:numFmt w:val="lowerLetter"/>
      <w:lvlText w:val="%2."/>
      <w:lvlJc w:val="left"/>
      <w:pPr>
        <w:ind w:left="1440" w:hanging="360"/>
      </w:pPr>
    </w:lvl>
    <w:lvl w:ilvl="2" w:tplc="AD74DF2A">
      <w:start w:val="1"/>
      <w:numFmt w:val="lowerRoman"/>
      <w:lvlText w:val="%3."/>
      <w:lvlJc w:val="right"/>
      <w:pPr>
        <w:ind w:left="2160" w:hanging="180"/>
      </w:pPr>
    </w:lvl>
    <w:lvl w:ilvl="3" w:tplc="0A9AF2DC">
      <w:start w:val="1"/>
      <w:numFmt w:val="decimal"/>
      <w:lvlText w:val="%4."/>
      <w:lvlJc w:val="left"/>
      <w:pPr>
        <w:ind w:left="2880" w:hanging="360"/>
      </w:pPr>
    </w:lvl>
    <w:lvl w:ilvl="4" w:tplc="8F786682">
      <w:start w:val="1"/>
      <w:numFmt w:val="lowerLetter"/>
      <w:lvlText w:val="%5."/>
      <w:lvlJc w:val="left"/>
      <w:pPr>
        <w:ind w:left="3600" w:hanging="360"/>
      </w:pPr>
    </w:lvl>
    <w:lvl w:ilvl="5" w:tplc="0D3C1912">
      <w:start w:val="1"/>
      <w:numFmt w:val="lowerRoman"/>
      <w:lvlText w:val="%6."/>
      <w:lvlJc w:val="right"/>
      <w:pPr>
        <w:ind w:left="4320" w:hanging="180"/>
      </w:pPr>
    </w:lvl>
    <w:lvl w:ilvl="6" w:tplc="06C2BA1A">
      <w:start w:val="1"/>
      <w:numFmt w:val="decimal"/>
      <w:lvlText w:val="%7."/>
      <w:lvlJc w:val="left"/>
      <w:pPr>
        <w:ind w:left="5040" w:hanging="360"/>
      </w:pPr>
    </w:lvl>
    <w:lvl w:ilvl="7" w:tplc="E5B87284">
      <w:start w:val="1"/>
      <w:numFmt w:val="lowerLetter"/>
      <w:lvlText w:val="%8."/>
      <w:lvlJc w:val="left"/>
      <w:pPr>
        <w:ind w:left="5760" w:hanging="360"/>
      </w:pPr>
    </w:lvl>
    <w:lvl w:ilvl="8" w:tplc="978EA61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37E6CA82"/>
    <w:lvl w:ilvl="0" w:tplc="920E9496">
      <w:start w:val="1"/>
      <w:numFmt w:val="decimal"/>
      <w:lvlText w:val="%1."/>
      <w:lvlJc w:val="left"/>
      <w:pPr>
        <w:ind w:left="720" w:hanging="360"/>
      </w:pPr>
    </w:lvl>
    <w:lvl w:ilvl="1" w:tplc="D6E81148">
      <w:start w:val="1"/>
      <w:numFmt w:val="decimal"/>
      <w:lvlText w:val="%2."/>
      <w:lvlJc w:val="left"/>
      <w:pPr>
        <w:ind w:left="1440" w:hanging="360"/>
      </w:pPr>
    </w:lvl>
    <w:lvl w:ilvl="2" w:tplc="6B9E2ACC">
      <w:start w:val="1"/>
      <w:numFmt w:val="lowerRoman"/>
      <w:lvlText w:val="%3."/>
      <w:lvlJc w:val="right"/>
      <w:pPr>
        <w:ind w:left="2160" w:hanging="180"/>
      </w:pPr>
    </w:lvl>
    <w:lvl w:ilvl="3" w:tplc="60482E0E">
      <w:start w:val="1"/>
      <w:numFmt w:val="decimal"/>
      <w:lvlText w:val="%4."/>
      <w:lvlJc w:val="left"/>
      <w:pPr>
        <w:ind w:left="2880" w:hanging="360"/>
      </w:pPr>
    </w:lvl>
    <w:lvl w:ilvl="4" w:tplc="577453EA">
      <w:start w:val="1"/>
      <w:numFmt w:val="lowerLetter"/>
      <w:lvlText w:val="%5."/>
      <w:lvlJc w:val="left"/>
      <w:pPr>
        <w:ind w:left="3600" w:hanging="360"/>
      </w:pPr>
    </w:lvl>
    <w:lvl w:ilvl="5" w:tplc="8C9474CC">
      <w:start w:val="1"/>
      <w:numFmt w:val="lowerRoman"/>
      <w:lvlText w:val="%6."/>
      <w:lvlJc w:val="right"/>
      <w:pPr>
        <w:ind w:left="4320" w:hanging="180"/>
      </w:pPr>
    </w:lvl>
    <w:lvl w:ilvl="6" w:tplc="3C062782">
      <w:start w:val="1"/>
      <w:numFmt w:val="decimal"/>
      <w:lvlText w:val="%7."/>
      <w:lvlJc w:val="left"/>
      <w:pPr>
        <w:ind w:left="5040" w:hanging="360"/>
      </w:pPr>
    </w:lvl>
    <w:lvl w:ilvl="7" w:tplc="E98C32D0">
      <w:start w:val="1"/>
      <w:numFmt w:val="lowerLetter"/>
      <w:lvlText w:val="%8."/>
      <w:lvlJc w:val="left"/>
      <w:pPr>
        <w:ind w:left="5760" w:hanging="360"/>
      </w:pPr>
    </w:lvl>
    <w:lvl w:ilvl="8" w:tplc="BCC2EF1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3052198">
    <w:abstractNumId w:val="47"/>
  </w:num>
  <w:num w:numId="2" w16cid:durableId="220681483">
    <w:abstractNumId w:val="10"/>
  </w:num>
  <w:num w:numId="3" w16cid:durableId="4214517">
    <w:abstractNumId w:val="1"/>
    <w:lvlOverride w:ilvl="0">
      <w:lvl w:ilvl="0">
        <w:start w:val="1"/>
        <w:numFmt w:val="bullet"/>
        <w:lvlText w:val=""/>
        <w:lvlJc w:val="left"/>
        <w:pPr>
          <w:ind w:left="720" w:hanging="360"/>
        </w:pPr>
        <w:rPr>
          <w:rFonts w:ascii="Symbol" w:hAnsi="Symbol" w:hint="default"/>
        </w:rPr>
      </w:lvl>
    </w:lvlOverride>
  </w:num>
  <w:num w:numId="4" w16cid:durableId="529151769">
    <w:abstractNumId w:val="22"/>
  </w:num>
  <w:num w:numId="5" w16cid:durableId="1677075972">
    <w:abstractNumId w:val="44"/>
  </w:num>
  <w:num w:numId="6" w16cid:durableId="21169780">
    <w:abstractNumId w:val="46"/>
  </w:num>
  <w:num w:numId="7" w16cid:durableId="542257335">
    <w:abstractNumId w:val="34"/>
  </w:num>
  <w:num w:numId="8" w16cid:durableId="2045057683">
    <w:abstractNumId w:val="32"/>
  </w:num>
  <w:num w:numId="9" w16cid:durableId="253636781">
    <w:abstractNumId w:val="29"/>
  </w:num>
  <w:num w:numId="10" w16cid:durableId="806509226">
    <w:abstractNumId w:val="30"/>
  </w:num>
  <w:num w:numId="11" w16cid:durableId="813260743">
    <w:abstractNumId w:val="9"/>
  </w:num>
  <w:num w:numId="12" w16cid:durableId="1295870481">
    <w:abstractNumId w:val="33"/>
  </w:num>
  <w:num w:numId="13" w16cid:durableId="721321286">
    <w:abstractNumId w:val="17"/>
  </w:num>
  <w:num w:numId="14" w16cid:durableId="959998587">
    <w:abstractNumId w:val="16"/>
  </w:num>
  <w:num w:numId="15" w16cid:durableId="815486140">
    <w:abstractNumId w:val="26"/>
  </w:num>
  <w:num w:numId="16" w16cid:durableId="162936953">
    <w:abstractNumId w:val="7"/>
  </w:num>
  <w:num w:numId="17" w16cid:durableId="758907346">
    <w:abstractNumId w:val="25"/>
  </w:num>
  <w:num w:numId="18" w16cid:durableId="193351758">
    <w:abstractNumId w:val="15"/>
  </w:num>
  <w:num w:numId="19" w16cid:durableId="917331092">
    <w:abstractNumId w:val="13"/>
  </w:num>
  <w:num w:numId="20" w16cid:durableId="164936321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451045859">
    <w:abstractNumId w:val="23"/>
  </w:num>
  <w:num w:numId="22" w16cid:durableId="133717385">
    <w:abstractNumId w:val="18"/>
  </w:num>
  <w:num w:numId="23" w16cid:durableId="1029724152">
    <w:abstractNumId w:val="14"/>
  </w:num>
  <w:num w:numId="24" w16cid:durableId="533809495">
    <w:abstractNumId w:val="11"/>
  </w:num>
  <w:num w:numId="25" w16cid:durableId="613178040">
    <w:abstractNumId w:val="27"/>
  </w:num>
  <w:num w:numId="26" w16cid:durableId="67122452">
    <w:abstractNumId w:val="19"/>
  </w:num>
  <w:num w:numId="27" w16cid:durableId="2027755197">
    <w:abstractNumId w:val="40"/>
  </w:num>
  <w:num w:numId="28" w16cid:durableId="1365866020">
    <w:abstractNumId w:val="35"/>
  </w:num>
  <w:num w:numId="29" w16cid:durableId="1602687772">
    <w:abstractNumId w:val="39"/>
  </w:num>
  <w:num w:numId="30" w16cid:durableId="131025858">
    <w:abstractNumId w:val="20"/>
  </w:num>
  <w:num w:numId="31" w16cid:durableId="1848056687">
    <w:abstractNumId w:val="42"/>
  </w:num>
  <w:num w:numId="32" w16cid:durableId="1131480212">
    <w:abstractNumId w:val="31"/>
  </w:num>
  <w:num w:numId="33" w16cid:durableId="984821803">
    <w:abstractNumId w:val="12"/>
  </w:num>
  <w:num w:numId="34" w16cid:durableId="1387611033">
    <w:abstractNumId w:val="43"/>
  </w:num>
  <w:num w:numId="35" w16cid:durableId="661931977">
    <w:abstractNumId w:val="38"/>
  </w:num>
  <w:num w:numId="36" w16cid:durableId="420375272">
    <w:abstractNumId w:val="4"/>
  </w:num>
  <w:num w:numId="37" w16cid:durableId="1979845998">
    <w:abstractNumId w:val="45"/>
  </w:num>
  <w:num w:numId="38" w16cid:durableId="1686205121">
    <w:abstractNumId w:val="41"/>
  </w:num>
  <w:num w:numId="39" w16cid:durableId="1617718206">
    <w:abstractNumId w:val="36"/>
  </w:num>
  <w:num w:numId="40" w16cid:durableId="1571843825">
    <w:abstractNumId w:val="37"/>
  </w:num>
  <w:num w:numId="41" w16cid:durableId="651297679">
    <w:abstractNumId w:val="3"/>
  </w:num>
  <w:num w:numId="42" w16cid:durableId="875311562">
    <w:abstractNumId w:val="5"/>
  </w:num>
  <w:num w:numId="43" w16cid:durableId="131098449">
    <w:abstractNumId w:val="24"/>
  </w:num>
  <w:num w:numId="44" w16cid:durableId="898784005">
    <w:abstractNumId w:val="6"/>
  </w:num>
  <w:num w:numId="45" w16cid:durableId="872768331">
    <w:abstractNumId w:val="2"/>
  </w:num>
  <w:num w:numId="46" w16cid:durableId="1623993097">
    <w:abstractNumId w:val="0"/>
  </w:num>
  <w:num w:numId="47" w16cid:durableId="574045757">
    <w:abstractNumId w:val="21"/>
  </w:num>
  <w:num w:numId="48" w16cid:durableId="838153116">
    <w:abstractNumId w:val="28"/>
  </w:num>
  <w:num w:numId="49" w16cid:durableId="27329208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1FC4"/>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url">
    <w:name w:val="url"/>
    <w:basedOn w:val="DefaultParagraphFont"/>
    <w:rsid w:val="00C81FC4"/>
  </w:style>
  <w:style w:type="character" w:styleId="FollowedHyperlink">
    <w:name w:val="FollowedHyperlink"/>
    <w:basedOn w:val="DefaultParagraphFont"/>
    <w:uiPriority w:val="99"/>
    <w:semiHidden/>
    <w:unhideWhenUsed/>
    <w:rsid w:val="00C81F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managing-effective-investigation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ons.gov.uk/peoplepopulationandcommunity/crimeandjustice/bulletins/domesticabuseinenglandandwalesoverview/november202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operations/briefing-and-debriefin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ru.ac.uk/news/mappa-scheme-reduces-reoffending-new-research" TargetMode="External"/><Relationship Id="rId20" Type="http://schemas.openxmlformats.org/officeDocument/2006/relationships/hyperlink" Target="http://www.ons.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omensaid.org.uk/domestic-abuse-services/"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ed.ac.uk/equality-diversity/students/unconscious-bias" TargetMode="External"/><Relationship Id="rId10" Type="http://schemas.openxmlformats.org/officeDocument/2006/relationships/endnotes" Target="endnotes.xml"/><Relationship Id="rId19" Type="http://schemas.openxmlformats.org/officeDocument/2006/relationships/hyperlink" Target="https://www.ncdv.org.uk/domestic-abuse-statistic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forbes.com/sites/forbescoachescouncil/2018/11/19/unconscious-bias-and-three-ways-to-overcome-it/"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6151</Words>
  <Characters>34110</Characters>
  <Application>Microsoft Office Word</Application>
  <DocSecurity>0</DocSecurity>
  <Lines>284</Lines>
  <Paragraphs>80</Paragraphs>
  <ScaleCrop>false</ScaleCrop>
  <Company>Powys County Council</Company>
  <LinksUpToDate>false</LinksUpToDate>
  <CharactersWithSpaces>40181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Black,Shane swp8368</cp:lastModifiedBy>
  <cp:revision>2</cp:revision>
  <cp:lastPrinted>2014-08-26T08:55:00Z</cp:lastPrinted>
  <dcterms:created xsi:type="dcterms:W3CDTF">2024-03-11T12:05:00Z</dcterms:created>
  <dcterms:modified xsi:type="dcterms:W3CDTF">2024-03-11T12:05:00Z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2024-03-11T12:05:14Z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f8e24b2a-f0d3-4985-a2eb-55fadb5504d4</vt:lpwstr>
  </property>
  <property fmtid="{D5CDD505-2E9C-101B-9397-08002B2CF9AE}" pid="9" name="MSIP_Label_66cf8fe5-b7b7-4df7-b38d-1c61ac2f6639_ContentBits">
    <vt:lpwstr>0</vt:lpwstr>
  </property>
</Properties>
</file>