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C7651" w14:textId="77777777" w:rsidR="00F34C02" w:rsidRPr="000B5ABC" w:rsidRDefault="00F34C02" w:rsidP="00F34C02">
      <w:pPr>
        <w:spacing w:line="360" w:lineRule="auto"/>
        <w:jc w:val="both"/>
        <w:rPr>
          <w:b/>
          <w:bCs/>
        </w:rPr>
      </w:pPr>
    </w:p>
    <w:p w14:paraId="79B07993" w14:textId="77777777" w:rsidR="00F34C02" w:rsidRPr="000B5ABC" w:rsidRDefault="00F34C02" w:rsidP="00F34C02">
      <w:pPr>
        <w:spacing w:line="360" w:lineRule="auto"/>
        <w:jc w:val="both"/>
        <w:rPr>
          <w:b/>
          <w:bCs/>
        </w:rPr>
      </w:pPr>
    </w:p>
    <w:p w14:paraId="47134950" w14:textId="77777777" w:rsidR="00F34C02" w:rsidRPr="000B5ABC" w:rsidRDefault="00F34C02" w:rsidP="00F34C02">
      <w:pPr>
        <w:spacing w:line="360" w:lineRule="auto"/>
        <w:jc w:val="both"/>
        <w:rPr>
          <w:b/>
          <w:bCs/>
        </w:rPr>
      </w:pPr>
    </w:p>
    <w:p w14:paraId="24927AA3" w14:textId="77777777" w:rsidR="00F34C02" w:rsidRPr="000B5ABC" w:rsidRDefault="00F34C02" w:rsidP="00F34C02">
      <w:pPr>
        <w:spacing w:line="360" w:lineRule="auto"/>
        <w:jc w:val="both"/>
        <w:rPr>
          <w:b/>
          <w:bCs/>
        </w:rPr>
      </w:pPr>
    </w:p>
    <w:p w14:paraId="60E143A3" w14:textId="77777777" w:rsidR="00F34C02" w:rsidRPr="000B5ABC" w:rsidRDefault="00F34C02" w:rsidP="00F34C02">
      <w:pPr>
        <w:spacing w:line="360" w:lineRule="auto"/>
        <w:jc w:val="both"/>
        <w:rPr>
          <w:b/>
          <w:bCs/>
        </w:rPr>
      </w:pPr>
    </w:p>
    <w:p w14:paraId="5DAEC2CA" w14:textId="77777777" w:rsidR="00F34C02" w:rsidRPr="000B5ABC" w:rsidRDefault="00F34C02" w:rsidP="00F34C02">
      <w:pPr>
        <w:spacing w:line="360" w:lineRule="auto"/>
        <w:jc w:val="both"/>
        <w:rPr>
          <w:b/>
          <w:bCs/>
        </w:rPr>
      </w:pPr>
    </w:p>
    <w:p w14:paraId="340317C6" w14:textId="77777777" w:rsidR="00F34C02" w:rsidRPr="000B5ABC" w:rsidRDefault="00F34C02" w:rsidP="00F34C02">
      <w:pPr>
        <w:spacing w:line="360" w:lineRule="auto"/>
        <w:jc w:val="both"/>
        <w:rPr>
          <w:b/>
          <w:bCs/>
        </w:rPr>
      </w:pPr>
    </w:p>
    <w:p w14:paraId="4DC229FE" w14:textId="4E2ECDDD" w:rsidR="00F34C02" w:rsidRPr="004B27EC" w:rsidRDefault="004B27EC" w:rsidP="004B27EC">
      <w:pPr>
        <w:spacing w:line="360" w:lineRule="auto"/>
        <w:jc w:val="center"/>
        <w:rPr>
          <w:b/>
          <w:bCs/>
          <w:lang w:val="en-US"/>
        </w:rPr>
      </w:pPr>
      <w:r>
        <w:rPr>
          <w:rFonts w:ascii="Arial" w:hAnsi="Arial" w:cs="Arial"/>
          <w:b/>
          <w:sz w:val="32"/>
          <w:szCs w:val="32"/>
        </w:rPr>
        <w:t xml:space="preserve">    Galina </w:t>
      </w:r>
      <w:proofErr w:type="spellStart"/>
      <w:r>
        <w:rPr>
          <w:rFonts w:ascii="Arial" w:hAnsi="Arial" w:cs="Arial"/>
          <w:b/>
          <w:sz w:val="32"/>
          <w:szCs w:val="32"/>
        </w:rPr>
        <w:t>Rais</w:t>
      </w:r>
      <w:proofErr w:type="spellEnd"/>
      <w:r>
        <w:rPr>
          <w:rFonts w:ascii="Arial" w:hAnsi="Arial" w:cs="Arial"/>
          <w:b/>
          <w:sz w:val="32"/>
          <w:szCs w:val="32"/>
        </w:rPr>
        <w:t xml:space="preserve"> 2020307</w:t>
      </w:r>
      <w:bookmarkStart w:id="0" w:name="_GoBack"/>
      <w:bookmarkEnd w:id="0"/>
    </w:p>
    <w:p w14:paraId="691117AC" w14:textId="1160E872" w:rsidR="0060257B" w:rsidRPr="000B5ABC" w:rsidRDefault="00F34C02" w:rsidP="00F34C02">
      <w:pPr>
        <w:spacing w:line="360" w:lineRule="auto"/>
        <w:jc w:val="center"/>
        <w:rPr>
          <w:b/>
          <w:bCs/>
        </w:rPr>
      </w:pPr>
      <w:r w:rsidRPr="000B5ABC">
        <w:rPr>
          <w:b/>
          <w:bCs/>
        </w:rPr>
        <w:t>LCBB6002</w:t>
      </w:r>
    </w:p>
    <w:p w14:paraId="3D237058" w14:textId="0E9F1559" w:rsidR="00F34C02" w:rsidRPr="000B5ABC" w:rsidRDefault="00F34C02" w:rsidP="00F34C02">
      <w:pPr>
        <w:spacing w:line="360" w:lineRule="auto"/>
        <w:jc w:val="center"/>
        <w:rPr>
          <w:b/>
          <w:bCs/>
        </w:rPr>
      </w:pPr>
      <w:r w:rsidRPr="000B5ABC">
        <w:rPr>
          <w:b/>
          <w:bCs/>
        </w:rPr>
        <w:t>Assessment 1</w:t>
      </w:r>
    </w:p>
    <w:p w14:paraId="6A4B4E44" w14:textId="7D2767D2" w:rsidR="00F34C02" w:rsidRPr="000B5ABC" w:rsidRDefault="00F34C02" w:rsidP="00F34C02">
      <w:pPr>
        <w:spacing w:line="360" w:lineRule="auto"/>
        <w:jc w:val="center"/>
        <w:rPr>
          <w:b/>
          <w:bCs/>
        </w:rPr>
      </w:pPr>
      <w:r w:rsidRPr="000B5ABC">
        <w:rPr>
          <w:b/>
          <w:bCs/>
        </w:rPr>
        <w:t>Chosen Organisation: Nestle</w:t>
      </w:r>
    </w:p>
    <w:p w14:paraId="05ECB544" w14:textId="64F2A3FA" w:rsidR="00F34C02" w:rsidRPr="000B5ABC" w:rsidRDefault="00F34C02" w:rsidP="00F34C02">
      <w:pPr>
        <w:spacing w:line="360" w:lineRule="auto"/>
        <w:jc w:val="both"/>
        <w:rPr>
          <w:b/>
          <w:bCs/>
        </w:rPr>
      </w:pPr>
      <w:r w:rsidRPr="000B5ABC">
        <w:rPr>
          <w:b/>
          <w:bCs/>
        </w:rPr>
        <w:br w:type="page"/>
      </w:r>
    </w:p>
    <w:sdt>
      <w:sdtPr>
        <w:rPr>
          <w:rFonts w:ascii="Times New Roman" w:eastAsiaTheme="minorHAnsi" w:hAnsi="Times New Roman" w:cstheme="minorBidi"/>
          <w:color w:val="auto"/>
          <w:kern w:val="2"/>
          <w:sz w:val="24"/>
          <w:szCs w:val="22"/>
          <w14:ligatures w14:val="standardContextual"/>
        </w:rPr>
        <w:id w:val="1806438034"/>
        <w:docPartObj>
          <w:docPartGallery w:val="Table of Contents"/>
          <w:docPartUnique/>
        </w:docPartObj>
      </w:sdtPr>
      <w:sdtEndPr>
        <w:rPr>
          <w:b/>
          <w:bCs/>
          <w:noProof/>
        </w:rPr>
      </w:sdtEndPr>
      <w:sdtContent>
        <w:p w14:paraId="52217883" w14:textId="777A9C9A" w:rsidR="00F34C02" w:rsidRPr="000B5ABC" w:rsidRDefault="00F34C02" w:rsidP="00F34C02">
          <w:pPr>
            <w:pStyle w:val="TOCHeading"/>
            <w:spacing w:line="360" w:lineRule="auto"/>
            <w:jc w:val="both"/>
          </w:pPr>
          <w:r w:rsidRPr="000B5ABC">
            <w:rPr>
              <w:b/>
              <w:bCs/>
              <w:color w:val="auto"/>
            </w:rPr>
            <w:t>Table of Contents</w:t>
          </w:r>
        </w:p>
        <w:p w14:paraId="1CCB8B6C" w14:textId="6E28EE63" w:rsidR="00F34C02" w:rsidRPr="000B5ABC" w:rsidRDefault="00F34C02"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r w:rsidRPr="000B5ABC">
            <w:fldChar w:fldCharType="begin"/>
          </w:r>
          <w:r w:rsidRPr="000B5ABC">
            <w:instrText xml:space="preserve"> TOC \o "1-3" \h \z \u </w:instrText>
          </w:r>
          <w:r w:rsidRPr="000B5ABC">
            <w:fldChar w:fldCharType="separate"/>
          </w:r>
          <w:hyperlink w:anchor="_Toc133199748" w:history="1">
            <w:r w:rsidRPr="000B5ABC">
              <w:rPr>
                <w:rStyle w:val="Hyperlink"/>
                <w:noProof/>
              </w:rPr>
              <w:t>Introduction</w:t>
            </w:r>
            <w:r w:rsidRPr="000B5ABC">
              <w:rPr>
                <w:noProof/>
                <w:webHidden/>
              </w:rPr>
              <w:tab/>
            </w:r>
            <w:r w:rsidRPr="000B5ABC">
              <w:rPr>
                <w:noProof/>
                <w:webHidden/>
              </w:rPr>
              <w:fldChar w:fldCharType="begin"/>
            </w:r>
            <w:r w:rsidRPr="000B5ABC">
              <w:rPr>
                <w:noProof/>
                <w:webHidden/>
              </w:rPr>
              <w:instrText xml:space="preserve"> PAGEREF _Toc133199748 \h </w:instrText>
            </w:r>
            <w:r w:rsidRPr="000B5ABC">
              <w:rPr>
                <w:noProof/>
                <w:webHidden/>
              </w:rPr>
            </w:r>
            <w:r w:rsidRPr="000B5ABC">
              <w:rPr>
                <w:noProof/>
                <w:webHidden/>
              </w:rPr>
              <w:fldChar w:fldCharType="separate"/>
            </w:r>
            <w:r w:rsidRPr="000B5ABC">
              <w:rPr>
                <w:noProof/>
                <w:webHidden/>
              </w:rPr>
              <w:t>3</w:t>
            </w:r>
            <w:r w:rsidRPr="000B5ABC">
              <w:rPr>
                <w:noProof/>
                <w:webHidden/>
              </w:rPr>
              <w:fldChar w:fldCharType="end"/>
            </w:r>
          </w:hyperlink>
        </w:p>
        <w:p w14:paraId="47B08048" w14:textId="645EFB1C" w:rsidR="00F34C02" w:rsidRPr="000B5ABC" w:rsidRDefault="00135E19"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49" w:history="1">
            <w:r w:rsidR="00F34C02" w:rsidRPr="000B5ABC">
              <w:rPr>
                <w:rStyle w:val="Hyperlink"/>
                <w:noProof/>
              </w:rPr>
              <w:t>Evaluation of Nestle’s dividend distribution policy</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_Toc133199749 \h </w:instrText>
            </w:r>
            <w:r w:rsidR="00F34C02" w:rsidRPr="000B5ABC">
              <w:rPr>
                <w:noProof/>
                <w:webHidden/>
              </w:rPr>
            </w:r>
            <w:r w:rsidR="00F34C02" w:rsidRPr="000B5ABC">
              <w:rPr>
                <w:noProof/>
                <w:webHidden/>
              </w:rPr>
              <w:fldChar w:fldCharType="separate"/>
            </w:r>
            <w:r w:rsidR="00F34C02" w:rsidRPr="000B5ABC">
              <w:rPr>
                <w:noProof/>
                <w:webHidden/>
              </w:rPr>
              <w:t>3</w:t>
            </w:r>
            <w:r w:rsidR="00F34C02" w:rsidRPr="000B5ABC">
              <w:rPr>
                <w:noProof/>
                <w:webHidden/>
              </w:rPr>
              <w:fldChar w:fldCharType="end"/>
            </w:r>
          </w:hyperlink>
        </w:p>
        <w:p w14:paraId="59362006" w14:textId="21D7ECE8" w:rsidR="00F34C02" w:rsidRPr="000B5ABC" w:rsidRDefault="00135E19"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0" w:history="1">
            <w:r w:rsidR="00F34C02" w:rsidRPr="000B5ABC">
              <w:rPr>
                <w:rStyle w:val="Hyperlink"/>
                <w:noProof/>
              </w:rPr>
              <w:t>Analysis of the efficient market hypothesis theory (EMH)</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_Toc133199750 \h </w:instrText>
            </w:r>
            <w:r w:rsidR="00F34C02" w:rsidRPr="000B5ABC">
              <w:rPr>
                <w:noProof/>
                <w:webHidden/>
              </w:rPr>
            </w:r>
            <w:r w:rsidR="00F34C02" w:rsidRPr="000B5ABC">
              <w:rPr>
                <w:noProof/>
                <w:webHidden/>
              </w:rPr>
              <w:fldChar w:fldCharType="separate"/>
            </w:r>
            <w:r w:rsidR="00F34C02" w:rsidRPr="000B5ABC">
              <w:rPr>
                <w:noProof/>
                <w:webHidden/>
              </w:rPr>
              <w:t>4</w:t>
            </w:r>
            <w:r w:rsidR="00F34C02" w:rsidRPr="000B5ABC">
              <w:rPr>
                <w:noProof/>
                <w:webHidden/>
              </w:rPr>
              <w:fldChar w:fldCharType="end"/>
            </w:r>
          </w:hyperlink>
        </w:p>
        <w:p w14:paraId="0C77662B" w14:textId="3EC64F81" w:rsidR="00F34C02" w:rsidRPr="000B5ABC" w:rsidRDefault="00135E19"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1" w:history="1">
            <w:r w:rsidR="00F34C02" w:rsidRPr="000B5ABC">
              <w:rPr>
                <w:rStyle w:val="Hyperlink"/>
                <w:noProof/>
              </w:rPr>
              <w:t>Analysis of Stakeholder Theory</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_Toc133199751 \h </w:instrText>
            </w:r>
            <w:r w:rsidR="00F34C02" w:rsidRPr="000B5ABC">
              <w:rPr>
                <w:noProof/>
                <w:webHidden/>
              </w:rPr>
            </w:r>
            <w:r w:rsidR="00F34C02" w:rsidRPr="000B5ABC">
              <w:rPr>
                <w:noProof/>
                <w:webHidden/>
              </w:rPr>
              <w:fldChar w:fldCharType="separate"/>
            </w:r>
            <w:r w:rsidR="00F34C02" w:rsidRPr="000B5ABC">
              <w:rPr>
                <w:noProof/>
                <w:webHidden/>
              </w:rPr>
              <w:t>5</w:t>
            </w:r>
            <w:r w:rsidR="00F34C02" w:rsidRPr="000B5ABC">
              <w:rPr>
                <w:noProof/>
                <w:webHidden/>
              </w:rPr>
              <w:fldChar w:fldCharType="end"/>
            </w:r>
          </w:hyperlink>
        </w:p>
        <w:p w14:paraId="5B9726E2" w14:textId="640A7C27" w:rsidR="00F34C02" w:rsidRPr="000B5ABC" w:rsidRDefault="00135E19"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2" w:history="1">
            <w:r w:rsidR="00F34C02" w:rsidRPr="000B5ABC">
              <w:rPr>
                <w:rStyle w:val="Hyperlink"/>
                <w:noProof/>
              </w:rPr>
              <w:t>Analysis of methods of appraising projects</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_Toc133199752 \h </w:instrText>
            </w:r>
            <w:r w:rsidR="00F34C02" w:rsidRPr="000B5ABC">
              <w:rPr>
                <w:noProof/>
                <w:webHidden/>
              </w:rPr>
            </w:r>
            <w:r w:rsidR="00F34C02" w:rsidRPr="000B5ABC">
              <w:rPr>
                <w:noProof/>
                <w:webHidden/>
              </w:rPr>
              <w:fldChar w:fldCharType="separate"/>
            </w:r>
            <w:r w:rsidR="00F34C02" w:rsidRPr="000B5ABC">
              <w:rPr>
                <w:noProof/>
                <w:webHidden/>
              </w:rPr>
              <w:t>5</w:t>
            </w:r>
            <w:r w:rsidR="00F34C02" w:rsidRPr="000B5ABC">
              <w:rPr>
                <w:noProof/>
                <w:webHidden/>
              </w:rPr>
              <w:fldChar w:fldCharType="end"/>
            </w:r>
          </w:hyperlink>
        </w:p>
        <w:p w14:paraId="50BB8CD5" w14:textId="38900A2C" w:rsidR="00F34C02" w:rsidRPr="000B5ABC" w:rsidRDefault="00135E19" w:rsidP="00F34C02">
          <w:pPr>
            <w:pStyle w:val="TOC2"/>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3" w:history="1">
            <w:r w:rsidR="00F34C02" w:rsidRPr="000B5ABC">
              <w:rPr>
                <w:rStyle w:val="Hyperlink"/>
                <w:noProof/>
              </w:rPr>
              <w:t>NPV Method</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_Toc133199753 \h </w:instrText>
            </w:r>
            <w:r w:rsidR="00F34C02" w:rsidRPr="000B5ABC">
              <w:rPr>
                <w:noProof/>
                <w:webHidden/>
              </w:rPr>
            </w:r>
            <w:r w:rsidR="00F34C02" w:rsidRPr="000B5ABC">
              <w:rPr>
                <w:noProof/>
                <w:webHidden/>
              </w:rPr>
              <w:fldChar w:fldCharType="separate"/>
            </w:r>
            <w:r w:rsidR="00F34C02" w:rsidRPr="000B5ABC">
              <w:rPr>
                <w:noProof/>
                <w:webHidden/>
              </w:rPr>
              <w:t>5</w:t>
            </w:r>
            <w:r w:rsidR="00F34C02" w:rsidRPr="000B5ABC">
              <w:rPr>
                <w:noProof/>
                <w:webHidden/>
              </w:rPr>
              <w:fldChar w:fldCharType="end"/>
            </w:r>
          </w:hyperlink>
        </w:p>
        <w:p w14:paraId="4616B453" w14:textId="456B685E" w:rsidR="00F34C02" w:rsidRPr="000B5ABC" w:rsidRDefault="00135E19" w:rsidP="00F34C02">
          <w:pPr>
            <w:pStyle w:val="TOC2"/>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4" w:history="1">
            <w:r w:rsidR="00F34C02" w:rsidRPr="000B5ABC">
              <w:rPr>
                <w:rStyle w:val="Hyperlink"/>
                <w:noProof/>
              </w:rPr>
              <w:t>Internal Rate of Return (IRR) Method</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_Toc133199754 \h </w:instrText>
            </w:r>
            <w:r w:rsidR="00F34C02" w:rsidRPr="000B5ABC">
              <w:rPr>
                <w:noProof/>
                <w:webHidden/>
              </w:rPr>
            </w:r>
            <w:r w:rsidR="00F34C02" w:rsidRPr="000B5ABC">
              <w:rPr>
                <w:noProof/>
                <w:webHidden/>
              </w:rPr>
              <w:fldChar w:fldCharType="separate"/>
            </w:r>
            <w:r w:rsidR="00F34C02" w:rsidRPr="000B5ABC">
              <w:rPr>
                <w:noProof/>
                <w:webHidden/>
              </w:rPr>
              <w:t>6</w:t>
            </w:r>
            <w:r w:rsidR="00F34C02" w:rsidRPr="000B5ABC">
              <w:rPr>
                <w:noProof/>
                <w:webHidden/>
              </w:rPr>
              <w:fldChar w:fldCharType="end"/>
            </w:r>
          </w:hyperlink>
        </w:p>
        <w:p w14:paraId="7010B209" w14:textId="48FEED41" w:rsidR="00F34C02" w:rsidRPr="000B5ABC" w:rsidRDefault="00135E19" w:rsidP="00F34C02">
          <w:pPr>
            <w:pStyle w:val="TOC2"/>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5" w:history="1">
            <w:r w:rsidR="00F34C02" w:rsidRPr="000B5ABC">
              <w:rPr>
                <w:rStyle w:val="Hyperlink"/>
                <w:noProof/>
              </w:rPr>
              <w:t>Payback Period (PP) Method</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_Toc133199755 \h </w:instrText>
            </w:r>
            <w:r w:rsidR="00F34C02" w:rsidRPr="000B5ABC">
              <w:rPr>
                <w:noProof/>
                <w:webHidden/>
              </w:rPr>
            </w:r>
            <w:r w:rsidR="00F34C02" w:rsidRPr="000B5ABC">
              <w:rPr>
                <w:noProof/>
                <w:webHidden/>
              </w:rPr>
              <w:fldChar w:fldCharType="separate"/>
            </w:r>
            <w:r w:rsidR="00F34C02" w:rsidRPr="000B5ABC">
              <w:rPr>
                <w:noProof/>
                <w:webHidden/>
              </w:rPr>
              <w:t>6</w:t>
            </w:r>
            <w:r w:rsidR="00F34C02" w:rsidRPr="000B5ABC">
              <w:rPr>
                <w:noProof/>
                <w:webHidden/>
              </w:rPr>
              <w:fldChar w:fldCharType="end"/>
            </w:r>
          </w:hyperlink>
        </w:p>
        <w:p w14:paraId="4B8AF3F6" w14:textId="341147BB" w:rsidR="00F34C02" w:rsidRPr="000B5ABC" w:rsidRDefault="00135E19"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6" w:history="1">
            <w:r w:rsidR="00F34C02" w:rsidRPr="000B5ABC">
              <w:rPr>
                <w:rStyle w:val="Hyperlink"/>
                <w:noProof/>
              </w:rPr>
              <w:t>Conclusion</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_Toc133199756 \h </w:instrText>
            </w:r>
            <w:r w:rsidR="00F34C02" w:rsidRPr="000B5ABC">
              <w:rPr>
                <w:noProof/>
                <w:webHidden/>
              </w:rPr>
            </w:r>
            <w:r w:rsidR="00F34C02" w:rsidRPr="000B5ABC">
              <w:rPr>
                <w:noProof/>
                <w:webHidden/>
              </w:rPr>
              <w:fldChar w:fldCharType="separate"/>
            </w:r>
            <w:r w:rsidR="00F34C02" w:rsidRPr="000B5ABC">
              <w:rPr>
                <w:noProof/>
                <w:webHidden/>
              </w:rPr>
              <w:t>7</w:t>
            </w:r>
            <w:r w:rsidR="00F34C02" w:rsidRPr="000B5ABC">
              <w:rPr>
                <w:noProof/>
                <w:webHidden/>
              </w:rPr>
              <w:fldChar w:fldCharType="end"/>
            </w:r>
          </w:hyperlink>
        </w:p>
        <w:p w14:paraId="2CBE0567" w14:textId="265F950F" w:rsidR="00F34C02" w:rsidRPr="000B5ABC" w:rsidRDefault="00135E19" w:rsidP="00F34C02">
          <w:pPr>
            <w:pStyle w:val="TOC1"/>
            <w:tabs>
              <w:tab w:val="right" w:leader="dot" w:pos="9350"/>
            </w:tabs>
            <w:spacing w:line="360" w:lineRule="auto"/>
            <w:rPr>
              <w:rFonts w:asciiTheme="minorHAnsi" w:eastAsiaTheme="minorEastAsia" w:hAnsiTheme="minorHAnsi"/>
              <w:noProof/>
              <w:kern w:val="0"/>
              <w:sz w:val="22"/>
              <w:lang w:eastAsia="en-PK"/>
              <w14:ligatures w14:val="none"/>
            </w:rPr>
          </w:pPr>
          <w:hyperlink w:anchor="_Toc133199757" w:history="1">
            <w:r w:rsidR="00F34C02" w:rsidRPr="000B5ABC">
              <w:rPr>
                <w:rStyle w:val="Hyperlink"/>
                <w:noProof/>
              </w:rPr>
              <w:t>References:</w:t>
            </w:r>
            <w:r w:rsidR="00F34C02" w:rsidRPr="000B5ABC">
              <w:rPr>
                <w:noProof/>
                <w:webHidden/>
              </w:rPr>
              <w:tab/>
            </w:r>
            <w:r w:rsidR="00F34C02" w:rsidRPr="000B5ABC">
              <w:rPr>
                <w:noProof/>
                <w:webHidden/>
              </w:rPr>
              <w:fldChar w:fldCharType="begin"/>
            </w:r>
            <w:r w:rsidR="00F34C02" w:rsidRPr="000B5ABC">
              <w:rPr>
                <w:noProof/>
                <w:webHidden/>
              </w:rPr>
              <w:instrText xml:space="preserve"> PAGEREF _Toc133199757 \h </w:instrText>
            </w:r>
            <w:r w:rsidR="00F34C02" w:rsidRPr="000B5ABC">
              <w:rPr>
                <w:noProof/>
                <w:webHidden/>
              </w:rPr>
            </w:r>
            <w:r w:rsidR="00F34C02" w:rsidRPr="000B5ABC">
              <w:rPr>
                <w:noProof/>
                <w:webHidden/>
              </w:rPr>
              <w:fldChar w:fldCharType="separate"/>
            </w:r>
            <w:r w:rsidR="00F34C02" w:rsidRPr="000B5ABC">
              <w:rPr>
                <w:noProof/>
                <w:webHidden/>
              </w:rPr>
              <w:t>8</w:t>
            </w:r>
            <w:r w:rsidR="00F34C02" w:rsidRPr="000B5ABC">
              <w:rPr>
                <w:noProof/>
                <w:webHidden/>
              </w:rPr>
              <w:fldChar w:fldCharType="end"/>
            </w:r>
          </w:hyperlink>
        </w:p>
        <w:p w14:paraId="69191B12" w14:textId="10E1FC83" w:rsidR="00F34C02" w:rsidRPr="000B5ABC" w:rsidRDefault="00F34C02" w:rsidP="00F34C02">
          <w:pPr>
            <w:spacing w:line="360" w:lineRule="auto"/>
            <w:jc w:val="both"/>
          </w:pPr>
          <w:r w:rsidRPr="000B5ABC">
            <w:rPr>
              <w:b/>
              <w:bCs/>
              <w:noProof/>
            </w:rPr>
            <w:fldChar w:fldCharType="end"/>
          </w:r>
        </w:p>
      </w:sdtContent>
    </w:sdt>
    <w:p w14:paraId="7570FA9E" w14:textId="0A4B7171" w:rsidR="00F34C02" w:rsidRPr="000B5ABC" w:rsidRDefault="00F34C02" w:rsidP="00F34C02">
      <w:pPr>
        <w:spacing w:line="360" w:lineRule="auto"/>
        <w:jc w:val="both"/>
        <w:rPr>
          <w:b/>
          <w:bCs/>
        </w:rPr>
      </w:pPr>
      <w:r w:rsidRPr="000B5ABC">
        <w:rPr>
          <w:b/>
          <w:bCs/>
        </w:rPr>
        <w:br w:type="page"/>
      </w:r>
    </w:p>
    <w:p w14:paraId="057B20E1" w14:textId="4F401922" w:rsidR="00475017" w:rsidRPr="000B5ABC" w:rsidRDefault="00475017" w:rsidP="00F34C02">
      <w:pPr>
        <w:pStyle w:val="Heading1"/>
        <w:spacing w:line="360" w:lineRule="auto"/>
        <w:jc w:val="both"/>
      </w:pPr>
      <w:bookmarkStart w:id="1" w:name="_Toc133199748"/>
      <w:r w:rsidRPr="000B5ABC">
        <w:lastRenderedPageBreak/>
        <w:t>Introduction</w:t>
      </w:r>
      <w:bookmarkEnd w:id="1"/>
    </w:p>
    <w:p w14:paraId="53599688" w14:textId="6569BE11" w:rsidR="009A57D2" w:rsidRPr="000B5ABC" w:rsidRDefault="00F34C02" w:rsidP="00F34C02">
      <w:pPr>
        <w:spacing w:line="360" w:lineRule="auto"/>
        <w:jc w:val="both"/>
      </w:pPr>
      <w:r w:rsidRPr="000B5ABC">
        <w:t>Nestle is a large global firm that operates in the food and beverage industries. The organisation has a diverse assortment of things that are offered in various countries throughout the world. Nestle places great emphasis on international financial management (IFM). This is due to the company's operations in many foreign financial markets, each of which presents unique problems. Nestle's dividend distribution policy, the efficient market hypothesis theory in relation to Nestle's operations, and project appraisal methodologies will be critically examined in this report</w:t>
      </w:r>
      <w:r w:rsidR="004566B5" w:rsidRPr="000B5ABC">
        <w:t xml:space="preserve">. </w:t>
      </w:r>
    </w:p>
    <w:p w14:paraId="09F95F6E" w14:textId="3B7E0364" w:rsidR="00475017" w:rsidRPr="000B5ABC" w:rsidRDefault="00475017" w:rsidP="00F34C02">
      <w:pPr>
        <w:pStyle w:val="Heading1"/>
        <w:spacing w:line="360" w:lineRule="auto"/>
        <w:jc w:val="both"/>
      </w:pPr>
      <w:bookmarkStart w:id="2" w:name="_Toc133199749"/>
      <w:r w:rsidRPr="000B5ABC">
        <w:t>Evaluation of Nestle’s dividend distribution policy</w:t>
      </w:r>
      <w:bookmarkEnd w:id="2"/>
    </w:p>
    <w:p w14:paraId="655E27C7" w14:textId="6DA9973C" w:rsidR="009A57D2" w:rsidRPr="000B5ABC" w:rsidRDefault="00F34C02" w:rsidP="00F34C02">
      <w:pPr>
        <w:spacing w:line="360" w:lineRule="auto"/>
        <w:jc w:val="both"/>
      </w:pPr>
      <w:r w:rsidRPr="000B5ABC">
        <w:t>One of the most essential components of IFM is foreign exchange risk management, which is important to Nestle. Because of the broad nature of its business, the company confronts foreign exchange market risks. Nestle has used a variety of measures to control foreign exchange risks. Hedging is one of the techniques that the organisation has employed. Nestle manages foreign exchange risks through the use of various hedging instruments such as forwards, options, and swaps (Nestle Global, 2019). Nestle can mitigate the impact of currency fluctuations on its financial performance through hedging</w:t>
      </w:r>
      <w:r w:rsidR="009A57D2" w:rsidRPr="000B5ABC">
        <w:t>.</w:t>
      </w:r>
    </w:p>
    <w:p w14:paraId="06E54A92" w14:textId="25F8FF64" w:rsidR="009A57D2" w:rsidRPr="000B5ABC" w:rsidRDefault="00F34C02" w:rsidP="00F34C02">
      <w:pPr>
        <w:spacing w:line="360" w:lineRule="auto"/>
        <w:jc w:val="both"/>
      </w:pPr>
      <w:r w:rsidRPr="000B5ABC">
        <w:t>Capital budgeting is another crucial part of IFM that is important to Nestle. The company has several investment opportunities in various nations. As a result, in order to ensure that the organisation invests in initiatives that yield the maximum returns, these investment prospects must be evaluated using suitable capital budgeting procedures. Nestle evaluates speculating potential using several capital planning methodologies such as net present value (NPV), internal rate of return (IRR), and compensation or payback term (Nestle Global, 2019)</w:t>
      </w:r>
      <w:r w:rsidR="004435E9" w:rsidRPr="000B5ABC">
        <w:t>.</w:t>
      </w:r>
    </w:p>
    <w:p w14:paraId="02CF9AEB" w14:textId="672ECE33" w:rsidR="009A57D2" w:rsidRPr="000B5ABC" w:rsidRDefault="00F34C02" w:rsidP="00F34C02">
      <w:pPr>
        <w:spacing w:line="360" w:lineRule="auto"/>
        <w:jc w:val="both"/>
      </w:pPr>
      <w:r w:rsidRPr="000B5ABC">
        <w:t>The dividend distribution policy of the firm is determined by a variety of factors, including the company's financial performance, future growth possibilities, and the economic environment of the nations in which the company operates. Nestle has a continuous dividend distribution policy of distributing around 60% of earnings to shareholders as dividends (Nestle Global, 2019). This policy has allowed the company to recruit and retain shareholders while remaining financially secure</w:t>
      </w:r>
      <w:r w:rsidR="009A57D2" w:rsidRPr="000B5ABC">
        <w:t>.</w:t>
      </w:r>
    </w:p>
    <w:p w14:paraId="7B3F9D02" w14:textId="7ADC04AF" w:rsidR="0051162E" w:rsidRPr="000B5ABC" w:rsidRDefault="009A57D2" w:rsidP="00F34C02">
      <w:pPr>
        <w:spacing w:line="360" w:lineRule="auto"/>
        <w:jc w:val="both"/>
      </w:pPr>
      <w:r w:rsidRPr="000B5ABC">
        <w:t xml:space="preserve">In conclusion, nestle is a multinational corporation that operates in various international financial markets. IFM is crucial to the company's success as it enables it to manage foreign exchange risks, </w:t>
      </w:r>
      <w:r w:rsidRPr="000B5ABC">
        <w:lastRenderedPageBreak/>
        <w:t xml:space="preserve">evaluate investment opportunities, and maintain a stable financial position. The company's consistent dividend distribution policy has also enabled it to attract and retain shareholders. </w:t>
      </w:r>
    </w:p>
    <w:p w14:paraId="29ED7F82" w14:textId="5C6C6D0B" w:rsidR="009A57D2" w:rsidRPr="000B5ABC" w:rsidRDefault="0097250F" w:rsidP="00F34C02">
      <w:pPr>
        <w:pStyle w:val="Heading1"/>
        <w:spacing w:line="360" w:lineRule="auto"/>
        <w:jc w:val="both"/>
      </w:pPr>
      <w:bookmarkStart w:id="3" w:name="_Toc133199750"/>
      <w:r w:rsidRPr="000B5ABC">
        <w:t>Analysis of the efficient market hypothesis theory</w:t>
      </w:r>
      <w:r w:rsidR="0060257B" w:rsidRPr="000B5ABC">
        <w:t xml:space="preserve"> (EMH)</w:t>
      </w:r>
      <w:bookmarkEnd w:id="3"/>
    </w:p>
    <w:p w14:paraId="32627B56" w14:textId="77777777" w:rsidR="00801A3C" w:rsidRPr="000B5ABC" w:rsidRDefault="00801A3C" w:rsidP="00F34C02">
      <w:pPr>
        <w:spacing w:line="360" w:lineRule="auto"/>
        <w:jc w:val="both"/>
      </w:pPr>
      <w:r w:rsidRPr="000B5ABC">
        <w:t xml:space="preserve">The Efficient Market Hypothesis (EMH) theory proposed by </w:t>
      </w:r>
      <w:proofErr w:type="spellStart"/>
      <w:r w:rsidRPr="000B5ABC">
        <w:t>Fama</w:t>
      </w:r>
      <w:proofErr w:type="spellEnd"/>
      <w:r w:rsidRPr="000B5ABC">
        <w:t xml:space="preserve"> (1970) asserts that financial markets are efficient and that stock prices always reflect all of the information that is accessible. Fundamental or technical analysis, according to EMH, cannot always outperform the market because stock prices always reflect all relevant information (</w:t>
      </w:r>
      <w:proofErr w:type="spellStart"/>
      <w:r w:rsidRPr="000B5ABC">
        <w:t>Fama</w:t>
      </w:r>
      <w:proofErr w:type="spellEnd"/>
      <w:r w:rsidRPr="000B5ABC">
        <w:t>, 1965). With regard to Nestle's activities, it is fundamental to break down the EMH hypothesis and its suggestions for the organization's financial performance.</w:t>
      </w:r>
    </w:p>
    <w:p w14:paraId="072267F7" w14:textId="77777777" w:rsidR="00801A3C" w:rsidRPr="000B5ABC" w:rsidRDefault="00801A3C" w:rsidP="00F34C02">
      <w:pPr>
        <w:spacing w:line="360" w:lineRule="auto"/>
        <w:jc w:val="both"/>
      </w:pPr>
      <w:r w:rsidRPr="000B5ABC">
        <w:t>One ramification of the EMH hypothesis is that it is challenging to create predominant returns through the dynamic management of the portfolio (Jensen, 1978). As a result, investors who try to outperform the market by purchasing stocks at a discount or selling stocks at a premium are unlikely to consistently earn higher returns. However, this does not necessarily imply that stock prices always reflect all available information or that the market is always effective. Stock prices can deviate from their intrinsic values when financial markets are inefficient in some instances.</w:t>
      </w:r>
    </w:p>
    <w:p w14:paraId="0A3D168F" w14:textId="09A967DA" w:rsidR="009A57D2" w:rsidRPr="000B5ABC" w:rsidRDefault="00801A3C" w:rsidP="00F34C02">
      <w:pPr>
        <w:spacing w:line="360" w:lineRule="auto"/>
        <w:jc w:val="both"/>
      </w:pPr>
      <w:r w:rsidRPr="000B5ABC">
        <w:t xml:space="preserve">For instance, </w:t>
      </w:r>
      <w:proofErr w:type="gramStart"/>
      <w:r w:rsidRPr="000B5ABC">
        <w:t>Nestle</w:t>
      </w:r>
      <w:proofErr w:type="gramEnd"/>
      <w:r w:rsidRPr="000B5ABC">
        <w:t xml:space="preserve"> has operations in different countries, and the company is exposed to various risks such as currency risk, economic risk, and political risk. According to Nestle Global (2019), these risks have the potential to have an impact on the stock price as well as the financial performance of the company. As a result, the market might not always reflect all of the information that is available, which could make it inefficient. </w:t>
      </w:r>
    </w:p>
    <w:p w14:paraId="13D9F311" w14:textId="1A293388" w:rsidR="009A57D2" w:rsidRPr="000B5ABC" w:rsidRDefault="009A57D2" w:rsidP="00F34C02">
      <w:pPr>
        <w:spacing w:line="360" w:lineRule="auto"/>
        <w:jc w:val="both"/>
      </w:pPr>
      <w:r w:rsidRPr="000B5ABC">
        <w:t>Another implication of EMH theory is that investors cannot benefit from insider information since such information is already reflected in the stock price (</w:t>
      </w:r>
      <w:proofErr w:type="spellStart"/>
      <w:r w:rsidRPr="000B5ABC">
        <w:t>Seyhun</w:t>
      </w:r>
      <w:proofErr w:type="spellEnd"/>
      <w:r w:rsidRPr="000B5ABC">
        <w:t xml:space="preserve">, 1986). However, in the case of Nestle, insider information can still influence the stock price. For instance, if there were a significant change in the company's management, such as the appointment of a new CEO, this information could affect the stock price. Similarly, if the company announced a significant acquisition or merger, this information could also affect the stock price </w:t>
      </w:r>
      <w:r w:rsidR="004435E9" w:rsidRPr="000B5ABC">
        <w:t>(Nestle Global, 2019)</w:t>
      </w:r>
      <w:r w:rsidRPr="000B5ABC">
        <w:t>.</w:t>
      </w:r>
    </w:p>
    <w:p w14:paraId="74400131" w14:textId="2A80152A" w:rsidR="00F34C02" w:rsidRPr="000B5ABC" w:rsidRDefault="00F34C02" w:rsidP="00F34C02">
      <w:pPr>
        <w:pStyle w:val="Heading1"/>
        <w:spacing w:line="360" w:lineRule="auto"/>
        <w:jc w:val="both"/>
      </w:pPr>
      <w:bookmarkStart w:id="4" w:name="_Toc133199751"/>
      <w:r w:rsidRPr="000B5ABC">
        <w:lastRenderedPageBreak/>
        <w:t>Analysis of Stakeholder Theory</w:t>
      </w:r>
      <w:bookmarkEnd w:id="4"/>
    </w:p>
    <w:p w14:paraId="1FC73B3A" w14:textId="230EB066" w:rsidR="00F34C02" w:rsidRPr="000B5ABC" w:rsidRDefault="00F34C02" w:rsidP="00F34C02">
      <w:pPr>
        <w:spacing w:line="360" w:lineRule="auto"/>
        <w:jc w:val="both"/>
      </w:pPr>
      <w:r w:rsidRPr="000B5ABC">
        <w:t>Stakeholder theory is a paradigm that recognises the interests and concerns of numerous stakeholders involved in a business, such as employees, customers, suppliers, shareholders, and society at large (Freeman, 2010). Nestle, the world's largest food and beverage company, has been scrutinised for its commercial practises and social and environmental impact, prompting a critical examination of its stakeholder interactions.</w:t>
      </w:r>
    </w:p>
    <w:p w14:paraId="306A74A0" w14:textId="462AAB6C" w:rsidR="00F34C02" w:rsidRPr="000B5ABC" w:rsidRDefault="00F34C02" w:rsidP="00F34C02">
      <w:pPr>
        <w:spacing w:line="360" w:lineRule="auto"/>
        <w:jc w:val="both"/>
      </w:pPr>
      <w:r w:rsidRPr="000B5ABC">
        <w:t>Nestle has been accused of human rights violations and environmental degradation, which has resulted in negative publicity and boycotts (Richter &amp; Kraus, 2018). Nestle has a responsibility, according to stakeholder theory, to address these issues and work towards sustainable and ethical business practises. Nestle has responded by adopting strategies to address these challenges, such as the Nestle Cocoa Plan, which aims to enhance cocoa farmers' lives while reducing environmental impact (Nestle, n.d.).</w:t>
      </w:r>
    </w:p>
    <w:p w14:paraId="122C9DCC" w14:textId="1F24818C" w:rsidR="00F34C02" w:rsidRPr="000B5ABC" w:rsidRDefault="00F34C02" w:rsidP="00F34C02">
      <w:pPr>
        <w:spacing w:line="360" w:lineRule="auto"/>
        <w:jc w:val="both"/>
      </w:pPr>
      <w:r w:rsidRPr="000B5ABC">
        <w:t xml:space="preserve">Furthermore, </w:t>
      </w:r>
      <w:proofErr w:type="gramStart"/>
      <w:r w:rsidRPr="000B5ABC">
        <w:t>Nestle</w:t>
      </w:r>
      <w:proofErr w:type="gramEnd"/>
      <w:r w:rsidRPr="000B5ABC">
        <w:t xml:space="preserve"> has taken initiatives to strengthen its relationship with shareholders, such as boosting its dividend and implementing a share buyback programme (Nestle, 2021). Nestle regards its shareholders as vital stakeholders and strives to maintain their trust and confidence in the company.</w:t>
      </w:r>
    </w:p>
    <w:p w14:paraId="7B0F3A6A" w14:textId="3E1A120B" w:rsidR="0097250F" w:rsidRPr="000B5ABC" w:rsidRDefault="0097250F" w:rsidP="00F34C02">
      <w:pPr>
        <w:pStyle w:val="Heading1"/>
        <w:spacing w:line="360" w:lineRule="auto"/>
        <w:jc w:val="both"/>
      </w:pPr>
      <w:bookmarkStart w:id="5" w:name="_Toc133199752"/>
      <w:r w:rsidRPr="000B5ABC">
        <w:t>Analysis of methods of appraising projects</w:t>
      </w:r>
      <w:bookmarkEnd w:id="5"/>
    </w:p>
    <w:p w14:paraId="2B825EAA" w14:textId="5BF5449F" w:rsidR="00475017" w:rsidRPr="000B5ABC" w:rsidRDefault="00475017" w:rsidP="00F34C02">
      <w:pPr>
        <w:spacing w:line="360" w:lineRule="auto"/>
        <w:jc w:val="both"/>
      </w:pPr>
      <w:r w:rsidRPr="000B5ABC">
        <w:t>Nestle is a multinational corporation with operations in various countries around the world. As such, the company's methods of appraising projects play a crucial role in determining its financial performance. This essay critically analyses and evaluates Nestle's methods of appraising projects, highlighting the strengths and weaknesses of each method and how they impact the company's financial performance.</w:t>
      </w:r>
    </w:p>
    <w:p w14:paraId="7C7BBE1D" w14:textId="2CC7396D" w:rsidR="0060257B" w:rsidRPr="000B5ABC" w:rsidRDefault="0060257B" w:rsidP="00F34C02">
      <w:pPr>
        <w:pStyle w:val="Heading2"/>
        <w:spacing w:line="360" w:lineRule="auto"/>
        <w:jc w:val="both"/>
      </w:pPr>
      <w:bookmarkStart w:id="6" w:name="_Toc133199753"/>
      <w:r w:rsidRPr="000B5ABC">
        <w:t>NPV Method</w:t>
      </w:r>
      <w:bookmarkEnd w:id="6"/>
    </w:p>
    <w:p w14:paraId="334ED251" w14:textId="536D5F85" w:rsidR="00475017" w:rsidRPr="000B5ABC" w:rsidRDefault="007D5016" w:rsidP="00F34C02">
      <w:pPr>
        <w:spacing w:line="360" w:lineRule="auto"/>
        <w:jc w:val="both"/>
      </w:pPr>
      <w:r w:rsidRPr="000B5ABC">
        <w:t xml:space="preserve">The Net Present Value (NPV) method is one of Nestle's methods for evaluating projects. The NPV strategy includes computing the current worth of money inflows and outpourings related to a venture, utilizing a markdown rate that reflects the time worth of money </w:t>
      </w:r>
      <w:r w:rsidR="00475017" w:rsidRPr="000B5ABC">
        <w:t>(</w:t>
      </w:r>
      <w:proofErr w:type="spellStart"/>
      <w:r w:rsidR="00475017" w:rsidRPr="000B5ABC">
        <w:t>Besley</w:t>
      </w:r>
      <w:proofErr w:type="spellEnd"/>
      <w:r w:rsidR="00475017" w:rsidRPr="000B5ABC">
        <w:t xml:space="preserve"> &amp; Brigham, 2008). </w:t>
      </w:r>
      <w:r w:rsidRPr="000B5ABC">
        <w:t>Because it assists businesses in determining whether or not a project will add value to the business, the NPV method is frequently utilized in corporate finance</w:t>
      </w:r>
      <w:r w:rsidR="00475017" w:rsidRPr="000B5ABC">
        <w:t>.</w:t>
      </w:r>
    </w:p>
    <w:p w14:paraId="4D10D6A1" w14:textId="3E5EFA5D" w:rsidR="00475017" w:rsidRPr="000B5ABC" w:rsidRDefault="00475017" w:rsidP="00F34C02">
      <w:pPr>
        <w:spacing w:line="360" w:lineRule="auto"/>
        <w:jc w:val="both"/>
      </w:pPr>
      <w:r w:rsidRPr="000B5ABC">
        <w:lastRenderedPageBreak/>
        <w:t xml:space="preserve">Nestle's use of the NPV method is a strength since it allows the company to assess the profitability of potential projects before investing in them. </w:t>
      </w:r>
      <w:r w:rsidR="007D5016" w:rsidRPr="000B5ABC">
        <w:t>Nestle can determine the project's present value by calculating the NPV and discounting the anticipated cash flows over time. The company only invests in projects that are anticipated to generate a positive NPV and add value to the business using this strategy</w:t>
      </w:r>
      <w:r w:rsidRPr="000B5ABC">
        <w:t>.</w:t>
      </w:r>
    </w:p>
    <w:p w14:paraId="4F9EF26C" w14:textId="745B0F64" w:rsidR="0060257B" w:rsidRPr="000B5ABC" w:rsidRDefault="0060257B" w:rsidP="00F34C02">
      <w:pPr>
        <w:pStyle w:val="Heading2"/>
        <w:spacing w:line="360" w:lineRule="auto"/>
        <w:jc w:val="both"/>
      </w:pPr>
      <w:bookmarkStart w:id="7" w:name="_Toc133199754"/>
      <w:r w:rsidRPr="000B5ABC">
        <w:t>Internal Rate of Return (IRR) Method</w:t>
      </w:r>
      <w:bookmarkEnd w:id="7"/>
    </w:p>
    <w:p w14:paraId="27090C31" w14:textId="74C29082" w:rsidR="00912940" w:rsidRPr="000B5ABC" w:rsidRDefault="00F34C02" w:rsidP="00912940">
      <w:pPr>
        <w:spacing w:line="360" w:lineRule="auto"/>
        <w:jc w:val="both"/>
      </w:pPr>
      <w:r w:rsidRPr="000B5ABC">
        <w:t xml:space="preserve">Nestle also employs the Internal Rate of Return method to evaluate initiatives. According to Ross, Westerfield, and Jaffe (2005), the IRR technique entails determining the discount rate that combines the project's cash outflows' and cash inflows' present values. Furthermore, in corporate finance, the NPV approach and the IRR method are frequently combined. Nestle benefits from the IRR method because it takes a different approach to determining the profitability of proposed projects. </w:t>
      </w:r>
      <w:r w:rsidR="00912940" w:rsidRPr="000B5ABC">
        <w:t xml:space="preserve">The IRR method allows companies to compare the average rate of return generated by a project to the expected rate of </w:t>
      </w:r>
      <w:proofErr w:type="gramStart"/>
      <w:r w:rsidR="00912940" w:rsidRPr="000B5ABC">
        <w:t>return..</w:t>
      </w:r>
      <w:proofErr w:type="gramEnd"/>
    </w:p>
    <w:p w14:paraId="56C4CA6B" w14:textId="33FA94D4" w:rsidR="00475017" w:rsidRPr="000B5ABC" w:rsidRDefault="00912940" w:rsidP="00912940">
      <w:pPr>
        <w:spacing w:line="360" w:lineRule="auto"/>
        <w:jc w:val="both"/>
      </w:pPr>
      <w:r w:rsidRPr="000B5ABC">
        <w:t>However, a drawback of the IRR method is the assumption that the project's cash flows can be reinvested at the same rate as her IRR (Ross, Westerfield, &amp; Jaffe, 2005). This assumption is not always true if the project cash flows cannot be reinvested in the same proportion</w:t>
      </w:r>
      <w:r w:rsidR="004877FD" w:rsidRPr="000B5ABC">
        <w:t>. In this way, the IRR technique might misjudge a project's productivity in such conditions</w:t>
      </w:r>
      <w:r w:rsidR="00475017" w:rsidRPr="000B5ABC">
        <w:t>.</w:t>
      </w:r>
    </w:p>
    <w:p w14:paraId="173D5ABE" w14:textId="0AAE25E1" w:rsidR="0060257B" w:rsidRPr="000B5ABC" w:rsidRDefault="0060257B" w:rsidP="00F34C02">
      <w:pPr>
        <w:pStyle w:val="Heading2"/>
        <w:spacing w:line="360" w:lineRule="auto"/>
        <w:jc w:val="both"/>
      </w:pPr>
      <w:bookmarkStart w:id="8" w:name="_Toc133199755"/>
      <w:r w:rsidRPr="000B5ABC">
        <w:t>Payback Period (PP) Method</w:t>
      </w:r>
      <w:bookmarkEnd w:id="8"/>
    </w:p>
    <w:p w14:paraId="61746225" w14:textId="294A4A6D" w:rsidR="00475017" w:rsidRPr="000B5ABC" w:rsidRDefault="00475017" w:rsidP="00F34C02">
      <w:pPr>
        <w:spacing w:line="360" w:lineRule="auto"/>
        <w:jc w:val="both"/>
      </w:pPr>
      <w:r w:rsidRPr="000B5ABC">
        <w:t xml:space="preserve">Nestle also uses the Payback Period (PP) method to appraise projects. </w:t>
      </w:r>
      <w:r w:rsidR="00912940" w:rsidRPr="000B5ABC">
        <w:t>The PP method includes figuring out how long it takes for a project to get back its initial investment (</w:t>
      </w:r>
      <w:proofErr w:type="spellStart"/>
      <w:r w:rsidR="00912940" w:rsidRPr="000B5ABC">
        <w:t>Besley</w:t>
      </w:r>
      <w:proofErr w:type="spellEnd"/>
      <w:r w:rsidR="00912940" w:rsidRPr="000B5ABC">
        <w:t xml:space="preserve"> &amp; Brigham, 2008)</w:t>
      </w:r>
      <w:r w:rsidRPr="000B5ABC">
        <w:t>. The PP method is a simple and straightforward method that is often used in practice, particularly in cases where projects have a short life.</w:t>
      </w:r>
    </w:p>
    <w:p w14:paraId="3CC9A472" w14:textId="18B1B6E8" w:rsidR="00475017" w:rsidRPr="000B5ABC" w:rsidRDefault="004566B5" w:rsidP="00F34C02">
      <w:pPr>
        <w:spacing w:line="360" w:lineRule="auto"/>
        <w:jc w:val="both"/>
      </w:pPr>
      <w:r w:rsidRPr="000B5ABC">
        <w:t xml:space="preserve">In any case, the PP method has a shortcoming in that it doesn't consider the time worth of cash. It expects that cash inflows happen at a consistent rate over the existence of the task, which may not generally be the situation. </w:t>
      </w:r>
      <w:r w:rsidR="00912940" w:rsidRPr="000B5ABC">
        <w:t xml:space="preserve">Additionally, the PP method does not </w:t>
      </w:r>
      <w:r w:rsidR="000B5ABC" w:rsidRPr="000B5ABC">
        <w:t>consider</w:t>
      </w:r>
      <w:r w:rsidR="00912940" w:rsidRPr="000B5ABC">
        <w:t xml:space="preserve"> cash flows that occur after the payback period</w:t>
      </w:r>
      <w:r w:rsidRPr="000B5ABC">
        <w:t>, which may be significant in some instances</w:t>
      </w:r>
      <w:r w:rsidR="00475017" w:rsidRPr="000B5ABC">
        <w:t>.</w:t>
      </w:r>
    </w:p>
    <w:p w14:paraId="48C39F1D" w14:textId="3A9DC114" w:rsidR="009A57D2" w:rsidRPr="000B5ABC" w:rsidRDefault="00475017" w:rsidP="00F34C02">
      <w:pPr>
        <w:spacing w:line="360" w:lineRule="auto"/>
        <w:jc w:val="both"/>
      </w:pPr>
      <w:r w:rsidRPr="000B5ABC">
        <w:t xml:space="preserve">In conclusion, </w:t>
      </w:r>
      <w:r w:rsidR="004566B5" w:rsidRPr="000B5ABC">
        <w:t>nestle</w:t>
      </w:r>
      <w:r w:rsidRPr="000B5ABC">
        <w:t xml:space="preserve"> uses various methods to appraise projects, including the NPV, IRR, and PP methods. The use of these methods is a strength since it allows the company to assess the profitability of potential projects before investing in them. However, each method has its strengths </w:t>
      </w:r>
      <w:r w:rsidRPr="000B5ABC">
        <w:lastRenderedPageBreak/>
        <w:t>and weaknesses, and the company must be aware of these when using them. Overall, the NPV and IRR methods are more appropriate for evaluating long-term projects since they consider the time value of money,</w:t>
      </w:r>
    </w:p>
    <w:p w14:paraId="3C47BE81" w14:textId="1833D465" w:rsidR="00475017" w:rsidRPr="000B5ABC" w:rsidRDefault="00475017" w:rsidP="00F34C02">
      <w:pPr>
        <w:pStyle w:val="Heading1"/>
        <w:spacing w:line="360" w:lineRule="auto"/>
        <w:jc w:val="both"/>
      </w:pPr>
      <w:bookmarkStart w:id="9" w:name="_Toc133199756"/>
      <w:r w:rsidRPr="000B5ABC">
        <w:t>Conclusion</w:t>
      </w:r>
      <w:bookmarkEnd w:id="9"/>
    </w:p>
    <w:p w14:paraId="30695924" w14:textId="77777777" w:rsidR="00F34C02" w:rsidRPr="000B5ABC" w:rsidRDefault="00F34C02" w:rsidP="00F34C02">
      <w:pPr>
        <w:spacing w:line="360" w:lineRule="auto"/>
        <w:jc w:val="both"/>
      </w:pPr>
      <w:r w:rsidRPr="000B5ABC">
        <w:t>Finally, the examination of Nestle's operations through the lens of international financial management (IFM) has revealed several crucial features of the company. The dividend distribution policy of the corporation, as well as its adherence to the efficient market hypothesis theory, have both been assessed. Nestle's project evaluation processes have also been investigated.</w:t>
      </w:r>
    </w:p>
    <w:p w14:paraId="2C09F886" w14:textId="1B50DDE2" w:rsidR="00475017" w:rsidRPr="000B5ABC" w:rsidRDefault="00F34C02" w:rsidP="00F34C02">
      <w:pPr>
        <w:spacing w:line="360" w:lineRule="auto"/>
        <w:jc w:val="both"/>
      </w:pPr>
      <w:r w:rsidRPr="000B5ABC">
        <w:t xml:space="preserve">Nestle's dividend policy has been judged to be consistent with the company's long-term strategic aims. The company prioritises reinvesting earnings in future growth possibilities, demonstrating its commitment to creating long-term value for shareholders. </w:t>
      </w:r>
      <w:r w:rsidR="00912940" w:rsidRPr="000B5ABC">
        <w:t>Using security analysis, the efficient market hypothesis proposes that Nestle's stock prices accurately reflect all available information, minimizing any potential for excessive profits</w:t>
      </w:r>
      <w:r w:rsidR="00475017" w:rsidRPr="000B5ABC">
        <w:t>.</w:t>
      </w:r>
    </w:p>
    <w:p w14:paraId="0582BCCC" w14:textId="7C9DAA74" w:rsidR="00475017" w:rsidRPr="000B5ABC" w:rsidRDefault="00F34C02" w:rsidP="00F34C02">
      <w:pPr>
        <w:spacing w:line="360" w:lineRule="auto"/>
        <w:jc w:val="both"/>
      </w:pPr>
      <w:r w:rsidRPr="000B5ABC">
        <w:t xml:space="preserve">Nestle's project appraisal methodologies, notably the NPV, IRR, and PP methods, are extensively used in corporate finance and each has its own set of </w:t>
      </w:r>
      <w:r w:rsidR="00912940" w:rsidRPr="000B5ABC">
        <w:t>merits and de-merits</w:t>
      </w:r>
      <w:r w:rsidRPr="000B5ABC">
        <w:t>. Nestle uses these approaches to assess the profitability of proposed projects before investing in them. However, the organisation must be aware of the limitations of each technique and ensure that the most appropriate method is chosen based on the nature of the project</w:t>
      </w:r>
      <w:r w:rsidR="00475017" w:rsidRPr="000B5ABC">
        <w:t>.</w:t>
      </w:r>
    </w:p>
    <w:p w14:paraId="587AF6EB" w14:textId="77777777" w:rsidR="00475017" w:rsidRPr="000B5ABC" w:rsidRDefault="00475017" w:rsidP="00F34C02">
      <w:pPr>
        <w:spacing w:line="360" w:lineRule="auto"/>
        <w:jc w:val="both"/>
      </w:pPr>
    </w:p>
    <w:p w14:paraId="412C7709" w14:textId="61DF66FD" w:rsidR="00475017" w:rsidRPr="000B5ABC" w:rsidRDefault="0060257B" w:rsidP="00F34C02">
      <w:pPr>
        <w:spacing w:line="360" w:lineRule="auto"/>
        <w:jc w:val="both"/>
      </w:pPr>
      <w:r w:rsidRPr="000B5ABC">
        <w:br w:type="page"/>
      </w:r>
    </w:p>
    <w:p w14:paraId="4D08709F" w14:textId="1F90B43D" w:rsidR="00475017" w:rsidRPr="000B5ABC" w:rsidRDefault="00475017" w:rsidP="00F34C02">
      <w:pPr>
        <w:pStyle w:val="Heading1"/>
        <w:spacing w:line="360" w:lineRule="auto"/>
        <w:jc w:val="both"/>
      </w:pPr>
      <w:bookmarkStart w:id="10" w:name="_Toc133199757"/>
      <w:r w:rsidRPr="000B5ABC">
        <w:lastRenderedPageBreak/>
        <w:t>References:</w:t>
      </w:r>
      <w:bookmarkEnd w:id="10"/>
    </w:p>
    <w:p w14:paraId="5EFD6249" w14:textId="77777777" w:rsidR="00F34C02" w:rsidRPr="000B5ABC" w:rsidRDefault="00F34C02" w:rsidP="00F34C02">
      <w:pPr>
        <w:spacing w:line="360" w:lineRule="auto"/>
        <w:ind w:left="720" w:hanging="720"/>
      </w:pPr>
      <w:r w:rsidRPr="000B5ABC">
        <w:rPr>
          <w:shd w:val="clear" w:color="auto" w:fill="FFFFFF"/>
        </w:rPr>
        <w:t>Bodie, Z., Kane, A. and Marcus, A.J., 2018. Investments. 11" ed. US.</w:t>
      </w:r>
    </w:p>
    <w:p w14:paraId="39B07EF5" w14:textId="77777777" w:rsidR="00F34C02" w:rsidRPr="000B5ABC" w:rsidRDefault="00F34C02" w:rsidP="00F34C02">
      <w:pPr>
        <w:spacing w:line="360" w:lineRule="auto"/>
        <w:ind w:left="720" w:hanging="720"/>
      </w:pPr>
      <w:r w:rsidRPr="000B5ABC">
        <w:rPr>
          <w:shd w:val="clear" w:color="auto" w:fill="FFFFFF"/>
        </w:rPr>
        <w:t>Brigham, E.F., 2016. </w:t>
      </w:r>
      <w:r w:rsidRPr="000B5ABC">
        <w:rPr>
          <w:i/>
          <w:iCs/>
          <w:shd w:val="clear" w:color="auto" w:fill="FFFFFF"/>
        </w:rPr>
        <w:t>Financial management: Theory and practice</w:t>
      </w:r>
      <w:r w:rsidRPr="000B5ABC">
        <w:rPr>
          <w:shd w:val="clear" w:color="auto" w:fill="FFFFFF"/>
        </w:rPr>
        <w:t>. Cengage Learning Canada Inc.</w:t>
      </w:r>
    </w:p>
    <w:p w14:paraId="4303612F" w14:textId="77777777" w:rsidR="00F34C02" w:rsidRPr="000B5ABC" w:rsidRDefault="00F34C02" w:rsidP="00F34C02">
      <w:pPr>
        <w:spacing w:line="360" w:lineRule="auto"/>
        <w:ind w:left="720" w:hanging="720"/>
      </w:pPr>
      <w:r w:rsidRPr="000B5ABC">
        <w:t>Damodaran, A., 2017. Damodaran Online: Efficient Market Hypothesis. New York University Stern School of Business. https://pages.stern.nyu.edu/~adamodar/New_Home_Page/invphilos/effmkth.htm</w:t>
      </w:r>
    </w:p>
    <w:p w14:paraId="73B41C4A" w14:textId="77777777" w:rsidR="00F34C02" w:rsidRPr="000B5ABC" w:rsidRDefault="00F34C02" w:rsidP="00F34C02">
      <w:pPr>
        <w:spacing w:line="360" w:lineRule="auto"/>
        <w:ind w:left="720" w:hanging="720"/>
      </w:pPr>
      <w:proofErr w:type="spellStart"/>
      <w:r w:rsidRPr="000B5ABC">
        <w:rPr>
          <w:shd w:val="clear" w:color="auto" w:fill="FFFFFF"/>
        </w:rPr>
        <w:t>Fama</w:t>
      </w:r>
      <w:proofErr w:type="spellEnd"/>
      <w:r w:rsidRPr="000B5ABC">
        <w:rPr>
          <w:shd w:val="clear" w:color="auto" w:fill="FFFFFF"/>
        </w:rPr>
        <w:t xml:space="preserve">, E.F., 1965. The </w:t>
      </w:r>
      <w:proofErr w:type="spellStart"/>
      <w:r w:rsidRPr="000B5ABC">
        <w:rPr>
          <w:shd w:val="clear" w:color="auto" w:fill="FFFFFF"/>
        </w:rPr>
        <w:t>behavior</w:t>
      </w:r>
      <w:proofErr w:type="spellEnd"/>
      <w:r w:rsidRPr="000B5ABC">
        <w:rPr>
          <w:shd w:val="clear" w:color="auto" w:fill="FFFFFF"/>
        </w:rPr>
        <w:t xml:space="preserve"> of stock-market prices. </w:t>
      </w:r>
      <w:r w:rsidRPr="000B5ABC">
        <w:rPr>
          <w:i/>
          <w:iCs/>
          <w:shd w:val="clear" w:color="auto" w:fill="FFFFFF"/>
        </w:rPr>
        <w:t>The journal of Business</w:t>
      </w:r>
      <w:r w:rsidRPr="000B5ABC">
        <w:rPr>
          <w:shd w:val="clear" w:color="auto" w:fill="FFFFFF"/>
        </w:rPr>
        <w:t>, </w:t>
      </w:r>
      <w:r w:rsidRPr="000B5ABC">
        <w:rPr>
          <w:i/>
          <w:iCs/>
          <w:shd w:val="clear" w:color="auto" w:fill="FFFFFF"/>
        </w:rPr>
        <w:t>38</w:t>
      </w:r>
      <w:r w:rsidRPr="000B5ABC">
        <w:rPr>
          <w:shd w:val="clear" w:color="auto" w:fill="FFFFFF"/>
        </w:rPr>
        <w:t>(1), pp.34-105.</w:t>
      </w:r>
    </w:p>
    <w:p w14:paraId="5FAE4961" w14:textId="77777777" w:rsidR="00F34C02" w:rsidRPr="000B5ABC" w:rsidRDefault="00F34C02" w:rsidP="00F34C02">
      <w:pPr>
        <w:spacing w:line="360" w:lineRule="auto"/>
        <w:ind w:left="720" w:hanging="720"/>
        <w:rPr>
          <w:shd w:val="clear" w:color="auto" w:fill="FFFFFF"/>
        </w:rPr>
      </w:pPr>
      <w:r w:rsidRPr="000B5ABC">
        <w:t>‌</w:t>
      </w:r>
      <w:proofErr w:type="spellStart"/>
      <w:r w:rsidRPr="000B5ABC">
        <w:rPr>
          <w:shd w:val="clear" w:color="auto" w:fill="FFFFFF"/>
        </w:rPr>
        <w:t>Fama</w:t>
      </w:r>
      <w:proofErr w:type="spellEnd"/>
      <w:r w:rsidRPr="000B5ABC">
        <w:rPr>
          <w:shd w:val="clear" w:color="auto" w:fill="FFFFFF"/>
        </w:rPr>
        <w:t>, E.F., 1970. Efficient capital markets: A review of theory and empirical work. </w:t>
      </w:r>
      <w:r w:rsidRPr="000B5ABC">
        <w:rPr>
          <w:i/>
          <w:iCs/>
          <w:shd w:val="clear" w:color="auto" w:fill="FFFFFF"/>
        </w:rPr>
        <w:t>The journal of Finance</w:t>
      </w:r>
      <w:r w:rsidRPr="000B5ABC">
        <w:rPr>
          <w:shd w:val="clear" w:color="auto" w:fill="FFFFFF"/>
        </w:rPr>
        <w:t>, </w:t>
      </w:r>
      <w:r w:rsidRPr="000B5ABC">
        <w:rPr>
          <w:i/>
          <w:iCs/>
          <w:shd w:val="clear" w:color="auto" w:fill="FFFFFF"/>
        </w:rPr>
        <w:t>25</w:t>
      </w:r>
      <w:r w:rsidRPr="000B5ABC">
        <w:rPr>
          <w:shd w:val="clear" w:color="auto" w:fill="FFFFFF"/>
        </w:rPr>
        <w:t>(2), pp.383-417.</w:t>
      </w:r>
    </w:p>
    <w:p w14:paraId="3C41E9E0" w14:textId="77777777" w:rsidR="00F34C02" w:rsidRPr="000B5ABC" w:rsidRDefault="00F34C02" w:rsidP="00F34C02">
      <w:pPr>
        <w:spacing w:line="360" w:lineRule="auto"/>
        <w:ind w:left="720" w:hanging="720"/>
      </w:pPr>
      <w:r w:rsidRPr="000B5ABC">
        <w:t>Freeman, R. E. (2010). Strategic management: A stakeholder approach. Cambridge University Press.</w:t>
      </w:r>
    </w:p>
    <w:p w14:paraId="47B615D5" w14:textId="77777777" w:rsidR="00F34C02" w:rsidRPr="000B5ABC" w:rsidRDefault="00F34C02" w:rsidP="00F34C02">
      <w:pPr>
        <w:spacing w:line="360" w:lineRule="auto"/>
        <w:ind w:left="720" w:hanging="720"/>
      </w:pPr>
      <w:proofErr w:type="spellStart"/>
      <w:r w:rsidRPr="000B5ABC">
        <w:t>Harberger</w:t>
      </w:r>
      <w:proofErr w:type="spellEnd"/>
      <w:r w:rsidRPr="000B5ABC">
        <w:t>, A.C., 1972. Techniques of Project Appraisal. </w:t>
      </w:r>
      <w:r w:rsidRPr="000B5ABC">
        <w:rPr>
          <w:i/>
          <w:iCs/>
        </w:rPr>
        <w:t>Project Evaluation</w:t>
      </w:r>
      <w:r w:rsidRPr="000B5ABC">
        <w:t xml:space="preserve">, [online] pp.1–21. </w:t>
      </w:r>
      <w:proofErr w:type="spellStart"/>
      <w:r w:rsidRPr="000B5ABC">
        <w:t>doi</w:t>
      </w:r>
      <w:proofErr w:type="spellEnd"/>
      <w:r w:rsidRPr="000B5ABC">
        <w:t>: https://doi.org/10.1007/978-1-349-01653-2_1.</w:t>
      </w:r>
    </w:p>
    <w:p w14:paraId="2F7075F4" w14:textId="77777777" w:rsidR="00F34C02" w:rsidRPr="000B5ABC" w:rsidRDefault="00F34C02" w:rsidP="00F34C02">
      <w:pPr>
        <w:spacing w:line="360" w:lineRule="auto"/>
        <w:ind w:left="720" w:hanging="720"/>
      </w:pPr>
      <w:r w:rsidRPr="000B5ABC">
        <w:t>Nestlé Global., 2019. </w:t>
      </w:r>
      <w:r w:rsidRPr="000B5ABC">
        <w:rPr>
          <w:i/>
          <w:iCs/>
        </w:rPr>
        <w:t>Generating value through our strategy | Nestlé Annual Report</w:t>
      </w:r>
      <w:r w:rsidRPr="000B5ABC">
        <w:t>. [online] Available at: https://www.nestle.com/investors/annual-report/strategy [Accessed 18 Apr. 2023].</w:t>
      </w:r>
    </w:p>
    <w:p w14:paraId="0869E8DC" w14:textId="77777777" w:rsidR="00F34C02" w:rsidRPr="000B5ABC" w:rsidRDefault="00F34C02" w:rsidP="00F34C02">
      <w:pPr>
        <w:spacing w:line="360" w:lineRule="auto"/>
        <w:ind w:left="720" w:hanging="720"/>
      </w:pPr>
      <w:r w:rsidRPr="000B5ABC">
        <w:t>Nestle. (2021). Nestle Annual Review 2020. Retrieved from https://www.nestle.com/sites/default/files/2021-03/Nestle-Annual-Review-2020-EN.pdf</w:t>
      </w:r>
    </w:p>
    <w:p w14:paraId="621703E1" w14:textId="77777777" w:rsidR="00F34C02" w:rsidRPr="000B5ABC" w:rsidRDefault="00F34C02" w:rsidP="00F34C02">
      <w:pPr>
        <w:spacing w:line="360" w:lineRule="auto"/>
        <w:ind w:left="720" w:hanging="720"/>
      </w:pPr>
      <w:r w:rsidRPr="000B5ABC">
        <w:t>Nestle. (n.d.). Creating Shared Value. Retrieved from https://www.nestle.com/csv</w:t>
      </w:r>
    </w:p>
    <w:p w14:paraId="27FCC547" w14:textId="77777777" w:rsidR="00F34C02" w:rsidRPr="000B5ABC" w:rsidRDefault="00F34C02" w:rsidP="00F34C02">
      <w:pPr>
        <w:spacing w:line="360" w:lineRule="auto"/>
        <w:ind w:left="720" w:hanging="720"/>
      </w:pPr>
      <w:r w:rsidRPr="000B5ABC">
        <w:t>Nestle. (n.d.). Nestle Cocoa Plan. Retrieved from https://www.nestle.com/sustainability/sourcingsustainablecocoa/nestlecocoaplan</w:t>
      </w:r>
    </w:p>
    <w:p w14:paraId="2728F5E8" w14:textId="77777777" w:rsidR="00F34C02" w:rsidRPr="000B5ABC" w:rsidRDefault="00F34C02" w:rsidP="00F34C02">
      <w:pPr>
        <w:spacing w:line="360" w:lineRule="auto"/>
        <w:ind w:left="720" w:hanging="720"/>
      </w:pPr>
      <w:r w:rsidRPr="000B5ABC">
        <w:t>Richter, J., &amp; Kraus, P. (2018). Corporate social responsibility: Nestle case study. Journal of Business Case Studies (JBCS), 14(4), 111-118.</w:t>
      </w:r>
    </w:p>
    <w:p w14:paraId="26FE7948" w14:textId="77777777" w:rsidR="004435E9" w:rsidRPr="000B5ABC" w:rsidRDefault="004435E9" w:rsidP="00F34C02">
      <w:pPr>
        <w:spacing w:line="360" w:lineRule="auto"/>
        <w:ind w:left="720" w:hanging="720"/>
        <w:jc w:val="both"/>
      </w:pPr>
    </w:p>
    <w:sectPr w:rsidR="004435E9" w:rsidRPr="000B5AB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A1A76" w14:textId="77777777" w:rsidR="00135E19" w:rsidRDefault="00135E19" w:rsidP="00F34C02">
      <w:pPr>
        <w:spacing w:after="0" w:line="240" w:lineRule="auto"/>
      </w:pPr>
      <w:r>
        <w:separator/>
      </w:r>
    </w:p>
  </w:endnote>
  <w:endnote w:type="continuationSeparator" w:id="0">
    <w:p w14:paraId="143E9082" w14:textId="77777777" w:rsidR="00135E19" w:rsidRDefault="00135E19" w:rsidP="00F34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4323463"/>
      <w:docPartObj>
        <w:docPartGallery w:val="Page Numbers (Bottom of Page)"/>
        <w:docPartUnique/>
      </w:docPartObj>
    </w:sdtPr>
    <w:sdtEndPr>
      <w:rPr>
        <w:noProof/>
      </w:rPr>
    </w:sdtEndPr>
    <w:sdtContent>
      <w:p w14:paraId="156BC582" w14:textId="1C253243" w:rsidR="00F34C02" w:rsidRDefault="00F34C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73178E" w14:textId="77777777" w:rsidR="00F34C02" w:rsidRDefault="00F34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D89A6" w14:textId="77777777" w:rsidR="00135E19" w:rsidRDefault="00135E19" w:rsidP="00F34C02">
      <w:pPr>
        <w:spacing w:after="0" w:line="240" w:lineRule="auto"/>
      </w:pPr>
      <w:r>
        <w:separator/>
      </w:r>
    </w:p>
  </w:footnote>
  <w:footnote w:type="continuationSeparator" w:id="0">
    <w:p w14:paraId="55F38337" w14:textId="77777777" w:rsidR="00135E19" w:rsidRDefault="00135E19" w:rsidP="00F34C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3MzSxNDU2NjMzNzZQ0lEKTi0uzszPAykwrAUArI9O4SwAAAA="/>
  </w:docVars>
  <w:rsids>
    <w:rsidRoot w:val="009A57D2"/>
    <w:rsid w:val="000B5ABC"/>
    <w:rsid w:val="000E1DFC"/>
    <w:rsid w:val="00106003"/>
    <w:rsid w:val="00135E19"/>
    <w:rsid w:val="00255376"/>
    <w:rsid w:val="004435E9"/>
    <w:rsid w:val="004566B5"/>
    <w:rsid w:val="00475017"/>
    <w:rsid w:val="004877FD"/>
    <w:rsid w:val="004B27EC"/>
    <w:rsid w:val="0051162E"/>
    <w:rsid w:val="00545290"/>
    <w:rsid w:val="0060257B"/>
    <w:rsid w:val="00696532"/>
    <w:rsid w:val="007D5016"/>
    <w:rsid w:val="00801A3C"/>
    <w:rsid w:val="00912940"/>
    <w:rsid w:val="0097250F"/>
    <w:rsid w:val="009A57D2"/>
    <w:rsid w:val="00A416C8"/>
    <w:rsid w:val="00A978EF"/>
    <w:rsid w:val="00C943BC"/>
    <w:rsid w:val="00CA500E"/>
    <w:rsid w:val="00D36FD0"/>
    <w:rsid w:val="00F34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BB78"/>
  <w15:chartTrackingRefBased/>
  <w15:docId w15:val="{38969EE7-1B31-4BB2-B227-438033AE0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257B"/>
    <w:rPr>
      <w:rFonts w:ascii="Times New Roman" w:hAnsi="Times New Roman"/>
      <w:sz w:val="24"/>
      <w:lang w:val="en-GB"/>
    </w:rPr>
  </w:style>
  <w:style w:type="paragraph" w:styleId="Heading1">
    <w:name w:val="heading 1"/>
    <w:basedOn w:val="Normal"/>
    <w:next w:val="Normal"/>
    <w:link w:val="Heading1Char"/>
    <w:uiPriority w:val="9"/>
    <w:qFormat/>
    <w:rsid w:val="0060257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0257B"/>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6003"/>
    <w:rPr>
      <w:color w:val="0563C1" w:themeColor="hyperlink"/>
      <w:u w:val="single"/>
    </w:rPr>
  </w:style>
  <w:style w:type="character" w:styleId="UnresolvedMention">
    <w:name w:val="Unresolved Mention"/>
    <w:basedOn w:val="DefaultParagraphFont"/>
    <w:uiPriority w:val="99"/>
    <w:semiHidden/>
    <w:unhideWhenUsed/>
    <w:rsid w:val="00106003"/>
    <w:rPr>
      <w:color w:val="605E5C"/>
      <w:shd w:val="clear" w:color="auto" w:fill="E1DFDD"/>
    </w:rPr>
  </w:style>
  <w:style w:type="paragraph" w:styleId="NormalWeb">
    <w:name w:val="Normal (Web)"/>
    <w:basedOn w:val="Normal"/>
    <w:uiPriority w:val="99"/>
    <w:unhideWhenUsed/>
    <w:rsid w:val="004435E9"/>
    <w:pPr>
      <w:spacing w:before="100" w:beforeAutospacing="1" w:after="100" w:afterAutospacing="1" w:line="240" w:lineRule="auto"/>
    </w:pPr>
    <w:rPr>
      <w:rFonts w:eastAsia="Times New Roman" w:cs="Times New Roman"/>
      <w:kern w:val="0"/>
      <w:szCs w:val="24"/>
      <w:lang w:val="en-PK" w:eastAsia="en-PK"/>
      <w14:ligatures w14:val="none"/>
    </w:rPr>
  </w:style>
  <w:style w:type="character" w:customStyle="1" w:styleId="Heading1Char">
    <w:name w:val="Heading 1 Char"/>
    <w:basedOn w:val="DefaultParagraphFont"/>
    <w:link w:val="Heading1"/>
    <w:uiPriority w:val="9"/>
    <w:rsid w:val="0060257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0257B"/>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F34C02"/>
    <w:p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F34C02"/>
    <w:pPr>
      <w:spacing w:after="100"/>
    </w:pPr>
  </w:style>
  <w:style w:type="paragraph" w:styleId="TOC2">
    <w:name w:val="toc 2"/>
    <w:basedOn w:val="Normal"/>
    <w:next w:val="Normal"/>
    <w:autoRedefine/>
    <w:uiPriority w:val="39"/>
    <w:unhideWhenUsed/>
    <w:rsid w:val="00F34C02"/>
    <w:pPr>
      <w:spacing w:after="100"/>
      <w:ind w:left="240"/>
    </w:pPr>
  </w:style>
  <w:style w:type="paragraph" w:styleId="Header">
    <w:name w:val="header"/>
    <w:basedOn w:val="Normal"/>
    <w:link w:val="HeaderChar"/>
    <w:uiPriority w:val="99"/>
    <w:unhideWhenUsed/>
    <w:rsid w:val="00F34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C02"/>
    <w:rPr>
      <w:rFonts w:ascii="Times New Roman" w:hAnsi="Times New Roman"/>
      <w:sz w:val="24"/>
    </w:rPr>
  </w:style>
  <w:style w:type="paragraph" w:styleId="Footer">
    <w:name w:val="footer"/>
    <w:basedOn w:val="Normal"/>
    <w:link w:val="FooterChar"/>
    <w:uiPriority w:val="99"/>
    <w:unhideWhenUsed/>
    <w:rsid w:val="00F34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C0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5190">
      <w:bodyDiv w:val="1"/>
      <w:marLeft w:val="0"/>
      <w:marRight w:val="0"/>
      <w:marTop w:val="0"/>
      <w:marBottom w:val="0"/>
      <w:divBdr>
        <w:top w:val="none" w:sz="0" w:space="0" w:color="auto"/>
        <w:left w:val="none" w:sz="0" w:space="0" w:color="auto"/>
        <w:bottom w:val="none" w:sz="0" w:space="0" w:color="auto"/>
        <w:right w:val="none" w:sz="0" w:space="0" w:color="auto"/>
      </w:divBdr>
    </w:div>
    <w:div w:id="925502414">
      <w:bodyDiv w:val="1"/>
      <w:marLeft w:val="0"/>
      <w:marRight w:val="0"/>
      <w:marTop w:val="0"/>
      <w:marBottom w:val="0"/>
      <w:divBdr>
        <w:top w:val="none" w:sz="0" w:space="0" w:color="auto"/>
        <w:left w:val="none" w:sz="0" w:space="0" w:color="auto"/>
        <w:bottom w:val="none" w:sz="0" w:space="0" w:color="auto"/>
        <w:right w:val="none" w:sz="0" w:space="0" w:color="auto"/>
      </w:divBdr>
    </w:div>
    <w:div w:id="1130325250">
      <w:bodyDiv w:val="1"/>
      <w:marLeft w:val="0"/>
      <w:marRight w:val="0"/>
      <w:marTop w:val="0"/>
      <w:marBottom w:val="0"/>
      <w:divBdr>
        <w:top w:val="none" w:sz="0" w:space="0" w:color="auto"/>
        <w:left w:val="none" w:sz="0" w:space="0" w:color="auto"/>
        <w:bottom w:val="none" w:sz="0" w:space="0" w:color="auto"/>
        <w:right w:val="none" w:sz="0" w:space="0" w:color="auto"/>
      </w:divBdr>
    </w:div>
    <w:div w:id="182427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448BF-D8CA-4636-8152-6E4B0CA6E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Pages>
  <Words>2018</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cp:lastModifiedBy>
  <cp:revision>39</cp:revision>
  <dcterms:created xsi:type="dcterms:W3CDTF">2023-04-18T17:33:00Z</dcterms:created>
  <dcterms:modified xsi:type="dcterms:W3CDTF">2023-04-24T15:24:00Z</dcterms:modified>
</cp:coreProperties>
</file>