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6D9BF" w14:textId="08930B44" w:rsidR="003A6FB0" w:rsidRPr="003A6FB0" w:rsidRDefault="003A6FB0" w:rsidP="003A6FB0">
      <w:pPr>
        <w:rPr>
          <w:rFonts w:ascii="Times" w:eastAsia="Times New Roman" w:hAnsi="Times" w:cs="Times New Roman"/>
          <w:b/>
          <w:bCs/>
          <w:sz w:val="32"/>
          <w:szCs w:val="32"/>
          <w:u w:val="single"/>
          <w:lang w:eastAsia="en-GB"/>
        </w:rPr>
      </w:pPr>
      <w:r w:rsidRPr="003A6FB0">
        <w:rPr>
          <w:rFonts w:ascii="Times" w:eastAsia="Times New Roman" w:hAnsi="Times" w:cs="Segoe UI"/>
          <w:b/>
          <w:bCs/>
          <w:color w:val="373A3C"/>
          <w:sz w:val="28"/>
          <w:szCs w:val="28"/>
          <w:u w:val="single"/>
          <w:shd w:val="clear" w:color="auto" w:fill="FBF7F5"/>
          <w:lang w:eastAsia="en-GB"/>
        </w:rPr>
        <w:t>In what ways does Vergil play with and utilise epic genre conventions?</w:t>
      </w:r>
    </w:p>
    <w:p w14:paraId="424BC239" w14:textId="0C23DCE3" w:rsidR="003C0512" w:rsidRDefault="003C0512"/>
    <w:p w14:paraId="10134974" w14:textId="28C2E7DA" w:rsidR="000940CD" w:rsidRPr="0089290F" w:rsidRDefault="00014B20" w:rsidP="000940CD">
      <w:r>
        <w:t>“</w:t>
      </w:r>
      <w:r w:rsidRPr="00E90C82">
        <w:rPr>
          <w:i/>
          <w:iCs/>
          <w:sz w:val="22"/>
          <w:szCs w:val="22"/>
        </w:rPr>
        <w:t>Something</w:t>
      </w:r>
      <w:r w:rsidR="00E90C82" w:rsidRPr="00E90C82">
        <w:rPr>
          <w:i/>
          <w:iCs/>
          <w:sz w:val="22"/>
          <w:szCs w:val="22"/>
        </w:rPr>
        <w:t xml:space="preserve"> greater than the Iliad is coming to birth</w:t>
      </w:r>
      <w:r w:rsidR="00E90C82">
        <w:rPr>
          <w:i/>
          <w:iCs/>
        </w:rPr>
        <w:t>”</w:t>
      </w:r>
      <w:r w:rsidR="00E90C82">
        <w:t xml:space="preserve"> is how Propertius described V</w:t>
      </w:r>
      <w:r w:rsidR="007433F3">
        <w:t>e</w:t>
      </w:r>
      <w:r w:rsidR="00E90C82">
        <w:t xml:space="preserve">rgil’s </w:t>
      </w:r>
      <w:r w:rsidR="00E90C82">
        <w:rPr>
          <w:i/>
          <w:iCs/>
        </w:rPr>
        <w:t>Aeneid</w:t>
      </w:r>
      <w:r w:rsidR="00E90C82">
        <w:t xml:space="preserve"> in its </w:t>
      </w:r>
      <w:r w:rsidR="00655A6C">
        <w:t>infancy,</w:t>
      </w:r>
      <w:r w:rsidR="00917856">
        <w:t xml:space="preserve"> so it is unsurprising how popular the poem remains</w:t>
      </w:r>
      <w:r w:rsidR="00502116">
        <w:t>.</w:t>
      </w:r>
      <w:r w:rsidR="00502116">
        <w:rPr>
          <w:rStyle w:val="FootnoteReference"/>
        </w:rPr>
        <w:footnoteReference w:id="1"/>
      </w:r>
      <w:r w:rsidR="00984F32">
        <w:t xml:space="preserve"> </w:t>
      </w:r>
      <w:r w:rsidR="00CD73CC">
        <w:t xml:space="preserve">Written during a time of socio-political upheaval in Roman history and under the patronage of Maecenas, a close associate of Augustus, it is clear the </w:t>
      </w:r>
      <w:r w:rsidR="00CD73CC" w:rsidRPr="00CD73CC">
        <w:t>Aeneid</w:t>
      </w:r>
      <w:r w:rsidR="00CD73CC">
        <w:t xml:space="preserve"> took a lot of influence from this. </w:t>
      </w:r>
      <w:r w:rsidR="008C0C4D" w:rsidRPr="00CD73CC">
        <w:t>For</w:t>
      </w:r>
      <w:r w:rsidR="008C0C4D">
        <w:t xml:space="preserve"> centuries it was one of the most important pieces of literature written in Latin, the universal language of learning across the European continent and </w:t>
      </w:r>
      <w:r w:rsidR="000E0AE1">
        <w:t xml:space="preserve">Vergil himself was revered as a poet that he appears as Dante’s guide through hell and purgatory in </w:t>
      </w:r>
      <w:r w:rsidR="000E0AE1">
        <w:rPr>
          <w:i/>
          <w:iCs/>
        </w:rPr>
        <w:t>The Divine Comedy</w:t>
      </w:r>
      <w:r w:rsidR="000E0AE1">
        <w:t>.</w:t>
      </w:r>
      <w:r w:rsidR="000E0AE1">
        <w:rPr>
          <w:rStyle w:val="FootnoteReference"/>
        </w:rPr>
        <w:footnoteReference w:id="2"/>
      </w:r>
      <w:r w:rsidR="000940CD">
        <w:t xml:space="preserve"> </w:t>
      </w:r>
      <w:r w:rsidR="000940CD">
        <w:t>The Aeneid follows the protagonist, Aeneas, on his journey to construct a city and establish the start of Roman lineage and civilisation, following the aftermath of the Trojan war. However, despite his popularity amongst the Roman people from at least the first century BCE onwards we know surprisingly little compared to his fellow contemporary authors.</w:t>
      </w:r>
      <w:r w:rsidR="000940CD">
        <w:rPr>
          <w:rStyle w:val="FootnoteReference"/>
        </w:rPr>
        <w:footnoteReference w:id="3"/>
      </w:r>
      <w:r w:rsidR="000940CD">
        <w:rPr>
          <w:i/>
          <w:iCs/>
        </w:rPr>
        <w:t xml:space="preserve"> </w:t>
      </w:r>
      <w:r w:rsidR="000940CD">
        <w:t xml:space="preserve">The </w:t>
      </w:r>
      <w:r w:rsidR="000940CD">
        <w:rPr>
          <w:i/>
          <w:iCs/>
        </w:rPr>
        <w:t>Aeneid</w:t>
      </w:r>
      <w:r w:rsidR="000940CD">
        <w:t xml:space="preserve"> was published unfinished as Vergil died prior to its completion, nevertheless, the poem itself is complete. However, some scholars claim there is a distinct difference between the first and second half of the </w:t>
      </w:r>
      <w:r w:rsidR="000940CD">
        <w:rPr>
          <w:i/>
          <w:iCs/>
        </w:rPr>
        <w:t>Aeneid</w:t>
      </w:r>
      <w:r w:rsidR="000940CD">
        <w:t xml:space="preserve"> with the first six books being relatively ‘finished’.</w:t>
      </w:r>
      <w:r w:rsidR="000940CD">
        <w:rPr>
          <w:rStyle w:val="FootnoteReference"/>
        </w:rPr>
        <w:footnoteReference w:id="4"/>
      </w:r>
      <w:r w:rsidR="000940CD">
        <w:t xml:space="preserve"> One section of a passage in book 1 seems to be out of place “</w:t>
      </w:r>
      <w:r w:rsidR="000940CD">
        <w:rPr>
          <w:i/>
          <w:iCs/>
        </w:rPr>
        <w:t>others were drawing up laws and electing magistrates and a senate whom they could revere</w:t>
      </w:r>
      <w:r w:rsidR="000940CD">
        <w:t>”.</w:t>
      </w:r>
      <w:r w:rsidR="000940CD">
        <w:rPr>
          <w:rStyle w:val="FootnoteReference"/>
        </w:rPr>
        <w:footnoteReference w:id="5"/>
      </w:r>
      <w:r w:rsidR="000940CD">
        <w:t xml:space="preserve"> This line is part of a passage describing the Tyrians in Carthage carrying out physical tasks but electing magistrates and a senate is very Roman-like and doesn’t fit the description, possibly a later edit help the city resonate with a contemporary audience.</w:t>
      </w:r>
      <w:r w:rsidR="00940583">
        <w:t xml:space="preserve"> Vergil’s writing of epic will slightly differ from the Greek poets </w:t>
      </w:r>
      <w:r w:rsidR="00FB7B91">
        <w:t>as the genre and how poets interpreted the myths evolved throughout the centuries</w:t>
      </w:r>
    </w:p>
    <w:p w14:paraId="7CAA6D1B" w14:textId="4EF59C6A" w:rsidR="000940CD" w:rsidRPr="000940CD" w:rsidRDefault="000940CD" w:rsidP="000940CD"/>
    <w:p w14:paraId="590CBD78" w14:textId="6F66A803" w:rsidR="001D69B4" w:rsidRDefault="00BD2D60">
      <w:r>
        <w:t xml:space="preserve">When working with any ancient text it is important </w:t>
      </w:r>
      <w:r w:rsidR="004E5241">
        <w:t xml:space="preserve">to consider what edition and translation is used but with the </w:t>
      </w:r>
      <w:r w:rsidR="004E5241">
        <w:rPr>
          <w:i/>
          <w:iCs/>
        </w:rPr>
        <w:t>Aeneid</w:t>
      </w:r>
      <w:r w:rsidR="004E5241">
        <w:t xml:space="preserve"> there needs to be a greater consideration because of its unfinished origins.</w:t>
      </w:r>
      <w:r w:rsidR="00595211">
        <w:t xml:space="preserve"> Furthermore, how the poem existed between Vergil’s composition to the technological advancement of the printing press roughly 1,500 years later must also be questioned and how true these translations are to the original.</w:t>
      </w:r>
      <w:r w:rsidR="00EE7444">
        <w:t xml:space="preserve"> </w:t>
      </w:r>
      <w:r w:rsidR="003F4E31">
        <w:t>All</w:t>
      </w:r>
      <w:r w:rsidR="00EE7444">
        <w:t xml:space="preserve"> the surviving manuscripts of the </w:t>
      </w:r>
      <w:r w:rsidR="00EE7444">
        <w:rPr>
          <w:i/>
          <w:iCs/>
        </w:rPr>
        <w:t>Aeneid</w:t>
      </w:r>
      <w:r w:rsidR="00EE7444">
        <w:t xml:space="preserve"> that were recorded centuries </w:t>
      </w:r>
      <w:r w:rsidR="003F4E31">
        <w:t>later were transcribed onto</w:t>
      </w:r>
      <w:r w:rsidR="00EE7444">
        <w:t xml:space="preserve"> parchment are either incomplete or damaged in some form and there are only very few of these copies remaining.</w:t>
      </w:r>
      <w:r w:rsidR="003F4E31">
        <w:t xml:space="preserve"> Moreover, </w:t>
      </w:r>
      <w:r w:rsidR="00C8171E">
        <w:t>with each translation varying in small ways throughout it is impossible to look passed that each manuscript descended from one common copy, whether it was Vergil’s original or a cop</w:t>
      </w:r>
      <w:r w:rsidR="00AD40DC">
        <w:t>y.</w:t>
      </w:r>
    </w:p>
    <w:p w14:paraId="504877D8" w14:textId="072A83F2" w:rsidR="00DF6612" w:rsidRDefault="00DF6612"/>
    <w:p w14:paraId="051492AA" w14:textId="2717B286" w:rsidR="00DF6612" w:rsidRPr="00FB7B91" w:rsidRDefault="00DF6612">
      <w:r>
        <w:t>The epic tradition has been built upon oral foundations that was transmitted from Homer to later Greek authors and then to Roman authors and as such Homer’s style has dictated some elements of the style that proceeding epic was written in.</w:t>
      </w:r>
      <w:r w:rsidR="003907B1">
        <w:rPr>
          <w:rStyle w:val="FootnoteReference"/>
        </w:rPr>
        <w:footnoteReference w:id="6"/>
      </w:r>
      <w:r w:rsidR="00130D80">
        <w:t xml:space="preserve"> However, not all authors of epics conformed to the framework set out by Homer</w:t>
      </w:r>
      <w:r w:rsidR="003907B1">
        <w:t xml:space="preserve"> as each author wants to be unique and stand out in their own individual style. An example of this difference is when Homer uses a long simile digressing from the narrative at hand and then is formally recalled back to the narrative. O’Nolan uses the example of Homer comparing the combat between Agamemnon </w:t>
      </w:r>
      <w:r w:rsidR="00E00DEC">
        <w:lastRenderedPageBreak/>
        <w:t>and Hector and Paris to a lion invading the lair of a doe – “</w:t>
      </w:r>
      <w:r w:rsidR="00E00DEC" w:rsidRPr="00E00DEC">
        <w:rPr>
          <w:i/>
          <w:iCs/>
        </w:rPr>
        <w:t>As a lion, going into the lair, easily crushes the young fawns of a swift doe…So no one of the Trojans could help them; they themselves were in rou</w:t>
      </w:r>
      <w:r w:rsidR="00E00DEC">
        <w:t>t”.</w:t>
      </w:r>
      <w:r w:rsidR="00E00DEC">
        <w:rPr>
          <w:rStyle w:val="FootnoteReference"/>
        </w:rPr>
        <w:footnoteReference w:id="7"/>
      </w:r>
      <w:r w:rsidR="00FB7B91">
        <w:t xml:space="preserve"> Not only was Vergil influenced by Homer in his writing of the </w:t>
      </w:r>
      <w:r w:rsidR="00FB7B91">
        <w:rPr>
          <w:i/>
          <w:iCs/>
        </w:rPr>
        <w:t>Aeneid</w:t>
      </w:r>
      <w:r w:rsidR="00FB7B91">
        <w:t xml:space="preserve"> </w:t>
      </w:r>
      <w:r w:rsidR="00C3241C">
        <w:t xml:space="preserve">but also by other historians and poets as sources for the traditional accounts of the several myths. </w:t>
      </w:r>
      <w:r w:rsidR="00C3241C" w:rsidRPr="00C3241C">
        <w:t>It is therefore unsurprising that Virgil used Euphorion as much as Hellanicus or Varro in his account of the fall of Troy; and he extends this practise to include Roman poets, if, as is most likely, he took the story of Dido from Naevius rather than the historians.</w:t>
      </w:r>
      <w:r w:rsidR="00C3241C">
        <w:rPr>
          <w:rStyle w:val="FootnoteReference"/>
        </w:rPr>
        <w:footnoteReference w:id="8"/>
      </w:r>
    </w:p>
    <w:p w14:paraId="4F4C9897" w14:textId="77777777" w:rsidR="008C0C4D" w:rsidRDefault="008C0C4D"/>
    <w:p w14:paraId="588CCA6A" w14:textId="79813FF0" w:rsidR="007B5367" w:rsidRPr="0030025A" w:rsidRDefault="00014B20">
      <w:r>
        <w:t>V</w:t>
      </w:r>
      <w:r w:rsidR="007433F3">
        <w:t>e</w:t>
      </w:r>
      <w:r>
        <w:t xml:space="preserve">rgil’s </w:t>
      </w:r>
      <w:r>
        <w:rPr>
          <w:i/>
          <w:iCs/>
        </w:rPr>
        <w:t>Aeneid</w:t>
      </w:r>
      <w:r>
        <w:t xml:space="preserve"> contains many of the stereotypical genre conventions that are commonly found within the epic genre, these conventions are key markers that help distinguish the epic genre.</w:t>
      </w:r>
      <w:r w:rsidR="000940CD">
        <w:t xml:space="preserve"> </w:t>
      </w:r>
      <w:r w:rsidR="0030025A">
        <w:t xml:space="preserve">The </w:t>
      </w:r>
      <w:r w:rsidR="0030025A" w:rsidRPr="0030025A">
        <w:t>Aeneid</w:t>
      </w:r>
      <w:r w:rsidR="0030025A">
        <w:t xml:space="preserve"> has often been described as an emulation of ‘Homer’s’ two epics with books 1-6 following Aeneas around the Mediterranean similar to Odysseus and books 7-12 similar to the </w:t>
      </w:r>
      <w:r w:rsidR="0030025A" w:rsidRPr="0030025A">
        <w:t>Iliad</w:t>
      </w:r>
      <w:r w:rsidR="0030025A">
        <w:t xml:space="preserve"> with the war in Italy</w:t>
      </w:r>
      <w:r w:rsidR="001A3E78">
        <w:t xml:space="preserve"> but Vergil also heavily adapts and compresses these previous epics into a uniquely complex epic and of a shorter length than either of Homer’s works</w:t>
      </w:r>
      <w:r w:rsidR="0030025A">
        <w:t xml:space="preserve">. </w:t>
      </w:r>
      <w:r w:rsidR="007B5367" w:rsidRPr="0030025A">
        <w:t>These</w:t>
      </w:r>
      <w:r w:rsidR="007B5367">
        <w:t xml:space="preserve"> key markers </w:t>
      </w:r>
      <w:r w:rsidR="004B6D07">
        <w:t>being</w:t>
      </w:r>
      <w:r w:rsidR="007B5367">
        <w:t xml:space="preserve"> the heroic metre, </w:t>
      </w:r>
      <w:r w:rsidR="007B5367">
        <w:rPr>
          <w:i/>
          <w:iCs/>
        </w:rPr>
        <w:t>in medias res</w:t>
      </w:r>
      <w:r w:rsidR="007B5367">
        <w:t>, great achievements by the protagonist</w:t>
      </w:r>
      <w:r w:rsidR="007F7BBF">
        <w:t xml:space="preserve">, a mixture of the mortal and immortal, </w:t>
      </w:r>
      <w:r w:rsidR="004B6D07">
        <w:t>the real and the fantastical, the vivid description set out using similes</w:t>
      </w:r>
      <w:r w:rsidR="008527E5">
        <w:t>, and the invocation of the muse</w:t>
      </w:r>
      <w:r w:rsidR="004B6D07">
        <w:t xml:space="preserve">. The one key difference between the </w:t>
      </w:r>
      <w:r w:rsidR="004B6D07">
        <w:rPr>
          <w:i/>
          <w:iCs/>
        </w:rPr>
        <w:t>Aeneid</w:t>
      </w:r>
      <w:r w:rsidR="004B6D07">
        <w:t xml:space="preserve"> and other Greek and Roman epics </w:t>
      </w:r>
      <w:r w:rsidR="0030025A">
        <w:t xml:space="preserve">is how Vergil glorifies the foundation of the Roman empire from the loss of the Trojan war and turns the </w:t>
      </w:r>
      <w:r w:rsidR="0030025A">
        <w:rPr>
          <w:i/>
          <w:iCs/>
        </w:rPr>
        <w:t>Aeneid</w:t>
      </w:r>
      <w:r w:rsidR="0030025A">
        <w:t xml:space="preserve"> into a national epic that also praises Augustus to a certain extent.</w:t>
      </w:r>
      <w:r w:rsidR="00E359F8">
        <w:t xml:space="preserve"> </w:t>
      </w:r>
    </w:p>
    <w:p w14:paraId="67EAF94F" w14:textId="77777777" w:rsidR="007B5367" w:rsidRDefault="007B5367"/>
    <w:p w14:paraId="56DDB83F" w14:textId="3AAC405A" w:rsidR="003A6FB0" w:rsidRPr="00F04271" w:rsidRDefault="000940CD">
      <w:r>
        <w:t xml:space="preserve">Firstly, the metre of the </w:t>
      </w:r>
      <w:r>
        <w:rPr>
          <w:i/>
          <w:iCs/>
        </w:rPr>
        <w:t>Aeneid</w:t>
      </w:r>
      <w:r>
        <w:t xml:space="preserve"> is dac</w:t>
      </w:r>
      <w:r w:rsidR="00DB0988">
        <w:t xml:space="preserve">tylic hexameters which mirrors that of the </w:t>
      </w:r>
      <w:r w:rsidR="00DB0988">
        <w:rPr>
          <w:i/>
          <w:iCs/>
        </w:rPr>
        <w:t>Odyssey</w:t>
      </w:r>
      <w:r w:rsidR="007B5367">
        <w:t xml:space="preserve">, </w:t>
      </w:r>
      <w:r w:rsidR="007B5367">
        <w:rPr>
          <w:i/>
          <w:iCs/>
        </w:rPr>
        <w:t>Iliad</w:t>
      </w:r>
      <w:r w:rsidR="007B5367">
        <w:t xml:space="preserve">, Apollonius of Rhodes’ </w:t>
      </w:r>
      <w:r w:rsidR="007B5367">
        <w:rPr>
          <w:i/>
          <w:iCs/>
        </w:rPr>
        <w:t>Argonautica</w:t>
      </w:r>
      <w:r w:rsidR="007B5367">
        <w:t xml:space="preserve">, and Statius’ </w:t>
      </w:r>
      <w:r w:rsidR="007B5367">
        <w:rPr>
          <w:i/>
          <w:iCs/>
        </w:rPr>
        <w:t>Thebaid</w:t>
      </w:r>
      <w:r w:rsidR="007B5367">
        <w:t>.</w:t>
      </w:r>
      <w:r w:rsidR="0091165E">
        <w:t xml:space="preserve"> </w:t>
      </w:r>
      <w:r w:rsidR="001A738B">
        <w:t xml:space="preserve">Vergil’s metrical procedures, however, does slightly differ than that of other authors of epic but then each </w:t>
      </w:r>
      <w:r w:rsidR="00731F6A">
        <w:t xml:space="preserve">author’s differed in some regards. Duckworth undertook a study analysing the metrical procedures of Vergil’s </w:t>
      </w:r>
      <w:r w:rsidR="00731F6A">
        <w:rPr>
          <w:i/>
          <w:iCs/>
        </w:rPr>
        <w:t>Aeneid</w:t>
      </w:r>
      <w:r w:rsidR="000E01EC">
        <w:rPr>
          <w:i/>
          <w:iCs/>
        </w:rPr>
        <w:t xml:space="preserve"> </w:t>
      </w:r>
      <w:r w:rsidR="000E01EC">
        <w:t xml:space="preserve">found that Vergil’s preference for the </w:t>
      </w:r>
      <w:r w:rsidR="000E01EC">
        <w:rPr>
          <w:i/>
          <w:iCs/>
        </w:rPr>
        <w:t>dsss</w:t>
      </w:r>
      <w:r w:rsidR="000E01EC">
        <w:t xml:space="preserve"> metrical pattern</w:t>
      </w:r>
      <w:r w:rsidR="00731F6A">
        <w:t xml:space="preserve"> </w:t>
      </w:r>
      <w:r w:rsidR="000E01EC">
        <w:t>followed the example of his Roman predecessors</w:t>
      </w:r>
      <w:r w:rsidR="00831740">
        <w:t>: Cicero, Catullus, and Lucretius.</w:t>
      </w:r>
      <w:r w:rsidR="00831740">
        <w:rPr>
          <w:rStyle w:val="FootnoteReference"/>
        </w:rPr>
        <w:footnoteReference w:id="9"/>
      </w:r>
      <w:r w:rsidR="00831740">
        <w:t xml:space="preserve"> This prominent use of one specific metrical p</w:t>
      </w:r>
      <w:r w:rsidR="00D21D43">
        <w:t>attern</w:t>
      </w:r>
      <w:r w:rsidR="00831740">
        <w:t xml:space="preserve"> is important to note </w:t>
      </w:r>
      <w:r w:rsidR="00D21D43">
        <w:t xml:space="preserve">as for most books of the </w:t>
      </w:r>
      <w:r w:rsidR="00D21D43">
        <w:rPr>
          <w:i/>
          <w:iCs/>
        </w:rPr>
        <w:t>Aeneid</w:t>
      </w:r>
      <w:r w:rsidR="00D21D43">
        <w:t xml:space="preserve"> </w:t>
      </w:r>
      <w:r w:rsidR="00850E76">
        <w:t xml:space="preserve">the </w:t>
      </w:r>
      <w:r w:rsidR="00850E76">
        <w:rPr>
          <w:i/>
          <w:iCs/>
        </w:rPr>
        <w:t>dsss</w:t>
      </w:r>
      <w:r w:rsidR="00850E76">
        <w:t xml:space="preserve"> pattern appears roughly 16% of the time which is well above average with 16 different metre combinations available to Vergil</w:t>
      </w:r>
      <w:r w:rsidR="00F83870">
        <w:t>.</w:t>
      </w:r>
      <w:r w:rsidR="002952EC">
        <w:t xml:space="preserve"> </w:t>
      </w:r>
      <w:r w:rsidR="00F83870">
        <w:t>H</w:t>
      </w:r>
      <w:r w:rsidR="002952EC">
        <w:t xml:space="preserve">owever, in different parts of the </w:t>
      </w:r>
      <w:r w:rsidR="002952EC">
        <w:rPr>
          <w:i/>
          <w:iCs/>
        </w:rPr>
        <w:t>Aeneid</w:t>
      </w:r>
      <w:r w:rsidR="002952EC">
        <w:t xml:space="preserve"> this percentage drops to 4% but also rises to 28% in others</w:t>
      </w:r>
      <w:r w:rsidR="00F83870">
        <w:t xml:space="preserve"> as with Sinon’s two speeches </w:t>
      </w:r>
      <w:r w:rsidR="003B751C">
        <w:t xml:space="preserve">in book 2 </w:t>
      </w:r>
      <w:r w:rsidR="00F83870">
        <w:t xml:space="preserve">are more emotive and therefore </w:t>
      </w:r>
      <w:r w:rsidR="003B751C">
        <w:t xml:space="preserve">have a lower </w:t>
      </w:r>
      <w:r w:rsidR="003B751C">
        <w:rPr>
          <w:i/>
          <w:iCs/>
        </w:rPr>
        <w:t>dsss</w:t>
      </w:r>
      <w:r w:rsidR="003B751C">
        <w:t xml:space="preserve"> pattern in contrast to the Actium episode in book 3 with a higher proportion</w:t>
      </w:r>
      <w:r w:rsidR="00F83870">
        <w:t xml:space="preserve"> </w:t>
      </w:r>
      <w:r w:rsidR="00850E76">
        <w:t>.</w:t>
      </w:r>
      <w:r w:rsidR="00850E76">
        <w:rPr>
          <w:rStyle w:val="FootnoteReference"/>
        </w:rPr>
        <w:footnoteReference w:id="10"/>
      </w:r>
      <w:r w:rsidR="00850E76">
        <w:t xml:space="preserve"> </w:t>
      </w:r>
      <w:r w:rsidR="00C6109B">
        <w:t>Another important note that Duckworth makes apart the style of Vergil is that his “empathetic-sympathetic style” is new to the genre of epic and differs greatly from the more objective, narrative style of Homer and Apollonius and quotes Otis “</w:t>
      </w:r>
      <w:r w:rsidR="00C6109B">
        <w:rPr>
          <w:i/>
          <w:iCs/>
        </w:rPr>
        <w:t xml:space="preserve">Virgil not only reads the minds of his characters; he constantly communicates to us his own reactions to them </w:t>
      </w:r>
      <w:r w:rsidR="000422D6">
        <w:rPr>
          <w:i/>
          <w:iCs/>
        </w:rPr>
        <w:t>and their behaviour</w:t>
      </w:r>
      <w:r w:rsidR="000422D6">
        <w:t>”.</w:t>
      </w:r>
      <w:r w:rsidR="000422D6">
        <w:rPr>
          <w:rStyle w:val="FootnoteReference"/>
        </w:rPr>
        <w:footnoteReference w:id="11"/>
      </w:r>
      <w:r w:rsidR="002952EC">
        <w:t xml:space="preserve"> </w:t>
      </w:r>
      <w:r w:rsidR="00F04271">
        <w:t xml:space="preserve">In summary, the </w:t>
      </w:r>
      <w:r w:rsidR="00F04271">
        <w:rPr>
          <w:i/>
          <w:iCs/>
        </w:rPr>
        <w:t>dsss</w:t>
      </w:r>
      <w:r w:rsidR="00F04271">
        <w:t xml:space="preserve"> metre pattern is a clear favourite of Vergil with it being used fewer times in passages that are emotional, dramatic, and psychological and where the style is subjective and especially in scenes featuring a death.</w:t>
      </w:r>
      <w:r w:rsidR="00F04271">
        <w:rPr>
          <w:rStyle w:val="FootnoteReference"/>
        </w:rPr>
        <w:footnoteReference w:id="12"/>
      </w:r>
      <w:r w:rsidR="0036583B">
        <w:t xml:space="preserve"> The passages where the pattern is used in an abnormally </w:t>
      </w:r>
      <w:r w:rsidR="0036583B">
        <w:lastRenderedPageBreak/>
        <w:t xml:space="preserve">higher frequency </w:t>
      </w:r>
      <w:r w:rsidR="00B77E12">
        <w:t>is written in a more objective style which features individual combat, mass fighting, and in scenes which divinities appear.</w:t>
      </w:r>
      <w:r w:rsidR="00B77E12">
        <w:rPr>
          <w:rStyle w:val="FootnoteReference"/>
        </w:rPr>
        <w:footnoteReference w:id="13"/>
      </w:r>
    </w:p>
    <w:p w14:paraId="049A69A4" w14:textId="32D363AA" w:rsidR="00A71C8F" w:rsidRDefault="00A71C8F"/>
    <w:p w14:paraId="089709B9" w14:textId="77777777" w:rsidR="00860179" w:rsidRDefault="00A71C8F">
      <w:r>
        <w:t xml:space="preserve">A key convention of the epic genre is the use of mythology, and the </w:t>
      </w:r>
      <w:r>
        <w:rPr>
          <w:i/>
          <w:iCs/>
        </w:rPr>
        <w:t>Aeneid</w:t>
      </w:r>
      <w:r>
        <w:t xml:space="preserve"> is no different</w:t>
      </w:r>
      <w:r w:rsidR="00414C9E">
        <w:t>,</w:t>
      </w:r>
      <w:r w:rsidR="00644485">
        <w:t xml:space="preserve"> with the entire lineage of the Roman people being dated back to Aeneas and Venus.</w:t>
      </w:r>
      <w:r w:rsidR="00860179">
        <w:t xml:space="preserve"> However, most epics were just mythological or historical whereas the </w:t>
      </w:r>
      <w:r w:rsidR="00860179">
        <w:rPr>
          <w:i/>
          <w:iCs/>
        </w:rPr>
        <w:t>Aeneid</w:t>
      </w:r>
      <w:r w:rsidR="00860179">
        <w:t xml:space="preserve"> is a combination of the two which also combines the historical context of the present into an epic of the distant past.</w:t>
      </w:r>
    </w:p>
    <w:p w14:paraId="6EFCC50C" w14:textId="77777777" w:rsidR="00860179" w:rsidRDefault="00860179"/>
    <w:p w14:paraId="6BE8B230" w14:textId="6692190B" w:rsidR="00C223D8" w:rsidRPr="00F43C58" w:rsidRDefault="00A71C8F">
      <w:r>
        <w:t xml:space="preserve"> </w:t>
      </w:r>
      <w:r w:rsidR="00776B19">
        <w:t>Greek mythology</w:t>
      </w:r>
      <w:r w:rsidR="00405021">
        <w:t xml:space="preserve"> and the use of Homeric mythological material is ever-present in the genre of epic, and it</w:t>
      </w:r>
      <w:r w:rsidR="00776B19">
        <w:t xml:space="preserve"> plays a fundamental role in the </w:t>
      </w:r>
      <w:r w:rsidR="00776B19" w:rsidRPr="00405021">
        <w:rPr>
          <w:i/>
          <w:iCs/>
        </w:rPr>
        <w:t>Aeneid</w:t>
      </w:r>
      <w:r w:rsidR="00776B19">
        <w:t xml:space="preserve"> and in wider Roman literary works as this as seen as a key component to any successful text. However, </w:t>
      </w:r>
      <w:r w:rsidRPr="00776B19">
        <w:t>Vergil</w:t>
      </w:r>
      <w:r>
        <w:t xml:space="preserve"> has been criticised for “</w:t>
      </w:r>
      <w:r>
        <w:rPr>
          <w:i/>
          <w:iCs/>
        </w:rPr>
        <w:t>using the outworn epic machinery of Homer</w:t>
      </w:r>
      <w:r>
        <w:t xml:space="preserve">” by using the </w:t>
      </w:r>
      <w:r w:rsidR="00644485">
        <w:t>Roman equivalent of the Olympians and other supernatural beings which is described as “</w:t>
      </w:r>
      <w:r w:rsidR="00644485">
        <w:rPr>
          <w:i/>
          <w:iCs/>
        </w:rPr>
        <w:t>anachronistic in a poem of Augustan Rome</w:t>
      </w:r>
      <w:r w:rsidR="00644485">
        <w:t>”.</w:t>
      </w:r>
      <w:r w:rsidR="00644485">
        <w:rPr>
          <w:rStyle w:val="FootnoteReference"/>
        </w:rPr>
        <w:footnoteReference w:id="14"/>
      </w:r>
      <w:r w:rsidR="00414C9E">
        <w:t xml:space="preserve"> However, Vergil’s use of mythology is also vastly different is some respects</w:t>
      </w:r>
      <w:r w:rsidR="005107A9">
        <w:t xml:space="preserve"> with the interweaving of fiction and reality as</w:t>
      </w:r>
      <w:r w:rsidR="00414C9E">
        <w:t xml:space="preserve"> Vergil likens mythological figures to real Roman people, </w:t>
      </w:r>
      <w:r w:rsidR="005107A9">
        <w:t xml:space="preserve">mainly Julius Caesar </w:t>
      </w:r>
      <w:r w:rsidR="005A3368">
        <w:t>and Augustus</w:t>
      </w:r>
      <w:r w:rsidR="00514D22">
        <w:t>, although this is not without its problems</w:t>
      </w:r>
      <w:r w:rsidR="00414C9E">
        <w:t>.</w:t>
      </w:r>
      <w:r w:rsidR="005107A9">
        <w:rPr>
          <w:rStyle w:val="FootnoteReference"/>
        </w:rPr>
        <w:footnoteReference w:id="15"/>
      </w:r>
      <w:r w:rsidR="004E5B7C">
        <w:t xml:space="preserve"> The majority of Vergil’s characters have their Homeric parallels; Aeneas and Achilles, Turnus and Hector, and Dido can be seen as a culmination of Circe, Calypso, Penelope, and Nausicaa.</w:t>
      </w:r>
      <w:r w:rsidR="00C223D8">
        <w:t xml:space="preserve"> In book 1 of the </w:t>
      </w:r>
      <w:r w:rsidR="00C223D8">
        <w:rPr>
          <w:i/>
          <w:iCs/>
        </w:rPr>
        <w:t>Aeneid</w:t>
      </w:r>
      <w:r w:rsidR="00C223D8">
        <w:t xml:space="preserve">, Vergil mentions the labours </w:t>
      </w:r>
      <w:r w:rsidR="00CE4571">
        <w:t>Aeneas has to endure after the fall of Troy whilst also connecting to Aeneas and the Greek hero, Heracles</w:t>
      </w:r>
      <w:r w:rsidR="00F43C58">
        <w:t>.</w:t>
      </w:r>
      <w:r w:rsidR="008658BF">
        <w:t xml:space="preserve"> </w:t>
      </w:r>
      <w:r w:rsidR="00F43C58">
        <w:t xml:space="preserve">Furthermore, Vergil uses a story of Heracles defeating an Italian monster in book 8 which heavily foreshadows the end of the </w:t>
      </w:r>
      <w:r w:rsidR="00F43C58">
        <w:rPr>
          <w:i/>
          <w:iCs/>
        </w:rPr>
        <w:t>Aeneid</w:t>
      </w:r>
      <w:r w:rsidR="00CE4571">
        <w:t>.</w:t>
      </w:r>
      <w:r w:rsidR="00CE4571">
        <w:rPr>
          <w:rStyle w:val="FootnoteReference"/>
        </w:rPr>
        <w:footnoteReference w:id="16"/>
      </w:r>
      <w:r w:rsidR="00F43C58">
        <w:t xml:space="preserve"> This connection between Aeneas and Heracles is important as Heracles is often referred to as the greatest Greek hero, deified upon his death, and founder of many cities throughout the Greek world. Therefore, we can also expect Aeneas to be described as a great hero throughout the </w:t>
      </w:r>
      <w:r w:rsidR="00F43C58">
        <w:rPr>
          <w:i/>
          <w:iCs/>
        </w:rPr>
        <w:t>Aeneid</w:t>
      </w:r>
      <w:r w:rsidR="00F43C58">
        <w:t xml:space="preserve">, deified upon his death, and most importantly </w:t>
      </w:r>
      <w:r w:rsidR="00CC402E">
        <w:t>the founder of the ‘greatest’ city in the world.</w:t>
      </w:r>
    </w:p>
    <w:p w14:paraId="20C4A2E6" w14:textId="32AA26F9" w:rsidR="009E4BB8" w:rsidRDefault="009E4BB8"/>
    <w:p w14:paraId="44A5FAFE" w14:textId="35BA504D" w:rsidR="009E4BB8" w:rsidRDefault="009E4BB8">
      <w:r>
        <w:t xml:space="preserve">The major theme of books 5-8 is mythology with the mythological figures Aeneas meets on his journey </w:t>
      </w:r>
      <w:r w:rsidR="00776B19">
        <w:t xml:space="preserve">which </w:t>
      </w:r>
      <w:r>
        <w:t xml:space="preserve">draws many parallels with the </w:t>
      </w:r>
      <w:r>
        <w:rPr>
          <w:i/>
          <w:iCs/>
        </w:rPr>
        <w:t>Odyssey</w:t>
      </w:r>
      <w:r w:rsidR="00776B19">
        <w:t xml:space="preserve"> and alludes to several Homeric motifs and several heroic tales from Greek mythology. Aeneas like Odysseus</w:t>
      </w:r>
      <w:r w:rsidR="00CD73CC">
        <w:t>,</w:t>
      </w:r>
      <w:r w:rsidR="00776B19">
        <w:t xml:space="preserve"> journeys into the underworld</w:t>
      </w:r>
      <w:r w:rsidR="00EE18B8">
        <w:t xml:space="preserve"> which also bares a remarkable resemblance to Homer’s underworld but also several differences</w:t>
      </w:r>
      <w:r w:rsidR="00861047">
        <w:t xml:space="preserve">. One of the biggest differences is the topographical detail that Virgil describes Hades in </w:t>
      </w:r>
      <w:r w:rsidR="00AF58B6">
        <w:t xml:space="preserve">whereas Homer’s underworld is portrayed as devoid of scenery and a barren wasteland. </w:t>
      </w:r>
    </w:p>
    <w:p w14:paraId="47A76DD1" w14:textId="7D2CCE94" w:rsidR="00FC7B81" w:rsidRDefault="00FC7B81"/>
    <w:p w14:paraId="3AFDF3EF" w14:textId="61E8DC5E" w:rsidR="00FC7B81" w:rsidRPr="00E97520" w:rsidRDefault="00FC7B81">
      <w:r>
        <w:t>Divine intervention is one of the most important and prominent themes found in the genre of epic and Vergil u</w:t>
      </w:r>
      <w:r w:rsidR="00E97520">
        <w:t>tilises</w:t>
      </w:r>
      <w:r>
        <w:t xml:space="preserve"> this similarly to Homer to both complicate but also advance the plot. </w:t>
      </w:r>
      <w:r w:rsidR="00E97520">
        <w:t>Juno and Venus are the most prominent god</w:t>
      </w:r>
      <w:r w:rsidR="00154868">
        <w:t>desses</w:t>
      </w:r>
      <w:r w:rsidR="00E97520">
        <w:t xml:space="preserve"> that actively intervene throughout the </w:t>
      </w:r>
      <w:r w:rsidR="00E97520">
        <w:rPr>
          <w:i/>
          <w:iCs/>
        </w:rPr>
        <w:t>Aeneid</w:t>
      </w:r>
      <w:r w:rsidR="00E97520">
        <w:t xml:space="preserve"> </w:t>
      </w:r>
      <w:r w:rsidR="00154868">
        <w:t>each with their own personal motivations for helping and hindering Aeneas and the Trojans, however, neither one of them can ultimately change the fate of Aeneas.</w:t>
      </w:r>
      <w:r w:rsidR="000B32C8">
        <w:t xml:space="preserve"> It is clear the design Vergil has for divine intervention in the </w:t>
      </w:r>
      <w:r w:rsidR="000B32C8">
        <w:rPr>
          <w:i/>
          <w:iCs/>
        </w:rPr>
        <w:t>Aeneid</w:t>
      </w:r>
      <w:r w:rsidR="000B32C8">
        <w:t xml:space="preserve"> and as a result, the founding </w:t>
      </w:r>
      <w:r w:rsidR="000B32C8">
        <w:lastRenderedPageBreak/>
        <w:t>of Rome, it was no mere coincidence or human determination that founded Rome without the divine purpose and guidance of the gods.</w:t>
      </w:r>
      <w:r w:rsidR="000B32C8">
        <w:rPr>
          <w:rStyle w:val="FootnoteReference"/>
        </w:rPr>
        <w:footnoteReference w:id="17"/>
      </w:r>
    </w:p>
    <w:p w14:paraId="67F63DEB" w14:textId="6CB250C3" w:rsidR="00291A94" w:rsidRDefault="00291A94"/>
    <w:p w14:paraId="0FD1345D" w14:textId="366D0906" w:rsidR="00291A94" w:rsidRDefault="0091165E">
      <w:r>
        <w:t xml:space="preserve">On the other hand, there are several elements of the </w:t>
      </w:r>
      <w:r>
        <w:rPr>
          <w:i/>
          <w:iCs/>
        </w:rPr>
        <w:t>Aeneid</w:t>
      </w:r>
      <w:r>
        <w:t xml:space="preserve"> that don’t follow epic conventions</w:t>
      </w:r>
      <w:r w:rsidR="004E0E49">
        <w:t xml:space="preserve">. For instance, how Vergil combines elements of tragedy and of a stage drama into the </w:t>
      </w:r>
      <w:r w:rsidR="004E0E49">
        <w:rPr>
          <w:i/>
          <w:iCs/>
        </w:rPr>
        <w:t>Aeneid</w:t>
      </w:r>
      <w:r w:rsidR="004E0E49">
        <w:t xml:space="preserve"> with the story of Dido and Aeneas. In previous epics like the </w:t>
      </w:r>
      <w:r w:rsidR="004E0E49">
        <w:rPr>
          <w:i/>
          <w:iCs/>
        </w:rPr>
        <w:t>Odyssey</w:t>
      </w:r>
      <w:r w:rsidR="004E0E49">
        <w:t xml:space="preserve"> and the </w:t>
      </w:r>
      <w:r w:rsidR="004E0E49">
        <w:rPr>
          <w:i/>
          <w:iCs/>
        </w:rPr>
        <w:t>Argonautica</w:t>
      </w:r>
      <w:r w:rsidR="004E0E49">
        <w:t xml:space="preserve"> the protagonist is able to travel around the Mediterranean engaging in relationships </w:t>
      </w:r>
      <w:r w:rsidR="006118D3">
        <w:t>with</w:t>
      </w:r>
      <w:r w:rsidR="000D2E31">
        <w:t xml:space="preserve"> a queen or goddess with</w:t>
      </w:r>
      <w:r w:rsidR="006118D3">
        <w:t xml:space="preserve"> no negative recourse but with Aeneas’ burden of fate and Dido’s oath to her previous husband</w:t>
      </w:r>
      <w:r w:rsidR="000D2E31">
        <w:t xml:space="preserve">, Dido’s tragedy is inevitable, unlike previous epics. </w:t>
      </w:r>
      <w:r w:rsidR="00B855A8">
        <w:t xml:space="preserve">Furthermore, dissimilar to other previous epics and likely as a result of the historical and socio-political context a theme of a cities, both founding of and the destruction of, is prominent throughout the </w:t>
      </w:r>
      <w:r w:rsidR="00B855A8">
        <w:rPr>
          <w:i/>
          <w:iCs/>
        </w:rPr>
        <w:t>Aeneid,</w:t>
      </w:r>
      <w:r w:rsidR="00B855A8">
        <w:t xml:space="preserve"> and this is clear. </w:t>
      </w:r>
      <w:r w:rsidR="002B1BE2">
        <w:t xml:space="preserve">In book 1 one of the first things that Vergil writes about is the city “long since left the land of Troy… </w:t>
      </w:r>
      <w:r w:rsidR="002B1BE2">
        <w:rPr>
          <w:i/>
          <w:iCs/>
        </w:rPr>
        <w:t>sufferings in war before he could found his city</w:t>
      </w:r>
      <w:r w:rsidR="002B1BE2">
        <w:t>” and “</w:t>
      </w:r>
      <w:r w:rsidR="002B1BE2">
        <w:rPr>
          <w:i/>
          <w:iCs/>
        </w:rPr>
        <w:t>There was an ancient city held by colonists from Tyre</w:t>
      </w:r>
      <w:r w:rsidR="002B1BE2">
        <w:t>”</w:t>
      </w:r>
      <w:r w:rsidR="00D620EC">
        <w:t>.</w:t>
      </w:r>
      <w:r w:rsidR="00D620EC">
        <w:rPr>
          <w:rStyle w:val="FootnoteReference"/>
        </w:rPr>
        <w:footnoteReference w:id="18"/>
      </w:r>
      <w:r w:rsidR="00E06900">
        <w:t xml:space="preserve"> it is clear from the beginning</w:t>
      </w:r>
      <w:r w:rsidR="00D620EC">
        <w:t xml:space="preserve"> of the </w:t>
      </w:r>
      <w:r w:rsidR="00D620EC">
        <w:rPr>
          <w:i/>
          <w:iCs/>
        </w:rPr>
        <w:t>Aeneid</w:t>
      </w:r>
      <w:r w:rsidR="00E06900">
        <w:t xml:space="preserve"> that through Aeneas we can see Vergil has an interest in cities</w:t>
      </w:r>
      <w:r w:rsidR="00D620EC">
        <w:t>, or perhaps the conquering of cities in order to eventually establish the city of Rome.</w:t>
      </w:r>
    </w:p>
    <w:p w14:paraId="10000758" w14:textId="6C267E7A" w:rsidR="00B62C07" w:rsidRDefault="00B62C07"/>
    <w:p w14:paraId="1BCF016A" w14:textId="687A7DF2" w:rsidR="00B62C07" w:rsidRPr="003935E5" w:rsidRDefault="00B62C07">
      <w:pPr>
        <w:rPr>
          <w:u w:val="single"/>
        </w:rPr>
      </w:pPr>
      <w:r>
        <w:t xml:space="preserve">Additionally, another key convention found in the genre of epic is </w:t>
      </w:r>
      <w:r>
        <w:rPr>
          <w:i/>
          <w:iCs/>
        </w:rPr>
        <w:t>in medias res</w:t>
      </w:r>
      <w:r>
        <w:t xml:space="preserve"> which translates to “in the middle of things” and normally presumes that the reader or listener has prior knowledge to the epics context and what has come before.</w:t>
      </w:r>
      <w:r w:rsidR="009852CE">
        <w:t xml:space="preserve"> </w:t>
      </w:r>
      <w:r w:rsidR="0096025A">
        <w:t xml:space="preserve">The convention for the opening of the epic narratives also allows the author </w:t>
      </w:r>
      <w:r w:rsidR="003935E5">
        <w:t xml:space="preserve">to compact the action of many years into a time period of a few days or months with the poet himself separated from his work by centuries. </w:t>
      </w:r>
      <w:r w:rsidR="009852CE">
        <w:t xml:space="preserve">The term was coined by Horace but this convention dates back much further than Horace to the </w:t>
      </w:r>
      <w:r w:rsidR="009852CE">
        <w:rPr>
          <w:i/>
          <w:iCs/>
        </w:rPr>
        <w:t>Iliad</w:t>
      </w:r>
      <w:r w:rsidR="009852CE">
        <w:t xml:space="preserve"> and the </w:t>
      </w:r>
      <w:r w:rsidR="009852CE">
        <w:rPr>
          <w:i/>
          <w:iCs/>
        </w:rPr>
        <w:t>Odyssey</w:t>
      </w:r>
      <w:r w:rsidR="009852CE">
        <w:t xml:space="preserve">. </w:t>
      </w:r>
      <w:r w:rsidR="009852CE">
        <w:rPr>
          <w:i/>
          <w:iCs/>
        </w:rPr>
        <w:t>In medias res</w:t>
      </w:r>
      <w:r w:rsidR="009852CE">
        <w:t xml:space="preserve"> is used as a literacy technique </w:t>
      </w:r>
      <w:r w:rsidR="00B67366">
        <w:t>to create suspense and complicate the story further by causing the reader or listener to question what has come before</w:t>
      </w:r>
      <w:r w:rsidR="00770EC4">
        <w:t>,</w:t>
      </w:r>
      <w:r w:rsidR="00B67366">
        <w:t xml:space="preserve"> what will come next</w:t>
      </w:r>
      <w:r w:rsidR="00770EC4">
        <w:t xml:space="preserve">, and to question what they know about the characters. Vergil’s </w:t>
      </w:r>
      <w:r w:rsidR="00770EC4">
        <w:rPr>
          <w:i/>
          <w:iCs/>
        </w:rPr>
        <w:t>Aeneid</w:t>
      </w:r>
      <w:r w:rsidR="00770EC4">
        <w:t xml:space="preserve"> is an example of this, it begins </w:t>
      </w:r>
      <w:r w:rsidR="008963F0">
        <w:t>after Aeneas has left Troy after its destruction and hints at Aeneas’ destiny in founding Rome and the Roman lineage</w:t>
      </w:r>
      <w:r w:rsidR="00A90AA9">
        <w:t xml:space="preserve"> and Juno’s quarrel with Aeneas and his destiny because of Dido and Carthage.</w:t>
      </w:r>
      <w:r w:rsidR="00A90AA9">
        <w:rPr>
          <w:rStyle w:val="FootnoteReference"/>
        </w:rPr>
        <w:footnoteReference w:id="19"/>
      </w:r>
      <w:r w:rsidR="001C364F">
        <w:t xml:space="preserve"> </w:t>
      </w:r>
      <w:r w:rsidR="00C9706A">
        <w:t xml:space="preserve">Furthermore, </w:t>
      </w:r>
      <w:r w:rsidR="00B37067">
        <w:rPr>
          <w:i/>
          <w:iCs/>
        </w:rPr>
        <w:t>in</w:t>
      </w:r>
      <w:r w:rsidR="00C9706A">
        <w:rPr>
          <w:i/>
          <w:iCs/>
        </w:rPr>
        <w:t xml:space="preserve"> medias res</w:t>
      </w:r>
      <w:r w:rsidR="00C9706A">
        <w:t xml:space="preserve"> is also present in the </w:t>
      </w:r>
      <w:r w:rsidR="00C9706A">
        <w:rPr>
          <w:i/>
          <w:iCs/>
        </w:rPr>
        <w:t>Odyssey and Iliad</w:t>
      </w:r>
      <w:r w:rsidR="00B37067">
        <w:t xml:space="preserve"> and the literary technique probably originated from these works. The </w:t>
      </w:r>
      <w:r w:rsidR="00B37067">
        <w:rPr>
          <w:i/>
          <w:iCs/>
        </w:rPr>
        <w:t xml:space="preserve">Odyssey </w:t>
      </w:r>
      <w:r w:rsidR="00B37067">
        <w:t>begins 10 years after the fall of Troy with Odysseus being held captive by Calypso “</w:t>
      </w:r>
      <w:r w:rsidR="00C678D9">
        <w:rPr>
          <w:i/>
          <w:iCs/>
        </w:rPr>
        <w:t>filled with longing for his return and for his wife, did the queenly nymph Calypso, keep prisoner in her hollow caves</w:t>
      </w:r>
      <w:r w:rsidR="00C678D9">
        <w:t>”</w:t>
      </w:r>
      <w:r w:rsidR="000D32C4">
        <w:t>.</w:t>
      </w:r>
      <w:r w:rsidR="000D32C4">
        <w:rPr>
          <w:rStyle w:val="FootnoteReference"/>
        </w:rPr>
        <w:footnoteReference w:id="20"/>
      </w:r>
      <w:r w:rsidR="000D32C4">
        <w:t xml:space="preserve"> The contemporary </w:t>
      </w:r>
      <w:r w:rsidR="002D12F2">
        <w:t>audience</w:t>
      </w:r>
      <w:r w:rsidR="000D32C4">
        <w:t xml:space="preserve"> of </w:t>
      </w:r>
      <w:r w:rsidR="003A2EB1">
        <w:t>Homer’s work  would have been able</w:t>
      </w:r>
      <w:r w:rsidR="00ED359F">
        <w:t xml:space="preserve"> to identify and be</w:t>
      </w:r>
      <w:r w:rsidR="003A2EB1">
        <w:t xml:space="preserve"> </w:t>
      </w:r>
      <w:r w:rsidR="00ED359F">
        <w:t>aware of</w:t>
      </w:r>
      <w:r w:rsidR="003A2EB1">
        <w:t xml:space="preserve"> the mention of Troy </w:t>
      </w:r>
      <w:r w:rsidR="002D12F2">
        <w:t>and an epithet of Odysseys</w:t>
      </w:r>
      <w:r w:rsidR="00ED359F">
        <w:t>, “</w:t>
      </w:r>
      <w:r w:rsidR="00ED359F">
        <w:rPr>
          <w:i/>
          <w:iCs/>
        </w:rPr>
        <w:t>of the man of many devices</w:t>
      </w:r>
      <w:r w:rsidR="00ED359F">
        <w:t>” and is again a literary technique to keep the audience engaged in the epic.</w:t>
      </w:r>
      <w:r w:rsidR="00ED359F">
        <w:rPr>
          <w:rStyle w:val="FootnoteReference"/>
        </w:rPr>
        <w:footnoteReference w:id="21"/>
      </w:r>
      <w:r w:rsidR="007A5F7C">
        <w:t xml:space="preserve"> </w:t>
      </w:r>
      <w:r w:rsidR="00D31C3F">
        <w:t xml:space="preserve">The </w:t>
      </w:r>
      <w:r w:rsidR="00D31C3F">
        <w:rPr>
          <w:i/>
          <w:iCs/>
        </w:rPr>
        <w:t>Iliad</w:t>
      </w:r>
      <w:r w:rsidR="00D31C3F">
        <w:t xml:space="preserve"> is no different as </w:t>
      </w:r>
      <w:r w:rsidR="00D31C3F">
        <w:rPr>
          <w:i/>
          <w:iCs/>
        </w:rPr>
        <w:t>in medias res</w:t>
      </w:r>
      <w:r w:rsidR="00D31C3F">
        <w:t xml:space="preserve"> can also be traced back to being present in this epic with the first few lines describing the quarrel between Achilles and Agamemnon during the ninth year of the Trojan war and then goes backwards chronologically detailing the war prior to its ninth year – “</w:t>
      </w:r>
      <w:r w:rsidR="00D31C3F">
        <w:rPr>
          <w:i/>
          <w:iCs/>
        </w:rPr>
        <w:t>of this sing from the time when first there parted in strife Atreus’ son, lord of men and noble Achilles”</w:t>
      </w:r>
      <w:r w:rsidR="00D31C3F">
        <w:t>.</w:t>
      </w:r>
      <w:r w:rsidR="00D31C3F">
        <w:rPr>
          <w:rStyle w:val="FootnoteReference"/>
        </w:rPr>
        <w:footnoteReference w:id="22"/>
      </w:r>
      <w:r w:rsidR="003935E5">
        <w:t xml:space="preserve"> The </w:t>
      </w:r>
      <w:r w:rsidR="003935E5">
        <w:rPr>
          <w:i/>
          <w:iCs/>
        </w:rPr>
        <w:t>Argonautica</w:t>
      </w:r>
    </w:p>
    <w:p w14:paraId="34CE74E1" w14:textId="77777777" w:rsidR="00DF6612" w:rsidRDefault="00DF6612"/>
    <w:p w14:paraId="6B070EC2" w14:textId="08CE217D" w:rsidR="0016599B" w:rsidRDefault="0016599B"/>
    <w:p w14:paraId="66E7795F" w14:textId="11FFF9FC" w:rsidR="0016599B" w:rsidRDefault="0016599B">
      <w:proofErr w:type="spellStart"/>
      <w:r>
        <w:t>Sphragis</w:t>
      </w:r>
      <w:proofErr w:type="spellEnd"/>
    </w:p>
    <w:p w14:paraId="2425E941" w14:textId="5D7218A3" w:rsidR="0016599B" w:rsidRDefault="0016599B"/>
    <w:p w14:paraId="222C0C87" w14:textId="385EFF6C" w:rsidR="006707CA" w:rsidRPr="00B20CF9" w:rsidRDefault="000016B6">
      <w:r>
        <w:t xml:space="preserve">The invocation of the muse is another convention of epic that would traditionally start the epic poem and would act as a prologue to the narrative of the poem. The authors of epic act as narrators in their poems </w:t>
      </w:r>
      <w:r w:rsidR="00100BDD">
        <w:t xml:space="preserve">and call upon the muses </w:t>
      </w:r>
      <w:r w:rsidR="00073B9B">
        <w:t xml:space="preserve">to gain creative inspiration to inspire their narratives and make them more fantastical. Once again, this convention began in the </w:t>
      </w:r>
      <w:r w:rsidR="00073B9B">
        <w:rPr>
          <w:i/>
          <w:iCs/>
        </w:rPr>
        <w:t>Iliad</w:t>
      </w:r>
      <w:r w:rsidR="00073B9B">
        <w:t xml:space="preserve"> and the </w:t>
      </w:r>
      <w:r w:rsidR="00073B9B">
        <w:rPr>
          <w:i/>
          <w:iCs/>
        </w:rPr>
        <w:t>Odyssey</w:t>
      </w:r>
      <w:r w:rsidR="00073B9B">
        <w:t xml:space="preserve"> and was then followed by every author of epic that came after and made it a staple element of the epic genre. </w:t>
      </w:r>
      <w:r w:rsidR="00E758FD">
        <w:t xml:space="preserve">Vergil’s use of invoking the muse slightly differs from that of Homer as </w:t>
      </w:r>
      <w:r w:rsidR="00011FD3">
        <w:t>he</w:t>
      </w:r>
      <w:r w:rsidR="00E758FD">
        <w:t xml:space="preserve"> dela</w:t>
      </w:r>
      <w:r w:rsidR="00011FD3">
        <w:t>ys</w:t>
      </w:r>
      <w:r w:rsidR="00E758FD">
        <w:t xml:space="preserve"> it by a dozen lines</w:t>
      </w:r>
      <w:r w:rsidR="00011FD3">
        <w:t xml:space="preserve"> and signalling that his epic is different from those of Homer.</w:t>
      </w:r>
      <w:r w:rsidR="00234D01">
        <w:t xml:space="preserve"> This delay in the invocation could also be so Vergil is able to bring himself into the poem slightly more than Homer was and tell the story of Aeneas himself and allow the muse to aid Vergil in explaining the actions of the gods.</w:t>
      </w:r>
      <w:r w:rsidR="00011FD3">
        <w:t xml:space="preserve"> Vergil’s invocation</w:t>
      </w:r>
      <w:r w:rsidR="00E758FD">
        <w:t xml:space="preserve"> </w:t>
      </w:r>
      <w:r w:rsidR="00011FD3">
        <w:t xml:space="preserve">is also again slightly different </w:t>
      </w:r>
      <w:r w:rsidR="00E758FD">
        <w:t>by initially announcing Aeneas</w:t>
      </w:r>
      <w:r w:rsidR="002B39C9">
        <w:t>, his travels, and then the time period between Aeneas and the founding of Rome</w:t>
      </w:r>
      <w:r w:rsidR="00BF0D1B">
        <w:t xml:space="preserve"> as this covers a period much larger chronologically than that of the invocation in either of the </w:t>
      </w:r>
      <w:r w:rsidR="00BF0D1B">
        <w:rPr>
          <w:i/>
          <w:iCs/>
        </w:rPr>
        <w:t>Iliad</w:t>
      </w:r>
      <w:r w:rsidR="00BF0D1B">
        <w:t xml:space="preserve"> or of the </w:t>
      </w:r>
      <w:r w:rsidR="00BF0D1B">
        <w:rPr>
          <w:i/>
          <w:iCs/>
        </w:rPr>
        <w:t>Odyssey</w:t>
      </w:r>
      <w:r w:rsidR="002B39C9">
        <w:t>.</w:t>
      </w:r>
      <w:r w:rsidR="002B39C9">
        <w:rPr>
          <w:rStyle w:val="FootnoteReference"/>
        </w:rPr>
        <w:footnoteReference w:id="23"/>
      </w:r>
      <w:r w:rsidR="00234D01">
        <w:t xml:space="preserve"> </w:t>
      </w:r>
      <w:r w:rsidR="002B39C9">
        <w:t xml:space="preserve"> </w:t>
      </w:r>
      <w:r w:rsidR="006707CA">
        <w:t xml:space="preserve">Additionally, </w:t>
      </w:r>
      <w:r w:rsidR="009908FA">
        <w:t xml:space="preserve">invocation to the muses were not limited to just Homer and Vergil as they are also prominent throughout the </w:t>
      </w:r>
      <w:r w:rsidR="009908FA">
        <w:rPr>
          <w:i/>
          <w:iCs/>
        </w:rPr>
        <w:t>Argonautica</w:t>
      </w:r>
      <w:r w:rsidR="009908FA">
        <w:t xml:space="preserve"> – “</w:t>
      </w:r>
      <w:r w:rsidR="009908FA">
        <w:rPr>
          <w:i/>
          <w:iCs/>
        </w:rPr>
        <w:t xml:space="preserve">Come now, Erato, stand by my side, and tell me next how Jason brought back the fleece to </w:t>
      </w:r>
      <w:proofErr w:type="spellStart"/>
      <w:r w:rsidR="009908FA">
        <w:rPr>
          <w:i/>
          <w:iCs/>
        </w:rPr>
        <w:t>Iolcus</w:t>
      </w:r>
      <w:proofErr w:type="spellEnd"/>
      <w:r w:rsidR="009908FA">
        <w:t>”</w:t>
      </w:r>
      <w:r w:rsidR="00B20CF9">
        <w:t xml:space="preserve"> this specific example is important because of the intertextual engagement Vergil creates in the </w:t>
      </w:r>
      <w:r w:rsidR="00B20CF9">
        <w:rPr>
          <w:i/>
          <w:iCs/>
        </w:rPr>
        <w:t>Aeneid</w:t>
      </w:r>
      <w:r w:rsidR="00B20CF9">
        <w:t>.</w:t>
      </w:r>
      <w:r w:rsidR="00B20CF9">
        <w:rPr>
          <w:rStyle w:val="FootnoteReference"/>
        </w:rPr>
        <w:footnoteReference w:id="24"/>
      </w:r>
    </w:p>
    <w:p w14:paraId="2BE1882E" w14:textId="77777777" w:rsidR="006707CA" w:rsidRDefault="006707CA"/>
    <w:p w14:paraId="7D27FDA0" w14:textId="2B746984" w:rsidR="0016599B" w:rsidRDefault="002B39C9">
      <w:r>
        <w:t xml:space="preserve">Following on from this Vergil’s invocation also continues the discussion his themes of piety, rage, and the role of the gods </w:t>
      </w:r>
      <w:r w:rsidR="00234D01">
        <w:t>i</w:t>
      </w:r>
      <w:r>
        <w:t>n mankind’s suffering.</w:t>
      </w:r>
      <w:r w:rsidR="000A559A">
        <w:t xml:space="preserve"> </w:t>
      </w:r>
      <w:r w:rsidR="00FD5894">
        <w:t>“</w:t>
      </w:r>
      <w:r w:rsidR="00FD5894">
        <w:rPr>
          <w:i/>
          <w:iCs/>
        </w:rPr>
        <w:t>Musa</w:t>
      </w:r>
      <w:r w:rsidR="00FD5894">
        <w:t>”, is the muse and who is inspiring Vergil to write, he is most likely calling upon Calliope</w:t>
      </w:r>
      <w:r w:rsidR="00B13B95">
        <w:t xml:space="preserve"> and Erato</w:t>
      </w:r>
      <w:r w:rsidR="00FD5894">
        <w:t>, the muse of epic poetry</w:t>
      </w:r>
      <w:r w:rsidR="00D30397">
        <w:t>, although she is not directly mentioned.</w:t>
      </w:r>
      <w:r w:rsidR="00D30397">
        <w:rPr>
          <w:rStyle w:val="FootnoteReference"/>
        </w:rPr>
        <w:footnoteReference w:id="25"/>
      </w:r>
      <w:r w:rsidR="004F0AD8">
        <w:t xml:space="preserve"> Vergil’s use of the muses in the </w:t>
      </w:r>
      <w:r w:rsidR="004F0AD8">
        <w:rPr>
          <w:i/>
          <w:iCs/>
        </w:rPr>
        <w:t>Aeneid</w:t>
      </w:r>
      <w:r w:rsidR="004F0AD8">
        <w:t xml:space="preserve"> does appear to be just conventional with keeping in line with the epic genre</w:t>
      </w:r>
      <w:r w:rsidR="00FC7B81">
        <w:t xml:space="preserve"> as the muses play a lesser role in the </w:t>
      </w:r>
      <w:r w:rsidR="00FC7B81">
        <w:rPr>
          <w:i/>
          <w:iCs/>
        </w:rPr>
        <w:t>Aeneid</w:t>
      </w:r>
      <w:r w:rsidR="00FC7B81">
        <w:t xml:space="preserve"> compared to other epics. </w:t>
      </w:r>
      <w:r w:rsidR="008307FF">
        <w:t xml:space="preserve">It is worth noting that apart from the beginning of book 1 Vergil does not mention the muses again for the rest of the </w:t>
      </w:r>
      <w:r w:rsidR="00A81CE1">
        <w:t>‘Odyssean’ context</w:t>
      </w:r>
      <w:r w:rsidR="008307FF">
        <w:t xml:space="preserve"> of the epic</w:t>
      </w:r>
      <w:r w:rsidR="00933FDA">
        <w:t>.</w:t>
      </w:r>
      <w:r w:rsidR="008307FF">
        <w:t xml:space="preserve"> </w:t>
      </w:r>
      <w:r w:rsidR="00933FDA">
        <w:t>Invocations to the muses</w:t>
      </w:r>
      <w:r w:rsidR="008307FF">
        <w:t xml:space="preserve"> are far more prominent in the </w:t>
      </w:r>
      <w:r w:rsidR="00A81CE1">
        <w:t xml:space="preserve">‘Iliadic’ context </w:t>
      </w:r>
      <w:r w:rsidR="008307FF">
        <w:t xml:space="preserve">of the </w:t>
      </w:r>
      <w:r w:rsidR="00A81CE1">
        <w:rPr>
          <w:i/>
          <w:iCs/>
        </w:rPr>
        <w:t>Aeneid</w:t>
      </w:r>
      <w:r w:rsidR="008307FF">
        <w:t xml:space="preserve"> appearing 5 more times with the books more concerned with the topic of war</w:t>
      </w:r>
      <w:r w:rsidR="00A81CE1">
        <w:t>, however, in these books Vergil invokes</w:t>
      </w:r>
      <w:r w:rsidR="00933FDA">
        <w:t xml:space="preserve"> </w:t>
      </w:r>
      <w:r w:rsidR="00A81CE1">
        <w:t>Erato</w:t>
      </w:r>
      <w:r w:rsidR="00933FDA">
        <w:t>,</w:t>
      </w:r>
      <w:r w:rsidR="00A81CE1">
        <w:t xml:space="preserve"> traditionally associated with erotic poetry</w:t>
      </w:r>
      <w:r w:rsidR="00933FDA">
        <w:t xml:space="preserve">. </w:t>
      </w:r>
      <w:r w:rsidR="00720BF0">
        <w:t>This has caused debate amongst scholars with Nisbet and Hubbard commenting on Horace, C.1.24.3, that the creative jurisdictions for each individual muse was not certain amongst Roman poets until the end of the Augustan period.</w:t>
      </w:r>
      <w:r w:rsidR="00720BF0">
        <w:rPr>
          <w:rStyle w:val="FootnoteReference"/>
        </w:rPr>
        <w:footnoteReference w:id="26"/>
      </w:r>
      <w:r w:rsidR="006707CA">
        <w:t xml:space="preserve"> In opposition, Williams’ argument is that Erato is the most fitting muse for the ‘Iliadic’ context of the </w:t>
      </w:r>
      <w:r w:rsidR="006707CA">
        <w:rPr>
          <w:i/>
          <w:iCs/>
        </w:rPr>
        <w:t>Aeneid</w:t>
      </w:r>
      <w:r w:rsidR="006707CA">
        <w:t xml:space="preserve"> “</w:t>
      </w:r>
      <w:r w:rsidR="006707CA" w:rsidRPr="006707CA">
        <w:rPr>
          <w:i/>
          <w:iCs/>
        </w:rPr>
        <w:t>the whole conflict about to be described arises from Turnus’ refusal to give up his bride Lavinia to the Trojan stranger</w:t>
      </w:r>
      <w:r w:rsidR="006707CA">
        <w:t>”.</w:t>
      </w:r>
      <w:r w:rsidR="006707CA">
        <w:rPr>
          <w:rStyle w:val="FootnoteReference"/>
        </w:rPr>
        <w:footnoteReference w:id="27"/>
      </w:r>
    </w:p>
    <w:p w14:paraId="2C00C452" w14:textId="34784FB0" w:rsidR="000F68A4" w:rsidRDefault="000F68A4"/>
    <w:p w14:paraId="0695DADF" w14:textId="6C65AC39" w:rsidR="000F68A4" w:rsidRDefault="000F68A4">
      <w:r>
        <w:t xml:space="preserve">In conclusion, </w:t>
      </w:r>
      <w:r w:rsidR="0019123F">
        <w:t xml:space="preserve">the </w:t>
      </w:r>
      <w:r w:rsidR="0019123F">
        <w:rPr>
          <w:i/>
          <w:iCs/>
        </w:rPr>
        <w:t>Aeneid</w:t>
      </w:r>
      <w:r w:rsidR="0019123F">
        <w:t xml:space="preserve"> contains all of the traditional conventions found within the epic genre such as the inclusion of mythological characters and monsters, divine intervention</w:t>
      </w:r>
      <w:r w:rsidR="005B7267">
        <w:t xml:space="preserve">, </w:t>
      </w:r>
      <w:r w:rsidR="005B7267">
        <w:rPr>
          <w:i/>
          <w:iCs/>
        </w:rPr>
        <w:t>in medias res</w:t>
      </w:r>
      <w:r w:rsidR="003F2FDD">
        <w:rPr>
          <w:i/>
          <w:iCs/>
        </w:rPr>
        <w:t xml:space="preserve">, </w:t>
      </w:r>
      <w:r w:rsidR="003F2FDD">
        <w:t xml:space="preserve">invocation of the muses, and the form in which it was written – dactylic </w:t>
      </w:r>
      <w:r w:rsidR="003F2FDD">
        <w:lastRenderedPageBreak/>
        <w:t>hexameter</w:t>
      </w:r>
      <w:r w:rsidR="0019123F">
        <w:t>. However, Vergil alters how he uses these conventions in comparison to previous epic authors</w:t>
      </w:r>
      <w:r w:rsidR="003F2FDD">
        <w:t xml:space="preserve"> as the </w:t>
      </w:r>
      <w:r w:rsidR="003F2FDD">
        <w:rPr>
          <w:i/>
          <w:iCs/>
        </w:rPr>
        <w:t>Aeneid</w:t>
      </w:r>
      <w:r w:rsidR="00876DB0">
        <w:t xml:space="preserve"> reads like a culmination of an epic, national propaganda, and a </w:t>
      </w:r>
      <w:r w:rsidR="000831A2">
        <w:t>historical account</w:t>
      </w:r>
      <w:r w:rsidR="00876DB0">
        <w:t xml:space="preserve"> combined into one narrative.</w:t>
      </w:r>
    </w:p>
    <w:p w14:paraId="138CF90D" w14:textId="223B2265" w:rsidR="000831A2" w:rsidRDefault="000831A2"/>
    <w:p w14:paraId="51A338C8" w14:textId="7DC6446B" w:rsidR="000831A2" w:rsidRDefault="000831A2"/>
    <w:p w14:paraId="3A3BAF10" w14:textId="1EB7CBC3" w:rsidR="000831A2" w:rsidRDefault="000831A2"/>
    <w:p w14:paraId="0C10AE3E" w14:textId="76F92F0D" w:rsidR="000831A2" w:rsidRDefault="000831A2"/>
    <w:p w14:paraId="508EFE35" w14:textId="18BB1418" w:rsidR="000831A2" w:rsidRDefault="000831A2"/>
    <w:p w14:paraId="5BFE9237" w14:textId="503C3C58" w:rsidR="000831A2" w:rsidRDefault="000831A2"/>
    <w:p w14:paraId="31E3D92E" w14:textId="0D0F920E" w:rsidR="000831A2" w:rsidRDefault="000831A2"/>
    <w:p w14:paraId="2962DC7C" w14:textId="50B139C4" w:rsidR="000831A2" w:rsidRDefault="000831A2"/>
    <w:p w14:paraId="3A02014D" w14:textId="79F8AC6E" w:rsidR="000831A2" w:rsidRDefault="000831A2"/>
    <w:p w14:paraId="53FBE069" w14:textId="00DCFE14" w:rsidR="000831A2" w:rsidRDefault="000831A2"/>
    <w:p w14:paraId="390C0841" w14:textId="1DA567EE" w:rsidR="000831A2" w:rsidRDefault="000831A2"/>
    <w:p w14:paraId="6D90CAE2" w14:textId="66C42D7F" w:rsidR="000831A2" w:rsidRDefault="000831A2"/>
    <w:p w14:paraId="0F124279" w14:textId="4A8CCD8F" w:rsidR="000831A2" w:rsidRDefault="000831A2"/>
    <w:p w14:paraId="16B6CA3B" w14:textId="7D7906C2" w:rsidR="000831A2" w:rsidRDefault="000831A2"/>
    <w:p w14:paraId="27052BB3" w14:textId="0C6A492C" w:rsidR="000831A2" w:rsidRDefault="000831A2"/>
    <w:p w14:paraId="6485D9F9" w14:textId="7E08201C" w:rsidR="000831A2" w:rsidRDefault="000831A2"/>
    <w:p w14:paraId="18C4DFA4" w14:textId="53C447A8" w:rsidR="000831A2" w:rsidRDefault="000831A2"/>
    <w:p w14:paraId="2BFDD0E6" w14:textId="4343CB5D" w:rsidR="000831A2" w:rsidRDefault="000831A2"/>
    <w:p w14:paraId="1ADD9763" w14:textId="42057A52" w:rsidR="000831A2" w:rsidRDefault="000831A2"/>
    <w:p w14:paraId="67326EF5" w14:textId="14D79EAC" w:rsidR="000831A2" w:rsidRDefault="000831A2"/>
    <w:p w14:paraId="2EEEF504" w14:textId="203A6DB3" w:rsidR="000831A2" w:rsidRDefault="000831A2"/>
    <w:p w14:paraId="7C8F3E4C" w14:textId="1E55D462" w:rsidR="000831A2" w:rsidRDefault="000831A2"/>
    <w:p w14:paraId="5DC1874C" w14:textId="64704453" w:rsidR="000831A2" w:rsidRDefault="000831A2"/>
    <w:p w14:paraId="41FA1C90" w14:textId="3326962E" w:rsidR="000831A2" w:rsidRDefault="000831A2"/>
    <w:p w14:paraId="6A5C42B1" w14:textId="7077744A" w:rsidR="000831A2" w:rsidRDefault="000831A2"/>
    <w:p w14:paraId="31B51B9E" w14:textId="0BF1430F" w:rsidR="000831A2" w:rsidRDefault="000831A2"/>
    <w:p w14:paraId="41A654F1" w14:textId="251567C3" w:rsidR="000831A2" w:rsidRDefault="000831A2"/>
    <w:p w14:paraId="413A5EE2" w14:textId="7756E308" w:rsidR="000831A2" w:rsidRDefault="000831A2"/>
    <w:p w14:paraId="5B50AF6D" w14:textId="4166DCD0" w:rsidR="000831A2" w:rsidRDefault="000831A2"/>
    <w:p w14:paraId="2231E6D7" w14:textId="6F718052" w:rsidR="000831A2" w:rsidRDefault="000831A2"/>
    <w:p w14:paraId="7054CF29" w14:textId="009C3E07" w:rsidR="000831A2" w:rsidRDefault="000831A2"/>
    <w:p w14:paraId="050435D7" w14:textId="0D921B6D" w:rsidR="000831A2" w:rsidRDefault="000831A2"/>
    <w:p w14:paraId="3932EAEA" w14:textId="716AE40F" w:rsidR="000831A2" w:rsidRDefault="000831A2"/>
    <w:p w14:paraId="2CBC09B0" w14:textId="44CC70B1" w:rsidR="000831A2" w:rsidRDefault="000831A2"/>
    <w:p w14:paraId="720C0246" w14:textId="51C03EAD" w:rsidR="000831A2" w:rsidRDefault="000831A2"/>
    <w:p w14:paraId="57314771" w14:textId="188E96AA" w:rsidR="000831A2" w:rsidRDefault="000831A2"/>
    <w:p w14:paraId="3136BEB7" w14:textId="1C3F4CD9" w:rsidR="000831A2" w:rsidRDefault="000831A2"/>
    <w:p w14:paraId="4373D68E" w14:textId="4DFAE87E" w:rsidR="000831A2" w:rsidRDefault="000831A2"/>
    <w:p w14:paraId="2DB5FA9F" w14:textId="395C7F3A" w:rsidR="000831A2" w:rsidRDefault="000831A2"/>
    <w:p w14:paraId="2C89A944" w14:textId="382F5D56" w:rsidR="000831A2" w:rsidRDefault="000831A2"/>
    <w:p w14:paraId="0C1C7899" w14:textId="3B4B3C94" w:rsidR="000831A2" w:rsidRDefault="000831A2"/>
    <w:p w14:paraId="505FE00B" w14:textId="0922DD84" w:rsidR="000831A2" w:rsidRDefault="000831A2"/>
    <w:p w14:paraId="1998CA6D" w14:textId="159A774A" w:rsidR="000831A2" w:rsidRDefault="000831A2"/>
    <w:p w14:paraId="61DF147E" w14:textId="462211F8" w:rsidR="000831A2" w:rsidRDefault="000831A2"/>
    <w:p w14:paraId="24183C06" w14:textId="1D6DB5C3" w:rsidR="000831A2" w:rsidRDefault="000831A2">
      <w:pPr>
        <w:rPr>
          <w:rFonts w:ascii="Times" w:hAnsi="Times"/>
          <w:b/>
          <w:bCs/>
          <w:sz w:val="28"/>
          <w:szCs w:val="28"/>
          <w:u w:val="single"/>
        </w:rPr>
      </w:pPr>
      <w:r w:rsidRPr="000831A2">
        <w:rPr>
          <w:rFonts w:ascii="Times" w:hAnsi="Times"/>
          <w:b/>
          <w:bCs/>
          <w:sz w:val="28"/>
          <w:szCs w:val="28"/>
          <w:u w:val="single"/>
        </w:rPr>
        <w:lastRenderedPageBreak/>
        <w:t>Bibliography:</w:t>
      </w:r>
    </w:p>
    <w:p w14:paraId="14E2B15D" w14:textId="57BB071D" w:rsidR="000831A2" w:rsidRDefault="000831A2">
      <w:pPr>
        <w:rPr>
          <w:rFonts w:ascii="Times" w:hAnsi="Times"/>
          <w:b/>
          <w:bCs/>
          <w:sz w:val="28"/>
          <w:szCs w:val="28"/>
          <w:u w:val="single"/>
        </w:rPr>
      </w:pPr>
    </w:p>
    <w:p w14:paraId="3D0CC491" w14:textId="78A4536E" w:rsidR="000831A2" w:rsidRDefault="000831A2">
      <w:pPr>
        <w:rPr>
          <w:rFonts w:ascii="Times" w:hAnsi="Times"/>
          <w:b/>
          <w:bCs/>
          <w:sz w:val="28"/>
          <w:szCs w:val="28"/>
          <w:u w:val="single"/>
        </w:rPr>
      </w:pPr>
      <w:r>
        <w:rPr>
          <w:rFonts w:ascii="Times" w:hAnsi="Times"/>
          <w:b/>
          <w:bCs/>
          <w:sz w:val="28"/>
          <w:szCs w:val="28"/>
          <w:u w:val="single"/>
        </w:rPr>
        <w:t>Ancient Sources:</w:t>
      </w:r>
    </w:p>
    <w:p w14:paraId="532189D6" w14:textId="48B1BFB7" w:rsidR="000831A2" w:rsidRDefault="000831A2">
      <w:pPr>
        <w:rPr>
          <w:rFonts w:ascii="Times" w:hAnsi="Times"/>
          <w:b/>
          <w:bCs/>
          <w:sz w:val="28"/>
          <w:szCs w:val="28"/>
          <w:u w:val="single"/>
        </w:rPr>
      </w:pPr>
    </w:p>
    <w:p w14:paraId="0EA66375" w14:textId="658861D0" w:rsidR="00825A5D" w:rsidRDefault="00825A5D" w:rsidP="00825A5D">
      <w:pPr>
        <w:rPr>
          <w:rFonts w:ascii="Times" w:eastAsia="Times New Roman" w:hAnsi="Times" w:cs="Times New Roman"/>
          <w:shd w:val="clear" w:color="auto" w:fill="FFFFFF"/>
          <w:lang w:eastAsia="en-GB"/>
        </w:rPr>
      </w:pPr>
      <w:r w:rsidRPr="00825A5D">
        <w:rPr>
          <w:rFonts w:ascii="Times" w:eastAsia="Times New Roman" w:hAnsi="Times" w:cs="Times New Roman"/>
          <w:shd w:val="clear" w:color="auto" w:fill="FFFFFF"/>
          <w:lang w:eastAsia="en-GB"/>
        </w:rPr>
        <w:t xml:space="preserve">Apollonius </w:t>
      </w:r>
      <w:proofErr w:type="spellStart"/>
      <w:r w:rsidRPr="00825A5D">
        <w:rPr>
          <w:rFonts w:ascii="Times" w:eastAsia="Times New Roman" w:hAnsi="Times" w:cs="Times New Roman"/>
          <w:shd w:val="clear" w:color="auto" w:fill="FFFFFF"/>
          <w:lang w:eastAsia="en-GB"/>
        </w:rPr>
        <w:t>Rhodius</w:t>
      </w:r>
      <w:proofErr w:type="spellEnd"/>
      <w:r w:rsidRPr="00825A5D">
        <w:rPr>
          <w:rFonts w:ascii="Times" w:eastAsia="Times New Roman" w:hAnsi="Times" w:cs="Times New Roman"/>
          <w:shd w:val="clear" w:color="auto" w:fill="FFFFFF"/>
          <w:lang w:eastAsia="en-GB"/>
        </w:rPr>
        <w:t>. </w:t>
      </w:r>
      <w:r w:rsidRPr="00825A5D">
        <w:rPr>
          <w:rFonts w:ascii="Times" w:eastAsia="Times New Roman" w:hAnsi="Times" w:cs="Times New Roman"/>
          <w:i/>
          <w:iCs/>
          <w:shd w:val="clear" w:color="auto" w:fill="FFFFFF"/>
          <w:lang w:eastAsia="en-GB"/>
        </w:rPr>
        <w:t>Argonautica. </w:t>
      </w:r>
      <w:r w:rsidRPr="00825A5D">
        <w:rPr>
          <w:rFonts w:ascii="Times" w:eastAsia="Times New Roman" w:hAnsi="Times" w:cs="Times New Roman"/>
          <w:shd w:val="clear" w:color="auto" w:fill="FFFFFF"/>
          <w:lang w:eastAsia="en-GB"/>
        </w:rPr>
        <w:t>Edited and translated by William H. Race. Loeb Classical Library 1. Cambridge, MA: Harvard University Press, 2009.</w:t>
      </w:r>
    </w:p>
    <w:p w14:paraId="3C1D64B8" w14:textId="4EADBFDC" w:rsidR="002C5749" w:rsidRDefault="002C5749" w:rsidP="00825A5D">
      <w:pPr>
        <w:rPr>
          <w:rFonts w:ascii="Times" w:eastAsia="Times New Roman" w:hAnsi="Times" w:cs="Times New Roman"/>
          <w:shd w:val="clear" w:color="auto" w:fill="FFFFFF"/>
          <w:lang w:eastAsia="en-GB"/>
        </w:rPr>
      </w:pPr>
    </w:p>
    <w:p w14:paraId="7AA62CAA" w14:textId="7E1044EF" w:rsidR="002C5749" w:rsidRPr="002C5749" w:rsidRDefault="002C5749" w:rsidP="00825A5D">
      <w:pPr>
        <w:rPr>
          <w:rFonts w:ascii="Times" w:hAnsi="Times"/>
        </w:rPr>
      </w:pPr>
      <w:r>
        <w:rPr>
          <w:rFonts w:ascii="Times" w:hAnsi="Times"/>
        </w:rPr>
        <w:t xml:space="preserve">Alighieri, D. 2009. </w:t>
      </w:r>
      <w:r>
        <w:rPr>
          <w:rFonts w:ascii="Times" w:hAnsi="Times"/>
          <w:i/>
          <w:iCs/>
        </w:rPr>
        <w:t>The Divine Comedy</w:t>
      </w:r>
      <w:r>
        <w:rPr>
          <w:rFonts w:ascii="Times" w:hAnsi="Times"/>
        </w:rPr>
        <w:t>. Cary, H.F. (trans.). Wordsworth editions.</w:t>
      </w:r>
    </w:p>
    <w:p w14:paraId="0AB8F743" w14:textId="54D68724" w:rsidR="002C5749" w:rsidRPr="00825A5D" w:rsidRDefault="002C5749" w:rsidP="00825A5D">
      <w:pPr>
        <w:rPr>
          <w:rFonts w:ascii="Times" w:eastAsia="Times New Roman" w:hAnsi="Times" w:cs="Arial"/>
          <w:shd w:val="clear" w:color="auto" w:fill="202124"/>
          <w:lang w:eastAsia="en-GB"/>
        </w:rPr>
      </w:pPr>
    </w:p>
    <w:p w14:paraId="320B74BE" w14:textId="275A9119" w:rsidR="00825A5D" w:rsidRPr="002C5749" w:rsidRDefault="00825A5D" w:rsidP="00825A5D">
      <w:pPr>
        <w:rPr>
          <w:rFonts w:ascii="Times" w:eastAsia="Times New Roman" w:hAnsi="Times" w:cs="Times New Roman"/>
          <w:shd w:val="clear" w:color="auto" w:fill="FFFFFF"/>
          <w:lang w:eastAsia="en-GB"/>
        </w:rPr>
      </w:pPr>
      <w:r w:rsidRPr="00825A5D">
        <w:rPr>
          <w:rFonts w:ascii="Times" w:eastAsia="Times New Roman" w:hAnsi="Times" w:cs="Times New Roman"/>
          <w:shd w:val="clear" w:color="auto" w:fill="FFFFFF"/>
          <w:lang w:eastAsia="en-GB"/>
        </w:rPr>
        <w:t>Homer. </w:t>
      </w:r>
      <w:r w:rsidRPr="00825A5D">
        <w:rPr>
          <w:rFonts w:ascii="Times" w:eastAsia="Times New Roman" w:hAnsi="Times" w:cs="Times New Roman"/>
          <w:i/>
          <w:iCs/>
          <w:shd w:val="clear" w:color="auto" w:fill="FFFFFF"/>
          <w:lang w:eastAsia="en-GB"/>
        </w:rPr>
        <w:t>Iliad, Volume I: Books 1-12. </w:t>
      </w:r>
      <w:r w:rsidRPr="00825A5D">
        <w:rPr>
          <w:rFonts w:ascii="Times" w:eastAsia="Times New Roman" w:hAnsi="Times" w:cs="Times New Roman"/>
          <w:shd w:val="clear" w:color="auto" w:fill="FFFFFF"/>
          <w:lang w:eastAsia="en-GB"/>
        </w:rPr>
        <w:t>Translated by A. T. Murray. Revised by William F. Wyatt. Loeb Classical Library 170. Cambridge, MA: Harvard University Press, 1924.</w:t>
      </w:r>
    </w:p>
    <w:p w14:paraId="6D7EB817" w14:textId="31693056" w:rsidR="00825A5D" w:rsidRPr="002C5749" w:rsidRDefault="00825A5D" w:rsidP="00825A5D">
      <w:pPr>
        <w:rPr>
          <w:rFonts w:ascii="Times" w:eastAsia="Times New Roman" w:hAnsi="Times" w:cs="Times New Roman"/>
          <w:shd w:val="clear" w:color="auto" w:fill="FFFFFF"/>
          <w:lang w:eastAsia="en-GB"/>
        </w:rPr>
      </w:pPr>
    </w:p>
    <w:p w14:paraId="6FBBC134" w14:textId="1C2E788F" w:rsidR="00825A5D" w:rsidRPr="002C5749" w:rsidRDefault="00825A5D" w:rsidP="00825A5D">
      <w:pPr>
        <w:rPr>
          <w:rFonts w:ascii="Times" w:eastAsia="Times New Roman" w:hAnsi="Times" w:cs="Times New Roman"/>
          <w:shd w:val="clear" w:color="auto" w:fill="FFFFFF"/>
          <w:lang w:eastAsia="en-GB"/>
        </w:rPr>
      </w:pPr>
      <w:r w:rsidRPr="00825A5D">
        <w:rPr>
          <w:rFonts w:ascii="Times" w:eastAsia="Times New Roman" w:hAnsi="Times" w:cs="Times New Roman"/>
          <w:shd w:val="clear" w:color="auto" w:fill="FFFFFF"/>
          <w:lang w:eastAsia="en-GB"/>
        </w:rPr>
        <w:t>Homer. </w:t>
      </w:r>
      <w:r w:rsidRPr="00825A5D">
        <w:rPr>
          <w:rFonts w:ascii="Times" w:eastAsia="Times New Roman" w:hAnsi="Times" w:cs="Times New Roman"/>
          <w:i/>
          <w:iCs/>
          <w:shd w:val="clear" w:color="auto" w:fill="FFFFFF"/>
          <w:lang w:eastAsia="en-GB"/>
        </w:rPr>
        <w:t>Odyssey, Volume I: Books 1-12. </w:t>
      </w:r>
      <w:r w:rsidRPr="00825A5D">
        <w:rPr>
          <w:rFonts w:ascii="Times" w:eastAsia="Times New Roman" w:hAnsi="Times" w:cs="Times New Roman"/>
          <w:shd w:val="clear" w:color="auto" w:fill="FFFFFF"/>
          <w:lang w:eastAsia="en-GB"/>
        </w:rPr>
        <w:t>Translated by A. T. Murray. Revised by George E. Dimock. Loeb Classical Library 104. Cambridge, MA: Harvard University Press, 1919.</w:t>
      </w:r>
    </w:p>
    <w:p w14:paraId="3DD3C6C3" w14:textId="007D0541" w:rsidR="00825A5D" w:rsidRPr="002C5749" w:rsidRDefault="00825A5D" w:rsidP="00825A5D">
      <w:pPr>
        <w:rPr>
          <w:rFonts w:ascii="Times" w:eastAsia="Times New Roman" w:hAnsi="Times" w:cs="Times New Roman"/>
          <w:shd w:val="clear" w:color="auto" w:fill="FFFFFF"/>
          <w:lang w:eastAsia="en-GB"/>
        </w:rPr>
      </w:pPr>
    </w:p>
    <w:p w14:paraId="08B651BF" w14:textId="77777777" w:rsidR="00825A5D" w:rsidRPr="00825A5D" w:rsidRDefault="00825A5D" w:rsidP="00825A5D">
      <w:pPr>
        <w:rPr>
          <w:rFonts w:ascii="Times" w:eastAsia="Times New Roman" w:hAnsi="Times" w:cs="Times New Roman"/>
          <w:lang w:eastAsia="en-GB"/>
        </w:rPr>
      </w:pPr>
      <w:r w:rsidRPr="00825A5D">
        <w:rPr>
          <w:rFonts w:ascii="Times" w:eastAsia="Times New Roman" w:hAnsi="Times" w:cs="Times New Roman"/>
          <w:shd w:val="clear" w:color="auto" w:fill="FFFFFF"/>
          <w:lang w:eastAsia="en-GB"/>
        </w:rPr>
        <w:t>Propertius. </w:t>
      </w:r>
      <w:r w:rsidRPr="00825A5D">
        <w:rPr>
          <w:rFonts w:ascii="Times" w:eastAsia="Times New Roman" w:hAnsi="Times" w:cs="Times New Roman"/>
          <w:i/>
          <w:iCs/>
          <w:shd w:val="clear" w:color="auto" w:fill="FFFFFF"/>
          <w:lang w:eastAsia="en-GB"/>
        </w:rPr>
        <w:t>Elegies. </w:t>
      </w:r>
      <w:r w:rsidRPr="00825A5D">
        <w:rPr>
          <w:rFonts w:ascii="Times" w:eastAsia="Times New Roman" w:hAnsi="Times" w:cs="Times New Roman"/>
          <w:shd w:val="clear" w:color="auto" w:fill="FFFFFF"/>
          <w:lang w:eastAsia="en-GB"/>
        </w:rPr>
        <w:t xml:space="preserve">Edited and translated by G. P. </w:t>
      </w:r>
      <w:proofErr w:type="spellStart"/>
      <w:r w:rsidRPr="00825A5D">
        <w:rPr>
          <w:rFonts w:ascii="Times" w:eastAsia="Times New Roman" w:hAnsi="Times" w:cs="Times New Roman"/>
          <w:shd w:val="clear" w:color="auto" w:fill="FFFFFF"/>
          <w:lang w:eastAsia="en-GB"/>
        </w:rPr>
        <w:t>Goold</w:t>
      </w:r>
      <w:proofErr w:type="spellEnd"/>
      <w:r w:rsidRPr="00825A5D">
        <w:rPr>
          <w:rFonts w:ascii="Times" w:eastAsia="Times New Roman" w:hAnsi="Times" w:cs="Times New Roman"/>
          <w:shd w:val="clear" w:color="auto" w:fill="FFFFFF"/>
          <w:lang w:eastAsia="en-GB"/>
        </w:rPr>
        <w:t>. Loeb Classical Library 18. Cambridge, MA: Harvard University Press, 1990.</w:t>
      </w:r>
    </w:p>
    <w:p w14:paraId="573F3CFE" w14:textId="77777777" w:rsidR="00825A5D" w:rsidRPr="00825A5D" w:rsidRDefault="00825A5D" w:rsidP="00825A5D">
      <w:pPr>
        <w:rPr>
          <w:rFonts w:ascii="Times" w:eastAsia="Times New Roman" w:hAnsi="Times" w:cs="Times New Roman"/>
          <w:lang w:eastAsia="en-GB"/>
        </w:rPr>
      </w:pPr>
    </w:p>
    <w:p w14:paraId="694E02A6" w14:textId="4F208596" w:rsidR="00825A5D" w:rsidRPr="00825A5D" w:rsidRDefault="00825A5D" w:rsidP="00825A5D">
      <w:pPr>
        <w:rPr>
          <w:rFonts w:ascii="Times" w:eastAsia="Times New Roman" w:hAnsi="Times" w:cs="Times New Roman"/>
          <w:lang w:eastAsia="en-GB"/>
        </w:rPr>
      </w:pPr>
      <w:r w:rsidRPr="00825A5D">
        <w:rPr>
          <w:rFonts w:ascii="Times" w:eastAsia="Times New Roman" w:hAnsi="Times" w:cs="Times New Roman"/>
          <w:shd w:val="clear" w:color="auto" w:fill="FFFFFF"/>
          <w:lang w:eastAsia="en-GB"/>
        </w:rPr>
        <w:t>Virgil. </w:t>
      </w:r>
      <w:r w:rsidRPr="00825A5D">
        <w:rPr>
          <w:rFonts w:ascii="Times" w:eastAsia="Times New Roman" w:hAnsi="Times" w:cs="Times New Roman"/>
          <w:i/>
          <w:iCs/>
          <w:shd w:val="clear" w:color="auto" w:fill="FFFFFF"/>
          <w:lang w:eastAsia="en-GB"/>
        </w:rPr>
        <w:t>Eclogues. Georgics. Aeneid: Books 1-6. </w:t>
      </w:r>
      <w:r w:rsidRPr="00825A5D">
        <w:rPr>
          <w:rFonts w:ascii="Times" w:eastAsia="Times New Roman" w:hAnsi="Times" w:cs="Times New Roman"/>
          <w:shd w:val="clear" w:color="auto" w:fill="FFFFFF"/>
          <w:lang w:eastAsia="en-GB"/>
        </w:rPr>
        <w:t xml:space="preserve">Translated by H. Rushton Fairclough. Revised by G. P. </w:t>
      </w:r>
      <w:proofErr w:type="spellStart"/>
      <w:r w:rsidRPr="00825A5D">
        <w:rPr>
          <w:rFonts w:ascii="Times" w:eastAsia="Times New Roman" w:hAnsi="Times" w:cs="Times New Roman"/>
          <w:shd w:val="clear" w:color="auto" w:fill="FFFFFF"/>
          <w:lang w:eastAsia="en-GB"/>
        </w:rPr>
        <w:t>Goold</w:t>
      </w:r>
      <w:proofErr w:type="spellEnd"/>
      <w:r w:rsidRPr="00825A5D">
        <w:rPr>
          <w:rFonts w:ascii="Times" w:eastAsia="Times New Roman" w:hAnsi="Times" w:cs="Times New Roman"/>
          <w:shd w:val="clear" w:color="auto" w:fill="FFFFFF"/>
          <w:lang w:eastAsia="en-GB"/>
        </w:rPr>
        <w:t>. Loeb Classical Library 63. Cambridge, MA: Harvard University Press, 1916.</w:t>
      </w:r>
    </w:p>
    <w:p w14:paraId="6614BBAD" w14:textId="450B420D" w:rsidR="000831A2" w:rsidRDefault="000831A2">
      <w:pPr>
        <w:rPr>
          <w:rFonts w:ascii="Times" w:hAnsi="Times"/>
        </w:rPr>
      </w:pPr>
    </w:p>
    <w:p w14:paraId="5BF1BB9F" w14:textId="006488E2" w:rsidR="002C5749" w:rsidRPr="002C5749" w:rsidRDefault="002C5749">
      <w:pPr>
        <w:rPr>
          <w:rFonts w:ascii="Times" w:hAnsi="Times"/>
        </w:rPr>
      </w:pPr>
      <w:r>
        <w:rPr>
          <w:rFonts w:ascii="Times" w:hAnsi="Times"/>
        </w:rPr>
        <w:t xml:space="preserve">Alighieri, D. 2009. </w:t>
      </w:r>
      <w:r>
        <w:rPr>
          <w:rFonts w:ascii="Times" w:hAnsi="Times"/>
          <w:i/>
          <w:iCs/>
        </w:rPr>
        <w:t>The Divine Comedy</w:t>
      </w:r>
      <w:r>
        <w:rPr>
          <w:rFonts w:ascii="Times" w:hAnsi="Times"/>
        </w:rPr>
        <w:t>. Cary, H.F. (trans.). Wordsworth editions.</w:t>
      </w:r>
    </w:p>
    <w:p w14:paraId="76F9A357" w14:textId="71FC3E42" w:rsidR="000831A2" w:rsidRDefault="000831A2"/>
    <w:p w14:paraId="74ED4E9A" w14:textId="4EED680D" w:rsidR="00831049" w:rsidRDefault="00831049"/>
    <w:p w14:paraId="04BD892D" w14:textId="5D631B77" w:rsidR="00831049" w:rsidRDefault="00831049">
      <w:pPr>
        <w:rPr>
          <w:rFonts w:ascii="Times" w:hAnsi="Times"/>
          <w:b/>
          <w:bCs/>
          <w:sz w:val="28"/>
          <w:szCs w:val="28"/>
          <w:u w:val="single"/>
        </w:rPr>
      </w:pPr>
      <w:r w:rsidRPr="00831049">
        <w:rPr>
          <w:rFonts w:ascii="Times" w:hAnsi="Times"/>
          <w:b/>
          <w:bCs/>
          <w:sz w:val="28"/>
          <w:szCs w:val="28"/>
          <w:u w:val="single"/>
        </w:rPr>
        <w:t>Modern sources:</w:t>
      </w:r>
    </w:p>
    <w:p w14:paraId="3E21838A" w14:textId="26C02C3C" w:rsidR="00831049" w:rsidRDefault="00831049">
      <w:pPr>
        <w:rPr>
          <w:rFonts w:ascii="Times" w:hAnsi="Times"/>
          <w:b/>
          <w:bCs/>
          <w:sz w:val="28"/>
          <w:szCs w:val="28"/>
          <w:u w:val="single"/>
        </w:rPr>
      </w:pPr>
    </w:p>
    <w:p w14:paraId="62AE9604" w14:textId="1D54E98A" w:rsidR="0061421A" w:rsidRDefault="0061421A">
      <w:pPr>
        <w:rPr>
          <w:rFonts w:ascii="Times" w:hAnsi="Times"/>
        </w:rPr>
      </w:pPr>
      <w:r>
        <w:rPr>
          <w:rFonts w:ascii="Times" w:hAnsi="Times"/>
        </w:rPr>
        <w:t xml:space="preserve">Duckworth, G. E. 1966. ‘Vergil’s Subjective Style and its Relation to Meter’, </w:t>
      </w:r>
      <w:proofErr w:type="spellStart"/>
      <w:r>
        <w:rPr>
          <w:rFonts w:ascii="Times" w:hAnsi="Times"/>
          <w:i/>
          <w:iCs/>
        </w:rPr>
        <w:t>Vergilius</w:t>
      </w:r>
      <w:proofErr w:type="spellEnd"/>
      <w:r>
        <w:rPr>
          <w:rFonts w:ascii="Times" w:hAnsi="Times"/>
        </w:rPr>
        <w:t>. 12: 1-10.</w:t>
      </w:r>
    </w:p>
    <w:p w14:paraId="5D900496" w14:textId="790CC3D5" w:rsidR="00BD5EF0" w:rsidRDefault="00BD5EF0">
      <w:pPr>
        <w:rPr>
          <w:rFonts w:ascii="Times" w:hAnsi="Times"/>
        </w:rPr>
      </w:pPr>
    </w:p>
    <w:p w14:paraId="79C1BE4F" w14:textId="0A17A54B" w:rsidR="00BD5EF0" w:rsidRPr="00BD5EF0" w:rsidRDefault="00BD5EF0">
      <w:pPr>
        <w:rPr>
          <w:rFonts w:ascii="Times" w:hAnsi="Times"/>
        </w:rPr>
      </w:pPr>
      <w:r>
        <w:rPr>
          <w:rFonts w:ascii="Times" w:hAnsi="Times"/>
        </w:rPr>
        <w:t xml:space="preserve">Ganassi, I. 2016. </w:t>
      </w:r>
      <w:proofErr w:type="gramStart"/>
      <w:r>
        <w:rPr>
          <w:rFonts w:ascii="Times" w:hAnsi="Times"/>
        </w:rPr>
        <w:t>‘”Aeneid</w:t>
      </w:r>
      <w:proofErr w:type="gramEnd"/>
      <w:r>
        <w:rPr>
          <w:rFonts w:ascii="Times" w:hAnsi="Times"/>
        </w:rPr>
        <w:t xml:space="preserve">” Book 7’, </w:t>
      </w:r>
      <w:r>
        <w:rPr>
          <w:rFonts w:ascii="Times" w:hAnsi="Times"/>
          <w:i/>
          <w:iCs/>
        </w:rPr>
        <w:t>New England Review</w:t>
      </w:r>
      <w:r>
        <w:rPr>
          <w:rFonts w:ascii="Times" w:hAnsi="Times"/>
        </w:rPr>
        <w:t>. 37.2: 74-88.</w:t>
      </w:r>
    </w:p>
    <w:p w14:paraId="38A21320" w14:textId="77777777" w:rsidR="0061421A" w:rsidRDefault="0061421A">
      <w:pPr>
        <w:rPr>
          <w:rFonts w:ascii="Times" w:hAnsi="Times"/>
        </w:rPr>
      </w:pPr>
    </w:p>
    <w:p w14:paraId="249B2C4C" w14:textId="2A9E8F79" w:rsidR="0061421A" w:rsidRPr="0061421A" w:rsidRDefault="0061421A">
      <w:pPr>
        <w:rPr>
          <w:rFonts w:ascii="Times" w:hAnsi="Times"/>
        </w:rPr>
      </w:pPr>
      <w:r>
        <w:rPr>
          <w:rFonts w:ascii="Times" w:hAnsi="Times"/>
        </w:rPr>
        <w:t xml:space="preserve">Hayward, L. 2022. </w:t>
      </w:r>
      <w:r>
        <w:rPr>
          <w:rFonts w:ascii="Times" w:hAnsi="Times"/>
          <w:i/>
          <w:iCs/>
        </w:rPr>
        <w:t>Virgil’s Fascinating Portrayals of Greek Mythology (5 themes)</w:t>
      </w:r>
      <w:r>
        <w:rPr>
          <w:rFonts w:ascii="Times" w:hAnsi="Times"/>
        </w:rPr>
        <w:t xml:space="preserve">. Accessed at: </w:t>
      </w:r>
      <w:r w:rsidRPr="0061421A">
        <w:rPr>
          <w:rFonts w:ascii="Times" w:hAnsi="Times"/>
        </w:rPr>
        <w:t>https://www.thecollector.com/virgil-fascinating-portrayals-greek-mythology/</w:t>
      </w:r>
      <w:r>
        <w:rPr>
          <w:rFonts w:ascii="Times" w:hAnsi="Times"/>
        </w:rPr>
        <w:t>.</w:t>
      </w:r>
    </w:p>
    <w:p w14:paraId="2BA53576" w14:textId="77777777" w:rsidR="0061421A" w:rsidRDefault="0061421A">
      <w:pPr>
        <w:rPr>
          <w:rFonts w:ascii="Times" w:hAnsi="Times"/>
        </w:rPr>
      </w:pPr>
    </w:p>
    <w:p w14:paraId="356DD13D" w14:textId="6FFF2E6E" w:rsidR="00831049" w:rsidRDefault="00751497">
      <w:pPr>
        <w:rPr>
          <w:rFonts w:ascii="Times" w:hAnsi="Times"/>
        </w:rPr>
      </w:pPr>
      <w:r>
        <w:rPr>
          <w:rFonts w:ascii="Times" w:hAnsi="Times"/>
        </w:rPr>
        <w:t xml:space="preserve">Heinze, R. 1993. </w:t>
      </w:r>
      <w:r>
        <w:rPr>
          <w:rFonts w:ascii="Times" w:hAnsi="Times"/>
          <w:i/>
          <w:iCs/>
        </w:rPr>
        <w:t>Virgil’s Epic Technique</w:t>
      </w:r>
      <w:r>
        <w:rPr>
          <w:rFonts w:ascii="Times" w:hAnsi="Times"/>
        </w:rPr>
        <w:t>. Berkeley: University of California Press.</w:t>
      </w:r>
    </w:p>
    <w:p w14:paraId="4770811C" w14:textId="4215EF88" w:rsidR="006F2283" w:rsidRDefault="006F2283">
      <w:pPr>
        <w:rPr>
          <w:rFonts w:ascii="Times" w:hAnsi="Times"/>
        </w:rPr>
      </w:pPr>
    </w:p>
    <w:p w14:paraId="5E92FE82" w14:textId="5AC01DFA" w:rsidR="006F2283" w:rsidRDefault="006F2283">
      <w:pPr>
        <w:rPr>
          <w:rFonts w:ascii="Times" w:hAnsi="Times"/>
        </w:rPr>
      </w:pPr>
      <w:r>
        <w:rPr>
          <w:rFonts w:ascii="Times" w:hAnsi="Times"/>
        </w:rPr>
        <w:t xml:space="preserve">Hunter, R. </w:t>
      </w:r>
      <w:r w:rsidR="00B3542D">
        <w:rPr>
          <w:rFonts w:ascii="Times" w:hAnsi="Times"/>
        </w:rPr>
        <w:t xml:space="preserve">‘The poetics of Narrative in the </w:t>
      </w:r>
      <w:r w:rsidR="00B3542D">
        <w:rPr>
          <w:rFonts w:ascii="Times" w:hAnsi="Times"/>
          <w:i/>
          <w:iCs/>
        </w:rPr>
        <w:t>Argonautica</w:t>
      </w:r>
      <w:r w:rsidR="00B3542D">
        <w:rPr>
          <w:rFonts w:ascii="Times" w:hAnsi="Times"/>
        </w:rPr>
        <w:t xml:space="preserve">’ in </w:t>
      </w:r>
      <w:r w:rsidR="00B3542D">
        <w:rPr>
          <w:rFonts w:ascii="Times" w:hAnsi="Times"/>
          <w:i/>
          <w:iCs/>
        </w:rPr>
        <w:t xml:space="preserve">Brill’s Companion to Apollonius </w:t>
      </w:r>
      <w:proofErr w:type="spellStart"/>
      <w:r w:rsidR="00B3542D">
        <w:rPr>
          <w:rFonts w:ascii="Times" w:hAnsi="Times"/>
          <w:i/>
          <w:iCs/>
        </w:rPr>
        <w:t>Rhodius</w:t>
      </w:r>
      <w:proofErr w:type="spellEnd"/>
      <w:r w:rsidR="00B3542D">
        <w:rPr>
          <w:rFonts w:ascii="Times" w:hAnsi="Times"/>
        </w:rPr>
        <w:t xml:space="preserve">. 2008. </w:t>
      </w:r>
      <w:proofErr w:type="spellStart"/>
      <w:r w:rsidR="00B3542D">
        <w:rPr>
          <w:rFonts w:ascii="Times" w:hAnsi="Times"/>
        </w:rPr>
        <w:t>Papanghelis</w:t>
      </w:r>
      <w:proofErr w:type="spellEnd"/>
      <w:r w:rsidR="00B3542D">
        <w:rPr>
          <w:rFonts w:ascii="Times" w:hAnsi="Times"/>
        </w:rPr>
        <w:t xml:space="preserve">, T. D. &amp; </w:t>
      </w:r>
      <w:proofErr w:type="spellStart"/>
      <w:r w:rsidR="00B3542D">
        <w:rPr>
          <w:rFonts w:ascii="Times" w:hAnsi="Times"/>
        </w:rPr>
        <w:t>Rengakos</w:t>
      </w:r>
      <w:proofErr w:type="spellEnd"/>
      <w:r w:rsidR="00B3542D">
        <w:rPr>
          <w:rFonts w:ascii="Times" w:hAnsi="Times"/>
        </w:rPr>
        <w:t xml:space="preserve">, A. (eds.). </w:t>
      </w:r>
      <w:r w:rsidR="0061421A">
        <w:rPr>
          <w:rFonts w:ascii="Times" w:hAnsi="Times"/>
        </w:rPr>
        <w:t>Brill.</w:t>
      </w:r>
    </w:p>
    <w:p w14:paraId="174AE6A0" w14:textId="2F7E43B2" w:rsidR="0061421A" w:rsidRDefault="0061421A">
      <w:pPr>
        <w:rPr>
          <w:rFonts w:ascii="Times" w:hAnsi="Times"/>
        </w:rPr>
      </w:pPr>
    </w:p>
    <w:p w14:paraId="68CFCA2F" w14:textId="5FCDB42B" w:rsidR="00AC5627" w:rsidRDefault="00AC5627">
      <w:pPr>
        <w:rPr>
          <w:rFonts w:ascii="Times" w:hAnsi="Times"/>
        </w:rPr>
      </w:pPr>
      <w:r>
        <w:rPr>
          <w:rFonts w:ascii="Times" w:hAnsi="Times"/>
        </w:rPr>
        <w:t xml:space="preserve">Mooney, G. W. 1912. </w:t>
      </w:r>
      <w:r>
        <w:rPr>
          <w:rFonts w:ascii="Times" w:hAnsi="Times"/>
          <w:i/>
          <w:iCs/>
        </w:rPr>
        <w:t>Commentary on Apollonius: Argonautica</w:t>
      </w:r>
      <w:r>
        <w:rPr>
          <w:rFonts w:ascii="Times" w:hAnsi="Times"/>
        </w:rPr>
        <w:t xml:space="preserve">. </w:t>
      </w:r>
      <w:r w:rsidR="00BD5EF0">
        <w:rPr>
          <w:rFonts w:ascii="Times" w:hAnsi="Times"/>
        </w:rPr>
        <w:t xml:space="preserve">Accessed at: </w:t>
      </w:r>
      <w:hyperlink r:id="rId7" w:history="1">
        <w:r w:rsidR="00BD5EF0" w:rsidRPr="00433CA5">
          <w:rPr>
            <w:rStyle w:val="Hyperlink"/>
            <w:rFonts w:ascii="Times" w:hAnsi="Times"/>
          </w:rPr>
          <w:t>https://www.chlt.org/sandbox/perseus/mooney/page.0.a.php</w:t>
        </w:r>
      </w:hyperlink>
      <w:r w:rsidR="00BD5EF0">
        <w:rPr>
          <w:rFonts w:ascii="Times" w:hAnsi="Times"/>
        </w:rPr>
        <w:t>.</w:t>
      </w:r>
    </w:p>
    <w:p w14:paraId="67EB846C" w14:textId="7185B24E" w:rsidR="00BD5EF0" w:rsidRDefault="00BD5EF0">
      <w:pPr>
        <w:rPr>
          <w:rFonts w:ascii="Times" w:hAnsi="Times"/>
        </w:rPr>
      </w:pPr>
    </w:p>
    <w:p w14:paraId="31164EA0" w14:textId="482CEE3C" w:rsidR="00BD5EF0" w:rsidRDefault="00BD5EF0">
      <w:pPr>
        <w:rPr>
          <w:rFonts w:ascii="Times" w:hAnsi="Times"/>
        </w:rPr>
      </w:pPr>
      <w:proofErr w:type="spellStart"/>
      <w:r>
        <w:rPr>
          <w:rFonts w:ascii="Times" w:hAnsi="Times"/>
        </w:rPr>
        <w:t>Morwood</w:t>
      </w:r>
      <w:proofErr w:type="spellEnd"/>
      <w:r>
        <w:rPr>
          <w:rFonts w:ascii="Times" w:hAnsi="Times"/>
        </w:rPr>
        <w:t xml:space="preserve">, J. 1991. ‘Aeneas, Augustus, and the Theme of the City’, </w:t>
      </w:r>
      <w:r>
        <w:rPr>
          <w:rFonts w:ascii="Times" w:hAnsi="Times"/>
          <w:i/>
          <w:iCs/>
        </w:rPr>
        <w:t>Greece &amp; Rome</w:t>
      </w:r>
      <w:r>
        <w:rPr>
          <w:rFonts w:ascii="Times" w:hAnsi="Times"/>
        </w:rPr>
        <w:t>. 38.2: 212-223.</w:t>
      </w:r>
    </w:p>
    <w:p w14:paraId="7EBC5247" w14:textId="19AD6FDF" w:rsidR="00BD5EF0" w:rsidRDefault="00BD5EF0">
      <w:pPr>
        <w:rPr>
          <w:rFonts w:ascii="Times" w:hAnsi="Times"/>
        </w:rPr>
      </w:pPr>
    </w:p>
    <w:p w14:paraId="2DA97E14" w14:textId="7AD9B6C9" w:rsidR="00BD5EF0" w:rsidRPr="007705E1" w:rsidRDefault="00BD5EF0">
      <w:pPr>
        <w:rPr>
          <w:rFonts w:ascii="Times" w:hAnsi="Times"/>
        </w:rPr>
      </w:pPr>
      <w:r>
        <w:rPr>
          <w:rFonts w:ascii="Times" w:hAnsi="Times"/>
        </w:rPr>
        <w:t xml:space="preserve">Nisbet, R.G.M &amp; Hubbard, M (eds.). </w:t>
      </w:r>
      <w:r w:rsidR="007705E1">
        <w:rPr>
          <w:rFonts w:ascii="Times" w:hAnsi="Times"/>
        </w:rPr>
        <w:t xml:space="preserve">1970. </w:t>
      </w:r>
      <w:r w:rsidR="007705E1">
        <w:rPr>
          <w:rFonts w:ascii="Times" w:hAnsi="Times"/>
          <w:i/>
          <w:iCs/>
        </w:rPr>
        <w:t>A commentary on Horace: Odes, Book 1</w:t>
      </w:r>
      <w:r w:rsidR="007705E1">
        <w:rPr>
          <w:rFonts w:ascii="Times" w:hAnsi="Times"/>
        </w:rPr>
        <w:t>. Oxford: Oxford University Press.</w:t>
      </w:r>
    </w:p>
    <w:p w14:paraId="4F60E6FB" w14:textId="77777777" w:rsidR="00AC5627" w:rsidRDefault="00AC5627">
      <w:pPr>
        <w:rPr>
          <w:rFonts w:ascii="Times" w:hAnsi="Times"/>
        </w:rPr>
      </w:pPr>
    </w:p>
    <w:p w14:paraId="19F7C6A7" w14:textId="068C4C89" w:rsidR="0061421A" w:rsidRPr="0061421A" w:rsidRDefault="0061421A">
      <w:pPr>
        <w:rPr>
          <w:rFonts w:ascii="Times" w:hAnsi="Times"/>
        </w:rPr>
      </w:pPr>
      <w:r>
        <w:rPr>
          <w:rFonts w:ascii="Times" w:hAnsi="Times"/>
        </w:rPr>
        <w:lastRenderedPageBreak/>
        <w:t xml:space="preserve">O’Nolan, K. 1969/70. ‘Homer Virgil and Oral Tradition’. </w:t>
      </w:r>
      <w:proofErr w:type="spellStart"/>
      <w:r>
        <w:rPr>
          <w:rFonts w:ascii="Times" w:hAnsi="Times"/>
          <w:i/>
          <w:iCs/>
        </w:rPr>
        <w:t>Bealoideas</w:t>
      </w:r>
      <w:proofErr w:type="spellEnd"/>
      <w:r>
        <w:rPr>
          <w:rFonts w:ascii="Times" w:hAnsi="Times"/>
        </w:rPr>
        <w:t>. 37/38: 123-30.</w:t>
      </w:r>
    </w:p>
    <w:p w14:paraId="109FF189" w14:textId="6301DC2D" w:rsidR="00751497" w:rsidRDefault="00751497">
      <w:pPr>
        <w:rPr>
          <w:rFonts w:ascii="Times" w:hAnsi="Times"/>
        </w:rPr>
      </w:pPr>
    </w:p>
    <w:p w14:paraId="6BB4F997" w14:textId="78117A20" w:rsidR="006F2283" w:rsidRPr="006F2283" w:rsidRDefault="006F2283">
      <w:pPr>
        <w:rPr>
          <w:rFonts w:ascii="Times" w:hAnsi="Times"/>
        </w:rPr>
      </w:pPr>
      <w:r>
        <w:rPr>
          <w:rFonts w:ascii="Times" w:hAnsi="Times"/>
        </w:rPr>
        <w:t xml:space="preserve">Sullivan, M. B. 2020. </w:t>
      </w:r>
      <w:r>
        <w:rPr>
          <w:rFonts w:ascii="Times" w:hAnsi="Times"/>
          <w:i/>
          <w:iCs/>
        </w:rPr>
        <w:t>Virgil’s Erato and the Fate of Aeneas</w:t>
      </w:r>
      <w:r>
        <w:rPr>
          <w:rFonts w:ascii="Times" w:hAnsi="Times"/>
        </w:rPr>
        <w:t xml:space="preserve">. Accessed at: </w:t>
      </w:r>
      <w:r w:rsidRPr="006F2283">
        <w:rPr>
          <w:rFonts w:ascii="Times" w:hAnsi="Times"/>
        </w:rPr>
        <w:t>https://chs.harvard.edu/michael-sullivan-virgils-erato-and-the-fate-of-aeneas/</w:t>
      </w:r>
      <w:r>
        <w:rPr>
          <w:rFonts w:ascii="Times" w:hAnsi="Times"/>
        </w:rPr>
        <w:t>.</w:t>
      </w:r>
    </w:p>
    <w:p w14:paraId="313858C9" w14:textId="77777777" w:rsidR="006F2283" w:rsidRDefault="006F2283">
      <w:pPr>
        <w:rPr>
          <w:rFonts w:ascii="Times" w:hAnsi="Times"/>
        </w:rPr>
      </w:pPr>
    </w:p>
    <w:p w14:paraId="5FF6B526" w14:textId="0D462540" w:rsidR="00AC5627" w:rsidRDefault="00AC5627">
      <w:pPr>
        <w:rPr>
          <w:rFonts w:ascii="Times" w:hAnsi="Times"/>
        </w:rPr>
      </w:pPr>
      <w:r>
        <w:rPr>
          <w:rFonts w:ascii="Times" w:hAnsi="Times"/>
        </w:rPr>
        <w:t xml:space="preserve">Williams, R. D. 1965. ‘The Mythology of the “Aeneid”’, </w:t>
      </w:r>
      <w:proofErr w:type="spellStart"/>
      <w:r>
        <w:rPr>
          <w:rFonts w:ascii="Times" w:hAnsi="Times"/>
          <w:i/>
          <w:iCs/>
        </w:rPr>
        <w:t>Vergilius</w:t>
      </w:r>
      <w:proofErr w:type="spellEnd"/>
      <w:r>
        <w:rPr>
          <w:rFonts w:ascii="Times" w:hAnsi="Times"/>
        </w:rPr>
        <w:t>. 11: 11-15.</w:t>
      </w:r>
    </w:p>
    <w:p w14:paraId="570FAED6" w14:textId="0FB3367D" w:rsidR="007705E1" w:rsidRDefault="007705E1">
      <w:pPr>
        <w:rPr>
          <w:rFonts w:ascii="Times" w:hAnsi="Times"/>
        </w:rPr>
      </w:pPr>
    </w:p>
    <w:p w14:paraId="693E1EB7" w14:textId="2ADB2ECD" w:rsidR="007705E1" w:rsidRPr="007705E1" w:rsidRDefault="007705E1">
      <w:pPr>
        <w:rPr>
          <w:rFonts w:ascii="Times" w:hAnsi="Times"/>
        </w:rPr>
      </w:pPr>
      <w:r>
        <w:rPr>
          <w:rFonts w:ascii="Times" w:hAnsi="Times"/>
        </w:rPr>
        <w:t xml:space="preserve">Williams, R.D. 1973. </w:t>
      </w:r>
      <w:r>
        <w:rPr>
          <w:rFonts w:ascii="Times" w:hAnsi="Times"/>
          <w:i/>
          <w:iCs/>
        </w:rPr>
        <w:t>The Aeneid of Virgil, Books 7-12</w:t>
      </w:r>
      <w:r>
        <w:rPr>
          <w:rFonts w:ascii="Times" w:hAnsi="Times"/>
        </w:rPr>
        <w:t>. London: Palgrave Macmillan.</w:t>
      </w:r>
    </w:p>
    <w:p w14:paraId="395A81CB" w14:textId="77777777" w:rsidR="00AC5627" w:rsidRDefault="00AC5627">
      <w:pPr>
        <w:rPr>
          <w:rFonts w:ascii="Times" w:hAnsi="Times"/>
        </w:rPr>
      </w:pPr>
    </w:p>
    <w:p w14:paraId="59688828" w14:textId="16905005" w:rsidR="00751497" w:rsidRPr="006F2283" w:rsidRDefault="00751497">
      <w:pPr>
        <w:rPr>
          <w:rFonts w:ascii="Times" w:hAnsi="Times"/>
        </w:rPr>
      </w:pPr>
      <w:r>
        <w:rPr>
          <w:rFonts w:ascii="Times" w:hAnsi="Times"/>
        </w:rPr>
        <w:t>Woodworth, D. C. 1930.</w:t>
      </w:r>
      <w:r w:rsidR="006F2283">
        <w:rPr>
          <w:rFonts w:ascii="Times" w:hAnsi="Times"/>
        </w:rPr>
        <w:t xml:space="preserve"> ‘The Function of the Gods in Vergil’s “Aeneid”’, </w:t>
      </w:r>
      <w:r w:rsidR="006F2283">
        <w:rPr>
          <w:rFonts w:ascii="Times" w:hAnsi="Times"/>
          <w:i/>
          <w:iCs/>
        </w:rPr>
        <w:t>The Classical Journal</w:t>
      </w:r>
      <w:r w:rsidR="006F2283">
        <w:rPr>
          <w:rFonts w:ascii="Times" w:hAnsi="Times"/>
        </w:rPr>
        <w:t>. 26.2: 112-126.</w:t>
      </w:r>
    </w:p>
    <w:p w14:paraId="2620ED6F" w14:textId="5841746B" w:rsidR="000831A2" w:rsidRDefault="000831A2"/>
    <w:p w14:paraId="621C1671" w14:textId="6A95EAA1" w:rsidR="000831A2" w:rsidRDefault="000831A2"/>
    <w:p w14:paraId="14570CD1" w14:textId="6A9357BC" w:rsidR="000831A2" w:rsidRDefault="000831A2"/>
    <w:p w14:paraId="3199AEC6" w14:textId="77777777" w:rsidR="000831A2" w:rsidRPr="003F2FDD" w:rsidRDefault="000831A2"/>
    <w:sectPr w:rsidR="000831A2" w:rsidRPr="003F2F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3ED07" w14:textId="77777777" w:rsidR="00A54E3B" w:rsidRDefault="00A54E3B" w:rsidP="00502116">
      <w:r>
        <w:separator/>
      </w:r>
    </w:p>
  </w:endnote>
  <w:endnote w:type="continuationSeparator" w:id="0">
    <w:p w14:paraId="63720FC4" w14:textId="77777777" w:rsidR="00A54E3B" w:rsidRDefault="00A54E3B" w:rsidP="0050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AD19F" w14:textId="77777777" w:rsidR="00A54E3B" w:rsidRDefault="00A54E3B" w:rsidP="00502116">
      <w:r>
        <w:separator/>
      </w:r>
    </w:p>
  </w:footnote>
  <w:footnote w:type="continuationSeparator" w:id="0">
    <w:p w14:paraId="49587114" w14:textId="77777777" w:rsidR="00A54E3B" w:rsidRDefault="00A54E3B" w:rsidP="00502116">
      <w:r>
        <w:continuationSeparator/>
      </w:r>
    </w:p>
  </w:footnote>
  <w:footnote w:id="1">
    <w:p w14:paraId="7E4EA957" w14:textId="729043F3" w:rsidR="00502116" w:rsidRDefault="00502116">
      <w:pPr>
        <w:pStyle w:val="FootnoteText"/>
      </w:pPr>
      <w:r>
        <w:rPr>
          <w:rStyle w:val="FootnoteReference"/>
        </w:rPr>
        <w:footnoteRef/>
      </w:r>
      <w:r>
        <w:t xml:space="preserve"> </w:t>
      </w:r>
      <w:r>
        <w:t xml:space="preserve">Prop. </w:t>
      </w:r>
      <w:r>
        <w:rPr>
          <w:i/>
          <w:iCs/>
        </w:rPr>
        <w:t>Elegies</w:t>
      </w:r>
      <w:r>
        <w:t xml:space="preserve"> 2.34.66</w:t>
      </w:r>
      <w:r w:rsidR="00A74E1F">
        <w:t>.</w:t>
      </w:r>
    </w:p>
  </w:footnote>
  <w:footnote w:id="2">
    <w:p w14:paraId="5891518C" w14:textId="4C4D0626" w:rsidR="000E0AE1" w:rsidRPr="00C736A3" w:rsidRDefault="000E0AE1">
      <w:pPr>
        <w:pStyle w:val="FootnoteText"/>
      </w:pPr>
      <w:r>
        <w:rPr>
          <w:rStyle w:val="FootnoteReference"/>
        </w:rPr>
        <w:footnoteRef/>
      </w:r>
      <w:r>
        <w:t xml:space="preserve"> Alighieri, D. </w:t>
      </w:r>
      <w:r w:rsidR="00C736A3">
        <w:rPr>
          <w:i/>
          <w:iCs/>
        </w:rPr>
        <w:t>The Divine Comedy</w:t>
      </w:r>
      <w:r w:rsidR="00C736A3">
        <w:t>.</w:t>
      </w:r>
    </w:p>
  </w:footnote>
  <w:footnote w:id="3">
    <w:p w14:paraId="7CC2B31E" w14:textId="77777777" w:rsidR="000940CD" w:rsidRPr="00502116" w:rsidRDefault="000940CD" w:rsidP="000940CD">
      <w:pPr>
        <w:pStyle w:val="FootnoteText"/>
      </w:pPr>
      <w:r>
        <w:rPr>
          <w:rStyle w:val="FootnoteReference"/>
        </w:rPr>
        <w:footnoteRef/>
      </w:r>
      <w:r>
        <w:t xml:space="preserve">  Jenkyns, R. 2015: 190-1.</w:t>
      </w:r>
    </w:p>
  </w:footnote>
  <w:footnote w:id="4">
    <w:p w14:paraId="3F7E6DF8" w14:textId="77777777" w:rsidR="000940CD" w:rsidRDefault="000940CD" w:rsidP="000940CD">
      <w:pPr>
        <w:pStyle w:val="FootnoteText"/>
      </w:pPr>
      <w:r>
        <w:rPr>
          <w:rStyle w:val="FootnoteReference"/>
        </w:rPr>
        <w:footnoteRef/>
      </w:r>
      <w:r>
        <w:t xml:space="preserve"> Ganassi, I. 2016: 74.</w:t>
      </w:r>
    </w:p>
  </w:footnote>
  <w:footnote w:id="5">
    <w:p w14:paraId="704D864D" w14:textId="77777777" w:rsidR="000940CD" w:rsidRPr="00F46126" w:rsidRDefault="000940CD" w:rsidP="000940CD">
      <w:pPr>
        <w:pStyle w:val="FootnoteText"/>
      </w:pPr>
      <w:r>
        <w:rPr>
          <w:rStyle w:val="FootnoteReference"/>
        </w:rPr>
        <w:footnoteRef/>
      </w:r>
      <w:r>
        <w:t xml:space="preserve"> Vergil.</w:t>
      </w:r>
      <w:r>
        <w:rPr>
          <w:i/>
          <w:iCs/>
        </w:rPr>
        <w:t xml:space="preserve"> Aen</w:t>
      </w:r>
      <w:r>
        <w:t>. 1.425-7.</w:t>
      </w:r>
    </w:p>
  </w:footnote>
  <w:footnote w:id="6">
    <w:p w14:paraId="38419E69" w14:textId="431E66ED" w:rsidR="003907B1" w:rsidRDefault="003907B1">
      <w:pPr>
        <w:pStyle w:val="FootnoteText"/>
      </w:pPr>
      <w:r>
        <w:rPr>
          <w:rStyle w:val="FootnoteReference"/>
        </w:rPr>
        <w:footnoteRef/>
      </w:r>
      <w:r>
        <w:t xml:space="preserve"> O’Nolan, K. 1969: 123.</w:t>
      </w:r>
    </w:p>
  </w:footnote>
  <w:footnote w:id="7">
    <w:p w14:paraId="38D087A1" w14:textId="4BA3F935" w:rsidR="00E00DEC" w:rsidRPr="00E00DEC" w:rsidRDefault="00E00DEC">
      <w:pPr>
        <w:pStyle w:val="FootnoteText"/>
      </w:pPr>
      <w:r>
        <w:rPr>
          <w:rStyle w:val="FootnoteReference"/>
        </w:rPr>
        <w:footnoteRef/>
      </w:r>
      <w:r>
        <w:t xml:space="preserve"> O’Nolan, K. 1969: 123; Hom. </w:t>
      </w:r>
      <w:r>
        <w:rPr>
          <w:i/>
          <w:iCs/>
        </w:rPr>
        <w:t>Iliad</w:t>
      </w:r>
      <w:r>
        <w:t>. 11.113-21.</w:t>
      </w:r>
    </w:p>
  </w:footnote>
  <w:footnote w:id="8">
    <w:p w14:paraId="53288470" w14:textId="14995811" w:rsidR="00C3241C" w:rsidRDefault="00C3241C">
      <w:pPr>
        <w:pStyle w:val="FootnoteText"/>
      </w:pPr>
      <w:r>
        <w:rPr>
          <w:rStyle w:val="FootnoteReference"/>
        </w:rPr>
        <w:footnoteRef/>
      </w:r>
      <w:r>
        <w:t xml:space="preserve"> </w:t>
      </w:r>
      <w:r w:rsidR="00825A5D">
        <w:t>Heinze, R. 1993: 197-8.</w:t>
      </w:r>
    </w:p>
  </w:footnote>
  <w:footnote w:id="9">
    <w:p w14:paraId="3EEBE570" w14:textId="44942284" w:rsidR="00831740" w:rsidRDefault="00831740">
      <w:pPr>
        <w:pStyle w:val="FootnoteText"/>
      </w:pPr>
      <w:r>
        <w:rPr>
          <w:rStyle w:val="FootnoteReference"/>
        </w:rPr>
        <w:footnoteRef/>
      </w:r>
      <w:r>
        <w:t xml:space="preserve"> Duckworth, G. E. 1966: 1.</w:t>
      </w:r>
    </w:p>
  </w:footnote>
  <w:footnote w:id="10">
    <w:p w14:paraId="2BC9504C" w14:textId="22B7D86A" w:rsidR="00850E76" w:rsidRDefault="00850E76">
      <w:pPr>
        <w:pStyle w:val="FootnoteText"/>
      </w:pPr>
      <w:r>
        <w:rPr>
          <w:rStyle w:val="FootnoteReference"/>
        </w:rPr>
        <w:footnoteRef/>
      </w:r>
      <w:r>
        <w:t xml:space="preserve"> </w:t>
      </w:r>
      <w:r>
        <w:t>Duckworth, G. E. 1966: 1.</w:t>
      </w:r>
    </w:p>
  </w:footnote>
  <w:footnote w:id="11">
    <w:p w14:paraId="54DED5EB" w14:textId="13FBC0FF" w:rsidR="000422D6" w:rsidRDefault="000422D6">
      <w:pPr>
        <w:pStyle w:val="FootnoteText"/>
      </w:pPr>
      <w:r>
        <w:rPr>
          <w:rStyle w:val="FootnoteReference"/>
        </w:rPr>
        <w:footnoteRef/>
      </w:r>
      <w:r>
        <w:t xml:space="preserve"> </w:t>
      </w:r>
      <w:r>
        <w:t xml:space="preserve">Duckworth, G. E. 1966: </w:t>
      </w:r>
      <w:r>
        <w:t>2; Otis, B. 1963: 41-96.</w:t>
      </w:r>
    </w:p>
  </w:footnote>
  <w:footnote w:id="12">
    <w:p w14:paraId="370129A9" w14:textId="50613AEA" w:rsidR="00F04271" w:rsidRDefault="00F04271">
      <w:pPr>
        <w:pStyle w:val="FootnoteText"/>
      </w:pPr>
      <w:r>
        <w:rPr>
          <w:rStyle w:val="FootnoteReference"/>
        </w:rPr>
        <w:footnoteRef/>
      </w:r>
      <w:r>
        <w:t xml:space="preserve"> Duckworth, G. E. 1966: 8.</w:t>
      </w:r>
    </w:p>
  </w:footnote>
  <w:footnote w:id="13">
    <w:p w14:paraId="7D2D94BC" w14:textId="309F8A70" w:rsidR="00B77E12" w:rsidRDefault="00B77E12">
      <w:pPr>
        <w:pStyle w:val="FootnoteText"/>
      </w:pPr>
      <w:r>
        <w:rPr>
          <w:rStyle w:val="FootnoteReference"/>
        </w:rPr>
        <w:footnoteRef/>
      </w:r>
      <w:r>
        <w:t xml:space="preserve"> D</w:t>
      </w:r>
      <w:r>
        <w:t>uckworth, G. E. 1966: 8.</w:t>
      </w:r>
    </w:p>
  </w:footnote>
  <w:footnote w:id="14">
    <w:p w14:paraId="1E01E0F6" w14:textId="52DB9B01" w:rsidR="00644485" w:rsidRDefault="00644485">
      <w:pPr>
        <w:pStyle w:val="FootnoteText"/>
      </w:pPr>
      <w:r>
        <w:rPr>
          <w:rStyle w:val="FootnoteReference"/>
        </w:rPr>
        <w:footnoteRef/>
      </w:r>
      <w:r>
        <w:t xml:space="preserve"> Williams, R. D. 1965: 11.</w:t>
      </w:r>
    </w:p>
  </w:footnote>
  <w:footnote w:id="15">
    <w:p w14:paraId="6DAFD3CE" w14:textId="571157E6" w:rsidR="005107A9" w:rsidRPr="005107A9" w:rsidRDefault="005107A9">
      <w:pPr>
        <w:pStyle w:val="FootnoteText"/>
      </w:pPr>
      <w:r>
        <w:rPr>
          <w:rStyle w:val="FootnoteReference"/>
        </w:rPr>
        <w:footnoteRef/>
      </w:r>
      <w:r>
        <w:t xml:space="preserve"> Verg. </w:t>
      </w:r>
      <w:r>
        <w:rPr>
          <w:i/>
          <w:iCs/>
        </w:rPr>
        <w:t>Aen</w:t>
      </w:r>
      <w:r>
        <w:t>. 1.287-95</w:t>
      </w:r>
    </w:p>
  </w:footnote>
  <w:footnote w:id="16">
    <w:p w14:paraId="757447E7" w14:textId="486BD834" w:rsidR="00CE4571" w:rsidRPr="00CE4571" w:rsidRDefault="00CE4571">
      <w:pPr>
        <w:pStyle w:val="FootnoteText"/>
      </w:pPr>
      <w:r>
        <w:rPr>
          <w:rStyle w:val="FootnoteReference"/>
        </w:rPr>
        <w:footnoteRef/>
      </w:r>
      <w:r>
        <w:t xml:space="preserve"> Verg. </w:t>
      </w:r>
      <w:r>
        <w:rPr>
          <w:i/>
          <w:iCs/>
        </w:rPr>
        <w:t xml:space="preserve">Aen. </w:t>
      </w:r>
      <w:r>
        <w:t>1.10.</w:t>
      </w:r>
    </w:p>
  </w:footnote>
  <w:footnote w:id="17">
    <w:p w14:paraId="3D5AE461" w14:textId="7DBC8888" w:rsidR="000B32C8" w:rsidRDefault="000B32C8">
      <w:pPr>
        <w:pStyle w:val="FootnoteText"/>
      </w:pPr>
      <w:r>
        <w:rPr>
          <w:rStyle w:val="FootnoteReference"/>
        </w:rPr>
        <w:footnoteRef/>
      </w:r>
      <w:r>
        <w:t xml:space="preserve"> Woodworth, D. C. 1930: 113.</w:t>
      </w:r>
    </w:p>
  </w:footnote>
  <w:footnote w:id="18">
    <w:p w14:paraId="67405F26" w14:textId="30312143" w:rsidR="00D620EC" w:rsidRPr="00D620EC" w:rsidRDefault="00D620EC">
      <w:pPr>
        <w:pStyle w:val="FootnoteText"/>
      </w:pPr>
      <w:r>
        <w:rPr>
          <w:rStyle w:val="FootnoteReference"/>
        </w:rPr>
        <w:footnoteRef/>
      </w:r>
      <w:r>
        <w:t xml:space="preserve"> Verg. </w:t>
      </w:r>
      <w:r>
        <w:rPr>
          <w:i/>
          <w:iCs/>
        </w:rPr>
        <w:t>Aen</w:t>
      </w:r>
      <w:r>
        <w:t>. 1.2-13.</w:t>
      </w:r>
    </w:p>
  </w:footnote>
  <w:footnote w:id="19">
    <w:p w14:paraId="50E2DB0C" w14:textId="3E570564" w:rsidR="00A90AA9" w:rsidRPr="00A90AA9" w:rsidRDefault="00A90AA9">
      <w:pPr>
        <w:pStyle w:val="FootnoteText"/>
      </w:pPr>
      <w:r>
        <w:rPr>
          <w:rStyle w:val="FootnoteReference"/>
        </w:rPr>
        <w:footnoteRef/>
      </w:r>
      <w:r>
        <w:t xml:space="preserve"> Verg. </w:t>
      </w:r>
      <w:r>
        <w:rPr>
          <w:i/>
          <w:iCs/>
        </w:rPr>
        <w:t>Aen</w:t>
      </w:r>
      <w:r>
        <w:t>. 1.1-22.</w:t>
      </w:r>
    </w:p>
  </w:footnote>
  <w:footnote w:id="20">
    <w:p w14:paraId="552B91E5" w14:textId="55A5DCB8" w:rsidR="000D32C4" w:rsidRPr="000D32C4" w:rsidRDefault="000D32C4">
      <w:pPr>
        <w:pStyle w:val="FootnoteText"/>
      </w:pPr>
      <w:r>
        <w:rPr>
          <w:rStyle w:val="FootnoteReference"/>
        </w:rPr>
        <w:footnoteRef/>
      </w:r>
      <w:r>
        <w:t xml:space="preserve"> Hom. </w:t>
      </w:r>
      <w:r>
        <w:rPr>
          <w:i/>
          <w:iCs/>
        </w:rPr>
        <w:t>Odyssey</w:t>
      </w:r>
      <w:r>
        <w:t>. 1.10-12.</w:t>
      </w:r>
    </w:p>
  </w:footnote>
  <w:footnote w:id="21">
    <w:p w14:paraId="17F0C6C5" w14:textId="20C74A55" w:rsidR="00ED359F" w:rsidRPr="00ED359F" w:rsidRDefault="00ED359F">
      <w:pPr>
        <w:pStyle w:val="FootnoteText"/>
      </w:pPr>
      <w:r>
        <w:rPr>
          <w:rStyle w:val="FootnoteReference"/>
        </w:rPr>
        <w:footnoteRef/>
      </w:r>
      <w:r>
        <w:t xml:space="preserve"> Hom. </w:t>
      </w:r>
      <w:r>
        <w:rPr>
          <w:i/>
          <w:iCs/>
        </w:rPr>
        <w:t>Odyssey</w:t>
      </w:r>
      <w:r>
        <w:t>. 1.1.</w:t>
      </w:r>
    </w:p>
  </w:footnote>
  <w:footnote w:id="22">
    <w:p w14:paraId="0E4E421C" w14:textId="6D465F92" w:rsidR="00D31C3F" w:rsidRPr="00D31C3F" w:rsidRDefault="00D31C3F">
      <w:pPr>
        <w:pStyle w:val="FootnoteText"/>
      </w:pPr>
      <w:r>
        <w:rPr>
          <w:rStyle w:val="FootnoteReference"/>
        </w:rPr>
        <w:footnoteRef/>
      </w:r>
      <w:r>
        <w:t xml:space="preserve"> Hom. </w:t>
      </w:r>
      <w:r>
        <w:rPr>
          <w:i/>
          <w:iCs/>
        </w:rPr>
        <w:t>Iliad</w:t>
      </w:r>
      <w:r>
        <w:t>. 1.5-6.</w:t>
      </w:r>
    </w:p>
  </w:footnote>
  <w:footnote w:id="23">
    <w:p w14:paraId="68E55D5E" w14:textId="2F510032" w:rsidR="002B39C9" w:rsidRPr="002B39C9" w:rsidRDefault="002B39C9">
      <w:pPr>
        <w:pStyle w:val="FootnoteText"/>
      </w:pPr>
      <w:r>
        <w:rPr>
          <w:rStyle w:val="FootnoteReference"/>
        </w:rPr>
        <w:footnoteRef/>
      </w:r>
      <w:r>
        <w:t xml:space="preserve"> Verg. </w:t>
      </w:r>
      <w:r>
        <w:rPr>
          <w:i/>
          <w:iCs/>
        </w:rPr>
        <w:t>Aen.</w:t>
      </w:r>
      <w:r>
        <w:t xml:space="preserve"> 1.1-7.</w:t>
      </w:r>
    </w:p>
  </w:footnote>
  <w:footnote w:id="24">
    <w:p w14:paraId="2F799B24" w14:textId="3CF74578" w:rsidR="00B20CF9" w:rsidRPr="00B20CF9" w:rsidRDefault="00B20CF9">
      <w:pPr>
        <w:pStyle w:val="FootnoteText"/>
      </w:pPr>
      <w:r>
        <w:rPr>
          <w:rStyle w:val="FootnoteReference"/>
        </w:rPr>
        <w:footnoteRef/>
      </w:r>
      <w:r>
        <w:t xml:space="preserve"> </w:t>
      </w:r>
      <w:proofErr w:type="spellStart"/>
      <w:r>
        <w:t>Apol</w:t>
      </w:r>
      <w:proofErr w:type="spellEnd"/>
      <w:r>
        <w:t xml:space="preserve">. </w:t>
      </w:r>
      <w:r>
        <w:rPr>
          <w:i/>
          <w:iCs/>
        </w:rPr>
        <w:t>Argo</w:t>
      </w:r>
      <w:r>
        <w:t>. 3.1-3.</w:t>
      </w:r>
    </w:p>
  </w:footnote>
  <w:footnote w:id="25">
    <w:p w14:paraId="5DC5E0A6" w14:textId="3B728C08" w:rsidR="00D30397" w:rsidRPr="00D30397" w:rsidRDefault="00D30397">
      <w:pPr>
        <w:pStyle w:val="FootnoteText"/>
      </w:pPr>
      <w:r>
        <w:rPr>
          <w:rStyle w:val="FootnoteReference"/>
        </w:rPr>
        <w:footnoteRef/>
      </w:r>
      <w:r>
        <w:t xml:space="preserve"> Verg. </w:t>
      </w:r>
      <w:r>
        <w:rPr>
          <w:i/>
          <w:iCs/>
        </w:rPr>
        <w:t>Aen</w:t>
      </w:r>
      <w:r>
        <w:t>. 1.8.</w:t>
      </w:r>
    </w:p>
  </w:footnote>
  <w:footnote w:id="26">
    <w:p w14:paraId="602DAEDA" w14:textId="693AF814" w:rsidR="00720BF0" w:rsidRDefault="00720BF0">
      <w:pPr>
        <w:pStyle w:val="FootnoteText"/>
      </w:pPr>
      <w:r>
        <w:rPr>
          <w:rStyle w:val="FootnoteReference"/>
        </w:rPr>
        <w:footnoteRef/>
      </w:r>
      <w:r>
        <w:t xml:space="preserve"> Nisbet, R.G.M &amp; Hubbard, M</w:t>
      </w:r>
      <w:r w:rsidR="006707CA">
        <w:t>.1970: 283.</w:t>
      </w:r>
    </w:p>
  </w:footnote>
  <w:footnote w:id="27">
    <w:p w14:paraId="4A40F20E" w14:textId="76D51490" w:rsidR="006707CA" w:rsidRDefault="006707CA">
      <w:pPr>
        <w:pStyle w:val="FootnoteText"/>
      </w:pPr>
      <w:r>
        <w:rPr>
          <w:rStyle w:val="FootnoteReference"/>
        </w:rPr>
        <w:footnoteRef/>
      </w:r>
      <w:r>
        <w:t xml:space="preserve"> Williams. 1973: 169.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B0"/>
    <w:rsid w:val="000016B6"/>
    <w:rsid w:val="00011FD3"/>
    <w:rsid w:val="00014B20"/>
    <w:rsid w:val="0003028F"/>
    <w:rsid w:val="000422D6"/>
    <w:rsid w:val="00073B9B"/>
    <w:rsid w:val="000831A2"/>
    <w:rsid w:val="000940CD"/>
    <w:rsid w:val="000A559A"/>
    <w:rsid w:val="000B32C8"/>
    <w:rsid w:val="000D2E31"/>
    <w:rsid w:val="000D32C4"/>
    <w:rsid w:val="000E01EC"/>
    <w:rsid w:val="000E0AE1"/>
    <w:rsid w:val="000F68A4"/>
    <w:rsid w:val="00100BDD"/>
    <w:rsid w:val="00130D80"/>
    <w:rsid w:val="00142168"/>
    <w:rsid w:val="00154868"/>
    <w:rsid w:val="0016599B"/>
    <w:rsid w:val="0019123F"/>
    <w:rsid w:val="001A3E78"/>
    <w:rsid w:val="001A738B"/>
    <w:rsid w:val="001C364F"/>
    <w:rsid w:val="001D69B4"/>
    <w:rsid w:val="00234D01"/>
    <w:rsid w:val="00291A94"/>
    <w:rsid w:val="002952EC"/>
    <w:rsid w:val="002B1BE2"/>
    <w:rsid w:val="002B39C9"/>
    <w:rsid w:val="002C5749"/>
    <w:rsid w:val="002D12F2"/>
    <w:rsid w:val="0030025A"/>
    <w:rsid w:val="00335A82"/>
    <w:rsid w:val="0036583B"/>
    <w:rsid w:val="003907B1"/>
    <w:rsid w:val="003935E5"/>
    <w:rsid w:val="003A2EB1"/>
    <w:rsid w:val="003A6FB0"/>
    <w:rsid w:val="003B751C"/>
    <w:rsid w:val="003C0512"/>
    <w:rsid w:val="003F2FDD"/>
    <w:rsid w:val="003F4E31"/>
    <w:rsid w:val="00405021"/>
    <w:rsid w:val="00414C9E"/>
    <w:rsid w:val="004B6D07"/>
    <w:rsid w:val="004E0E49"/>
    <w:rsid w:val="004E5241"/>
    <w:rsid w:val="004E5B7C"/>
    <w:rsid w:val="004F0AD8"/>
    <w:rsid w:val="00502116"/>
    <w:rsid w:val="005107A9"/>
    <w:rsid w:val="00514D22"/>
    <w:rsid w:val="00595211"/>
    <w:rsid w:val="005A3368"/>
    <w:rsid w:val="005B7267"/>
    <w:rsid w:val="006118D3"/>
    <w:rsid w:val="0061421A"/>
    <w:rsid w:val="00615609"/>
    <w:rsid w:val="00644485"/>
    <w:rsid w:val="00655A6C"/>
    <w:rsid w:val="006707CA"/>
    <w:rsid w:val="006F2283"/>
    <w:rsid w:val="00720BF0"/>
    <w:rsid w:val="00731F6A"/>
    <w:rsid w:val="007433F3"/>
    <w:rsid w:val="00751497"/>
    <w:rsid w:val="007705E1"/>
    <w:rsid w:val="00770EC4"/>
    <w:rsid w:val="00776B19"/>
    <w:rsid w:val="007A5F7C"/>
    <w:rsid w:val="007B5367"/>
    <w:rsid w:val="007F7BBF"/>
    <w:rsid w:val="00825A5D"/>
    <w:rsid w:val="008307FF"/>
    <w:rsid w:val="00831049"/>
    <w:rsid w:val="00831740"/>
    <w:rsid w:val="00841D3E"/>
    <w:rsid w:val="00850E76"/>
    <w:rsid w:val="008527E5"/>
    <w:rsid w:val="00860179"/>
    <w:rsid w:val="00861047"/>
    <w:rsid w:val="008658BF"/>
    <w:rsid w:val="00876DB0"/>
    <w:rsid w:val="0089290F"/>
    <w:rsid w:val="008963F0"/>
    <w:rsid w:val="008C0C4D"/>
    <w:rsid w:val="0091165E"/>
    <w:rsid w:val="00917856"/>
    <w:rsid w:val="00933FDA"/>
    <w:rsid w:val="00940583"/>
    <w:rsid w:val="0096025A"/>
    <w:rsid w:val="00984F32"/>
    <w:rsid w:val="009852CE"/>
    <w:rsid w:val="009908FA"/>
    <w:rsid w:val="009B3342"/>
    <w:rsid w:val="009E4BB8"/>
    <w:rsid w:val="00A54E3B"/>
    <w:rsid w:val="00A71C8F"/>
    <w:rsid w:val="00A74E1F"/>
    <w:rsid w:val="00A81CE1"/>
    <w:rsid w:val="00A82F1D"/>
    <w:rsid w:val="00A90AA9"/>
    <w:rsid w:val="00AC5627"/>
    <w:rsid w:val="00AD40DC"/>
    <w:rsid w:val="00AD7AAC"/>
    <w:rsid w:val="00AF58B6"/>
    <w:rsid w:val="00B13B95"/>
    <w:rsid w:val="00B20CF9"/>
    <w:rsid w:val="00B3542D"/>
    <w:rsid w:val="00B37067"/>
    <w:rsid w:val="00B62C07"/>
    <w:rsid w:val="00B67366"/>
    <w:rsid w:val="00B77E12"/>
    <w:rsid w:val="00B855A8"/>
    <w:rsid w:val="00BD2D60"/>
    <w:rsid w:val="00BD5EF0"/>
    <w:rsid w:val="00BF0D1B"/>
    <w:rsid w:val="00C223D8"/>
    <w:rsid w:val="00C3241C"/>
    <w:rsid w:val="00C6109B"/>
    <w:rsid w:val="00C678D9"/>
    <w:rsid w:val="00C736A3"/>
    <w:rsid w:val="00C8171E"/>
    <w:rsid w:val="00C9706A"/>
    <w:rsid w:val="00CC402E"/>
    <w:rsid w:val="00CD73CC"/>
    <w:rsid w:val="00CE4571"/>
    <w:rsid w:val="00D21D43"/>
    <w:rsid w:val="00D30397"/>
    <w:rsid w:val="00D31C3F"/>
    <w:rsid w:val="00D620EC"/>
    <w:rsid w:val="00DB0988"/>
    <w:rsid w:val="00DF6612"/>
    <w:rsid w:val="00E00DEC"/>
    <w:rsid w:val="00E06900"/>
    <w:rsid w:val="00E359F8"/>
    <w:rsid w:val="00E758FD"/>
    <w:rsid w:val="00E90C82"/>
    <w:rsid w:val="00E97520"/>
    <w:rsid w:val="00EB4A9E"/>
    <w:rsid w:val="00ED359F"/>
    <w:rsid w:val="00EE18B8"/>
    <w:rsid w:val="00EE7444"/>
    <w:rsid w:val="00F04271"/>
    <w:rsid w:val="00F43C58"/>
    <w:rsid w:val="00F46126"/>
    <w:rsid w:val="00F83870"/>
    <w:rsid w:val="00FA7792"/>
    <w:rsid w:val="00FB7B91"/>
    <w:rsid w:val="00FC7B81"/>
    <w:rsid w:val="00FD5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9D07BD"/>
  <w15:chartTrackingRefBased/>
  <w15:docId w15:val="{B5932014-77D4-A742-A0F0-404195CF9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02116"/>
    <w:rPr>
      <w:sz w:val="20"/>
      <w:szCs w:val="20"/>
    </w:rPr>
  </w:style>
  <w:style w:type="character" w:customStyle="1" w:styleId="FootnoteTextChar">
    <w:name w:val="Footnote Text Char"/>
    <w:basedOn w:val="DefaultParagraphFont"/>
    <w:link w:val="FootnoteText"/>
    <w:uiPriority w:val="99"/>
    <w:semiHidden/>
    <w:rsid w:val="00502116"/>
    <w:rPr>
      <w:sz w:val="20"/>
      <w:szCs w:val="20"/>
    </w:rPr>
  </w:style>
  <w:style w:type="character" w:styleId="FootnoteReference">
    <w:name w:val="footnote reference"/>
    <w:basedOn w:val="DefaultParagraphFont"/>
    <w:uiPriority w:val="99"/>
    <w:semiHidden/>
    <w:unhideWhenUsed/>
    <w:rsid w:val="00502116"/>
    <w:rPr>
      <w:vertAlign w:val="superscript"/>
    </w:rPr>
  </w:style>
  <w:style w:type="paragraph" w:styleId="EndnoteText">
    <w:name w:val="endnote text"/>
    <w:basedOn w:val="Normal"/>
    <w:link w:val="EndnoteTextChar"/>
    <w:uiPriority w:val="99"/>
    <w:semiHidden/>
    <w:unhideWhenUsed/>
    <w:rsid w:val="00B77E12"/>
    <w:rPr>
      <w:sz w:val="20"/>
      <w:szCs w:val="20"/>
    </w:rPr>
  </w:style>
  <w:style w:type="character" w:customStyle="1" w:styleId="EndnoteTextChar">
    <w:name w:val="Endnote Text Char"/>
    <w:basedOn w:val="DefaultParagraphFont"/>
    <w:link w:val="EndnoteText"/>
    <w:uiPriority w:val="99"/>
    <w:semiHidden/>
    <w:rsid w:val="00B77E12"/>
    <w:rPr>
      <w:sz w:val="20"/>
      <w:szCs w:val="20"/>
    </w:rPr>
  </w:style>
  <w:style w:type="character" w:styleId="EndnoteReference">
    <w:name w:val="endnote reference"/>
    <w:basedOn w:val="DefaultParagraphFont"/>
    <w:uiPriority w:val="99"/>
    <w:semiHidden/>
    <w:unhideWhenUsed/>
    <w:rsid w:val="00B77E12"/>
    <w:rPr>
      <w:vertAlign w:val="superscript"/>
    </w:rPr>
  </w:style>
  <w:style w:type="character" w:customStyle="1" w:styleId="bibliographicauthorname">
    <w:name w:val="bibliographicauthorname"/>
    <w:basedOn w:val="DefaultParagraphFont"/>
    <w:rsid w:val="00825A5D"/>
  </w:style>
  <w:style w:type="character" w:customStyle="1" w:styleId="translators">
    <w:name w:val="translators"/>
    <w:basedOn w:val="DefaultParagraphFont"/>
    <w:rsid w:val="00825A5D"/>
  </w:style>
  <w:style w:type="character" w:customStyle="1" w:styleId="contributorname">
    <w:name w:val="contributorname"/>
    <w:basedOn w:val="DefaultParagraphFont"/>
    <w:rsid w:val="00825A5D"/>
  </w:style>
  <w:style w:type="character" w:customStyle="1" w:styleId="revisors">
    <w:name w:val="revisors"/>
    <w:basedOn w:val="DefaultParagraphFont"/>
    <w:rsid w:val="00825A5D"/>
  </w:style>
  <w:style w:type="character" w:customStyle="1" w:styleId="editorandtranslators">
    <w:name w:val="editorandtranslators"/>
    <w:basedOn w:val="DefaultParagraphFont"/>
    <w:rsid w:val="00825A5D"/>
  </w:style>
  <w:style w:type="character" w:styleId="Hyperlink">
    <w:name w:val="Hyperlink"/>
    <w:basedOn w:val="DefaultParagraphFont"/>
    <w:uiPriority w:val="99"/>
    <w:unhideWhenUsed/>
    <w:rsid w:val="00BD5EF0"/>
    <w:rPr>
      <w:color w:val="0563C1" w:themeColor="hyperlink"/>
      <w:u w:val="single"/>
    </w:rPr>
  </w:style>
  <w:style w:type="character" w:styleId="UnresolvedMention">
    <w:name w:val="Unresolved Mention"/>
    <w:basedOn w:val="DefaultParagraphFont"/>
    <w:uiPriority w:val="99"/>
    <w:semiHidden/>
    <w:unhideWhenUsed/>
    <w:rsid w:val="00BD5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23759">
      <w:bodyDiv w:val="1"/>
      <w:marLeft w:val="0"/>
      <w:marRight w:val="0"/>
      <w:marTop w:val="0"/>
      <w:marBottom w:val="0"/>
      <w:divBdr>
        <w:top w:val="none" w:sz="0" w:space="0" w:color="auto"/>
        <w:left w:val="none" w:sz="0" w:space="0" w:color="auto"/>
        <w:bottom w:val="none" w:sz="0" w:space="0" w:color="auto"/>
        <w:right w:val="none" w:sz="0" w:space="0" w:color="auto"/>
      </w:divBdr>
    </w:div>
    <w:div w:id="148912946">
      <w:bodyDiv w:val="1"/>
      <w:marLeft w:val="0"/>
      <w:marRight w:val="0"/>
      <w:marTop w:val="0"/>
      <w:marBottom w:val="0"/>
      <w:divBdr>
        <w:top w:val="none" w:sz="0" w:space="0" w:color="auto"/>
        <w:left w:val="none" w:sz="0" w:space="0" w:color="auto"/>
        <w:bottom w:val="none" w:sz="0" w:space="0" w:color="auto"/>
        <w:right w:val="none" w:sz="0" w:space="0" w:color="auto"/>
      </w:divBdr>
    </w:div>
    <w:div w:id="611478092">
      <w:bodyDiv w:val="1"/>
      <w:marLeft w:val="0"/>
      <w:marRight w:val="0"/>
      <w:marTop w:val="0"/>
      <w:marBottom w:val="0"/>
      <w:divBdr>
        <w:top w:val="none" w:sz="0" w:space="0" w:color="auto"/>
        <w:left w:val="none" w:sz="0" w:space="0" w:color="auto"/>
        <w:bottom w:val="none" w:sz="0" w:space="0" w:color="auto"/>
        <w:right w:val="none" w:sz="0" w:space="0" w:color="auto"/>
      </w:divBdr>
    </w:div>
    <w:div w:id="642541079">
      <w:bodyDiv w:val="1"/>
      <w:marLeft w:val="0"/>
      <w:marRight w:val="0"/>
      <w:marTop w:val="0"/>
      <w:marBottom w:val="0"/>
      <w:divBdr>
        <w:top w:val="none" w:sz="0" w:space="0" w:color="auto"/>
        <w:left w:val="none" w:sz="0" w:space="0" w:color="auto"/>
        <w:bottom w:val="none" w:sz="0" w:space="0" w:color="auto"/>
        <w:right w:val="none" w:sz="0" w:space="0" w:color="auto"/>
      </w:divBdr>
    </w:div>
    <w:div w:id="987901009">
      <w:bodyDiv w:val="1"/>
      <w:marLeft w:val="0"/>
      <w:marRight w:val="0"/>
      <w:marTop w:val="0"/>
      <w:marBottom w:val="0"/>
      <w:divBdr>
        <w:top w:val="none" w:sz="0" w:space="0" w:color="auto"/>
        <w:left w:val="none" w:sz="0" w:space="0" w:color="auto"/>
        <w:bottom w:val="none" w:sz="0" w:space="0" w:color="auto"/>
        <w:right w:val="none" w:sz="0" w:space="0" w:color="auto"/>
      </w:divBdr>
    </w:div>
    <w:div w:id="1225749914">
      <w:bodyDiv w:val="1"/>
      <w:marLeft w:val="0"/>
      <w:marRight w:val="0"/>
      <w:marTop w:val="0"/>
      <w:marBottom w:val="0"/>
      <w:divBdr>
        <w:top w:val="none" w:sz="0" w:space="0" w:color="auto"/>
        <w:left w:val="none" w:sz="0" w:space="0" w:color="auto"/>
        <w:bottom w:val="none" w:sz="0" w:space="0" w:color="auto"/>
        <w:right w:val="none" w:sz="0" w:space="0" w:color="auto"/>
      </w:divBdr>
    </w:div>
    <w:div w:id="166193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lt.org/sandbox/perseus/mooney/page.0.a.php"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67413-9AA9-6F45-83B6-2CA2FC2E3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8</Pages>
  <Words>2888</Words>
  <Characters>16466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 (1500425)</dc:creator>
  <cp:keywords/>
  <dc:description/>
  <cp:lastModifiedBy>James Mills (1500425)</cp:lastModifiedBy>
  <cp:revision>31</cp:revision>
  <dcterms:created xsi:type="dcterms:W3CDTF">2022-05-14T09:52:00Z</dcterms:created>
  <dcterms:modified xsi:type="dcterms:W3CDTF">2022-05-19T08:23:00Z</dcterms:modified>
</cp:coreProperties>
</file>