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0" w:type="dxa"/>
        <w:tblLayout w:type="fixed"/>
        <w:tblLook w:val="06A0" w:firstRow="1" w:lastRow="0" w:firstColumn="1" w:lastColumn="0" w:noHBand="1" w:noVBand="1"/>
      </w:tblPr>
      <w:tblGrid>
        <w:gridCol w:w="1906"/>
        <w:gridCol w:w="2996"/>
        <w:gridCol w:w="2056"/>
        <w:gridCol w:w="1665"/>
      </w:tblGrid>
      <w:tr w:rsidR="6978AB31" w14:paraId="152C7816" w14:textId="77777777" w:rsidTr="6978AB31">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76E7280" w14:textId="67D3F361" w:rsidR="6978AB31" w:rsidRDefault="6978AB31" w:rsidP="6978AB31">
            <w:pPr>
              <w:jc w:val="both"/>
            </w:pPr>
            <w:r w:rsidRPr="6978AB31">
              <w:rPr>
                <w:rFonts w:ascii="Arial" w:eastAsia="Arial" w:hAnsi="Arial" w:cs="Arial"/>
                <w:b/>
                <w:bCs/>
              </w:rPr>
              <w:t>Student name:</w:t>
            </w:r>
          </w:p>
        </w:tc>
        <w:tc>
          <w:tcPr>
            <w:tcW w:w="2996" w:type="dxa"/>
            <w:tcBorders>
              <w:top w:val="single" w:sz="8" w:space="0" w:color="auto"/>
              <w:left w:val="single" w:sz="8" w:space="0" w:color="auto"/>
              <w:bottom w:val="single" w:sz="8" w:space="0" w:color="auto"/>
              <w:right w:val="single" w:sz="8" w:space="0" w:color="auto"/>
            </w:tcBorders>
          </w:tcPr>
          <w:p w14:paraId="1A293CEE" w14:textId="79745829" w:rsidR="6978AB31" w:rsidRDefault="6978AB31" w:rsidP="6978AB31">
            <w:pPr>
              <w:jc w:val="both"/>
              <w:rPr>
                <w:rFonts w:ascii="Arial" w:eastAsia="Arial" w:hAnsi="Arial" w:cs="Arial"/>
                <w:b/>
                <w:bCs/>
                <w:highlight w:val="yellow"/>
              </w:rPr>
            </w:pPr>
            <w:r w:rsidRPr="6978AB31">
              <w:rPr>
                <w:rFonts w:ascii="Arial" w:eastAsia="Arial" w:hAnsi="Arial" w:cs="Arial"/>
                <w:b/>
                <w:bCs/>
              </w:rPr>
              <w:t xml:space="preserve">     </w:t>
            </w:r>
            <w:r w:rsidRPr="6978AB31">
              <w:rPr>
                <w:rFonts w:ascii="Arial" w:eastAsia="Arial" w:hAnsi="Arial" w:cs="Arial"/>
                <w:b/>
                <w:bCs/>
                <w:highlight w:val="yellow"/>
              </w:rPr>
              <w:t>ZUBAIDA AMBREN</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8F8BFFB" w14:textId="4071E49D" w:rsidR="6978AB31" w:rsidRDefault="6978AB31" w:rsidP="6978AB31">
            <w:pPr>
              <w:jc w:val="both"/>
              <w:rPr>
                <w:rFonts w:ascii="Arial" w:eastAsia="Arial" w:hAnsi="Arial" w:cs="Arial"/>
                <w:b/>
                <w:bCs/>
                <w:color w:val="000000" w:themeColor="text1"/>
                <w:highlight w:val="yellow"/>
              </w:rPr>
            </w:pPr>
            <w:r w:rsidRPr="6978AB31">
              <w:rPr>
                <w:rFonts w:ascii="Arial" w:eastAsia="Arial" w:hAnsi="Arial" w:cs="Arial"/>
                <w:b/>
                <w:bCs/>
                <w:color w:val="000000" w:themeColor="text1"/>
                <w:highlight w:val="yellow"/>
              </w:rPr>
              <w:t>Student ID number:</w:t>
            </w:r>
          </w:p>
        </w:tc>
        <w:tc>
          <w:tcPr>
            <w:tcW w:w="1665" w:type="dxa"/>
            <w:tcBorders>
              <w:top w:val="single" w:sz="8" w:space="0" w:color="auto"/>
              <w:left w:val="single" w:sz="8" w:space="0" w:color="auto"/>
              <w:bottom w:val="single" w:sz="8" w:space="0" w:color="auto"/>
              <w:right w:val="single" w:sz="8" w:space="0" w:color="auto"/>
            </w:tcBorders>
          </w:tcPr>
          <w:p w14:paraId="10B965D4" w14:textId="183DA79A" w:rsidR="6978AB31" w:rsidRDefault="6978AB31" w:rsidP="6978AB31">
            <w:pPr>
              <w:jc w:val="both"/>
              <w:rPr>
                <w:rFonts w:ascii="Arial" w:eastAsia="Arial" w:hAnsi="Arial" w:cs="Arial"/>
                <w:b/>
                <w:bCs/>
                <w:highlight w:val="yellow"/>
              </w:rPr>
            </w:pPr>
            <w:r w:rsidRPr="6978AB31">
              <w:rPr>
                <w:rFonts w:ascii="Arial" w:eastAsia="Arial" w:hAnsi="Arial" w:cs="Arial"/>
                <w:b/>
                <w:bCs/>
              </w:rPr>
              <w:t xml:space="preserve"> </w:t>
            </w:r>
            <w:r w:rsidRPr="6978AB31">
              <w:rPr>
                <w:rFonts w:ascii="Arial" w:eastAsia="Arial" w:hAnsi="Arial" w:cs="Arial"/>
                <w:b/>
                <w:bCs/>
                <w:highlight w:val="yellow"/>
              </w:rPr>
              <w:t>1912999</w:t>
            </w:r>
          </w:p>
        </w:tc>
      </w:tr>
      <w:tr w:rsidR="6978AB31" w14:paraId="0A34BFC2" w14:textId="77777777" w:rsidTr="6978AB31">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BF54A4A" w14:textId="152B61EE" w:rsidR="6978AB31" w:rsidRDefault="6978AB31" w:rsidP="6978AB31">
            <w:pPr>
              <w:jc w:val="both"/>
            </w:pPr>
            <w:r w:rsidRPr="6978AB31">
              <w:rPr>
                <w:rFonts w:ascii="Arial" w:eastAsia="Arial" w:hAnsi="Arial" w:cs="Arial"/>
                <w:b/>
                <w:bCs/>
                <w:color w:val="000000" w:themeColor="text1"/>
              </w:rPr>
              <w:t>Programme:</w:t>
            </w:r>
          </w:p>
        </w:tc>
        <w:tc>
          <w:tcPr>
            <w:tcW w:w="6717" w:type="dxa"/>
            <w:gridSpan w:val="3"/>
            <w:tcBorders>
              <w:top w:val="single" w:sz="8" w:space="0" w:color="auto"/>
              <w:left w:val="single" w:sz="8" w:space="0" w:color="auto"/>
              <w:bottom w:val="single" w:sz="8" w:space="0" w:color="auto"/>
              <w:right w:val="single" w:sz="8" w:space="0" w:color="auto"/>
            </w:tcBorders>
          </w:tcPr>
          <w:p w14:paraId="7DB8E60A" w14:textId="4ABC9F5E" w:rsidR="6978AB31" w:rsidRDefault="6978AB31" w:rsidP="6978AB31">
            <w:pPr>
              <w:jc w:val="both"/>
              <w:rPr>
                <w:rFonts w:ascii="Arial" w:eastAsia="Arial" w:hAnsi="Arial" w:cs="Arial"/>
                <w:b/>
                <w:bCs/>
                <w:highlight w:val="yellow"/>
              </w:rPr>
            </w:pPr>
            <w:r w:rsidRPr="6978AB31">
              <w:rPr>
                <w:rFonts w:ascii="Arial" w:eastAsia="Arial" w:hAnsi="Arial" w:cs="Arial"/>
                <w:b/>
                <w:bCs/>
                <w:highlight w:val="yellow"/>
              </w:rPr>
              <w:t>BSc Health and Social Care</w:t>
            </w:r>
          </w:p>
        </w:tc>
      </w:tr>
      <w:tr w:rsidR="6978AB31" w14:paraId="06A84434" w14:textId="77777777" w:rsidTr="6978AB31">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69720350" w14:textId="1E6CBAD6" w:rsidR="6978AB31" w:rsidRDefault="6978AB31" w:rsidP="6978AB31">
            <w:pPr>
              <w:jc w:val="both"/>
            </w:pPr>
            <w:r w:rsidRPr="6978AB31">
              <w:rPr>
                <w:rFonts w:ascii="Arial" w:eastAsia="Arial" w:hAnsi="Arial" w:cs="Arial"/>
                <w:b/>
                <w:bCs/>
                <w:color w:val="000000" w:themeColor="text1"/>
              </w:rPr>
              <w:t>Module:</w:t>
            </w:r>
          </w:p>
        </w:tc>
        <w:tc>
          <w:tcPr>
            <w:tcW w:w="6717" w:type="dxa"/>
            <w:gridSpan w:val="3"/>
            <w:tcBorders>
              <w:top w:val="single" w:sz="8" w:space="0" w:color="auto"/>
              <w:left w:val="single" w:sz="8" w:space="0" w:color="auto"/>
              <w:bottom w:val="single" w:sz="8" w:space="0" w:color="auto"/>
              <w:right w:val="single" w:sz="8" w:space="0" w:color="auto"/>
            </w:tcBorders>
          </w:tcPr>
          <w:p w14:paraId="0A10BBF4" w14:textId="4FBB0087" w:rsidR="6978AB31" w:rsidRDefault="6978AB31" w:rsidP="6978AB31">
            <w:pPr>
              <w:jc w:val="both"/>
              <w:rPr>
                <w:rFonts w:ascii="Arial" w:eastAsia="Arial" w:hAnsi="Arial" w:cs="Arial"/>
                <w:b/>
                <w:bCs/>
                <w:highlight w:val="yellow"/>
              </w:rPr>
            </w:pPr>
            <w:r w:rsidRPr="6978AB31">
              <w:rPr>
                <w:rFonts w:ascii="Arial" w:eastAsia="Arial" w:hAnsi="Arial" w:cs="Arial"/>
                <w:b/>
                <w:bCs/>
                <w:highlight w:val="yellow"/>
              </w:rPr>
              <w:t>Living with Care: The Older Person</w:t>
            </w:r>
          </w:p>
        </w:tc>
      </w:tr>
      <w:tr w:rsidR="6978AB31" w14:paraId="6B642FD0" w14:textId="77777777" w:rsidTr="6978AB31">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7F454A0" w14:textId="2963F373" w:rsidR="6978AB31" w:rsidRDefault="6978AB31" w:rsidP="6978AB31">
            <w:pPr>
              <w:jc w:val="both"/>
            </w:pPr>
            <w:r w:rsidRPr="6978AB31">
              <w:rPr>
                <w:rFonts w:ascii="Arial" w:eastAsia="Arial" w:hAnsi="Arial" w:cs="Arial"/>
                <w:b/>
                <w:bCs/>
                <w:color w:val="000000" w:themeColor="text1"/>
              </w:rPr>
              <w:t>Module code:</w:t>
            </w:r>
          </w:p>
        </w:tc>
        <w:tc>
          <w:tcPr>
            <w:tcW w:w="2996" w:type="dxa"/>
            <w:tcBorders>
              <w:top w:val="single" w:sz="8" w:space="0" w:color="auto"/>
              <w:left w:val="single" w:sz="8" w:space="0" w:color="auto"/>
              <w:bottom w:val="single" w:sz="8" w:space="0" w:color="auto"/>
              <w:right w:val="single" w:sz="8" w:space="0" w:color="auto"/>
            </w:tcBorders>
          </w:tcPr>
          <w:p w14:paraId="2F9B182C" w14:textId="6E564942" w:rsidR="6978AB31" w:rsidRDefault="6978AB31" w:rsidP="6978AB31">
            <w:pPr>
              <w:jc w:val="both"/>
              <w:rPr>
                <w:rFonts w:ascii="Arial" w:eastAsia="Arial" w:hAnsi="Arial" w:cs="Arial"/>
                <w:b/>
                <w:bCs/>
                <w:highlight w:val="yellow"/>
              </w:rPr>
            </w:pPr>
            <w:r w:rsidRPr="6978AB31">
              <w:rPr>
                <w:rFonts w:ascii="Arial" w:eastAsia="Arial" w:hAnsi="Arial" w:cs="Arial"/>
                <w:b/>
                <w:bCs/>
                <w:highlight w:val="yellow"/>
              </w:rPr>
              <w:t>BMHP6009_BIRM</w:t>
            </w:r>
          </w:p>
        </w:tc>
        <w:tc>
          <w:tcPr>
            <w:tcW w:w="2056" w:type="dxa"/>
            <w:tcBorders>
              <w:top w:val="nil"/>
              <w:left w:val="single" w:sz="8" w:space="0" w:color="auto"/>
              <w:bottom w:val="single" w:sz="8" w:space="0" w:color="auto"/>
              <w:right w:val="single" w:sz="8" w:space="0" w:color="auto"/>
            </w:tcBorders>
            <w:shd w:val="clear" w:color="auto" w:fill="D9D9D9" w:themeFill="background1" w:themeFillShade="D9"/>
          </w:tcPr>
          <w:p w14:paraId="270908E7" w14:textId="64B5A6ED" w:rsidR="6978AB31" w:rsidRDefault="6978AB31" w:rsidP="6978AB31">
            <w:pPr>
              <w:pStyle w:val="Heading2"/>
            </w:pPr>
            <w:r w:rsidRPr="6978AB31">
              <w:rPr>
                <w:rFonts w:ascii="Arial" w:eastAsia="Arial" w:hAnsi="Arial" w:cs="Arial"/>
                <w:color w:val="000000" w:themeColor="text1"/>
                <w:sz w:val="22"/>
                <w:szCs w:val="22"/>
              </w:rPr>
              <w:t>Contribution to Overall Module Assessment (%):</w:t>
            </w:r>
          </w:p>
        </w:tc>
        <w:tc>
          <w:tcPr>
            <w:tcW w:w="1665" w:type="dxa"/>
            <w:tcBorders>
              <w:top w:val="nil"/>
              <w:left w:val="single" w:sz="8" w:space="0" w:color="auto"/>
              <w:bottom w:val="single" w:sz="8" w:space="0" w:color="auto"/>
              <w:right w:val="single" w:sz="8" w:space="0" w:color="auto"/>
            </w:tcBorders>
          </w:tcPr>
          <w:p w14:paraId="34E9E12F" w14:textId="1F775BDE" w:rsidR="6978AB31" w:rsidRDefault="6978AB31" w:rsidP="6978AB31">
            <w:pPr>
              <w:jc w:val="both"/>
            </w:pPr>
            <w:r w:rsidRPr="6978AB31">
              <w:rPr>
                <w:rFonts w:ascii="Arial" w:eastAsia="Arial" w:hAnsi="Arial" w:cs="Arial"/>
                <w:b/>
                <w:bCs/>
              </w:rPr>
              <w:t>50%</w:t>
            </w:r>
          </w:p>
          <w:p w14:paraId="4123C8CC" w14:textId="34B59DBA" w:rsidR="6978AB31" w:rsidRDefault="6978AB31" w:rsidP="6978AB31">
            <w:pPr>
              <w:jc w:val="both"/>
            </w:pPr>
            <w:r w:rsidRPr="6978AB31">
              <w:rPr>
                <w:rFonts w:ascii="Arial" w:eastAsia="Arial" w:hAnsi="Arial" w:cs="Arial"/>
                <w:b/>
                <w:bCs/>
              </w:rPr>
              <w:t>(Part 2 of 2)</w:t>
            </w:r>
          </w:p>
        </w:tc>
      </w:tr>
      <w:tr w:rsidR="6978AB31" w14:paraId="1050A6FC" w14:textId="77777777" w:rsidTr="6978AB31">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64083BA1" w14:textId="3D5B15DB" w:rsidR="6978AB31" w:rsidRDefault="6978AB31" w:rsidP="6978AB31">
            <w:pPr>
              <w:jc w:val="both"/>
            </w:pPr>
            <w:r w:rsidRPr="6978AB31">
              <w:rPr>
                <w:rFonts w:ascii="Arial" w:eastAsia="Arial" w:hAnsi="Arial" w:cs="Arial"/>
                <w:b/>
                <w:bCs/>
                <w:color w:val="000000" w:themeColor="text1"/>
              </w:rPr>
              <w:t>Lecturer:</w:t>
            </w:r>
          </w:p>
        </w:tc>
        <w:tc>
          <w:tcPr>
            <w:tcW w:w="2996" w:type="dxa"/>
            <w:tcBorders>
              <w:top w:val="single" w:sz="8" w:space="0" w:color="auto"/>
              <w:left w:val="single" w:sz="8" w:space="0" w:color="auto"/>
              <w:bottom w:val="single" w:sz="8" w:space="0" w:color="auto"/>
              <w:right w:val="single" w:sz="8" w:space="0" w:color="auto"/>
            </w:tcBorders>
          </w:tcPr>
          <w:p w14:paraId="4845FDAF" w14:textId="55E7F6BE" w:rsidR="6978AB31" w:rsidRDefault="6978AB31" w:rsidP="6978AB31">
            <w:pPr>
              <w:jc w:val="both"/>
              <w:rPr>
                <w:rFonts w:ascii="Arial" w:eastAsia="Arial" w:hAnsi="Arial" w:cs="Arial"/>
                <w:b/>
                <w:bCs/>
                <w:highlight w:val="yellow"/>
              </w:rPr>
            </w:pPr>
            <w:r w:rsidRPr="6978AB31">
              <w:rPr>
                <w:rFonts w:ascii="Arial" w:eastAsia="Arial" w:hAnsi="Arial" w:cs="Arial"/>
                <w:b/>
                <w:bCs/>
                <w:highlight w:val="yellow"/>
              </w:rPr>
              <w:t>Joanne Davies</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65A0D6FE" w14:textId="3875E03A" w:rsidR="6978AB31" w:rsidRDefault="6978AB31" w:rsidP="6978AB31">
            <w:pPr>
              <w:jc w:val="both"/>
            </w:pPr>
            <w:r w:rsidRPr="6978AB31">
              <w:rPr>
                <w:rFonts w:ascii="Arial" w:eastAsia="Arial" w:hAnsi="Arial" w:cs="Arial"/>
                <w:b/>
                <w:bCs/>
                <w:color w:val="000000" w:themeColor="text1"/>
              </w:rPr>
              <w:t>Internal Verifier:</w:t>
            </w:r>
          </w:p>
        </w:tc>
        <w:tc>
          <w:tcPr>
            <w:tcW w:w="1665" w:type="dxa"/>
            <w:tcBorders>
              <w:top w:val="single" w:sz="8" w:space="0" w:color="auto"/>
              <w:left w:val="single" w:sz="8" w:space="0" w:color="auto"/>
              <w:bottom w:val="single" w:sz="8" w:space="0" w:color="auto"/>
              <w:right w:val="single" w:sz="8" w:space="0" w:color="auto"/>
            </w:tcBorders>
          </w:tcPr>
          <w:p w14:paraId="0A4D86F0" w14:textId="067C42C3" w:rsidR="6978AB31" w:rsidRDefault="6978AB31" w:rsidP="6978AB31">
            <w:pPr>
              <w:jc w:val="both"/>
            </w:pPr>
            <w:r w:rsidRPr="6978AB31">
              <w:rPr>
                <w:rFonts w:ascii="Arial" w:eastAsia="Arial" w:hAnsi="Arial" w:cs="Arial"/>
                <w:b/>
                <w:bCs/>
              </w:rPr>
              <w:t>Dr Mark Gallagher-Read</w:t>
            </w:r>
          </w:p>
        </w:tc>
      </w:tr>
      <w:tr w:rsidR="6978AB31" w14:paraId="5580A35D" w14:textId="77777777" w:rsidTr="6978AB31">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8EA34A7" w14:textId="77011F1E" w:rsidR="6978AB31" w:rsidRDefault="6978AB31" w:rsidP="6978AB31">
            <w:pPr>
              <w:jc w:val="both"/>
            </w:pPr>
            <w:r w:rsidRPr="6978AB31">
              <w:rPr>
                <w:rFonts w:ascii="Arial" w:eastAsia="Arial" w:hAnsi="Arial" w:cs="Arial"/>
                <w:b/>
                <w:bCs/>
                <w:color w:val="000000" w:themeColor="text1"/>
              </w:rPr>
              <w:t>Assignment Title:</w:t>
            </w:r>
          </w:p>
          <w:p w14:paraId="79A019E5" w14:textId="321FF526" w:rsidR="6978AB31" w:rsidRDefault="6978AB31" w:rsidP="6978AB31">
            <w:pPr>
              <w:jc w:val="both"/>
            </w:pPr>
            <w:r w:rsidRPr="6978AB31">
              <w:rPr>
                <w:rFonts w:ascii="Arial" w:eastAsia="Arial" w:hAnsi="Arial" w:cs="Arial"/>
                <w:b/>
                <w:bCs/>
                <w:color w:val="000000" w:themeColor="text1"/>
              </w:rPr>
              <w:t>Assignment 2.</w:t>
            </w:r>
          </w:p>
        </w:tc>
        <w:tc>
          <w:tcPr>
            <w:tcW w:w="2996" w:type="dxa"/>
            <w:tcBorders>
              <w:top w:val="single" w:sz="8" w:space="0" w:color="auto"/>
              <w:left w:val="single" w:sz="8" w:space="0" w:color="auto"/>
              <w:bottom w:val="single" w:sz="8" w:space="0" w:color="auto"/>
              <w:right w:val="single" w:sz="8" w:space="0" w:color="auto"/>
            </w:tcBorders>
          </w:tcPr>
          <w:p w14:paraId="7AD5E4BC" w14:textId="6CCD9409" w:rsidR="6978AB31" w:rsidRDefault="6978AB31" w:rsidP="6978AB31">
            <w:pPr>
              <w:jc w:val="both"/>
            </w:pPr>
            <w:r w:rsidRPr="6978AB31">
              <w:rPr>
                <w:rFonts w:ascii="Arial" w:eastAsia="Arial" w:hAnsi="Arial" w:cs="Arial"/>
                <w:b/>
                <w:bCs/>
              </w:rPr>
              <w:t>Component 2:</w:t>
            </w:r>
          </w:p>
          <w:p w14:paraId="084BD158" w14:textId="2BE9AAB7" w:rsidR="6978AB31" w:rsidRDefault="6978AB31" w:rsidP="6978AB31">
            <w:pPr>
              <w:jc w:val="both"/>
            </w:pPr>
            <w:r w:rsidRPr="6978AB31">
              <w:rPr>
                <w:rFonts w:ascii="Arial" w:eastAsia="Arial" w:hAnsi="Arial" w:cs="Arial"/>
                <w:b/>
                <w:bCs/>
              </w:rPr>
              <w:t>Written Assignment - Essay</w:t>
            </w:r>
          </w:p>
          <w:p w14:paraId="589B7D71" w14:textId="22E55199" w:rsidR="6978AB31" w:rsidRDefault="6978AB31" w:rsidP="6978AB31">
            <w:pPr>
              <w:jc w:val="both"/>
            </w:pPr>
            <w:r w:rsidRPr="6978AB31">
              <w:rPr>
                <w:rFonts w:ascii="Arial" w:eastAsia="Arial" w:hAnsi="Arial" w:cs="Arial"/>
                <w:b/>
                <w:bCs/>
              </w:rPr>
              <w:t xml:space="preserve"> </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2283868" w14:textId="2EE84CB6" w:rsidR="6978AB31" w:rsidRDefault="6978AB31" w:rsidP="6978AB31">
            <w:pPr>
              <w:jc w:val="both"/>
            </w:pPr>
            <w:r w:rsidRPr="6978AB31">
              <w:rPr>
                <w:rFonts w:ascii="Arial" w:eastAsia="Arial" w:hAnsi="Arial" w:cs="Arial"/>
                <w:b/>
                <w:bCs/>
                <w:color w:val="000000" w:themeColor="text1"/>
              </w:rPr>
              <w:t>Word count (or equivalent):</w:t>
            </w:r>
          </w:p>
        </w:tc>
        <w:tc>
          <w:tcPr>
            <w:tcW w:w="1665" w:type="dxa"/>
            <w:tcBorders>
              <w:top w:val="single" w:sz="8" w:space="0" w:color="auto"/>
              <w:left w:val="single" w:sz="8" w:space="0" w:color="auto"/>
              <w:bottom w:val="single" w:sz="8" w:space="0" w:color="auto"/>
              <w:right w:val="single" w:sz="8" w:space="0" w:color="auto"/>
            </w:tcBorders>
          </w:tcPr>
          <w:p w14:paraId="25A3CEB7" w14:textId="53BDE635" w:rsidR="6978AB31" w:rsidRDefault="6978AB31">
            <w:r w:rsidRPr="6978AB31">
              <w:rPr>
                <w:rFonts w:ascii="Arial" w:eastAsia="Arial" w:hAnsi="Arial" w:cs="Arial"/>
                <w:b/>
                <w:bCs/>
              </w:rPr>
              <w:t>3000-words</w:t>
            </w:r>
          </w:p>
          <w:p w14:paraId="446AEE9E" w14:textId="7B627A95" w:rsidR="6978AB31" w:rsidRDefault="6978AB31">
            <w:r w:rsidRPr="6978AB31">
              <w:rPr>
                <w:rFonts w:ascii="Arial" w:eastAsia="Arial" w:hAnsi="Arial" w:cs="Arial"/>
                <w:b/>
                <w:bCs/>
              </w:rPr>
              <w:t xml:space="preserve"> (+ or – 10%)</w:t>
            </w:r>
          </w:p>
          <w:p w14:paraId="60A52135" w14:textId="34B946BF" w:rsidR="6978AB31" w:rsidRDefault="6978AB31">
            <w:r w:rsidRPr="6978AB31">
              <w:rPr>
                <w:rFonts w:ascii="Arial" w:eastAsia="Arial" w:hAnsi="Arial" w:cs="Arial"/>
                <w:b/>
                <w:bCs/>
              </w:rPr>
              <w:t xml:space="preserve"> </w:t>
            </w:r>
          </w:p>
        </w:tc>
      </w:tr>
      <w:tr w:rsidR="6978AB31" w14:paraId="3F8449F5" w14:textId="77777777" w:rsidTr="6978AB31">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A008F2A" w14:textId="2F51C1C1" w:rsidR="6978AB31" w:rsidRDefault="6978AB31" w:rsidP="6978AB31">
            <w:pPr>
              <w:jc w:val="both"/>
            </w:pPr>
            <w:r w:rsidRPr="6978AB31">
              <w:rPr>
                <w:rFonts w:ascii="Arial" w:eastAsia="Arial" w:hAnsi="Arial" w:cs="Arial"/>
                <w:b/>
                <w:bCs/>
                <w:color w:val="000000" w:themeColor="text1"/>
              </w:rPr>
              <w:t>Submission deadline:</w:t>
            </w:r>
          </w:p>
        </w:tc>
        <w:tc>
          <w:tcPr>
            <w:tcW w:w="2996" w:type="dxa"/>
            <w:tcBorders>
              <w:top w:val="single" w:sz="8" w:space="0" w:color="auto"/>
              <w:left w:val="single" w:sz="8" w:space="0" w:color="auto"/>
              <w:bottom w:val="single" w:sz="8" w:space="0" w:color="auto"/>
              <w:right w:val="single" w:sz="8" w:space="0" w:color="auto"/>
            </w:tcBorders>
          </w:tcPr>
          <w:p w14:paraId="4B338E5B" w14:textId="7BC43060" w:rsidR="6978AB31" w:rsidRDefault="6978AB31" w:rsidP="6978AB31">
            <w:pPr>
              <w:jc w:val="both"/>
            </w:pPr>
            <w:r w:rsidRPr="6978AB31">
              <w:rPr>
                <w:rFonts w:ascii="Arial" w:eastAsia="Arial" w:hAnsi="Arial" w:cs="Arial"/>
                <w:b/>
                <w:bCs/>
              </w:rPr>
              <w:t>Submission to Turnitin: Week 11 – Friday 8</w:t>
            </w:r>
            <w:r w:rsidRPr="6978AB31">
              <w:rPr>
                <w:rFonts w:ascii="Arial" w:eastAsia="Arial" w:hAnsi="Arial" w:cs="Arial"/>
                <w:b/>
                <w:bCs/>
                <w:vertAlign w:val="superscript"/>
              </w:rPr>
              <w:t>th</w:t>
            </w:r>
            <w:r w:rsidRPr="6978AB31">
              <w:rPr>
                <w:rFonts w:ascii="Arial" w:eastAsia="Arial" w:hAnsi="Arial" w:cs="Arial"/>
                <w:b/>
                <w:bCs/>
              </w:rPr>
              <w:t xml:space="preserve"> April 2022 15:00 GMT</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17A6035" w14:textId="48C7C471" w:rsidR="6978AB31" w:rsidRDefault="6978AB31" w:rsidP="6978AB31">
            <w:pPr>
              <w:jc w:val="both"/>
            </w:pPr>
            <w:r w:rsidRPr="6978AB31">
              <w:rPr>
                <w:rFonts w:ascii="Arial" w:eastAsia="Arial" w:hAnsi="Arial" w:cs="Arial"/>
                <w:b/>
                <w:bCs/>
                <w:color w:val="000000" w:themeColor="text1"/>
              </w:rPr>
              <w:t>Return date of provisional marks &amp; written feedback:</w:t>
            </w:r>
          </w:p>
        </w:tc>
        <w:tc>
          <w:tcPr>
            <w:tcW w:w="1665" w:type="dxa"/>
            <w:tcBorders>
              <w:top w:val="single" w:sz="8" w:space="0" w:color="auto"/>
              <w:left w:val="single" w:sz="8" w:space="0" w:color="auto"/>
              <w:bottom w:val="single" w:sz="8" w:space="0" w:color="auto"/>
              <w:right w:val="single" w:sz="8" w:space="0" w:color="auto"/>
            </w:tcBorders>
          </w:tcPr>
          <w:p w14:paraId="190A52D9" w14:textId="4B0CEFB4" w:rsidR="6978AB31" w:rsidRDefault="6978AB31" w:rsidP="6978AB31">
            <w:pPr>
              <w:jc w:val="both"/>
            </w:pPr>
            <w:r w:rsidRPr="6978AB31">
              <w:rPr>
                <w:rFonts w:ascii="Arial" w:eastAsia="Arial" w:hAnsi="Arial" w:cs="Arial"/>
                <w:b/>
                <w:bCs/>
              </w:rPr>
              <w:t>May 2022</w:t>
            </w:r>
          </w:p>
        </w:tc>
      </w:tr>
      <w:tr w:rsidR="6978AB31" w14:paraId="029D46D2" w14:textId="77777777" w:rsidTr="6978AB31">
        <w:trPr>
          <w:trHeight w:val="276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31E0B6A" w14:textId="2E460516" w:rsidR="6978AB31" w:rsidRDefault="6978AB31" w:rsidP="6978AB31">
            <w:pPr>
              <w:jc w:val="both"/>
            </w:pPr>
            <w:r w:rsidRPr="6978AB31">
              <w:rPr>
                <w:rFonts w:ascii="Arial" w:eastAsia="Arial" w:hAnsi="Arial" w:cs="Arial"/>
                <w:b/>
                <w:bCs/>
                <w:color w:val="000000" w:themeColor="text1"/>
              </w:rPr>
              <w:t>Submission method:</w:t>
            </w:r>
          </w:p>
        </w:tc>
        <w:tc>
          <w:tcPr>
            <w:tcW w:w="6717" w:type="dxa"/>
            <w:gridSpan w:val="3"/>
            <w:tcBorders>
              <w:top w:val="single" w:sz="8" w:space="0" w:color="auto"/>
              <w:left w:val="single" w:sz="8" w:space="0" w:color="auto"/>
              <w:bottom w:val="single" w:sz="8" w:space="0" w:color="auto"/>
              <w:right w:val="single" w:sz="8" w:space="0" w:color="auto"/>
            </w:tcBorders>
          </w:tcPr>
          <w:p w14:paraId="5F3D7AFA" w14:textId="74F301FC" w:rsidR="6978AB31" w:rsidRDefault="6978AB31">
            <w:r w:rsidRPr="6978AB31">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688FA8" w14:textId="5702537F" w:rsidR="6978AB31" w:rsidRDefault="6978AB31" w:rsidP="6978AB31">
            <w:pPr>
              <w:jc w:val="both"/>
            </w:pPr>
            <w:r w:rsidRPr="6978AB31">
              <w:rPr>
                <w:rFonts w:ascii="Arial" w:eastAsia="Arial" w:hAnsi="Arial" w:cs="Arial"/>
                <w:b/>
                <w:bCs/>
              </w:rPr>
              <w:t xml:space="preserve">Alternative submission method (if applicable): </w:t>
            </w:r>
          </w:p>
          <w:p w14:paraId="07FCCCFE" w14:textId="2D5911E8" w:rsidR="6978AB31" w:rsidRDefault="6978AB31" w:rsidP="6978AB31">
            <w:pPr>
              <w:jc w:val="both"/>
            </w:pPr>
            <w:r w:rsidRPr="6978AB31">
              <w:rPr>
                <w:rFonts w:ascii="Arial" w:eastAsia="Arial" w:hAnsi="Arial" w:cs="Arial"/>
                <w:b/>
                <w:bCs/>
              </w:rPr>
              <w:t xml:space="preserve">Late submission of the assessment will result in a late penalty mark.  </w:t>
            </w:r>
            <w:r w:rsidRPr="6978AB31">
              <w:rPr>
                <w:rFonts w:ascii="Arial" w:eastAsia="Arial" w:hAnsi="Arial" w:cs="Arial"/>
              </w:rPr>
              <w:t>Penalties for late submission: Up to one week late, maximum mark of 40%.  Over one week late, 0%.  Only the Extenuating Circumstances Panel may approve a change to submission dates.</w:t>
            </w:r>
          </w:p>
        </w:tc>
      </w:tr>
    </w:tbl>
    <w:p w14:paraId="112124F7" w14:textId="22106DF9" w:rsidR="6978AB31" w:rsidRDefault="6978AB31" w:rsidP="6978AB31"/>
    <w:p w14:paraId="7560B5B6" w14:textId="127C3A38" w:rsidR="6978AB31" w:rsidRDefault="6978AB31" w:rsidP="6978AB31">
      <w:pPr>
        <w:pStyle w:val="Heading1"/>
      </w:pPr>
    </w:p>
    <w:p w14:paraId="3661625A" w14:textId="657B59B0" w:rsidR="6978AB31" w:rsidRDefault="6978AB31" w:rsidP="6978AB31"/>
    <w:p w14:paraId="1DD8A134" w14:textId="081071AC" w:rsidR="6978AB31" w:rsidRDefault="6978AB31" w:rsidP="6978AB31"/>
    <w:p w14:paraId="492123B2" w14:textId="2947F605" w:rsidR="6978AB31" w:rsidRDefault="6978AB31" w:rsidP="6978AB31"/>
    <w:p w14:paraId="31CFCADA" w14:textId="7F6CC440" w:rsidR="6978AB31" w:rsidRDefault="6978AB31" w:rsidP="6978AB31"/>
    <w:p w14:paraId="3FEE21C3" w14:textId="51DDF5FC" w:rsidR="6978AB31" w:rsidRDefault="6978AB31" w:rsidP="6978AB31"/>
    <w:p w14:paraId="0CF966BD" w14:textId="75C42619" w:rsidR="6978AB31" w:rsidRDefault="6978AB31" w:rsidP="6978AB31"/>
    <w:p w14:paraId="35CF25D3" w14:textId="2E7AB007" w:rsidR="6978AB31" w:rsidRDefault="6978AB31" w:rsidP="6978AB31"/>
    <w:p w14:paraId="13AE02AB" w14:textId="6DE7BE0F" w:rsidR="6978AB31" w:rsidRDefault="6978AB31" w:rsidP="6978AB31"/>
    <w:p w14:paraId="1DC83D38" w14:textId="6C608BDE" w:rsidR="6978AB31" w:rsidRDefault="6978AB31" w:rsidP="6978AB31"/>
    <w:p w14:paraId="6193F350" w14:textId="7214498C" w:rsidR="6978AB31" w:rsidRDefault="6978AB31" w:rsidP="6978AB31"/>
    <w:p w14:paraId="02B8C99A" w14:textId="77777777" w:rsidR="00993A9B" w:rsidRDefault="0014671E">
      <w:pPr>
        <w:pStyle w:val="Heading1"/>
      </w:pPr>
      <w:bookmarkStart w:id="0" w:name="_Hlk100031692"/>
      <w:r>
        <w:lastRenderedPageBreak/>
        <w:t>Consider the impact of the COVID-19 pandemic and subsequent measures on the elderly population of the UK.</w:t>
      </w:r>
    </w:p>
    <w:p w14:paraId="061AD9FD" w14:textId="77777777" w:rsidR="00993A9B" w:rsidRDefault="00993A9B"/>
    <w:p w14:paraId="4F296580" w14:textId="17710376" w:rsidR="00993A9B" w:rsidRDefault="6978AB31" w:rsidP="6978AB31">
      <w:pPr>
        <w:spacing w:line="360" w:lineRule="auto"/>
        <w:jc w:val="both"/>
        <w:rPr>
          <w:rFonts w:ascii="Arial" w:hAnsi="Arial" w:cs="Arial"/>
        </w:rPr>
      </w:pPr>
      <w:r w:rsidRPr="6978AB31">
        <w:rPr>
          <w:rFonts w:ascii="Arial" w:hAnsi="Arial" w:cs="Arial"/>
        </w:rPr>
        <w:t>This essay will explore what it means to be an older person in the modern day in the United Kingdom, the development of the senior population, and the challenges that older adults may meet. The emphasis will therefore extend to the COVID-19 pandemic, its accompanying limitations, and the impact on the elderly</w:t>
      </w:r>
      <w:bookmarkStart w:id="1" w:name="_Hlk101010160"/>
      <w:r w:rsidRPr="6978AB31">
        <w:rPr>
          <w:rFonts w:ascii="Arial" w:hAnsi="Arial" w:cs="Arial"/>
        </w:rPr>
        <w:t>. Age-related theories and concepts will be explored, including sociological theories such as Disengagement, Continuity, Person-Environment Fit Theory, and the Age Stratification Theory, as well as physiologic theories like Maslow's Hierarchy of Human Needs.</w:t>
      </w:r>
    </w:p>
    <w:bookmarkEnd w:id="1"/>
    <w:p w14:paraId="0227BEE1" w14:textId="77777777" w:rsidR="00993A9B" w:rsidRDefault="0014671E" w:rsidP="6978AB31">
      <w:pPr>
        <w:spacing w:line="360" w:lineRule="auto"/>
        <w:jc w:val="both"/>
        <w:rPr>
          <w:rFonts w:ascii="Arial" w:hAnsi="Arial" w:cs="Arial"/>
        </w:rPr>
      </w:pPr>
      <w:r w:rsidRPr="6978AB31">
        <w:rPr>
          <w:rFonts w:ascii="Arial" w:hAnsi="Arial" w:cs="Arial"/>
        </w:rPr>
        <w:t xml:space="preserve">No one can deny that ageing is a natural aspect of life. Aging patterns are variable among the elderly. According to </w:t>
      </w:r>
      <w:r w:rsidRPr="6978AB31">
        <w:rPr>
          <w:rFonts w:ascii="Arial" w:hAnsi="Arial" w:cs="Arial"/>
          <w:color w:val="000000"/>
          <w:shd w:val="clear" w:color="auto" w:fill="FFFFFF"/>
        </w:rPr>
        <w:t>Hofer and Sliwinski, (2001)</w:t>
      </w:r>
      <w:r w:rsidRPr="6978AB31">
        <w:rPr>
          <w:rFonts w:ascii="Arial" w:hAnsi="Arial" w:cs="Arial"/>
        </w:rPr>
        <w:t xml:space="preserve"> the typical ageing process includes some changes, although no two people age the same. </w:t>
      </w:r>
    </w:p>
    <w:p w14:paraId="49D26AB2" w14:textId="77777777" w:rsidR="00993A9B" w:rsidRDefault="0014671E" w:rsidP="6978AB31">
      <w:pPr>
        <w:suppressAutoHyphens w:val="0"/>
        <w:spacing w:after="0" w:line="360" w:lineRule="auto"/>
        <w:jc w:val="both"/>
        <w:rPr>
          <w:rFonts w:ascii="Arial" w:eastAsia="Times New Roman" w:hAnsi="Arial" w:cs="Arial"/>
          <w:shd w:val="clear" w:color="auto" w:fill="FFFFFF"/>
          <w:lang w:eastAsia="en-GB"/>
        </w:rPr>
      </w:pPr>
      <w:r w:rsidRPr="6978AB31">
        <w:rPr>
          <w:rFonts w:ascii="Arial" w:eastAsia="Times New Roman" w:hAnsi="Arial" w:cs="Arial"/>
          <w:shd w:val="clear" w:color="auto" w:fill="FFFFFF"/>
          <w:lang w:eastAsia="en-GB"/>
        </w:rPr>
        <w:t>According to Age UK (2017), age discrimination is pervasive and tends to </w:t>
      </w:r>
    </w:p>
    <w:p w14:paraId="285407E8" w14:textId="599FCBC3" w:rsidR="00993A9B" w:rsidRDefault="0014671E" w:rsidP="6978AB31">
      <w:pPr>
        <w:spacing w:line="360" w:lineRule="auto"/>
        <w:jc w:val="both"/>
        <w:rPr>
          <w:rFonts w:ascii="Arial" w:eastAsia="Times New Roman" w:hAnsi="Arial" w:cs="Arial"/>
          <w:lang w:eastAsia="en-GB"/>
        </w:rPr>
      </w:pPr>
      <w:r w:rsidRPr="6978AB31">
        <w:rPr>
          <w:rFonts w:ascii="Arial" w:eastAsia="Times New Roman" w:hAnsi="Arial" w:cs="Arial"/>
          <w:shd w:val="clear" w:color="auto" w:fill="FFFFFF"/>
          <w:lang w:eastAsia="en-GB"/>
        </w:rPr>
        <w:t>damage our communities, particularly in areas like healthcare, social services, as well as the offering of either a comprehensive range of goods or services. </w:t>
      </w:r>
      <w:r w:rsidRPr="6978AB31">
        <w:rPr>
          <w:rFonts w:ascii="Arial" w:hAnsi="Arial" w:cs="Arial"/>
        </w:rPr>
        <w:t>Older adults are more likely than others to write down that age discrimination occurs in everyday life, with 53% reporting that others "approach you like a young child" when individuals reach an incredibly old age</w:t>
      </w:r>
      <w:r w:rsidRPr="6978AB31">
        <w:rPr>
          <w:rFonts w:ascii="Arial" w:eastAsia="Times New Roman" w:hAnsi="Arial" w:cs="Arial"/>
          <w:shd w:val="clear" w:color="auto" w:fill="FFFFFF"/>
          <w:lang w:eastAsia="en-GB"/>
        </w:rPr>
        <w:t xml:space="preserve"> (Age Concern &amp; Help the Aged, 2009).</w:t>
      </w:r>
    </w:p>
    <w:p w14:paraId="3AC02693" w14:textId="77777777" w:rsidR="00993A9B" w:rsidRDefault="0014671E" w:rsidP="6978AB31">
      <w:pPr>
        <w:suppressAutoHyphens w:val="0"/>
        <w:spacing w:before="100" w:after="100" w:line="360" w:lineRule="auto"/>
        <w:jc w:val="both"/>
        <w:rPr>
          <w:rFonts w:ascii="Arial" w:hAnsi="Arial" w:cs="Arial"/>
          <w:color w:val="000000" w:themeColor="text1"/>
        </w:rPr>
      </w:pPr>
      <w:bookmarkStart w:id="2" w:name="_Int_h4Bn8DFO"/>
      <w:r w:rsidRPr="6978AB31">
        <w:rPr>
          <w:rFonts w:ascii="Arial" w:hAnsi="Arial" w:cs="Arial"/>
          <w:color w:val="000000"/>
          <w:shd w:val="clear" w:color="auto" w:fill="FFFFFF"/>
        </w:rPr>
        <w:t>According to the classic concept of Rowe and Kahn (1997), successful ageing is defined as high physical, psychological, and social functioning in old age without major diseases.</w:t>
      </w:r>
      <w:bookmarkEnd w:id="2"/>
      <w:r w:rsidR="6978AB31" w:rsidRPr="6978AB31">
        <w:rPr>
          <w:rFonts w:ascii="Arial" w:hAnsi="Arial" w:cs="Arial"/>
          <w:color w:val="000000" w:themeColor="text1"/>
        </w:rPr>
        <w:t xml:space="preserve"> </w:t>
      </w:r>
    </w:p>
    <w:p w14:paraId="7894A054" w14:textId="4B469632" w:rsidR="00993A9B" w:rsidRDefault="0014671E" w:rsidP="6978AB31">
      <w:pPr>
        <w:spacing w:line="360" w:lineRule="auto"/>
        <w:jc w:val="both"/>
        <w:rPr>
          <w:rFonts w:ascii="Arial" w:hAnsi="Arial" w:cs="Arial"/>
          <w:color w:val="000000" w:themeColor="text1"/>
        </w:rPr>
      </w:pPr>
      <w:r w:rsidRPr="6978AB31">
        <w:rPr>
          <w:rFonts w:ascii="Arial" w:hAnsi="Arial" w:cs="Arial"/>
        </w:rPr>
        <w:t xml:space="preserve">In fact, ageism exists in the current society, with common phrases such as `I had a senior moment` still present. Ageism is unacceptable just as racism and sexism is, according to </w:t>
      </w:r>
      <w:r w:rsidRPr="6978AB31">
        <w:rPr>
          <w:rFonts w:ascii="Arial" w:hAnsi="Arial" w:cs="Arial"/>
          <w:color w:val="000000"/>
          <w:shd w:val="clear" w:color="auto" w:fill="FFFFFF"/>
        </w:rPr>
        <w:t xml:space="preserve">Gendron, </w:t>
      </w:r>
      <w:r w:rsidRPr="6978AB31">
        <w:rPr>
          <w:rFonts w:ascii="Arial" w:hAnsi="Arial" w:cs="Arial"/>
          <w:i/>
          <w:iCs/>
          <w:color w:val="000000"/>
          <w:shd w:val="clear" w:color="auto" w:fill="FFFFFF"/>
        </w:rPr>
        <w:t>et al</w:t>
      </w:r>
      <w:r w:rsidRPr="6978AB31">
        <w:rPr>
          <w:rFonts w:ascii="Arial" w:hAnsi="Arial" w:cs="Arial"/>
          <w:color w:val="000000"/>
          <w:shd w:val="clear" w:color="auto" w:fill="FFFFFF"/>
        </w:rPr>
        <w:t xml:space="preserve"> (2015)</w:t>
      </w:r>
      <w:r w:rsidRPr="6978AB31">
        <w:rPr>
          <w:rFonts w:ascii="Arial" w:hAnsi="Arial" w:cs="Arial"/>
        </w:rPr>
        <w:t xml:space="preserve"> assumptions remain that older adults are believed to be or behave in a cohesive way</w:t>
      </w:r>
      <w:r w:rsidRPr="6978AB31">
        <w:rPr>
          <w:rFonts w:ascii="Arial" w:hAnsi="Arial" w:cs="Arial"/>
          <w:color w:val="000000"/>
          <w:shd w:val="clear" w:color="auto" w:fill="FFFFFF"/>
        </w:rPr>
        <w:t>.</w:t>
      </w:r>
    </w:p>
    <w:p w14:paraId="78D7A8EE" w14:textId="32AF9AF0" w:rsidR="00993A9B" w:rsidRDefault="0014671E" w:rsidP="6978AB31">
      <w:pPr>
        <w:spacing w:line="360" w:lineRule="auto"/>
        <w:jc w:val="both"/>
        <w:rPr>
          <w:rFonts w:ascii="Arial" w:hAnsi="Arial" w:cs="Arial"/>
          <w:color w:val="000000" w:themeColor="text1"/>
        </w:rPr>
      </w:pPr>
      <w:r w:rsidRPr="6978AB31">
        <w:rPr>
          <w:rFonts w:ascii="Arial" w:hAnsi="Arial" w:cs="Arial"/>
          <w:color w:val="202020"/>
          <w:shd w:val="clear" w:color="auto" w:fill="FFFFFF"/>
        </w:rPr>
        <w:t>Prior to the global pandemic, older adults experienced increased levels of loneliness (</w:t>
      </w:r>
      <w:r w:rsidRPr="6978AB31">
        <w:rPr>
          <w:rFonts w:ascii="Arial" w:hAnsi="Arial" w:cs="Arial"/>
          <w:color w:val="000000"/>
          <w:shd w:val="clear" w:color="auto" w:fill="FFFFFF"/>
        </w:rPr>
        <w:t>Dykstra, van Tilburg and Gierveld, 2005)</w:t>
      </w:r>
      <w:r w:rsidRPr="6978AB31">
        <w:rPr>
          <w:rFonts w:ascii="Arial" w:hAnsi="Arial" w:cs="Arial"/>
          <w:color w:val="202020"/>
          <w:shd w:val="clear" w:color="auto" w:fill="FFFFFF"/>
        </w:rPr>
        <w:t>.</w:t>
      </w:r>
      <w:r w:rsidRPr="6978AB31">
        <w:rPr>
          <w:rFonts w:ascii="Arial" w:hAnsi="Arial" w:cs="Arial"/>
        </w:rPr>
        <w:t xml:space="preserve"> </w:t>
      </w:r>
      <w:r w:rsidRPr="6978AB31">
        <w:rPr>
          <w:rFonts w:ascii="Arial" w:hAnsi="Arial" w:cs="Arial"/>
          <w:color w:val="202020"/>
          <w:shd w:val="clear" w:color="auto" w:fill="FFFFFF"/>
        </w:rPr>
        <w:t xml:space="preserve">However, during the pandemic, loneliness increased for older individuals as a result of social isolation. Older individuals in the United Kingdom experienced a comprehensive range of issues as a result of COVID-19, including financial hardship, housing difficulties, health-care issues, abuse, loneliness, and so on. Age UK (2020) reveals that COVID-19 actually served to worsen the problem for most of those older people who were already struggling to escape abusive relationships </w:t>
      </w:r>
      <w:r w:rsidRPr="6978AB31">
        <w:rPr>
          <w:rFonts w:ascii="Arial" w:hAnsi="Arial" w:cs="Arial"/>
          <w:color w:val="000000"/>
          <w:shd w:val="clear" w:color="auto" w:fill="FFFFFF"/>
        </w:rPr>
        <w:t>(Armitage and Nellums, 2020).</w:t>
      </w:r>
    </w:p>
    <w:p w14:paraId="04789A64" w14:textId="77777777" w:rsidR="00993A9B" w:rsidRDefault="0014671E" w:rsidP="6978AB31">
      <w:pPr>
        <w:spacing w:line="360" w:lineRule="auto"/>
        <w:jc w:val="both"/>
        <w:rPr>
          <w:rFonts w:ascii="Arial" w:hAnsi="Arial" w:cs="Arial"/>
          <w:color w:val="202020"/>
          <w:shd w:val="clear" w:color="auto" w:fill="FFFFFF"/>
        </w:rPr>
      </w:pPr>
      <w:r w:rsidRPr="6978AB31">
        <w:rPr>
          <w:rFonts w:ascii="Arial" w:hAnsi="Arial" w:cs="Arial"/>
          <w:color w:val="202020"/>
          <w:shd w:val="clear" w:color="auto" w:fill="FFFFFF"/>
        </w:rPr>
        <w:t xml:space="preserve">According to the National Institute on Aging (2020), abuse can occur to any older adult, but is more prevalent among people who are dependent upon assistance to perform daily tasks </w:t>
      </w:r>
      <w:r w:rsidRPr="6978AB31">
        <w:rPr>
          <w:rFonts w:ascii="Arial" w:hAnsi="Arial" w:cs="Arial"/>
          <w:color w:val="202020"/>
          <w:shd w:val="clear" w:color="auto" w:fill="FFFFFF"/>
        </w:rPr>
        <w:lastRenderedPageBreak/>
        <w:t>including washing, clothing, and taking medication. Physically weak individuals may often appear to be easy targets.</w:t>
      </w:r>
    </w:p>
    <w:p w14:paraId="21C79F69" w14:textId="75564AEC" w:rsidR="00993A9B" w:rsidRDefault="0014671E" w:rsidP="6978AB31">
      <w:pPr>
        <w:spacing w:line="360" w:lineRule="auto"/>
        <w:jc w:val="both"/>
        <w:rPr>
          <w:rFonts w:ascii="Arial" w:hAnsi="Arial" w:cs="Arial"/>
          <w:color w:val="202020"/>
        </w:rPr>
      </w:pPr>
      <w:r w:rsidRPr="6978AB31">
        <w:rPr>
          <w:rFonts w:ascii="Arial" w:hAnsi="Arial" w:cs="Arial"/>
          <w:color w:val="202020"/>
          <w:shd w:val="clear" w:color="auto" w:fill="FFFFFF"/>
        </w:rPr>
        <w:t xml:space="preserve">Taylor (2019) and Taylor </w:t>
      </w:r>
      <w:r w:rsidRPr="6978AB31">
        <w:rPr>
          <w:rFonts w:ascii="Arial" w:hAnsi="Arial" w:cs="Arial"/>
          <w:i/>
          <w:iCs/>
          <w:color w:val="202020"/>
          <w:shd w:val="clear" w:color="auto" w:fill="FFFFFF"/>
        </w:rPr>
        <w:t>et al</w:t>
      </w:r>
      <w:r w:rsidRPr="6978AB31">
        <w:rPr>
          <w:rFonts w:ascii="Arial" w:hAnsi="Arial" w:cs="Arial"/>
          <w:color w:val="202020"/>
          <w:shd w:val="clear" w:color="auto" w:fill="FFFFFF"/>
        </w:rPr>
        <w:t>., (2020) suggest that the pandemic and lockdown fear has further risen in older adults in a variety of ways, including dread of infection, fear about coming into contact with potentially infected things, fear of immigrants who may send the virus, and fear of the pandemic's socioeconomic consequences. Old people are afraid of financial issues as well, as Crawford</w:t>
      </w:r>
      <w:r w:rsidRPr="6978AB31">
        <w:rPr>
          <w:rFonts w:ascii="Arial" w:hAnsi="Arial" w:cs="Arial"/>
        </w:rPr>
        <w:t xml:space="preserve"> and Karjalainen (2020)</w:t>
      </w:r>
      <w:r w:rsidRPr="6978AB31">
        <w:rPr>
          <w:rFonts w:ascii="Arial" w:hAnsi="Arial" w:cs="Arial"/>
          <w:color w:val="202020"/>
          <w:shd w:val="clear" w:color="auto" w:fill="FFFFFF"/>
        </w:rPr>
        <w:t xml:space="preserve"> highlighted that the elderly was particularly affected by the pandemic, including individuals who were barely surviving or struggling to make ends meet prior to the COVID-19 outbreak. Consequently, worsening fears about the future impact on the financial inequalities.</w:t>
      </w:r>
    </w:p>
    <w:p w14:paraId="023B31A6" w14:textId="05603AA0" w:rsidR="00993A9B" w:rsidRDefault="6978AB31" w:rsidP="6978AB31">
      <w:pPr>
        <w:spacing w:line="360" w:lineRule="auto"/>
        <w:jc w:val="both"/>
        <w:rPr>
          <w:rFonts w:ascii="Arial" w:hAnsi="Arial" w:cs="Arial"/>
        </w:rPr>
      </w:pPr>
      <w:r w:rsidRPr="6978AB31">
        <w:rPr>
          <w:rFonts w:ascii="Arial" w:hAnsi="Arial" w:cs="Arial"/>
        </w:rPr>
        <w:t xml:space="preserve">People have the possibility of a `DNR` (do not resuscitate), which indicates that in case of a heart attack or when terminally ill, CPR should be refrained from being performed. However, during the COVID-19 pandemic, this policy was exploited, and a large number of elderly people died. This resulted in The Care Quality Commission (2020) stating during a government-commissioned investigation that past non-resuscitation judgments were made "inappropriately" during this period. </w:t>
      </w:r>
      <w:r w:rsidRPr="6978AB31">
        <w:rPr>
          <w:rFonts w:ascii="Arial" w:eastAsia="Times New Roman" w:hAnsi="Arial" w:cs="Arial"/>
          <w:color w:val="000000" w:themeColor="text1"/>
          <w:lang w:eastAsia="en-GB"/>
        </w:rPr>
        <w:t xml:space="preserve">Dyer, (2021) highlighted that </w:t>
      </w:r>
      <w:r w:rsidRPr="6978AB31">
        <w:rPr>
          <w:rFonts w:ascii="Arial" w:hAnsi="Arial" w:cs="Arial"/>
        </w:rPr>
        <w:t>according to the Department of Health and Social Care in England, "do not attempt cardiopulmonary resuscitation" (DNACPR) decisions were imposed on some populations, such as those living in care homes, and some individuals having DNACPR decisions implemented were unaware of them. The CQC (2020) emphasised that decisions to refrain from performing CPR should be undertaken in consultation with the patient or family member if the individual lacks capacity.</w:t>
      </w:r>
    </w:p>
    <w:p w14:paraId="33EC711E" w14:textId="77777777" w:rsidR="00993A9B" w:rsidRDefault="6978AB31" w:rsidP="6978AB31">
      <w:pPr>
        <w:spacing w:line="360" w:lineRule="auto"/>
        <w:jc w:val="both"/>
        <w:rPr>
          <w:rFonts w:ascii="Arial" w:hAnsi="Arial" w:cs="Arial"/>
        </w:rPr>
      </w:pPr>
      <w:r w:rsidRPr="6978AB31">
        <w:rPr>
          <w:rFonts w:ascii="Arial" w:hAnsi="Arial" w:cs="Arial"/>
        </w:rPr>
        <w:t>Although physicians can make DNACPR judgments, if such choices did not necessarily respect people's rights to life, they could be in violation of Article 2 of the Human Rights Act. For instance, when an individual's heart has stopped, a DNACPR decision has to be made without their permission. Non-consultation with the individual or their family involves a breach of Article 8 of the European Convention on Human Rights, which ensures a human right to privacy and dignity.</w:t>
      </w:r>
    </w:p>
    <w:p w14:paraId="10BC4E24" w14:textId="77777777" w:rsidR="00993A9B" w:rsidRDefault="6978AB31" w:rsidP="6978AB31">
      <w:pPr>
        <w:spacing w:line="360" w:lineRule="auto"/>
        <w:jc w:val="both"/>
        <w:rPr>
          <w:rFonts w:ascii="Arial" w:hAnsi="Arial" w:cs="Arial"/>
        </w:rPr>
      </w:pPr>
      <w:r w:rsidRPr="6978AB31">
        <w:rPr>
          <w:rFonts w:ascii="Arial" w:hAnsi="Arial" w:cs="Arial"/>
        </w:rPr>
        <w:t>The CQC (2020) reported that after they expressed reservations regarding an excessive number of DNR cases during the COVID-19 pandemic, they received a flood of feedback regarding this. It was reported that an on-call doctor instructed care home staff that if old residents caught COVID-19, they would need to have a DNACPR. Others reported doctors who refused to visit a nursing home because two people had died from COVID-19. Caregivers were encouraged to make untrained assessments, as well as all residents receiving DNACPR.</w:t>
      </w:r>
      <w:bookmarkEnd w:id="0"/>
    </w:p>
    <w:p w14:paraId="230E7513" w14:textId="77777777" w:rsidR="00993A9B" w:rsidRDefault="6978AB31" w:rsidP="6978AB31">
      <w:pPr>
        <w:spacing w:line="360" w:lineRule="auto"/>
        <w:jc w:val="both"/>
        <w:rPr>
          <w:rFonts w:ascii="Arial" w:hAnsi="Arial" w:cs="Arial"/>
        </w:rPr>
      </w:pPr>
      <w:r w:rsidRPr="6978AB31">
        <w:rPr>
          <w:rFonts w:ascii="Arial" w:hAnsi="Arial" w:cs="Arial"/>
        </w:rPr>
        <w:t xml:space="preserve">According to Ehnia &amp; Wahl and Previtali </w:t>
      </w:r>
      <w:r w:rsidRPr="6978AB31">
        <w:rPr>
          <w:rFonts w:ascii="Arial" w:hAnsi="Arial" w:cs="Arial"/>
          <w:i/>
          <w:iCs/>
        </w:rPr>
        <w:t>et al.,</w:t>
      </w:r>
      <w:r w:rsidRPr="6978AB31">
        <w:rPr>
          <w:rFonts w:ascii="Arial" w:hAnsi="Arial" w:cs="Arial"/>
        </w:rPr>
        <w:t xml:space="preserve"> (2020), the disproportionate impact of the COVID-19 pandemic on older adults exposed several characteristics of ageism. Even at the </w:t>
      </w:r>
      <w:r w:rsidRPr="6978AB31">
        <w:rPr>
          <w:rFonts w:ascii="Arial" w:hAnsi="Arial" w:cs="Arial"/>
        </w:rPr>
        <w:lastRenderedPageBreak/>
        <w:t>most significant, this revealed age discrimination has manifested itself through language, as well as legislative policies that devalue the lives of older adults in comparison to other age groups when trying to resolve and allocate funds.</w:t>
      </w:r>
    </w:p>
    <w:p w14:paraId="7CAE2401" w14:textId="77C64B2D" w:rsidR="00993A9B" w:rsidRDefault="6978AB31" w:rsidP="6978AB31">
      <w:pPr>
        <w:spacing w:line="360" w:lineRule="auto"/>
        <w:jc w:val="both"/>
        <w:rPr>
          <w:rFonts w:ascii="Arial" w:hAnsi="Arial" w:cs="Arial"/>
        </w:rPr>
      </w:pPr>
      <w:r w:rsidRPr="6978AB31">
        <w:rPr>
          <w:rFonts w:ascii="Arial" w:hAnsi="Arial" w:cs="Arial"/>
        </w:rPr>
        <w:t>During most of the COVID-19 pandemic, enforced community stay-at-home announcements, social distancing rules, and attendance limitations in long-term care institutions contributed to a parallel epidemic of social isolation and loneliness among older individuals. Loneliness and social alienation have a slew of detrimental aspects. These include a deterioration in mental and physical health, a rise in physiological anguish, as well as behavioural issues, and even an increase of moral relativism. It also indicates that the pandemic impacted upon   previously elevated levels of social isolation among older persons, primarily within particular groups, such as the elderly who are unmarried and residents of long-term care institutions (Donovan &amp; Blazer, 2020; Simard &amp; Volicer, 2020).</w:t>
      </w:r>
    </w:p>
    <w:p w14:paraId="3FA82CDB" w14:textId="77777777" w:rsidR="00993A9B" w:rsidRDefault="0014671E" w:rsidP="6978AB31">
      <w:pPr>
        <w:spacing w:line="360" w:lineRule="auto"/>
        <w:jc w:val="both"/>
        <w:rPr>
          <w:rFonts w:ascii="Arial" w:eastAsia="+mn-ea" w:hAnsi="Arial" w:cs="Arial"/>
          <w:color w:val="000000" w:themeColor="text1"/>
        </w:rPr>
      </w:pPr>
      <w:r w:rsidRPr="6978AB31">
        <w:rPr>
          <w:rFonts w:ascii="Arial" w:hAnsi="Arial" w:cs="Arial"/>
        </w:rPr>
        <w:t xml:space="preserve">Gorenko </w:t>
      </w:r>
      <w:r w:rsidRPr="6978AB31">
        <w:rPr>
          <w:rFonts w:ascii="Arial" w:hAnsi="Arial" w:cs="Arial"/>
          <w:i/>
          <w:iCs/>
        </w:rPr>
        <w:t>et al.,</w:t>
      </w:r>
      <w:r w:rsidRPr="6978AB31">
        <w:rPr>
          <w:rFonts w:ascii="Arial" w:hAnsi="Arial" w:cs="Arial"/>
        </w:rPr>
        <w:t xml:space="preserve"> (2021) identified that these include declines in mental health and physical functioning, an upsurge into psychological discomfort, behavioural issues, and heightened mortality risks, particularly for those with cognitive deficits.</w:t>
      </w:r>
      <w:r w:rsidRPr="6978AB31">
        <w:rPr>
          <w:rFonts w:ascii="Arial" w:eastAsia="+mn-ea" w:hAnsi="Arial" w:cs="Arial"/>
          <w:color w:val="000000"/>
          <w:kern w:val="3"/>
        </w:rPr>
        <w:t xml:space="preserve"> Sutin et al. (2018) reported that loneliness and isolation can increase the risk of dementia by 40%.</w:t>
      </w:r>
    </w:p>
    <w:p w14:paraId="31CD9604" w14:textId="77777777" w:rsidR="00993A9B" w:rsidRDefault="6978AB31" w:rsidP="6978AB31">
      <w:pPr>
        <w:spacing w:line="360" w:lineRule="auto"/>
        <w:jc w:val="both"/>
        <w:rPr>
          <w:rFonts w:ascii="Arial" w:hAnsi="Arial" w:cs="Arial"/>
        </w:rPr>
      </w:pPr>
      <w:r w:rsidRPr="6978AB31">
        <w:rPr>
          <w:rFonts w:ascii="Arial" w:hAnsi="Arial" w:cs="Arial"/>
        </w:rPr>
        <w:t>The demographic of the United Kingdom has been progressively becoming older during the last decades of the twentieth century. Sumner (1968) emphasised how the factual information covers a variety of characteristics of older people's lives, including the amount of illness and disability, relationships with family members, the working age population engagement, and financial resources. Additionally, this includes information about the elderly's attitudes on illness and retirement.</w:t>
      </w:r>
    </w:p>
    <w:p w14:paraId="3700E3BB" w14:textId="77777777" w:rsidR="00993A9B" w:rsidRDefault="0014671E" w:rsidP="6978AB31">
      <w:pPr>
        <w:spacing w:line="360" w:lineRule="auto"/>
        <w:jc w:val="both"/>
        <w:rPr>
          <w:rFonts w:ascii="Arial" w:hAnsi="Arial" w:cs="Arial"/>
        </w:rPr>
      </w:pPr>
      <w:r w:rsidRPr="6978AB31">
        <w:rPr>
          <w:rFonts w:ascii="Arial" w:hAnsi="Arial" w:cs="Arial"/>
        </w:rPr>
        <w:t xml:space="preserve">According to </w:t>
      </w:r>
      <w:r w:rsidRPr="6978AB31">
        <w:rPr>
          <w:rFonts w:ascii="Arial" w:hAnsi="Arial" w:cs="Arial"/>
          <w:color w:val="000000"/>
          <w:shd w:val="clear" w:color="auto" w:fill="FFFFFF"/>
        </w:rPr>
        <w:t xml:space="preserve">Aburto </w:t>
      </w:r>
      <w:r w:rsidRPr="6978AB31">
        <w:rPr>
          <w:rFonts w:ascii="Arial" w:hAnsi="Arial" w:cs="Arial"/>
          <w:i/>
          <w:iCs/>
          <w:color w:val="000000"/>
          <w:shd w:val="clear" w:color="auto" w:fill="FFFFFF"/>
        </w:rPr>
        <w:t>et al.,</w:t>
      </w:r>
      <w:r w:rsidRPr="6978AB31">
        <w:rPr>
          <w:rFonts w:ascii="Arial" w:hAnsi="Arial" w:cs="Arial"/>
          <w:color w:val="000000"/>
          <w:shd w:val="clear" w:color="auto" w:fill="FFFFFF"/>
        </w:rPr>
        <w:t xml:space="preserve"> (2020)</w:t>
      </w:r>
      <w:r w:rsidRPr="6978AB31">
        <w:rPr>
          <w:rFonts w:ascii="Arial" w:hAnsi="Arial" w:cs="Arial"/>
        </w:rPr>
        <w:t xml:space="preserve"> two main reasons significantly affect our demographic's shift and ageing structure. one of the reasons is a higher life expectancy, which implies that people are living much longer, becoming much older. Moreover, individuals are having fewer children and also having them later on in life.</w:t>
      </w:r>
    </w:p>
    <w:p w14:paraId="382D5354" w14:textId="77777777" w:rsidR="00993A9B" w:rsidRDefault="0014671E" w:rsidP="6978AB31">
      <w:pPr>
        <w:spacing w:line="360" w:lineRule="auto"/>
        <w:jc w:val="both"/>
        <w:rPr>
          <w:rFonts w:ascii="Arial" w:hAnsi="Arial" w:cs="Arial"/>
        </w:rPr>
      </w:pPr>
      <w:r w:rsidRPr="6978AB31">
        <w:rPr>
          <w:rFonts w:ascii="Arial" w:hAnsi="Arial" w:cs="Arial"/>
          <w:color w:val="222222"/>
          <w:shd w:val="clear" w:color="auto" w:fill="FFFFFF"/>
        </w:rPr>
        <w:t>Alcover</w:t>
      </w:r>
      <w:r w:rsidRPr="6978AB31">
        <w:rPr>
          <w:rFonts w:ascii="Arial" w:hAnsi="Arial" w:cs="Arial"/>
        </w:rPr>
        <w:t xml:space="preserve"> </w:t>
      </w:r>
      <w:r w:rsidRPr="6978AB31">
        <w:rPr>
          <w:rFonts w:ascii="Arial" w:hAnsi="Arial" w:cs="Arial"/>
          <w:i/>
          <w:iCs/>
        </w:rPr>
        <w:t>et al</w:t>
      </w:r>
      <w:r w:rsidRPr="6978AB31">
        <w:rPr>
          <w:rFonts w:ascii="Arial" w:hAnsi="Arial" w:cs="Arial"/>
        </w:rPr>
        <w:t>., (2021) emphasised that one element which impacts the employment and productivity of older employees includes their general health. It is possible for an elderly person's health to deteriorate as a result of doing particular jobs. When working long shifts for example, exhaustion as well as mental fatigue could develop. Myerson (2010) has argued that aspects of age-related physical and cognitive decline are partly a function of the working environment. Furthermore, he suggests that workplace modifications can compensate for many changes and impairments associated with age.</w:t>
      </w:r>
    </w:p>
    <w:p w14:paraId="3DE2818D" w14:textId="77777777" w:rsidR="00993A9B" w:rsidRDefault="6978AB31" w:rsidP="6978AB31">
      <w:pPr>
        <w:spacing w:line="360" w:lineRule="auto"/>
        <w:jc w:val="both"/>
        <w:rPr>
          <w:rFonts w:ascii="Arial" w:hAnsi="Arial" w:cs="Arial"/>
        </w:rPr>
      </w:pPr>
      <w:r w:rsidRPr="6978AB31">
        <w:rPr>
          <w:rFonts w:ascii="Arial" w:hAnsi="Arial" w:cs="Arial"/>
        </w:rPr>
        <w:lastRenderedPageBreak/>
        <w:t xml:space="preserve">Clancy </w:t>
      </w:r>
      <w:r w:rsidRPr="6978AB31">
        <w:rPr>
          <w:rFonts w:ascii="Arial" w:hAnsi="Arial" w:cs="Arial"/>
          <w:i/>
          <w:iCs/>
        </w:rPr>
        <w:t>et al.,</w:t>
      </w:r>
      <w:r w:rsidRPr="6978AB31">
        <w:rPr>
          <w:rFonts w:ascii="Arial" w:hAnsi="Arial" w:cs="Arial"/>
        </w:rPr>
        <w:t xml:space="preserve"> (2021) explained the fear of older adults losing their independence and dignity as individuals get older and require assistance with dressing or everyday activities often becomes significantly larger than their fear of death.</w:t>
      </w:r>
    </w:p>
    <w:p w14:paraId="3590D55D" w14:textId="77777777" w:rsidR="00993A9B" w:rsidRDefault="0014671E" w:rsidP="6978AB31">
      <w:pPr>
        <w:spacing w:line="360" w:lineRule="auto"/>
        <w:jc w:val="both"/>
        <w:rPr>
          <w:rFonts w:ascii="Arial" w:hAnsi="Arial" w:cs="Arial"/>
        </w:rPr>
      </w:pPr>
      <w:r w:rsidRPr="6978AB31">
        <w:rPr>
          <w:rFonts w:ascii="Arial" w:hAnsi="Arial" w:cs="Arial"/>
        </w:rPr>
        <w:t xml:space="preserve">People are often concerned about the global spread of the COVID-19 disease, which has caused a widespread social health and clinical crisis. COVID-19 proved to be a major potential threat for older adults, particularly those with multiple health conditions. According to </w:t>
      </w:r>
      <w:r w:rsidRPr="6978AB31">
        <w:rPr>
          <w:rFonts w:ascii="Arial" w:hAnsi="Arial" w:cs="Arial"/>
          <w:color w:val="000000"/>
          <w:shd w:val="clear" w:color="auto" w:fill="FFFFFF"/>
        </w:rPr>
        <w:t>European Centre for Disease Prevention and Control, (2020)</w:t>
      </w:r>
      <w:r w:rsidRPr="6978AB31">
        <w:rPr>
          <w:rFonts w:ascii="Arial" w:hAnsi="Arial" w:cs="Arial"/>
          <w:color w:val="FF0000"/>
        </w:rPr>
        <w:t xml:space="preserve"> </w:t>
      </w:r>
      <w:r w:rsidRPr="6978AB31">
        <w:rPr>
          <w:rFonts w:ascii="Arial" w:hAnsi="Arial" w:cs="Arial"/>
        </w:rPr>
        <w:t>COVID-19 infections have been reported lately in both community-dwelling older adults and those residing in nursing homes, residential care institutions, and other congregate living settings.</w:t>
      </w:r>
    </w:p>
    <w:p w14:paraId="10563425" w14:textId="77777777" w:rsidR="00993A9B" w:rsidRDefault="0014671E" w:rsidP="6978AB31">
      <w:pPr>
        <w:spacing w:line="360" w:lineRule="auto"/>
        <w:jc w:val="both"/>
        <w:rPr>
          <w:rFonts w:ascii="Arial" w:hAnsi="Arial" w:cs="Arial"/>
          <w:color w:val="000000" w:themeColor="text1"/>
        </w:rPr>
      </w:pPr>
      <w:bookmarkStart w:id="3" w:name="_Hlk100039370"/>
      <w:r w:rsidRPr="6978AB31">
        <w:rPr>
          <w:rFonts w:ascii="Arial" w:hAnsi="Arial" w:cs="Arial"/>
          <w:color w:val="000000"/>
          <w:shd w:val="clear" w:color="auto" w:fill="FFFFFF"/>
        </w:rPr>
        <w:t xml:space="preserve">The COVID-19 pandemic had a wide range of effects on elderly persons, and each element was different. Caycho-Rodríguez </w:t>
      </w:r>
      <w:r w:rsidRPr="6978AB31">
        <w:rPr>
          <w:rFonts w:ascii="Arial" w:hAnsi="Arial" w:cs="Arial"/>
          <w:i/>
          <w:iCs/>
          <w:color w:val="000000"/>
          <w:shd w:val="clear" w:color="auto" w:fill="FFFFFF"/>
        </w:rPr>
        <w:t>et al.,</w:t>
      </w:r>
      <w:r w:rsidRPr="6978AB31">
        <w:rPr>
          <w:rFonts w:ascii="Arial" w:hAnsi="Arial" w:cs="Arial"/>
          <w:color w:val="000000"/>
          <w:shd w:val="clear" w:color="auto" w:fill="FFFFFF"/>
        </w:rPr>
        <w:t xml:space="preserve"> (2021) highlighted that the fear of contracting the virus and fear of death were particularly prevalent among older people, owing to the fact that increased age is a risk factor for severe disease due to the compromised immune system function and the higher prevalence of risk conditions for severe COVID-19, such as hypertension, diabetes mellitus, cardiovascular disease, and respiratory disease.  According to Verity et al., (2020)</w:t>
      </w:r>
      <w:r w:rsidRPr="6978AB31">
        <w:rPr>
          <w:rFonts w:ascii="Arial" w:hAnsi="Arial" w:cs="Arial"/>
        </w:rPr>
        <w:t xml:space="preserve"> </w:t>
      </w:r>
      <w:r w:rsidRPr="6978AB31">
        <w:rPr>
          <w:rFonts w:ascii="Arial" w:hAnsi="Arial" w:cs="Arial"/>
          <w:color w:val="000000"/>
          <w:shd w:val="clear" w:color="auto" w:fill="FFFFFF"/>
        </w:rPr>
        <w:t>It was discovered that approximately 66 percent of people over the age of seventy suffer from at least one chronic medical condition.</w:t>
      </w:r>
    </w:p>
    <w:p w14:paraId="561B1D5F" w14:textId="77777777" w:rsidR="00993A9B" w:rsidRDefault="0014671E" w:rsidP="6978AB31">
      <w:pPr>
        <w:spacing w:line="360" w:lineRule="auto"/>
        <w:jc w:val="both"/>
        <w:rPr>
          <w:rFonts w:ascii="Arial" w:hAnsi="Arial" w:cs="Arial"/>
          <w:color w:val="2E2E2E"/>
        </w:rPr>
      </w:pPr>
      <w:r w:rsidRPr="6978AB31">
        <w:rPr>
          <w:rFonts w:ascii="Arial" w:hAnsi="Arial" w:cs="Arial"/>
          <w:color w:val="000000"/>
          <w:shd w:val="clear" w:color="auto" w:fill="FFFFFF"/>
        </w:rPr>
        <w:t>Applegate and Ouslander, (2020)</w:t>
      </w:r>
      <w:r w:rsidRPr="6978AB31">
        <w:rPr>
          <w:rFonts w:ascii="Arial" w:hAnsi="Arial" w:cs="Arial"/>
          <w:color w:val="2E2E2E"/>
        </w:rPr>
        <w:t xml:space="preserve"> reported that people over 65 years of age are the highest risk group to the severe COVID-19 illness, for the multimorbidity which is a common factor in this group that allows the rapid attack of the virus, therefore increasing mortality.</w:t>
      </w:r>
      <w:bookmarkEnd w:id="3"/>
    </w:p>
    <w:p w14:paraId="6942AC9C" w14:textId="77777777" w:rsidR="00993A9B" w:rsidRDefault="6978AB31" w:rsidP="6978AB31">
      <w:pPr>
        <w:spacing w:line="360" w:lineRule="auto"/>
        <w:jc w:val="both"/>
        <w:rPr>
          <w:rFonts w:ascii="Arial" w:hAnsi="Arial" w:cs="Arial"/>
        </w:rPr>
      </w:pPr>
      <w:bookmarkStart w:id="4" w:name="_Hlk100039846"/>
      <w:r w:rsidRPr="6978AB31">
        <w:rPr>
          <w:rFonts w:ascii="Arial" w:hAnsi="Arial" w:cs="Arial"/>
        </w:rPr>
        <w:t>In 2018, there were 541,589 deaths in England and Wales, slightly higher compared to 1.6% from 2017 (533,253). Since 1999, the yearly mortality number of fatalities has risen (553,532) reported by ONS (2019). When the mortality rate of older individuals is compared before and after the COVID-19 pandemic, Mahase (2020) asserts that the rate of death with COVID-19 in the older population has increased significantly.</w:t>
      </w:r>
      <w:bookmarkEnd w:id="4"/>
    </w:p>
    <w:p w14:paraId="3DE4DA7A" w14:textId="46A988B8" w:rsidR="00993A9B" w:rsidRDefault="0014671E" w:rsidP="08654B89">
      <w:pPr>
        <w:spacing w:line="360" w:lineRule="auto"/>
        <w:jc w:val="both"/>
        <w:rPr>
          <w:rFonts w:ascii="Arial" w:eastAsia="+mn-ea" w:hAnsi="Arial" w:cs="Arial"/>
          <w:color w:val="000000" w:themeColor="text1"/>
          <w:lang w:eastAsia="en-GB"/>
        </w:rPr>
      </w:pPr>
      <w:bookmarkStart w:id="5" w:name="_Hlk100040819"/>
      <w:r w:rsidRPr="6978AB31">
        <w:rPr>
          <w:rFonts w:ascii="Arial" w:hAnsi="Arial" w:cs="Arial"/>
          <w:color w:val="222222"/>
          <w:shd w:val="clear" w:color="auto" w:fill="00FFFF"/>
        </w:rPr>
        <w:t>According to Whaley</w:t>
      </w:r>
      <w:r w:rsidRPr="6978AB31">
        <w:rPr>
          <w:rFonts w:ascii="Arial" w:hAnsi="Arial" w:cs="Arial"/>
          <w:shd w:val="clear" w:color="auto" w:fill="00FFFF"/>
        </w:rPr>
        <w:t xml:space="preserve"> </w:t>
      </w:r>
      <w:r w:rsidRPr="08654B89">
        <w:rPr>
          <w:rFonts w:ascii="Arial" w:hAnsi="Arial" w:cs="Arial"/>
          <w:i/>
          <w:iCs/>
          <w:shd w:val="clear" w:color="auto" w:fill="00FFFF"/>
        </w:rPr>
        <w:t>et al.,</w:t>
      </w:r>
      <w:r w:rsidRPr="6978AB31">
        <w:rPr>
          <w:rFonts w:ascii="Arial" w:hAnsi="Arial" w:cs="Arial"/>
          <w:shd w:val="clear" w:color="auto" w:fill="00FFFF"/>
        </w:rPr>
        <w:t xml:space="preserve"> (2020) the pandemic has </w:t>
      </w:r>
      <w:r w:rsidR="003F2E26" w:rsidRPr="6978AB31">
        <w:rPr>
          <w:rFonts w:ascii="Arial" w:hAnsi="Arial" w:cs="Arial"/>
          <w:shd w:val="clear" w:color="auto" w:fill="00FFFF"/>
        </w:rPr>
        <w:t>had an adverse effect on</w:t>
      </w:r>
      <w:r w:rsidRPr="6978AB31">
        <w:rPr>
          <w:rFonts w:ascii="Arial" w:hAnsi="Arial" w:cs="Arial"/>
          <w:shd w:val="clear" w:color="auto" w:fill="00FFFF"/>
        </w:rPr>
        <w:t xml:space="preserve"> elderly individuals</w:t>
      </w:r>
      <w:r w:rsidR="000A1F77" w:rsidRPr="6978AB31">
        <w:rPr>
          <w:rFonts w:ascii="Arial" w:hAnsi="Arial" w:cs="Arial"/>
          <w:shd w:val="clear" w:color="auto" w:fill="00FFFF"/>
        </w:rPr>
        <w:t>, this includes</w:t>
      </w:r>
      <w:r w:rsidRPr="6978AB31">
        <w:rPr>
          <w:rFonts w:ascii="Arial" w:hAnsi="Arial" w:cs="Arial"/>
          <w:shd w:val="clear" w:color="auto" w:fill="00FFFF"/>
        </w:rPr>
        <w:t xml:space="preserve"> getting medical treatment for non-covid-related conditions</w:t>
      </w:r>
      <w:r w:rsidR="005C3F0D" w:rsidRPr="6978AB31">
        <w:rPr>
          <w:rFonts w:ascii="Arial" w:hAnsi="Arial" w:cs="Arial"/>
          <w:shd w:val="clear" w:color="auto" w:fill="00FFFF"/>
        </w:rPr>
        <w:t xml:space="preserve"> and</w:t>
      </w:r>
      <w:r w:rsidRPr="6978AB31">
        <w:rPr>
          <w:rFonts w:ascii="Arial" w:hAnsi="Arial" w:cs="Arial"/>
          <w:shd w:val="clear" w:color="auto" w:fill="00FFFF"/>
        </w:rPr>
        <w:t xml:space="preserve"> delayed scheduled visits, which adds to their stress and </w:t>
      </w:r>
      <w:r w:rsidR="00E94B7F" w:rsidRPr="6978AB31">
        <w:rPr>
          <w:rFonts w:ascii="Arial" w:hAnsi="Arial" w:cs="Arial"/>
          <w:shd w:val="clear" w:color="auto" w:fill="00FFFF"/>
        </w:rPr>
        <w:t xml:space="preserve">results in further </w:t>
      </w:r>
      <w:r w:rsidRPr="6978AB31">
        <w:rPr>
          <w:rFonts w:ascii="Arial" w:hAnsi="Arial" w:cs="Arial"/>
          <w:shd w:val="clear" w:color="auto" w:fill="00FFFF"/>
        </w:rPr>
        <w:t>sick</w:t>
      </w:r>
      <w:r w:rsidR="00E94B7F" w:rsidRPr="6978AB31">
        <w:rPr>
          <w:rFonts w:ascii="Arial" w:hAnsi="Arial" w:cs="Arial"/>
          <w:shd w:val="clear" w:color="auto" w:fill="00FFFF"/>
        </w:rPr>
        <w:t>ness</w:t>
      </w:r>
      <w:r w:rsidRPr="6978AB31">
        <w:rPr>
          <w:rFonts w:ascii="Arial" w:hAnsi="Arial" w:cs="Arial"/>
          <w:shd w:val="clear" w:color="auto" w:fill="00FFFF"/>
        </w:rPr>
        <w:t>.</w:t>
      </w:r>
      <w:r w:rsidRPr="6978AB31">
        <w:rPr>
          <w:rFonts w:ascii="Arial" w:eastAsia="+mn-ea" w:hAnsi="Arial" w:cs="Arial"/>
          <w:color w:val="262626"/>
          <w:kern w:val="3"/>
          <w:shd w:val="clear" w:color="auto" w:fill="00FFFF"/>
          <w:lang w:eastAsia="en-GB"/>
        </w:rPr>
        <w:t xml:space="preserve"> </w:t>
      </w:r>
      <w:r w:rsidR="00E94B7F" w:rsidRPr="6978AB31">
        <w:rPr>
          <w:rFonts w:ascii="Arial" w:eastAsia="+mn-ea" w:hAnsi="Arial" w:cs="Arial"/>
          <w:color w:val="262626"/>
          <w:kern w:val="3"/>
          <w:shd w:val="clear" w:color="auto" w:fill="00FFFF"/>
          <w:lang w:eastAsia="en-GB"/>
        </w:rPr>
        <w:t xml:space="preserve">The </w:t>
      </w:r>
      <w:r w:rsidRPr="6978AB31">
        <w:rPr>
          <w:rFonts w:ascii="Arial" w:eastAsia="+mn-ea" w:hAnsi="Arial" w:cs="Arial"/>
          <w:color w:val="262626"/>
          <w:kern w:val="3"/>
          <w:shd w:val="clear" w:color="auto" w:fill="00FFFF"/>
          <w:lang w:eastAsia="en-GB"/>
        </w:rPr>
        <w:t xml:space="preserve">Health Foundation (2022) suggest that National </w:t>
      </w:r>
      <w:r w:rsidR="00E94B7F" w:rsidRPr="6978AB31">
        <w:rPr>
          <w:rFonts w:ascii="Arial" w:eastAsia="+mn-ea" w:hAnsi="Arial" w:cs="Arial"/>
          <w:color w:val="262626"/>
          <w:kern w:val="3"/>
          <w:shd w:val="clear" w:color="auto" w:fill="00FFFF"/>
          <w:lang w:eastAsia="en-GB"/>
        </w:rPr>
        <w:t>Health</w:t>
      </w:r>
      <w:r w:rsidRPr="6978AB31">
        <w:rPr>
          <w:rFonts w:ascii="Arial" w:eastAsia="+mn-ea" w:hAnsi="Arial" w:cs="Arial"/>
          <w:color w:val="262626"/>
          <w:kern w:val="3"/>
          <w:shd w:val="clear" w:color="auto" w:fill="00FFFF"/>
          <w:lang w:eastAsia="en-GB"/>
        </w:rPr>
        <w:t xml:space="preserve"> </w:t>
      </w:r>
      <w:r w:rsidR="00E94B7F" w:rsidRPr="6978AB31">
        <w:rPr>
          <w:rFonts w:ascii="Arial" w:eastAsia="+mn-ea" w:hAnsi="Arial" w:cs="Arial"/>
          <w:color w:val="262626"/>
          <w:kern w:val="3"/>
          <w:shd w:val="clear" w:color="auto" w:fill="00FFFF"/>
          <w:lang w:eastAsia="en-GB"/>
        </w:rPr>
        <w:t>Service</w:t>
      </w:r>
      <w:r w:rsidRPr="6978AB31">
        <w:rPr>
          <w:rFonts w:ascii="Arial" w:eastAsia="+mn-ea" w:hAnsi="Arial" w:cs="Arial"/>
          <w:color w:val="262626"/>
          <w:kern w:val="3"/>
          <w:shd w:val="clear" w:color="auto" w:fill="00FFFF"/>
          <w:lang w:eastAsia="en-GB"/>
        </w:rPr>
        <w:t xml:space="preserve"> patients are entitled to non-urgent care within 18 weeks after </w:t>
      </w:r>
      <w:r w:rsidR="0030127F" w:rsidRPr="6978AB31">
        <w:rPr>
          <w:rFonts w:ascii="Arial" w:eastAsia="+mn-ea" w:hAnsi="Arial" w:cs="Arial"/>
          <w:color w:val="262626"/>
          <w:kern w:val="3"/>
          <w:shd w:val="clear" w:color="auto" w:fill="00FFFF"/>
          <w:lang w:eastAsia="en-GB"/>
        </w:rPr>
        <w:t xml:space="preserve">a </w:t>
      </w:r>
      <w:r w:rsidRPr="6978AB31">
        <w:rPr>
          <w:rFonts w:ascii="Arial" w:eastAsia="+mn-ea" w:hAnsi="Arial" w:cs="Arial"/>
          <w:color w:val="262626"/>
          <w:kern w:val="3"/>
          <w:shd w:val="clear" w:color="auto" w:fill="00FFFF"/>
          <w:lang w:eastAsia="en-GB"/>
        </w:rPr>
        <w:t>referral to a consultant-led service. During the COVID-19 pandemic, the waiting list increased by 1.2 million, reach</w:t>
      </w:r>
      <w:r w:rsidR="006E14E6" w:rsidRPr="6978AB31">
        <w:rPr>
          <w:rFonts w:ascii="Arial" w:eastAsia="+mn-ea" w:hAnsi="Arial" w:cs="Arial"/>
          <w:color w:val="262626"/>
          <w:kern w:val="3"/>
          <w:shd w:val="clear" w:color="auto" w:fill="00FFFF"/>
          <w:lang w:eastAsia="en-GB"/>
        </w:rPr>
        <w:t>ing</w:t>
      </w:r>
      <w:r w:rsidRPr="6978AB31">
        <w:rPr>
          <w:rFonts w:ascii="Arial" w:eastAsia="+mn-ea" w:hAnsi="Arial" w:cs="Arial"/>
          <w:color w:val="262626"/>
          <w:kern w:val="3"/>
          <w:shd w:val="clear" w:color="auto" w:fill="00FFFF"/>
          <w:lang w:eastAsia="en-GB"/>
        </w:rPr>
        <w:t xml:space="preserve"> 5.6 million in July 2021. The Pandemic has impacted elective care. The requirement to isolate patients depending on their COVID status and adopt social distancing techniques had significant implications for hospital capacity.</w:t>
      </w:r>
    </w:p>
    <w:p w14:paraId="47EA1C3F" w14:textId="5C04E955" w:rsidR="00993A9B" w:rsidRDefault="00ED2562" w:rsidP="6978AB31">
      <w:pPr>
        <w:pStyle w:val="Heading1"/>
        <w:shd w:val="clear" w:color="auto" w:fill="FFFFFF" w:themeFill="background1"/>
        <w:spacing w:line="360" w:lineRule="auto"/>
        <w:jc w:val="both"/>
        <w:textAlignment w:val="baseline"/>
        <w:rPr>
          <w:rFonts w:ascii="Arial" w:hAnsi="Arial" w:cs="Arial"/>
          <w:color w:val="auto"/>
          <w:sz w:val="22"/>
          <w:szCs w:val="22"/>
          <w:shd w:val="clear" w:color="auto" w:fill="00FFFF"/>
          <w:lang w:eastAsia="en-GB"/>
        </w:rPr>
      </w:pPr>
      <w:r>
        <w:rPr>
          <w:rFonts w:ascii="Arial" w:eastAsia="+mn-ea" w:hAnsi="Arial" w:cs="Arial"/>
          <w:color w:val="auto"/>
          <w:kern w:val="3"/>
          <w:sz w:val="22"/>
          <w:szCs w:val="22"/>
          <w:shd w:val="clear" w:color="auto" w:fill="00FFFF"/>
          <w:lang w:eastAsia="en-GB"/>
        </w:rPr>
        <w:lastRenderedPageBreak/>
        <w:t>During</w:t>
      </w:r>
      <w:r w:rsidR="0014671E">
        <w:rPr>
          <w:rFonts w:ascii="Arial" w:eastAsia="+mn-ea" w:hAnsi="Arial" w:cs="Arial"/>
          <w:color w:val="auto"/>
          <w:kern w:val="3"/>
          <w:sz w:val="22"/>
          <w:szCs w:val="22"/>
          <w:shd w:val="clear" w:color="auto" w:fill="00FFFF"/>
          <w:lang w:eastAsia="en-GB"/>
        </w:rPr>
        <w:t xml:space="preserve"> </w:t>
      </w:r>
      <w:r>
        <w:rPr>
          <w:rFonts w:ascii="Arial" w:eastAsia="+mn-ea" w:hAnsi="Arial" w:cs="Arial"/>
          <w:color w:val="auto"/>
          <w:kern w:val="3"/>
          <w:sz w:val="22"/>
          <w:szCs w:val="22"/>
          <w:shd w:val="clear" w:color="auto" w:fill="00FFFF"/>
          <w:lang w:eastAsia="en-GB"/>
        </w:rPr>
        <w:t xml:space="preserve">the </w:t>
      </w:r>
      <w:r w:rsidR="0014671E">
        <w:rPr>
          <w:rFonts w:ascii="Arial" w:eastAsia="+mn-ea" w:hAnsi="Arial" w:cs="Arial"/>
          <w:color w:val="auto"/>
          <w:kern w:val="3"/>
          <w:sz w:val="22"/>
          <w:szCs w:val="22"/>
          <w:shd w:val="clear" w:color="auto" w:fill="00FFFF"/>
          <w:lang w:eastAsia="en-GB"/>
        </w:rPr>
        <w:t>COVID-19</w:t>
      </w:r>
      <w:r>
        <w:rPr>
          <w:rFonts w:ascii="Arial" w:eastAsia="+mn-ea" w:hAnsi="Arial" w:cs="Arial"/>
          <w:color w:val="auto"/>
          <w:kern w:val="3"/>
          <w:sz w:val="22"/>
          <w:szCs w:val="22"/>
          <w:shd w:val="clear" w:color="auto" w:fill="00FFFF"/>
          <w:lang w:eastAsia="en-GB"/>
        </w:rPr>
        <w:t xml:space="preserve"> pandemic</w:t>
      </w:r>
      <w:r w:rsidR="0014671E">
        <w:rPr>
          <w:rFonts w:ascii="Arial" w:eastAsia="+mn-ea" w:hAnsi="Arial" w:cs="Arial"/>
          <w:color w:val="auto"/>
          <w:kern w:val="3"/>
          <w:sz w:val="22"/>
          <w:szCs w:val="22"/>
          <w:shd w:val="clear" w:color="auto" w:fill="00FFFF"/>
          <w:lang w:eastAsia="en-GB"/>
        </w:rPr>
        <w:t xml:space="preserve"> had many detrimental impacts, </w:t>
      </w:r>
      <w:r w:rsidR="002E453A">
        <w:rPr>
          <w:rFonts w:ascii="Arial" w:eastAsia="+mn-ea" w:hAnsi="Arial" w:cs="Arial"/>
          <w:color w:val="auto"/>
          <w:kern w:val="3"/>
          <w:sz w:val="22"/>
          <w:szCs w:val="22"/>
          <w:shd w:val="clear" w:color="auto" w:fill="00FFFF"/>
          <w:lang w:eastAsia="en-GB"/>
        </w:rPr>
        <w:t xml:space="preserve">but despite this there </w:t>
      </w:r>
      <w:r w:rsidR="0014671E">
        <w:rPr>
          <w:rFonts w:ascii="Arial" w:eastAsia="+mn-ea" w:hAnsi="Arial" w:cs="Arial"/>
          <w:color w:val="auto"/>
          <w:kern w:val="3"/>
          <w:sz w:val="22"/>
          <w:szCs w:val="22"/>
          <w:shd w:val="clear" w:color="auto" w:fill="00FFFF"/>
          <w:lang w:eastAsia="en-GB"/>
        </w:rPr>
        <w:t xml:space="preserve">were also some few positive </w:t>
      </w:r>
      <w:bookmarkEnd w:id="5"/>
      <w:r w:rsidR="0014671E">
        <w:rPr>
          <w:rFonts w:ascii="Arial" w:eastAsia="+mn-ea" w:hAnsi="Arial" w:cs="Arial"/>
          <w:color w:val="auto"/>
          <w:kern w:val="3"/>
          <w:sz w:val="22"/>
          <w:szCs w:val="22"/>
          <w:shd w:val="clear" w:color="auto" w:fill="00FFFF"/>
          <w:lang w:eastAsia="en-GB"/>
        </w:rPr>
        <w:t>ones. Online shopping, healthcare, working</w:t>
      </w:r>
      <w:r w:rsidR="001C6358">
        <w:rPr>
          <w:rFonts w:ascii="Arial" w:eastAsia="+mn-ea" w:hAnsi="Arial" w:cs="Arial"/>
          <w:color w:val="auto"/>
          <w:kern w:val="3"/>
          <w:sz w:val="22"/>
          <w:szCs w:val="22"/>
          <w:shd w:val="clear" w:color="auto" w:fill="00FFFF"/>
          <w:lang w:eastAsia="en-GB"/>
        </w:rPr>
        <w:t xml:space="preserve"> from home</w:t>
      </w:r>
      <w:r w:rsidR="0014671E">
        <w:rPr>
          <w:rFonts w:ascii="Arial" w:eastAsia="+mn-ea" w:hAnsi="Arial" w:cs="Arial"/>
          <w:color w:val="auto"/>
          <w:kern w:val="3"/>
          <w:sz w:val="22"/>
          <w:szCs w:val="22"/>
          <w:shd w:val="clear" w:color="auto" w:fill="00FFFF"/>
          <w:lang w:eastAsia="en-GB"/>
        </w:rPr>
        <w:t xml:space="preserve">, and </w:t>
      </w:r>
      <w:r w:rsidR="001C6358">
        <w:rPr>
          <w:rFonts w:ascii="Arial" w:eastAsia="+mn-ea" w:hAnsi="Arial" w:cs="Arial"/>
          <w:color w:val="auto"/>
          <w:kern w:val="3"/>
          <w:sz w:val="22"/>
          <w:szCs w:val="22"/>
          <w:shd w:val="clear" w:color="auto" w:fill="00FFFF"/>
          <w:lang w:eastAsia="en-GB"/>
        </w:rPr>
        <w:t xml:space="preserve">home </w:t>
      </w:r>
      <w:r w:rsidR="0014671E">
        <w:rPr>
          <w:rFonts w:ascii="Arial" w:eastAsia="+mn-ea" w:hAnsi="Arial" w:cs="Arial"/>
          <w:color w:val="auto"/>
          <w:kern w:val="3"/>
          <w:sz w:val="22"/>
          <w:szCs w:val="22"/>
          <w:shd w:val="clear" w:color="auto" w:fill="00FFFF"/>
          <w:lang w:eastAsia="en-GB"/>
        </w:rPr>
        <w:t xml:space="preserve">schooling made life much easier for the </w:t>
      </w:r>
      <w:r w:rsidR="00D72828">
        <w:rPr>
          <w:rFonts w:ascii="Arial" w:eastAsia="+mn-ea" w:hAnsi="Arial" w:cs="Arial"/>
          <w:color w:val="auto"/>
          <w:kern w:val="3"/>
          <w:sz w:val="22"/>
          <w:szCs w:val="22"/>
          <w:shd w:val="clear" w:color="auto" w:fill="00FFFF"/>
          <w:lang w:eastAsia="en-GB"/>
        </w:rPr>
        <w:t>younger</w:t>
      </w:r>
      <w:r w:rsidR="0014671E">
        <w:rPr>
          <w:rFonts w:ascii="Arial" w:eastAsia="+mn-ea" w:hAnsi="Arial" w:cs="Arial"/>
          <w:color w:val="auto"/>
          <w:kern w:val="3"/>
          <w:sz w:val="22"/>
          <w:szCs w:val="22"/>
          <w:shd w:val="clear" w:color="auto" w:fill="00FFFF"/>
          <w:lang w:eastAsia="en-GB"/>
        </w:rPr>
        <w:t xml:space="preserve"> generations, </w:t>
      </w:r>
      <w:r w:rsidR="00D72828">
        <w:rPr>
          <w:rFonts w:ascii="Arial" w:eastAsia="+mn-ea" w:hAnsi="Arial" w:cs="Arial"/>
          <w:color w:val="auto"/>
          <w:kern w:val="3"/>
          <w:sz w:val="22"/>
          <w:szCs w:val="22"/>
          <w:shd w:val="clear" w:color="auto" w:fill="00FFFF"/>
          <w:lang w:eastAsia="en-GB"/>
        </w:rPr>
        <w:t>despite</w:t>
      </w:r>
      <w:r w:rsidR="0014671E">
        <w:rPr>
          <w:rFonts w:ascii="Arial" w:eastAsia="+mn-ea" w:hAnsi="Arial" w:cs="Arial"/>
          <w:color w:val="auto"/>
          <w:kern w:val="3"/>
          <w:sz w:val="22"/>
          <w:szCs w:val="22"/>
          <w:shd w:val="clear" w:color="auto" w:fill="00FFFF"/>
          <w:lang w:eastAsia="en-GB"/>
        </w:rPr>
        <w:t xml:space="preserve"> not </w:t>
      </w:r>
      <w:r w:rsidR="00D72828">
        <w:rPr>
          <w:rFonts w:ascii="Arial" w:eastAsia="+mn-ea" w:hAnsi="Arial" w:cs="Arial"/>
          <w:color w:val="auto"/>
          <w:kern w:val="3"/>
          <w:sz w:val="22"/>
          <w:szCs w:val="22"/>
          <w:shd w:val="clear" w:color="auto" w:fill="00FFFF"/>
          <w:lang w:eastAsia="en-GB"/>
        </w:rPr>
        <w:t xml:space="preserve">being as easy </w:t>
      </w:r>
      <w:r w:rsidR="0014671E">
        <w:rPr>
          <w:rFonts w:ascii="Arial" w:eastAsia="+mn-ea" w:hAnsi="Arial" w:cs="Arial"/>
          <w:color w:val="auto"/>
          <w:kern w:val="3"/>
          <w:sz w:val="22"/>
          <w:szCs w:val="22"/>
          <w:shd w:val="clear" w:color="auto" w:fill="00FFFF"/>
          <w:lang w:eastAsia="en-GB"/>
        </w:rPr>
        <w:t>for the older population.</w:t>
      </w:r>
      <w:r w:rsidR="0014671E">
        <w:rPr>
          <w:rFonts w:ascii="Arial" w:hAnsi="Arial" w:cs="Arial"/>
          <w:color w:val="auto"/>
          <w:sz w:val="22"/>
          <w:szCs w:val="22"/>
          <w:shd w:val="clear" w:color="auto" w:fill="00FFFF"/>
        </w:rPr>
        <w:t xml:space="preserve"> Based on the most recent ONS data (2019), over half of the UK population aged 75 and above (47%) </w:t>
      </w:r>
      <w:r w:rsidR="0005212F">
        <w:rPr>
          <w:rFonts w:ascii="Arial" w:hAnsi="Arial" w:cs="Arial"/>
          <w:color w:val="auto"/>
          <w:sz w:val="22"/>
          <w:szCs w:val="22"/>
          <w:shd w:val="clear" w:color="auto" w:fill="00FFFF"/>
        </w:rPr>
        <w:t>are</w:t>
      </w:r>
      <w:r w:rsidR="0014671E">
        <w:rPr>
          <w:rFonts w:ascii="Arial" w:hAnsi="Arial" w:cs="Arial"/>
          <w:color w:val="auto"/>
          <w:sz w:val="22"/>
          <w:szCs w:val="22"/>
          <w:shd w:val="clear" w:color="auto" w:fill="00FFFF"/>
        </w:rPr>
        <w:t xml:space="preserve"> internet users</w:t>
      </w:r>
      <w:r w:rsidR="00FA6B24">
        <w:rPr>
          <w:rFonts w:ascii="Arial" w:hAnsi="Arial" w:cs="Arial"/>
          <w:color w:val="auto"/>
          <w:sz w:val="22"/>
          <w:szCs w:val="22"/>
          <w:shd w:val="clear" w:color="auto" w:fill="00FFFF"/>
        </w:rPr>
        <w:t>, despite facing issues keeping</w:t>
      </w:r>
      <w:r w:rsidR="0014671E">
        <w:rPr>
          <w:rFonts w:ascii="Arial" w:hAnsi="Arial" w:cs="Arial"/>
          <w:color w:val="auto"/>
          <w:sz w:val="22"/>
          <w:szCs w:val="22"/>
          <w:shd w:val="clear" w:color="auto" w:fill="00FFFF"/>
        </w:rPr>
        <w:t xml:space="preserve"> up with the </w:t>
      </w:r>
      <w:proofErr w:type="gramStart"/>
      <w:r w:rsidR="0014671E">
        <w:rPr>
          <w:rFonts w:ascii="Arial" w:hAnsi="Arial" w:cs="Arial"/>
          <w:color w:val="auto"/>
          <w:sz w:val="22"/>
          <w:szCs w:val="22"/>
          <w:shd w:val="clear" w:color="auto" w:fill="00FFFF"/>
        </w:rPr>
        <w:t xml:space="preserve">fast </w:t>
      </w:r>
      <w:r w:rsidR="00FA6B24">
        <w:rPr>
          <w:rFonts w:ascii="Arial" w:hAnsi="Arial" w:cs="Arial"/>
          <w:color w:val="auto"/>
          <w:sz w:val="22"/>
          <w:szCs w:val="22"/>
          <w:shd w:val="clear" w:color="auto" w:fill="00FFFF"/>
        </w:rPr>
        <w:t>pace</w:t>
      </w:r>
      <w:proofErr w:type="gramEnd"/>
      <w:r w:rsidR="00FA6B24">
        <w:rPr>
          <w:rFonts w:ascii="Arial" w:hAnsi="Arial" w:cs="Arial"/>
          <w:color w:val="auto"/>
          <w:sz w:val="22"/>
          <w:szCs w:val="22"/>
          <w:shd w:val="clear" w:color="auto" w:fill="00FFFF"/>
        </w:rPr>
        <w:t xml:space="preserve"> </w:t>
      </w:r>
      <w:r w:rsidR="0014671E">
        <w:rPr>
          <w:rFonts w:ascii="Arial" w:hAnsi="Arial" w:cs="Arial"/>
          <w:color w:val="auto"/>
          <w:sz w:val="22"/>
          <w:szCs w:val="22"/>
          <w:shd w:val="clear" w:color="auto" w:fill="00FFFF"/>
        </w:rPr>
        <w:t xml:space="preserve">technology, </w:t>
      </w:r>
      <w:r w:rsidR="00FA6B24">
        <w:rPr>
          <w:rFonts w:ascii="Arial" w:hAnsi="Arial" w:cs="Arial"/>
          <w:color w:val="auto"/>
          <w:sz w:val="22"/>
          <w:szCs w:val="22"/>
          <w:shd w:val="clear" w:color="auto" w:fill="00FFFF"/>
        </w:rPr>
        <w:t xml:space="preserve">with </w:t>
      </w:r>
      <w:r w:rsidR="0014671E">
        <w:rPr>
          <w:rFonts w:ascii="Arial" w:hAnsi="Arial" w:cs="Arial"/>
          <w:color w:val="auto"/>
          <w:sz w:val="22"/>
          <w:szCs w:val="22"/>
          <w:shd w:val="clear" w:color="auto" w:fill="00FFFF"/>
        </w:rPr>
        <w:t>many seniors beco</w:t>
      </w:r>
      <w:r w:rsidR="00114DCE">
        <w:rPr>
          <w:rFonts w:ascii="Arial" w:hAnsi="Arial" w:cs="Arial"/>
          <w:color w:val="auto"/>
          <w:sz w:val="22"/>
          <w:szCs w:val="22"/>
          <w:shd w:val="clear" w:color="auto" w:fill="00FFFF"/>
        </w:rPr>
        <w:t>ming</w:t>
      </w:r>
      <w:r w:rsidR="0014671E">
        <w:rPr>
          <w:rFonts w:ascii="Arial" w:hAnsi="Arial" w:cs="Arial"/>
          <w:color w:val="auto"/>
          <w:sz w:val="22"/>
          <w:szCs w:val="22"/>
          <w:shd w:val="clear" w:color="auto" w:fill="00FFFF"/>
        </w:rPr>
        <w:t xml:space="preserve"> confused and irritated. Although</w:t>
      </w:r>
      <w:r w:rsidR="00114DCE">
        <w:rPr>
          <w:rFonts w:ascii="Arial" w:hAnsi="Arial" w:cs="Arial"/>
          <w:color w:val="auto"/>
          <w:sz w:val="22"/>
          <w:szCs w:val="22"/>
          <w:shd w:val="clear" w:color="auto" w:fill="00FFFF"/>
        </w:rPr>
        <w:t>, once</w:t>
      </w:r>
      <w:r w:rsidR="0014671E">
        <w:rPr>
          <w:rFonts w:ascii="Arial" w:hAnsi="Arial" w:cs="Arial"/>
          <w:color w:val="auto"/>
          <w:sz w:val="22"/>
          <w:szCs w:val="22"/>
          <w:shd w:val="clear" w:color="auto" w:fill="00FFFF"/>
        </w:rPr>
        <w:t xml:space="preserve"> they learn how to operate </w:t>
      </w:r>
      <w:r w:rsidR="00114E96">
        <w:rPr>
          <w:rFonts w:ascii="Arial" w:hAnsi="Arial" w:cs="Arial"/>
          <w:color w:val="auto"/>
          <w:sz w:val="22"/>
          <w:szCs w:val="22"/>
          <w:shd w:val="clear" w:color="auto" w:fill="00FFFF"/>
        </w:rPr>
        <w:t xml:space="preserve">the </w:t>
      </w:r>
      <w:r w:rsidR="0014671E">
        <w:rPr>
          <w:rFonts w:ascii="Arial" w:hAnsi="Arial" w:cs="Arial"/>
          <w:color w:val="auto"/>
          <w:sz w:val="22"/>
          <w:szCs w:val="22"/>
          <w:shd w:val="clear" w:color="auto" w:fill="00FFFF"/>
        </w:rPr>
        <w:t xml:space="preserve">available technologies, </w:t>
      </w:r>
      <w:r w:rsidR="00E94AFD">
        <w:rPr>
          <w:rFonts w:ascii="Arial" w:hAnsi="Arial" w:cs="Arial"/>
          <w:color w:val="auto"/>
          <w:sz w:val="22"/>
          <w:szCs w:val="22"/>
          <w:shd w:val="clear" w:color="auto" w:fill="00FFFF"/>
        </w:rPr>
        <w:t xml:space="preserve">it can </w:t>
      </w:r>
      <w:r w:rsidR="0014671E">
        <w:rPr>
          <w:rFonts w:ascii="Arial" w:hAnsi="Arial" w:cs="Arial"/>
          <w:color w:val="auto"/>
          <w:sz w:val="22"/>
          <w:szCs w:val="22"/>
          <w:shd w:val="clear" w:color="auto" w:fill="00FFFF"/>
        </w:rPr>
        <w:t xml:space="preserve">relieve today's elderly and their caretakers of </w:t>
      </w:r>
      <w:r w:rsidR="00E94AFD">
        <w:rPr>
          <w:rFonts w:ascii="Arial" w:hAnsi="Arial" w:cs="Arial"/>
          <w:color w:val="auto"/>
          <w:sz w:val="22"/>
          <w:szCs w:val="22"/>
          <w:shd w:val="clear" w:color="auto" w:fill="00FFFF"/>
        </w:rPr>
        <w:t xml:space="preserve">many </w:t>
      </w:r>
      <w:r w:rsidR="0014671E">
        <w:rPr>
          <w:rFonts w:ascii="Arial" w:hAnsi="Arial" w:cs="Arial"/>
          <w:color w:val="auto"/>
          <w:sz w:val="22"/>
          <w:szCs w:val="22"/>
          <w:shd w:val="clear" w:color="auto" w:fill="00FFFF"/>
        </w:rPr>
        <w:t>worr</w:t>
      </w:r>
      <w:r w:rsidR="00E94AFD">
        <w:rPr>
          <w:rFonts w:ascii="Arial" w:hAnsi="Arial" w:cs="Arial"/>
          <w:color w:val="auto"/>
          <w:sz w:val="22"/>
          <w:szCs w:val="22"/>
          <w:shd w:val="clear" w:color="auto" w:fill="00FFFF"/>
        </w:rPr>
        <w:t xml:space="preserve">ies </w:t>
      </w:r>
      <w:r w:rsidR="6978AB31" w:rsidRPr="6978AB31">
        <w:rPr>
          <w:rFonts w:ascii="Arial" w:hAnsi="Arial" w:cs="Arial"/>
          <w:color w:val="auto"/>
          <w:sz w:val="22"/>
          <w:szCs w:val="22"/>
        </w:rPr>
        <w:t>Although internet shopping can save money on bus or taxi costs, online medicines and home delivery save time and travel, and video chats with family and friends can also be performed at any anytime. Age</w:t>
      </w:r>
      <w:r w:rsidR="0014671E">
        <w:rPr>
          <w:rFonts w:ascii="Arial" w:hAnsi="Arial" w:cs="Arial"/>
          <w:color w:val="auto"/>
          <w:sz w:val="22"/>
          <w:szCs w:val="22"/>
          <w:shd w:val="clear" w:color="auto" w:fill="00FFFF"/>
        </w:rPr>
        <w:t xml:space="preserve"> UK (2021) reported that </w:t>
      </w:r>
      <w:r w:rsidR="0014671E">
        <w:rPr>
          <w:rFonts w:ascii="Arial" w:hAnsi="Arial" w:cs="Arial"/>
          <w:color w:val="auto"/>
          <w:kern w:val="3"/>
          <w:sz w:val="22"/>
          <w:szCs w:val="22"/>
          <w:shd w:val="clear" w:color="auto" w:fill="00FFFF"/>
          <w:lang w:eastAsia="en-GB"/>
        </w:rPr>
        <w:t>nearly two million over</w:t>
      </w:r>
      <w:r w:rsidR="00D473AB">
        <w:rPr>
          <w:rFonts w:ascii="Arial" w:hAnsi="Arial" w:cs="Arial"/>
          <w:color w:val="auto"/>
          <w:kern w:val="3"/>
          <w:sz w:val="22"/>
          <w:szCs w:val="22"/>
          <w:shd w:val="clear" w:color="auto" w:fill="00FFFF"/>
          <w:lang w:eastAsia="en-GB"/>
        </w:rPr>
        <w:t xml:space="preserve"> </w:t>
      </w:r>
      <w:r w:rsidR="0014671E">
        <w:rPr>
          <w:rFonts w:ascii="Arial" w:hAnsi="Arial" w:cs="Arial"/>
          <w:color w:val="auto"/>
          <w:kern w:val="3"/>
          <w:sz w:val="22"/>
          <w:szCs w:val="22"/>
          <w:shd w:val="clear" w:color="auto" w:fill="00FFFF"/>
          <w:lang w:eastAsia="en-GB"/>
        </w:rPr>
        <w:t>75s in England are still digitally excluded</w:t>
      </w:r>
      <w:r w:rsidR="00D473AB">
        <w:rPr>
          <w:rFonts w:ascii="Arial" w:hAnsi="Arial" w:cs="Arial"/>
          <w:color w:val="auto"/>
          <w:kern w:val="3"/>
          <w:sz w:val="22"/>
          <w:szCs w:val="22"/>
          <w:shd w:val="clear" w:color="auto" w:fill="00FFFF"/>
          <w:lang w:eastAsia="en-GB"/>
        </w:rPr>
        <w:t xml:space="preserve">, despite </w:t>
      </w:r>
      <w:r w:rsidR="006E19C5">
        <w:rPr>
          <w:rFonts w:ascii="Arial" w:hAnsi="Arial" w:cs="Arial"/>
          <w:color w:val="auto"/>
          <w:kern w:val="3"/>
          <w:sz w:val="22"/>
          <w:szCs w:val="22"/>
          <w:shd w:val="clear" w:color="auto" w:fill="00FFFF"/>
          <w:lang w:eastAsia="en-GB"/>
        </w:rPr>
        <w:t xml:space="preserve">the </w:t>
      </w:r>
      <w:r w:rsidR="0014671E">
        <w:rPr>
          <w:rFonts w:ascii="Arial" w:hAnsi="Arial" w:cs="Arial"/>
          <w:color w:val="auto"/>
          <w:kern w:val="3"/>
          <w:sz w:val="22"/>
          <w:szCs w:val="22"/>
          <w:shd w:val="clear" w:color="auto" w:fill="00FFFF"/>
          <w:lang w:eastAsia="en-GB"/>
        </w:rPr>
        <w:t>COVID-19 world.</w:t>
      </w:r>
    </w:p>
    <w:p w14:paraId="2FE89373" w14:textId="20B7A104" w:rsidR="00993A9B" w:rsidRDefault="0014671E" w:rsidP="6978AB31">
      <w:pPr>
        <w:tabs>
          <w:tab w:val="left" w:pos="720"/>
        </w:tabs>
        <w:spacing w:after="120" w:line="360" w:lineRule="auto"/>
        <w:contextualSpacing/>
        <w:jc w:val="both"/>
        <w:rPr>
          <w:rFonts w:ascii="Arial" w:eastAsia="Arial" w:hAnsi="Arial" w:cs="Arial"/>
          <w:color w:val="262626"/>
          <w:kern w:val="3"/>
          <w:shd w:val="clear" w:color="auto" w:fill="00FFFF"/>
          <w:lang w:eastAsia="en-GB"/>
        </w:rPr>
      </w:pPr>
      <w:proofErr w:type="gramStart"/>
      <w:r w:rsidRPr="6978AB31">
        <w:rPr>
          <w:rFonts w:ascii="Arial" w:eastAsia="Arial" w:hAnsi="Arial" w:cs="Arial"/>
          <w:color w:val="262626"/>
          <w:kern w:val="3"/>
          <w:shd w:val="clear" w:color="auto" w:fill="00FFFF"/>
          <w:lang w:eastAsia="en-GB"/>
        </w:rPr>
        <w:t>Mind (2020),</w:t>
      </w:r>
      <w:proofErr w:type="gramEnd"/>
      <w:r w:rsidRPr="6978AB31">
        <w:rPr>
          <w:rFonts w:ascii="Arial" w:eastAsia="Arial" w:hAnsi="Arial" w:cs="Arial"/>
          <w:color w:val="262626"/>
          <w:kern w:val="3"/>
          <w:shd w:val="clear" w:color="auto" w:fill="00FFFF"/>
          <w:lang w:eastAsia="en-GB"/>
        </w:rPr>
        <w:t xml:space="preserve"> </w:t>
      </w:r>
      <w:r w:rsidR="00F12351" w:rsidRPr="6978AB31">
        <w:rPr>
          <w:rFonts w:ascii="Arial" w:eastAsia="Arial" w:hAnsi="Arial" w:cs="Arial"/>
          <w:color w:val="262626"/>
          <w:kern w:val="3"/>
          <w:shd w:val="clear" w:color="auto" w:fill="00FFFF"/>
          <w:lang w:eastAsia="en-GB"/>
        </w:rPr>
        <w:t>defines a</w:t>
      </w:r>
      <w:r w:rsidRPr="6978AB31">
        <w:rPr>
          <w:rFonts w:ascii="Arial" w:eastAsia="Arial" w:hAnsi="Arial" w:cs="Arial"/>
          <w:color w:val="262626"/>
          <w:kern w:val="3"/>
          <w:shd w:val="clear" w:color="auto" w:fill="00FFFF"/>
          <w:lang w:eastAsia="en-GB"/>
        </w:rPr>
        <w:t xml:space="preserve"> healthcare need </w:t>
      </w:r>
      <w:r w:rsidR="00F12351" w:rsidRPr="6978AB31">
        <w:rPr>
          <w:rFonts w:ascii="Arial" w:eastAsia="Arial" w:hAnsi="Arial" w:cs="Arial"/>
          <w:color w:val="262626"/>
          <w:kern w:val="3"/>
          <w:shd w:val="clear" w:color="auto" w:fill="00FFFF"/>
          <w:lang w:eastAsia="en-GB"/>
        </w:rPr>
        <w:t xml:space="preserve">as </w:t>
      </w:r>
      <w:r w:rsidRPr="6978AB31">
        <w:rPr>
          <w:rFonts w:ascii="Arial" w:eastAsia="Arial" w:hAnsi="Arial" w:cs="Arial"/>
          <w:color w:val="262626"/>
          <w:kern w:val="3"/>
          <w:shd w:val="clear" w:color="auto" w:fill="00FFFF"/>
          <w:lang w:eastAsia="en-GB"/>
        </w:rPr>
        <w:t>an individual's need to be addressed for a certain circumstance (disease, sickness, accident, disability)</w:t>
      </w:r>
      <w:r w:rsidR="00F12351" w:rsidRPr="6978AB31">
        <w:rPr>
          <w:rFonts w:ascii="Arial" w:eastAsia="Arial" w:hAnsi="Arial" w:cs="Arial"/>
          <w:color w:val="262626"/>
          <w:kern w:val="3"/>
          <w:shd w:val="clear" w:color="auto" w:fill="00FFFF"/>
          <w:lang w:eastAsia="en-GB"/>
        </w:rPr>
        <w:t xml:space="preserve">, </w:t>
      </w:r>
      <w:r w:rsidRPr="6978AB31">
        <w:rPr>
          <w:rFonts w:ascii="Arial" w:eastAsia="Arial" w:hAnsi="Arial" w:cs="Arial"/>
          <w:color w:val="262626"/>
          <w:kern w:val="3"/>
          <w:shd w:val="clear" w:color="auto" w:fill="00FFFF"/>
          <w:lang w:eastAsia="en-GB"/>
        </w:rPr>
        <w:t>social care require</w:t>
      </w:r>
      <w:r w:rsidR="00B83515" w:rsidRPr="6978AB31">
        <w:rPr>
          <w:rFonts w:ascii="Arial" w:eastAsia="Arial" w:hAnsi="Arial" w:cs="Arial"/>
          <w:color w:val="262626"/>
          <w:kern w:val="3"/>
          <w:shd w:val="clear" w:color="auto" w:fill="00FFFF"/>
          <w:lang w:eastAsia="en-GB"/>
        </w:rPr>
        <w:t>s a</w:t>
      </w:r>
      <w:r w:rsidRPr="6978AB31">
        <w:rPr>
          <w:rFonts w:ascii="Arial" w:eastAsia="Arial" w:hAnsi="Arial" w:cs="Arial"/>
          <w:color w:val="262626"/>
          <w:kern w:val="3"/>
          <w:shd w:val="clear" w:color="auto" w:fill="00FFFF"/>
          <w:lang w:eastAsia="en-GB"/>
        </w:rPr>
        <w:t xml:space="preserve"> focus on daily living activities, independence, social contact</w:t>
      </w:r>
      <w:r w:rsidR="005F6432" w:rsidRPr="6978AB31">
        <w:rPr>
          <w:rFonts w:ascii="Arial" w:eastAsia="Arial" w:hAnsi="Arial" w:cs="Arial"/>
          <w:color w:val="262626"/>
          <w:kern w:val="3"/>
          <w:shd w:val="clear" w:color="auto" w:fill="00FFFF"/>
          <w:lang w:eastAsia="en-GB"/>
        </w:rPr>
        <w:t xml:space="preserve"> and </w:t>
      </w:r>
      <w:r w:rsidRPr="6978AB31">
        <w:rPr>
          <w:rFonts w:ascii="Arial" w:eastAsia="Arial" w:hAnsi="Arial" w:cs="Arial"/>
          <w:color w:val="262626"/>
          <w:kern w:val="3"/>
          <w:shd w:val="clear" w:color="auto" w:fill="00FFFF"/>
          <w:lang w:eastAsia="en-GB"/>
        </w:rPr>
        <w:t>enabling individuals to take part fully in society. </w:t>
      </w:r>
    </w:p>
    <w:p w14:paraId="086D7521" w14:textId="77777777" w:rsidR="00993A9B" w:rsidRDefault="00993A9B" w:rsidP="6978AB31">
      <w:pPr>
        <w:tabs>
          <w:tab w:val="left" w:pos="720"/>
        </w:tabs>
        <w:spacing w:after="120"/>
        <w:contextualSpacing/>
        <w:jc w:val="both"/>
        <w:rPr>
          <w:rFonts w:ascii="Arial" w:eastAsia="Arial" w:hAnsi="Arial" w:cs="Arial"/>
          <w:shd w:val="clear" w:color="auto" w:fill="00FFFF"/>
        </w:rPr>
      </w:pPr>
    </w:p>
    <w:p w14:paraId="6A331800" w14:textId="7443B0C9" w:rsidR="00993A9B" w:rsidRDefault="0014671E" w:rsidP="6978AB31">
      <w:pPr>
        <w:shd w:val="clear" w:color="auto" w:fill="FFFFFF" w:themeFill="background1"/>
        <w:suppressAutoHyphens w:val="0"/>
        <w:spacing w:after="0"/>
        <w:jc w:val="both"/>
        <w:textAlignment w:val="baseline"/>
        <w:rPr>
          <w:rFonts w:ascii="Arial" w:eastAsia="Arial" w:hAnsi="Arial" w:cs="Arial"/>
          <w:color w:val="535051"/>
          <w:lang w:eastAsia="en-GB"/>
        </w:rPr>
      </w:pPr>
      <w:r w:rsidRPr="6978AB31">
        <w:rPr>
          <w:rFonts w:ascii="Arial" w:eastAsia="Arial" w:hAnsi="Arial" w:cs="Arial"/>
          <w:color w:val="535051"/>
          <w:shd w:val="clear" w:color="auto" w:fill="00FFFF"/>
          <w:lang w:eastAsia="en-GB"/>
        </w:rPr>
        <w:t>A range of types of care services are available for elderly people, depend</w:t>
      </w:r>
      <w:r w:rsidR="00907454" w:rsidRPr="6978AB31">
        <w:rPr>
          <w:rFonts w:ascii="Arial" w:eastAsia="Arial" w:hAnsi="Arial" w:cs="Arial"/>
          <w:color w:val="535051"/>
          <w:shd w:val="clear" w:color="auto" w:fill="00FFFF"/>
          <w:lang w:eastAsia="en-GB"/>
        </w:rPr>
        <w:t>ent</w:t>
      </w:r>
      <w:r w:rsidRPr="6978AB31">
        <w:rPr>
          <w:rFonts w:ascii="Arial" w:eastAsia="Arial" w:hAnsi="Arial" w:cs="Arial"/>
          <w:color w:val="535051"/>
          <w:shd w:val="clear" w:color="auto" w:fill="00FFFF"/>
          <w:lang w:eastAsia="en-GB"/>
        </w:rPr>
        <w:t xml:space="preserve"> </w:t>
      </w:r>
      <w:r w:rsidR="00907454" w:rsidRPr="6978AB31">
        <w:rPr>
          <w:rFonts w:ascii="Arial" w:eastAsia="Arial" w:hAnsi="Arial" w:cs="Arial"/>
          <w:color w:val="535051"/>
          <w:shd w:val="clear" w:color="auto" w:fill="00FFFF"/>
          <w:lang w:eastAsia="en-GB"/>
        </w:rPr>
        <w:t>up</w:t>
      </w:r>
      <w:r w:rsidRPr="6978AB31">
        <w:rPr>
          <w:rFonts w:ascii="Arial" w:eastAsia="Arial" w:hAnsi="Arial" w:cs="Arial"/>
          <w:color w:val="535051"/>
          <w:shd w:val="clear" w:color="auto" w:fill="00FFFF"/>
          <w:lang w:eastAsia="en-GB"/>
        </w:rPr>
        <w:t>on their needs:</w:t>
      </w:r>
    </w:p>
    <w:p w14:paraId="452CADDD" w14:textId="77777777" w:rsidR="00993A9B" w:rsidRDefault="0014671E" w:rsidP="6978AB31">
      <w:pPr>
        <w:numPr>
          <w:ilvl w:val="0"/>
          <w:numId w:val="2"/>
        </w:numPr>
        <w:suppressAutoHyphens w:val="0"/>
        <w:spacing w:after="0" w:line="390" w:lineRule="atLeast"/>
        <w:jc w:val="both"/>
        <w:textAlignment w:val="baseline"/>
        <w:rPr>
          <w:rFonts w:ascii="Arial" w:eastAsia="Arial" w:hAnsi="Arial" w:cs="Arial"/>
          <w:color w:val="535051"/>
          <w:shd w:val="clear" w:color="auto" w:fill="00FFFF"/>
          <w:lang w:eastAsia="en-GB"/>
        </w:rPr>
      </w:pPr>
      <w:r w:rsidRPr="6978AB31">
        <w:rPr>
          <w:rFonts w:ascii="Arial" w:eastAsia="Arial" w:hAnsi="Arial" w:cs="Arial"/>
          <w:color w:val="535051"/>
          <w:shd w:val="clear" w:color="auto" w:fill="00FFFF"/>
          <w:lang w:eastAsia="en-GB"/>
        </w:rPr>
        <w:t>Residential care home</w:t>
      </w:r>
    </w:p>
    <w:p w14:paraId="5E16C668" w14:textId="77777777" w:rsidR="00993A9B" w:rsidRDefault="0014671E" w:rsidP="6978AB31">
      <w:pPr>
        <w:numPr>
          <w:ilvl w:val="0"/>
          <w:numId w:val="2"/>
        </w:numPr>
        <w:suppressAutoHyphens w:val="0"/>
        <w:spacing w:after="0" w:line="390" w:lineRule="atLeast"/>
        <w:jc w:val="both"/>
        <w:textAlignment w:val="baseline"/>
        <w:rPr>
          <w:rFonts w:ascii="Arial" w:eastAsia="Arial" w:hAnsi="Arial" w:cs="Arial"/>
          <w:color w:val="535051"/>
          <w:shd w:val="clear" w:color="auto" w:fill="00FFFF"/>
          <w:lang w:eastAsia="en-GB"/>
        </w:rPr>
      </w:pPr>
      <w:r w:rsidRPr="6978AB31">
        <w:rPr>
          <w:rFonts w:ascii="Arial" w:eastAsia="Arial" w:hAnsi="Arial" w:cs="Arial"/>
          <w:color w:val="535051"/>
          <w:shd w:val="clear" w:color="auto" w:fill="00FFFF"/>
          <w:lang w:eastAsia="en-GB"/>
        </w:rPr>
        <w:t>Nursing care home</w:t>
      </w:r>
    </w:p>
    <w:p w14:paraId="2AC67CCB" w14:textId="77777777" w:rsidR="00993A9B" w:rsidRDefault="0014671E" w:rsidP="6978AB31">
      <w:pPr>
        <w:numPr>
          <w:ilvl w:val="0"/>
          <w:numId w:val="2"/>
        </w:numPr>
        <w:suppressAutoHyphens w:val="0"/>
        <w:spacing w:after="0" w:line="390" w:lineRule="atLeast"/>
        <w:jc w:val="both"/>
        <w:textAlignment w:val="baseline"/>
        <w:rPr>
          <w:rFonts w:ascii="Arial" w:eastAsia="Arial" w:hAnsi="Arial" w:cs="Arial"/>
          <w:color w:val="535051"/>
          <w:shd w:val="clear" w:color="auto" w:fill="00FFFF"/>
          <w:lang w:eastAsia="en-GB"/>
        </w:rPr>
      </w:pPr>
      <w:r w:rsidRPr="6978AB31">
        <w:rPr>
          <w:rFonts w:ascii="Arial" w:eastAsia="Arial" w:hAnsi="Arial" w:cs="Arial"/>
          <w:color w:val="535051"/>
          <w:shd w:val="clear" w:color="auto" w:fill="00FFFF"/>
          <w:lang w:eastAsia="en-GB"/>
        </w:rPr>
        <w:t>Domiciliary care (care at home)</w:t>
      </w:r>
    </w:p>
    <w:p w14:paraId="1BAE38A3" w14:textId="77777777" w:rsidR="00993A9B" w:rsidRDefault="0014671E" w:rsidP="6978AB31">
      <w:pPr>
        <w:numPr>
          <w:ilvl w:val="0"/>
          <w:numId w:val="2"/>
        </w:numPr>
        <w:suppressAutoHyphens w:val="0"/>
        <w:spacing w:after="0" w:line="390" w:lineRule="atLeast"/>
        <w:jc w:val="both"/>
        <w:textAlignment w:val="baseline"/>
        <w:rPr>
          <w:rFonts w:ascii="Arial" w:eastAsia="Arial" w:hAnsi="Arial" w:cs="Arial"/>
          <w:color w:val="535051"/>
          <w:shd w:val="clear" w:color="auto" w:fill="00FFFF"/>
          <w:lang w:eastAsia="en-GB"/>
        </w:rPr>
      </w:pPr>
      <w:r w:rsidRPr="6978AB31">
        <w:rPr>
          <w:rFonts w:ascii="Arial" w:eastAsia="Arial" w:hAnsi="Arial" w:cs="Arial"/>
          <w:color w:val="535051"/>
          <w:shd w:val="clear" w:color="auto" w:fill="00FFFF"/>
          <w:lang w:eastAsia="en-GB"/>
        </w:rPr>
        <w:t>Live-in care</w:t>
      </w:r>
    </w:p>
    <w:p w14:paraId="05BF843C" w14:textId="77777777" w:rsidR="00993A9B" w:rsidRDefault="0014671E" w:rsidP="6978AB31">
      <w:pPr>
        <w:numPr>
          <w:ilvl w:val="0"/>
          <w:numId w:val="2"/>
        </w:numPr>
        <w:suppressAutoHyphens w:val="0"/>
        <w:spacing w:after="0" w:line="390" w:lineRule="atLeast"/>
        <w:jc w:val="both"/>
        <w:textAlignment w:val="baseline"/>
        <w:rPr>
          <w:rFonts w:ascii="Arial" w:eastAsia="Arial" w:hAnsi="Arial" w:cs="Arial"/>
          <w:color w:val="535051"/>
          <w:shd w:val="clear" w:color="auto" w:fill="00FFFF"/>
          <w:lang w:eastAsia="en-GB"/>
        </w:rPr>
      </w:pPr>
      <w:r w:rsidRPr="6978AB31">
        <w:rPr>
          <w:rFonts w:ascii="Arial" w:eastAsia="Arial" w:hAnsi="Arial" w:cs="Arial"/>
          <w:color w:val="535051"/>
          <w:shd w:val="clear" w:color="auto" w:fill="00FFFF"/>
          <w:lang w:eastAsia="en-GB"/>
        </w:rPr>
        <w:t>Respite care</w:t>
      </w:r>
    </w:p>
    <w:p w14:paraId="1F409C0F" w14:textId="77777777" w:rsidR="00993A9B" w:rsidRDefault="0014671E" w:rsidP="6978AB31">
      <w:pPr>
        <w:numPr>
          <w:ilvl w:val="0"/>
          <w:numId w:val="2"/>
        </w:numPr>
        <w:suppressAutoHyphens w:val="0"/>
        <w:spacing w:after="0" w:line="390" w:lineRule="atLeast"/>
        <w:jc w:val="both"/>
        <w:textAlignment w:val="baseline"/>
        <w:rPr>
          <w:rFonts w:ascii="Arial" w:eastAsia="Arial" w:hAnsi="Arial" w:cs="Arial"/>
          <w:color w:val="535051"/>
          <w:shd w:val="clear" w:color="auto" w:fill="00FFFF"/>
          <w:lang w:eastAsia="en-GB"/>
        </w:rPr>
      </w:pPr>
      <w:r w:rsidRPr="6978AB31">
        <w:rPr>
          <w:rFonts w:ascii="Arial" w:eastAsia="Arial" w:hAnsi="Arial" w:cs="Arial"/>
          <w:color w:val="535051"/>
          <w:shd w:val="clear" w:color="auto" w:fill="00FFFF"/>
          <w:lang w:eastAsia="en-GB"/>
        </w:rPr>
        <w:t>Other care options</w:t>
      </w:r>
    </w:p>
    <w:p w14:paraId="0CAFB003" w14:textId="77777777" w:rsidR="00993A9B" w:rsidRDefault="00993A9B" w:rsidP="6978AB31">
      <w:pPr>
        <w:tabs>
          <w:tab w:val="left" w:pos="720"/>
        </w:tabs>
        <w:spacing w:after="120"/>
        <w:contextualSpacing/>
        <w:jc w:val="both"/>
        <w:rPr>
          <w:rFonts w:ascii="Arial" w:eastAsia="Arial" w:hAnsi="Arial" w:cs="Arial"/>
          <w:color w:val="262626"/>
          <w:kern w:val="3"/>
          <w:shd w:val="clear" w:color="auto" w:fill="00FFFF"/>
          <w:lang w:eastAsia="en-GB"/>
        </w:rPr>
      </w:pPr>
    </w:p>
    <w:p w14:paraId="4B001E48" w14:textId="77777777" w:rsidR="00993A9B" w:rsidRDefault="00993A9B" w:rsidP="6978AB31">
      <w:pPr>
        <w:tabs>
          <w:tab w:val="left" w:pos="720"/>
        </w:tabs>
        <w:spacing w:after="120"/>
        <w:contextualSpacing/>
        <w:jc w:val="both"/>
        <w:rPr>
          <w:rFonts w:ascii="Arial" w:eastAsia="Arial" w:hAnsi="Arial" w:cs="Arial"/>
          <w:shd w:val="clear" w:color="auto" w:fill="00FFFF"/>
        </w:rPr>
      </w:pPr>
    </w:p>
    <w:p w14:paraId="5312EC75" w14:textId="09614118" w:rsidR="00993A9B" w:rsidRPr="00281407" w:rsidRDefault="0014671E" w:rsidP="6978AB31">
      <w:pPr>
        <w:shd w:val="clear" w:color="auto" w:fill="FFFFFF" w:themeFill="background1"/>
        <w:suppressAutoHyphens w:val="0"/>
        <w:spacing w:after="0" w:line="360" w:lineRule="auto"/>
        <w:ind w:hanging="120"/>
        <w:jc w:val="both"/>
        <w:rPr>
          <w:rFonts w:ascii="Arial" w:eastAsia="Arial" w:hAnsi="Arial" w:cs="Arial"/>
          <w:lang w:eastAsia="en-GB"/>
        </w:rPr>
      </w:pPr>
      <w:r w:rsidRPr="6978AB31">
        <w:rPr>
          <w:rFonts w:ascii="Arial" w:eastAsia="Arial" w:hAnsi="Arial" w:cs="Arial"/>
          <w:shd w:val="clear" w:color="auto" w:fill="00FFFF"/>
          <w:lang w:eastAsia="en-GB"/>
        </w:rPr>
        <w:t>Holt and Butcher, (2021) highlight</w:t>
      </w:r>
      <w:r w:rsidR="00311990" w:rsidRPr="6978AB31">
        <w:rPr>
          <w:rFonts w:ascii="Arial" w:eastAsia="Arial" w:hAnsi="Arial" w:cs="Arial"/>
          <w:shd w:val="clear" w:color="auto" w:fill="00FFFF"/>
          <w:lang w:eastAsia="en-GB"/>
        </w:rPr>
        <w:t>s</w:t>
      </w:r>
      <w:r w:rsidRPr="6978AB31">
        <w:rPr>
          <w:rFonts w:ascii="Arial" w:eastAsia="Arial" w:hAnsi="Arial" w:cs="Arial"/>
          <w:shd w:val="clear" w:color="auto" w:fill="00FFFF"/>
          <w:lang w:eastAsia="en-GB"/>
        </w:rPr>
        <w:t xml:space="preserve"> that </w:t>
      </w:r>
      <w:r w:rsidRPr="6978AB31">
        <w:rPr>
          <w:rFonts w:ascii="Arial" w:eastAsia="Arial" w:hAnsi="Arial" w:cs="Arial"/>
          <w:kern w:val="3"/>
          <w:shd w:val="clear" w:color="auto" w:fill="00FFFF"/>
          <w:lang w:eastAsia="en-GB"/>
        </w:rPr>
        <w:t xml:space="preserve">the </w:t>
      </w:r>
      <w:r w:rsidR="00311990" w:rsidRPr="6978AB31">
        <w:rPr>
          <w:rFonts w:ascii="Arial" w:eastAsia="Arial" w:hAnsi="Arial" w:cs="Arial"/>
          <w:kern w:val="3"/>
          <w:shd w:val="clear" w:color="auto" w:fill="00FFFF"/>
          <w:lang w:eastAsia="en-GB"/>
        </w:rPr>
        <w:t xml:space="preserve">UK </w:t>
      </w:r>
      <w:r w:rsidRPr="6978AB31">
        <w:rPr>
          <w:rFonts w:ascii="Arial" w:eastAsia="Arial" w:hAnsi="Arial" w:cs="Arial"/>
          <w:kern w:val="3"/>
          <w:shd w:val="clear" w:color="auto" w:fill="00FFFF"/>
          <w:lang w:eastAsia="en-GB"/>
        </w:rPr>
        <w:t xml:space="preserve">health care system </w:t>
      </w:r>
      <w:r w:rsidR="00281407" w:rsidRPr="6978AB31">
        <w:rPr>
          <w:rFonts w:ascii="Arial" w:eastAsia="Arial" w:hAnsi="Arial" w:cs="Arial"/>
          <w:kern w:val="3"/>
          <w:shd w:val="clear" w:color="auto" w:fill="00FFFF"/>
          <w:lang w:eastAsia="en-GB"/>
        </w:rPr>
        <w:t xml:space="preserve">is </w:t>
      </w:r>
      <w:r w:rsidRPr="6978AB31">
        <w:rPr>
          <w:rFonts w:ascii="Arial" w:eastAsia="Arial" w:hAnsi="Arial" w:cs="Arial"/>
          <w:kern w:val="3"/>
          <w:shd w:val="clear" w:color="auto" w:fill="00FFFF"/>
          <w:lang w:eastAsia="en-GB"/>
        </w:rPr>
        <w:t>overburdened as a result of an ageing popula</w:t>
      </w:r>
      <w:r w:rsidR="00281407" w:rsidRPr="6978AB31">
        <w:rPr>
          <w:rFonts w:ascii="Arial" w:eastAsia="Arial" w:hAnsi="Arial" w:cs="Arial"/>
          <w:kern w:val="3"/>
          <w:shd w:val="clear" w:color="auto" w:fill="00FFFF"/>
          <w:lang w:eastAsia="en-GB"/>
        </w:rPr>
        <w:t>tion</w:t>
      </w:r>
      <w:r w:rsidRPr="6978AB31">
        <w:rPr>
          <w:rFonts w:ascii="Arial" w:eastAsia="Arial" w:hAnsi="Arial" w:cs="Arial"/>
          <w:kern w:val="3"/>
          <w:shd w:val="clear" w:color="auto" w:fill="00FFFF"/>
          <w:lang w:eastAsia="en-GB"/>
        </w:rPr>
        <w:t xml:space="preserve">. Longevity may be seen as a </w:t>
      </w:r>
    </w:p>
    <w:p w14:paraId="18063952" w14:textId="7CB8E926" w:rsidR="00993A9B" w:rsidRDefault="0014671E" w:rsidP="6978AB31">
      <w:pPr>
        <w:shd w:val="clear" w:color="auto" w:fill="FFFFFF" w:themeFill="background1"/>
        <w:suppressAutoHyphens w:val="0"/>
        <w:spacing w:after="0" w:line="360" w:lineRule="auto"/>
        <w:ind w:hanging="120"/>
        <w:jc w:val="both"/>
        <w:rPr>
          <w:rFonts w:ascii="Arial" w:eastAsia="Arial" w:hAnsi="Arial" w:cs="Arial"/>
          <w:lang w:eastAsia="en-GB"/>
        </w:rPr>
      </w:pPr>
      <w:r w:rsidRPr="6978AB31">
        <w:rPr>
          <w:rFonts w:ascii="Arial" w:eastAsia="Arial" w:hAnsi="Arial" w:cs="Arial"/>
          <w:kern w:val="3"/>
          <w:shd w:val="clear" w:color="auto" w:fill="00FFFF"/>
          <w:lang w:eastAsia="en-GB"/>
        </w:rPr>
        <w:t>benefit: however most elderly individuals are afflicted by medical ailments and require</w:t>
      </w:r>
      <w:r w:rsidR="005F6432" w:rsidRPr="6978AB31">
        <w:rPr>
          <w:rFonts w:ascii="Arial" w:eastAsia="Arial" w:hAnsi="Arial" w:cs="Arial"/>
          <w:kern w:val="3"/>
          <w:shd w:val="clear" w:color="auto" w:fill="00FFFF"/>
          <w:lang w:eastAsia="en-GB"/>
        </w:rPr>
        <w:t xml:space="preserve"> </w:t>
      </w:r>
      <w:r w:rsidRPr="6978AB31">
        <w:rPr>
          <w:rFonts w:ascii="Arial" w:eastAsia="Arial" w:hAnsi="Arial" w:cs="Arial"/>
          <w:kern w:val="3"/>
          <w:shd w:val="clear" w:color="auto" w:fill="00FFFF"/>
          <w:lang w:eastAsia="en-GB"/>
        </w:rPr>
        <w:t xml:space="preserve">assistance with basic daily tasks. In fact, the number of working-age persons in need of care is increasing at the greatest rate, </w:t>
      </w:r>
      <w:r w:rsidR="002272AD" w:rsidRPr="6978AB31">
        <w:rPr>
          <w:rFonts w:ascii="Arial" w:eastAsia="Arial" w:hAnsi="Arial" w:cs="Arial"/>
          <w:kern w:val="3"/>
          <w:shd w:val="clear" w:color="auto" w:fill="00FFFF"/>
          <w:lang w:eastAsia="en-GB"/>
        </w:rPr>
        <w:t>in contrast to</w:t>
      </w:r>
      <w:r w:rsidRPr="6978AB31">
        <w:rPr>
          <w:rFonts w:ascii="Arial" w:eastAsia="Arial" w:hAnsi="Arial" w:cs="Arial"/>
          <w:kern w:val="3"/>
          <w:shd w:val="clear" w:color="auto" w:fill="00FFFF"/>
          <w:lang w:eastAsia="en-GB"/>
        </w:rPr>
        <w:t xml:space="preserve"> </w:t>
      </w:r>
      <w:r w:rsidR="002272AD" w:rsidRPr="6978AB31">
        <w:rPr>
          <w:rFonts w:ascii="Arial" w:eastAsia="Arial" w:hAnsi="Arial" w:cs="Arial"/>
          <w:kern w:val="3"/>
          <w:shd w:val="clear" w:color="auto" w:fill="00FFFF"/>
          <w:lang w:eastAsia="en-GB"/>
        </w:rPr>
        <w:t xml:space="preserve">the </w:t>
      </w:r>
      <w:r w:rsidRPr="6978AB31">
        <w:rPr>
          <w:rFonts w:ascii="Arial" w:eastAsia="Arial" w:hAnsi="Arial" w:cs="Arial"/>
          <w:kern w:val="3"/>
          <w:shd w:val="clear" w:color="auto" w:fill="00FFFF"/>
          <w:lang w:eastAsia="en-GB"/>
        </w:rPr>
        <w:t>over-65s. According to the Kings Fund (2020)</w:t>
      </w:r>
      <w:r w:rsidR="004562DB" w:rsidRPr="6978AB31">
        <w:rPr>
          <w:rFonts w:ascii="Arial" w:eastAsia="Arial" w:hAnsi="Arial" w:cs="Arial"/>
          <w:kern w:val="3"/>
          <w:shd w:val="clear" w:color="auto" w:fill="00FFFF"/>
          <w:lang w:eastAsia="en-GB"/>
        </w:rPr>
        <w:t xml:space="preserve">, </w:t>
      </w:r>
      <w:r w:rsidRPr="6978AB31">
        <w:rPr>
          <w:rFonts w:ascii="Arial" w:eastAsia="Arial" w:hAnsi="Arial" w:cs="Arial"/>
          <w:kern w:val="3"/>
          <w:shd w:val="clear" w:color="auto" w:fill="00FFFF"/>
          <w:lang w:eastAsia="en-GB"/>
        </w:rPr>
        <w:t>the cost of care for working-age persons is roughly twice as high as that for the elderly.</w:t>
      </w:r>
    </w:p>
    <w:p w14:paraId="41D1B915" w14:textId="77777777" w:rsidR="00993A9B" w:rsidRDefault="00993A9B" w:rsidP="6978AB31">
      <w:pPr>
        <w:shd w:val="clear" w:color="auto" w:fill="FFFFFF" w:themeFill="background1"/>
        <w:suppressAutoHyphens w:val="0"/>
        <w:spacing w:after="0" w:line="360" w:lineRule="auto"/>
        <w:ind w:hanging="120"/>
        <w:jc w:val="both"/>
        <w:rPr>
          <w:rFonts w:ascii="Arial" w:eastAsia="Arial" w:hAnsi="Arial" w:cs="Arial"/>
          <w:shd w:val="clear" w:color="auto" w:fill="00FFFF"/>
        </w:rPr>
      </w:pPr>
    </w:p>
    <w:p w14:paraId="5BD95C50" w14:textId="24E30E8B" w:rsidR="00993A9B" w:rsidRDefault="0014671E" w:rsidP="6978AB31">
      <w:pPr>
        <w:tabs>
          <w:tab w:val="left" w:pos="720"/>
        </w:tabs>
        <w:spacing w:after="120" w:line="360" w:lineRule="auto"/>
        <w:contextualSpacing/>
        <w:jc w:val="both"/>
        <w:rPr>
          <w:rFonts w:ascii="Arial" w:eastAsia="Arial" w:hAnsi="Arial" w:cs="Arial"/>
          <w:shd w:val="clear" w:color="auto" w:fill="00FFFF"/>
        </w:rPr>
      </w:pPr>
      <w:r w:rsidRPr="6978AB31">
        <w:rPr>
          <w:rFonts w:ascii="Arial" w:eastAsia="Arial" w:hAnsi="Arial" w:cs="Arial"/>
          <w:shd w:val="clear" w:color="auto" w:fill="00FFFF"/>
        </w:rPr>
        <w:t>It has been determined that</w:t>
      </w:r>
      <w:r w:rsidR="004562DB" w:rsidRPr="6978AB31">
        <w:rPr>
          <w:rFonts w:ascii="Arial" w:eastAsia="Arial" w:hAnsi="Arial" w:cs="Arial"/>
          <w:shd w:val="clear" w:color="auto" w:fill="00FFFF"/>
        </w:rPr>
        <w:t xml:space="preserve"> </w:t>
      </w:r>
      <w:r w:rsidRPr="6978AB31">
        <w:rPr>
          <w:rFonts w:ascii="Arial" w:eastAsia="Arial" w:hAnsi="Arial" w:cs="Arial"/>
          <w:shd w:val="clear" w:color="auto" w:fill="00FFFF"/>
        </w:rPr>
        <w:t xml:space="preserve">in line with new government regulations announced in September 2021, the adult social care system in England has been changed </w:t>
      </w:r>
      <w:r w:rsidR="0051431B" w:rsidRPr="6978AB31">
        <w:rPr>
          <w:rFonts w:ascii="Arial" w:eastAsia="Arial" w:hAnsi="Arial" w:cs="Arial"/>
          <w:shd w:val="clear" w:color="auto" w:fill="00FFFF"/>
        </w:rPr>
        <w:t>(The</w:t>
      </w:r>
      <w:r w:rsidRPr="6978AB31">
        <w:rPr>
          <w:rFonts w:ascii="Arial" w:eastAsia="Arial" w:hAnsi="Arial" w:cs="Arial"/>
          <w:shd w:val="clear" w:color="auto" w:fill="00FFFF"/>
        </w:rPr>
        <w:t xml:space="preserve"> House of Commons 2022). It has been decided to implement the Health and Social Care Levy, a new tax that will help pay for the repairs. This charge will assist</w:t>
      </w:r>
      <w:r w:rsidR="00FC4A6C" w:rsidRPr="6978AB31">
        <w:rPr>
          <w:rFonts w:ascii="Arial" w:eastAsia="Arial" w:hAnsi="Arial" w:cs="Arial"/>
          <w:shd w:val="clear" w:color="auto" w:fill="00FFFF"/>
        </w:rPr>
        <w:t xml:space="preserve"> in </w:t>
      </w:r>
      <w:r w:rsidRPr="6978AB31">
        <w:rPr>
          <w:rFonts w:ascii="Arial" w:eastAsia="Arial" w:hAnsi="Arial" w:cs="Arial"/>
          <w:shd w:val="clear" w:color="auto" w:fill="00FFFF"/>
        </w:rPr>
        <w:t>pay</w:t>
      </w:r>
      <w:r w:rsidR="00FC4A6C" w:rsidRPr="6978AB31">
        <w:rPr>
          <w:rFonts w:ascii="Arial" w:eastAsia="Arial" w:hAnsi="Arial" w:cs="Arial"/>
          <w:shd w:val="clear" w:color="auto" w:fill="00FFFF"/>
        </w:rPr>
        <w:t>ing</w:t>
      </w:r>
      <w:r w:rsidRPr="6978AB31">
        <w:rPr>
          <w:rFonts w:ascii="Arial" w:eastAsia="Arial" w:hAnsi="Arial" w:cs="Arial"/>
          <w:shd w:val="clear" w:color="auto" w:fill="00FFFF"/>
        </w:rPr>
        <w:t xml:space="preserve"> for the improvements. The tax is estimated to generate £5.4 billion in income over the following three years, which will be used to pay for adult social care services within three years of implementation (2022 to 2025).</w:t>
      </w:r>
    </w:p>
    <w:p w14:paraId="3CB75961" w14:textId="2780B06B" w:rsidR="00993A9B" w:rsidRDefault="00F15542" w:rsidP="6978AB31">
      <w:pPr>
        <w:spacing w:line="360" w:lineRule="auto"/>
        <w:jc w:val="both"/>
        <w:rPr>
          <w:rFonts w:ascii="Arial" w:eastAsia="Arial" w:hAnsi="Arial" w:cs="Arial"/>
          <w:color w:val="000000"/>
          <w:kern w:val="3"/>
          <w:shd w:val="clear" w:color="auto" w:fill="00FFFF"/>
        </w:rPr>
      </w:pPr>
      <w:r w:rsidRPr="6978AB31">
        <w:rPr>
          <w:rFonts w:ascii="Arial" w:eastAsia="Arial" w:hAnsi="Arial" w:cs="Arial"/>
          <w:color w:val="000000"/>
          <w:kern w:val="3"/>
          <w:shd w:val="clear" w:color="auto" w:fill="00FFFF"/>
        </w:rPr>
        <w:lastRenderedPageBreak/>
        <w:t xml:space="preserve">The </w:t>
      </w:r>
      <w:r w:rsidR="0014671E" w:rsidRPr="6978AB31">
        <w:rPr>
          <w:rFonts w:ascii="Arial" w:eastAsia="Arial" w:hAnsi="Arial" w:cs="Arial"/>
          <w:color w:val="000000"/>
          <w:kern w:val="3"/>
          <w:shd w:val="clear" w:color="auto" w:fill="00FFFF"/>
        </w:rPr>
        <w:t xml:space="preserve">Kings Fund (2022) claims </w:t>
      </w:r>
      <w:r w:rsidRPr="6978AB31">
        <w:rPr>
          <w:rFonts w:ascii="Arial" w:eastAsia="Arial" w:hAnsi="Arial" w:cs="Arial"/>
          <w:color w:val="000000"/>
          <w:kern w:val="3"/>
          <w:shd w:val="clear" w:color="auto" w:fill="00FFFF"/>
        </w:rPr>
        <w:t>that the COVID</w:t>
      </w:r>
      <w:r w:rsidR="0014671E" w:rsidRPr="6978AB31">
        <w:rPr>
          <w:rFonts w:ascii="Arial" w:eastAsia="Arial" w:hAnsi="Arial" w:cs="Arial"/>
          <w:color w:val="000000"/>
          <w:kern w:val="3"/>
          <w:shd w:val="clear" w:color="auto" w:fill="00FFFF"/>
        </w:rPr>
        <w:t xml:space="preserve">-19 </w:t>
      </w:r>
      <w:r w:rsidRPr="6978AB31">
        <w:rPr>
          <w:rFonts w:ascii="Arial" w:eastAsia="Arial" w:hAnsi="Arial" w:cs="Arial"/>
          <w:color w:val="000000"/>
          <w:kern w:val="3"/>
          <w:shd w:val="clear" w:color="auto" w:fill="00FFFF"/>
        </w:rPr>
        <w:t xml:space="preserve">pandemic </w:t>
      </w:r>
      <w:r w:rsidR="0014671E" w:rsidRPr="6978AB31">
        <w:rPr>
          <w:rFonts w:ascii="Arial" w:eastAsia="Arial" w:hAnsi="Arial" w:cs="Arial"/>
          <w:color w:val="000000"/>
          <w:kern w:val="3"/>
          <w:shd w:val="clear" w:color="auto" w:fill="00FFFF"/>
        </w:rPr>
        <w:t>has worsened several social care issues. Such as C</w:t>
      </w:r>
      <w:r w:rsidR="00B21F21" w:rsidRPr="6978AB31">
        <w:rPr>
          <w:rFonts w:ascii="Arial" w:eastAsia="Arial" w:hAnsi="Arial" w:cs="Arial"/>
          <w:color w:val="000000"/>
          <w:kern w:val="3"/>
          <w:shd w:val="clear" w:color="auto" w:fill="00FFFF"/>
        </w:rPr>
        <w:t>OVID</w:t>
      </w:r>
      <w:r w:rsidR="0014671E" w:rsidRPr="6978AB31">
        <w:rPr>
          <w:rFonts w:ascii="Arial" w:eastAsia="Arial" w:hAnsi="Arial" w:cs="Arial"/>
          <w:color w:val="000000"/>
          <w:kern w:val="3"/>
          <w:shd w:val="clear" w:color="auto" w:fill="00FFFF"/>
        </w:rPr>
        <w:t xml:space="preserve">-19 has had a catastrophic impact on </w:t>
      </w:r>
      <w:r w:rsidR="007F13C7" w:rsidRPr="6978AB31">
        <w:rPr>
          <w:rFonts w:ascii="Arial" w:eastAsia="Arial" w:hAnsi="Arial" w:cs="Arial"/>
          <w:color w:val="000000"/>
          <w:kern w:val="3"/>
          <w:shd w:val="clear" w:color="auto" w:fill="00FFFF"/>
        </w:rPr>
        <w:t xml:space="preserve">the </w:t>
      </w:r>
      <w:r w:rsidR="0014671E" w:rsidRPr="6978AB31">
        <w:rPr>
          <w:rFonts w:ascii="Arial" w:eastAsia="Arial" w:hAnsi="Arial" w:cs="Arial"/>
          <w:color w:val="000000"/>
          <w:kern w:val="3"/>
          <w:shd w:val="clear" w:color="auto" w:fill="00FFFF"/>
        </w:rPr>
        <w:t xml:space="preserve">quality </w:t>
      </w:r>
      <w:r w:rsidR="007F13C7" w:rsidRPr="6978AB31">
        <w:rPr>
          <w:rFonts w:ascii="Arial" w:eastAsia="Arial" w:hAnsi="Arial" w:cs="Arial"/>
          <w:color w:val="000000"/>
          <w:kern w:val="3"/>
          <w:shd w:val="clear" w:color="auto" w:fill="00FFFF"/>
        </w:rPr>
        <w:t xml:space="preserve">of care </w:t>
      </w:r>
      <w:r w:rsidR="0014671E" w:rsidRPr="6978AB31">
        <w:rPr>
          <w:rFonts w:ascii="Arial" w:eastAsia="Arial" w:hAnsi="Arial" w:cs="Arial"/>
          <w:color w:val="000000"/>
          <w:kern w:val="3"/>
          <w:shd w:val="clear" w:color="auto" w:fill="00FFFF"/>
        </w:rPr>
        <w:t>and has influenced it in other ways. During the early phases of the pandemic, C</w:t>
      </w:r>
      <w:r w:rsidR="007F13C7" w:rsidRPr="6978AB31">
        <w:rPr>
          <w:rFonts w:ascii="Arial" w:eastAsia="Arial" w:hAnsi="Arial" w:cs="Arial"/>
          <w:color w:val="000000"/>
          <w:kern w:val="3"/>
          <w:shd w:val="clear" w:color="auto" w:fill="00FFFF"/>
        </w:rPr>
        <w:t>OVID</w:t>
      </w:r>
      <w:r w:rsidR="0014671E" w:rsidRPr="6978AB31">
        <w:rPr>
          <w:rFonts w:ascii="Arial" w:eastAsia="Arial" w:hAnsi="Arial" w:cs="Arial"/>
          <w:color w:val="000000"/>
          <w:kern w:val="3"/>
          <w:shd w:val="clear" w:color="auto" w:fill="00FFFF"/>
        </w:rPr>
        <w:t>-19 r</w:t>
      </w:r>
      <w:r w:rsidR="002F5AF5" w:rsidRPr="6978AB31">
        <w:rPr>
          <w:rFonts w:ascii="Arial" w:eastAsia="Arial" w:hAnsi="Arial" w:cs="Arial"/>
          <w:color w:val="000000"/>
          <w:kern w:val="3"/>
          <w:shd w:val="clear" w:color="auto" w:fill="00FFFF"/>
        </w:rPr>
        <w:t>esulted in</w:t>
      </w:r>
      <w:r w:rsidR="0014671E" w:rsidRPr="6978AB31">
        <w:rPr>
          <w:rFonts w:ascii="Arial" w:eastAsia="Arial" w:hAnsi="Arial" w:cs="Arial"/>
          <w:color w:val="000000"/>
          <w:kern w:val="3"/>
          <w:shd w:val="clear" w:color="auto" w:fill="00FFFF"/>
        </w:rPr>
        <w:t xml:space="preserve"> neglected social care, </w:t>
      </w:r>
      <w:r w:rsidR="002F5AF5" w:rsidRPr="6978AB31">
        <w:rPr>
          <w:rFonts w:ascii="Arial" w:eastAsia="Arial" w:hAnsi="Arial" w:cs="Arial"/>
          <w:color w:val="000000"/>
          <w:kern w:val="3"/>
          <w:shd w:val="clear" w:color="auto" w:fill="00FFFF"/>
        </w:rPr>
        <w:t xml:space="preserve">with </w:t>
      </w:r>
      <w:r w:rsidR="0014671E" w:rsidRPr="6978AB31">
        <w:rPr>
          <w:rFonts w:ascii="Arial" w:eastAsia="Arial" w:hAnsi="Arial" w:cs="Arial"/>
          <w:color w:val="000000"/>
          <w:kern w:val="3"/>
          <w:shd w:val="clear" w:color="auto" w:fill="00FFFF"/>
        </w:rPr>
        <w:t xml:space="preserve">only 15 minutes visits in </w:t>
      </w:r>
      <w:r w:rsidR="00D53FA8" w:rsidRPr="6978AB31">
        <w:rPr>
          <w:rFonts w:ascii="Arial" w:eastAsia="Arial" w:hAnsi="Arial" w:cs="Arial"/>
          <w:color w:val="000000"/>
          <w:kern w:val="3"/>
          <w:shd w:val="clear" w:color="auto" w:fill="00FFFF"/>
        </w:rPr>
        <w:t>domiciliary</w:t>
      </w:r>
      <w:r w:rsidR="0014671E" w:rsidRPr="6978AB31">
        <w:rPr>
          <w:rFonts w:ascii="Arial" w:eastAsia="Arial" w:hAnsi="Arial" w:cs="Arial"/>
          <w:color w:val="000000"/>
          <w:kern w:val="3"/>
          <w:shd w:val="clear" w:color="auto" w:fill="00FFFF"/>
        </w:rPr>
        <w:t xml:space="preserve"> care</w:t>
      </w:r>
      <w:r w:rsidR="00D53FA8" w:rsidRPr="6978AB31">
        <w:rPr>
          <w:rFonts w:ascii="Arial" w:eastAsia="Arial" w:hAnsi="Arial" w:cs="Arial"/>
          <w:color w:val="000000"/>
          <w:kern w:val="3"/>
          <w:shd w:val="clear" w:color="auto" w:fill="00FFFF"/>
        </w:rPr>
        <w:t>, with</w:t>
      </w:r>
      <w:r w:rsidR="0014671E" w:rsidRPr="6978AB31">
        <w:rPr>
          <w:rFonts w:ascii="Arial" w:eastAsia="Arial" w:hAnsi="Arial" w:cs="Arial"/>
          <w:color w:val="000000"/>
          <w:kern w:val="3"/>
          <w:shd w:val="clear" w:color="auto" w:fill="00FFFF"/>
        </w:rPr>
        <w:t xml:space="preserve"> the amount of that impact </w:t>
      </w:r>
      <w:r w:rsidR="00D53FA8" w:rsidRPr="6978AB31">
        <w:rPr>
          <w:rFonts w:ascii="Arial" w:eastAsia="Arial" w:hAnsi="Arial" w:cs="Arial"/>
          <w:color w:val="000000"/>
          <w:kern w:val="3"/>
          <w:shd w:val="clear" w:color="auto" w:fill="00FFFF"/>
        </w:rPr>
        <w:t xml:space="preserve">being </w:t>
      </w:r>
      <w:r w:rsidR="0014671E" w:rsidRPr="6978AB31">
        <w:rPr>
          <w:rFonts w:ascii="Arial" w:eastAsia="Arial" w:hAnsi="Arial" w:cs="Arial"/>
          <w:color w:val="000000"/>
          <w:kern w:val="3"/>
          <w:shd w:val="clear" w:color="auto" w:fill="00FFFF"/>
        </w:rPr>
        <w:t>unknown. C</w:t>
      </w:r>
      <w:r w:rsidR="00057461" w:rsidRPr="6978AB31">
        <w:rPr>
          <w:rFonts w:ascii="Arial" w:eastAsia="Arial" w:hAnsi="Arial" w:cs="Arial"/>
          <w:color w:val="000000"/>
          <w:kern w:val="3"/>
          <w:shd w:val="clear" w:color="auto" w:fill="00FFFF"/>
        </w:rPr>
        <w:t>OVID</w:t>
      </w:r>
      <w:r w:rsidR="0014671E" w:rsidRPr="6978AB31">
        <w:rPr>
          <w:rFonts w:ascii="Arial" w:eastAsia="Arial" w:hAnsi="Arial" w:cs="Arial"/>
          <w:color w:val="000000"/>
          <w:kern w:val="3"/>
          <w:shd w:val="clear" w:color="auto" w:fill="00FFFF"/>
        </w:rPr>
        <w:t>-19 ha</w:t>
      </w:r>
      <w:r w:rsidR="00057461" w:rsidRPr="6978AB31">
        <w:rPr>
          <w:rFonts w:ascii="Arial" w:eastAsia="Arial" w:hAnsi="Arial" w:cs="Arial"/>
          <w:color w:val="000000"/>
          <w:kern w:val="3"/>
          <w:shd w:val="clear" w:color="auto" w:fill="00FFFF"/>
        </w:rPr>
        <w:t>s</w:t>
      </w:r>
      <w:r w:rsidR="0014671E" w:rsidRPr="6978AB31">
        <w:rPr>
          <w:rFonts w:ascii="Arial" w:eastAsia="Arial" w:hAnsi="Arial" w:cs="Arial"/>
          <w:color w:val="000000"/>
          <w:kern w:val="3"/>
          <w:shd w:val="clear" w:color="auto" w:fill="00FFFF"/>
        </w:rPr>
        <w:t xml:space="preserve"> aggravated the social care postcode lottery, </w:t>
      </w:r>
      <w:r w:rsidR="00506A6A" w:rsidRPr="6978AB31">
        <w:rPr>
          <w:rFonts w:ascii="Arial" w:eastAsia="Arial" w:hAnsi="Arial" w:cs="Arial"/>
          <w:color w:val="000000"/>
          <w:kern w:val="3"/>
          <w:shd w:val="clear" w:color="auto" w:fill="00FFFF"/>
        </w:rPr>
        <w:t>but</w:t>
      </w:r>
      <w:r w:rsidR="0014671E" w:rsidRPr="6978AB31">
        <w:rPr>
          <w:rFonts w:ascii="Arial" w:eastAsia="Arial" w:hAnsi="Arial" w:cs="Arial"/>
          <w:color w:val="000000"/>
          <w:kern w:val="3"/>
          <w:shd w:val="clear" w:color="auto" w:fill="00FFFF"/>
        </w:rPr>
        <w:t xml:space="preserve"> </w:t>
      </w:r>
      <w:r w:rsidR="00D55998" w:rsidRPr="6978AB31">
        <w:rPr>
          <w:rFonts w:ascii="Arial" w:eastAsia="Arial" w:hAnsi="Arial" w:cs="Arial"/>
          <w:color w:val="000000"/>
          <w:kern w:val="3"/>
          <w:shd w:val="clear" w:color="auto" w:fill="00FFFF"/>
        </w:rPr>
        <w:t>there</w:t>
      </w:r>
      <w:r w:rsidR="0014671E" w:rsidRPr="6978AB31">
        <w:rPr>
          <w:rFonts w:ascii="Arial" w:eastAsia="Arial" w:hAnsi="Arial" w:cs="Arial"/>
          <w:color w:val="000000"/>
          <w:kern w:val="3"/>
          <w:shd w:val="clear" w:color="auto" w:fill="00FFFF"/>
        </w:rPr>
        <w:t xml:space="preserve"> </w:t>
      </w:r>
      <w:r w:rsidR="00D55998" w:rsidRPr="6978AB31">
        <w:rPr>
          <w:rFonts w:ascii="Arial" w:eastAsia="Arial" w:hAnsi="Arial" w:cs="Arial"/>
          <w:color w:val="000000"/>
          <w:kern w:val="3"/>
          <w:shd w:val="clear" w:color="auto" w:fill="00FFFF"/>
        </w:rPr>
        <w:t>is</w:t>
      </w:r>
      <w:r w:rsidR="0014671E" w:rsidRPr="6978AB31">
        <w:rPr>
          <w:rFonts w:ascii="Arial" w:eastAsia="Arial" w:hAnsi="Arial" w:cs="Arial"/>
          <w:color w:val="000000"/>
          <w:kern w:val="3"/>
          <w:shd w:val="clear" w:color="auto" w:fill="00FFFF"/>
        </w:rPr>
        <w:t xml:space="preserve"> not even have enough data to </w:t>
      </w:r>
      <w:r w:rsidR="00D55998" w:rsidRPr="6978AB31">
        <w:rPr>
          <w:rFonts w:ascii="Arial" w:eastAsia="Arial" w:hAnsi="Arial" w:cs="Arial"/>
          <w:color w:val="000000"/>
          <w:kern w:val="3"/>
          <w:shd w:val="clear" w:color="auto" w:fill="00FFFF"/>
        </w:rPr>
        <w:t>reveal the extent of this</w:t>
      </w:r>
      <w:r w:rsidR="0014671E" w:rsidRPr="6978AB31">
        <w:rPr>
          <w:rFonts w:ascii="Arial" w:eastAsia="Arial" w:hAnsi="Arial" w:cs="Arial"/>
          <w:color w:val="000000"/>
          <w:kern w:val="3"/>
          <w:shd w:val="clear" w:color="auto" w:fill="00FFFF"/>
        </w:rPr>
        <w:t xml:space="preserve">. </w:t>
      </w:r>
      <w:r w:rsidR="00D55998" w:rsidRPr="6978AB31">
        <w:rPr>
          <w:rFonts w:ascii="Arial" w:eastAsia="Arial" w:hAnsi="Arial" w:cs="Arial"/>
          <w:color w:val="000000"/>
          <w:kern w:val="3"/>
          <w:shd w:val="clear" w:color="auto" w:fill="00FFFF"/>
        </w:rPr>
        <w:t xml:space="preserve">In addition, it has also </w:t>
      </w:r>
      <w:r w:rsidR="0014671E" w:rsidRPr="6978AB31">
        <w:rPr>
          <w:rFonts w:ascii="Arial" w:eastAsia="Arial" w:hAnsi="Arial" w:cs="Arial"/>
          <w:color w:val="000000"/>
          <w:kern w:val="3"/>
          <w:shd w:val="clear" w:color="auto" w:fill="00FFFF"/>
        </w:rPr>
        <w:t xml:space="preserve">identified the inadequate workforce pay and working conditions encountered by social care workers. </w:t>
      </w:r>
      <w:r w:rsidR="009709D9" w:rsidRPr="6978AB31">
        <w:rPr>
          <w:rFonts w:ascii="Arial" w:eastAsia="Arial" w:hAnsi="Arial" w:cs="Arial"/>
          <w:color w:val="000000"/>
          <w:kern w:val="3"/>
          <w:shd w:val="clear" w:color="auto" w:fill="00FFFF"/>
        </w:rPr>
        <w:t xml:space="preserve">The pandemic </w:t>
      </w:r>
      <w:r w:rsidR="0014671E" w:rsidRPr="6978AB31">
        <w:rPr>
          <w:rFonts w:ascii="Arial" w:eastAsia="Arial" w:hAnsi="Arial" w:cs="Arial"/>
          <w:color w:val="000000"/>
          <w:kern w:val="3"/>
          <w:shd w:val="clear" w:color="auto" w:fill="00FFFF"/>
        </w:rPr>
        <w:t xml:space="preserve">has disrupted the industry, especially for residential care, and </w:t>
      </w:r>
      <w:r w:rsidR="009709D9" w:rsidRPr="6978AB31">
        <w:rPr>
          <w:rFonts w:ascii="Arial" w:eastAsia="Arial" w:hAnsi="Arial" w:cs="Arial"/>
          <w:color w:val="000000"/>
          <w:kern w:val="3"/>
          <w:shd w:val="clear" w:color="auto" w:fill="00FFFF"/>
        </w:rPr>
        <w:t xml:space="preserve">as a result </w:t>
      </w:r>
      <w:r w:rsidR="0014671E" w:rsidRPr="6978AB31">
        <w:rPr>
          <w:rFonts w:ascii="Arial" w:eastAsia="Arial" w:hAnsi="Arial" w:cs="Arial"/>
          <w:color w:val="000000"/>
          <w:kern w:val="3"/>
          <w:shd w:val="clear" w:color="auto" w:fill="00FFFF"/>
        </w:rPr>
        <w:t xml:space="preserve">may cost some providers their business. </w:t>
      </w:r>
      <w:r w:rsidR="009709D9" w:rsidRPr="6978AB31">
        <w:rPr>
          <w:rFonts w:ascii="Arial" w:eastAsia="Arial" w:hAnsi="Arial" w:cs="Arial"/>
          <w:color w:val="000000"/>
          <w:kern w:val="3"/>
          <w:shd w:val="clear" w:color="auto" w:fill="00FFFF"/>
        </w:rPr>
        <w:t xml:space="preserve">It also caused </w:t>
      </w:r>
      <w:r w:rsidR="0014671E" w:rsidRPr="6978AB31">
        <w:rPr>
          <w:rFonts w:ascii="Arial" w:eastAsia="Arial" w:hAnsi="Arial" w:cs="Arial"/>
          <w:color w:val="000000"/>
          <w:kern w:val="3"/>
          <w:shd w:val="clear" w:color="auto" w:fill="00FFFF"/>
        </w:rPr>
        <w:t>change</w:t>
      </w:r>
      <w:r w:rsidR="009709D9" w:rsidRPr="6978AB31">
        <w:rPr>
          <w:rFonts w:ascii="Arial" w:eastAsia="Arial" w:hAnsi="Arial" w:cs="Arial"/>
          <w:color w:val="000000"/>
          <w:kern w:val="3"/>
          <w:shd w:val="clear" w:color="auto" w:fill="00FFFF"/>
        </w:rPr>
        <w:t>s to</w:t>
      </w:r>
      <w:r w:rsidR="0014671E" w:rsidRPr="6978AB31">
        <w:rPr>
          <w:rFonts w:ascii="Arial" w:eastAsia="Arial" w:hAnsi="Arial" w:cs="Arial"/>
          <w:color w:val="000000"/>
          <w:kern w:val="3"/>
          <w:shd w:val="clear" w:color="auto" w:fill="00FFFF"/>
        </w:rPr>
        <w:t xml:space="preserve"> hospital discharge</w:t>
      </w:r>
      <w:r w:rsidR="0063157C" w:rsidRPr="6978AB31">
        <w:rPr>
          <w:rFonts w:ascii="Arial" w:eastAsia="Arial" w:hAnsi="Arial" w:cs="Arial"/>
          <w:color w:val="000000"/>
          <w:kern w:val="3"/>
          <w:shd w:val="clear" w:color="auto" w:fill="00FFFF"/>
        </w:rPr>
        <w:t xml:space="preserve"> arrangements, </w:t>
      </w:r>
      <w:r w:rsidR="004D2254" w:rsidRPr="6978AB31">
        <w:rPr>
          <w:rFonts w:ascii="Arial" w:eastAsia="Arial" w:hAnsi="Arial" w:cs="Arial"/>
          <w:color w:val="000000"/>
          <w:kern w:val="3"/>
          <w:shd w:val="clear" w:color="auto" w:fill="00FFFF"/>
        </w:rPr>
        <w:t xml:space="preserve">with </w:t>
      </w:r>
      <w:r w:rsidR="0014671E" w:rsidRPr="6978AB31">
        <w:rPr>
          <w:rFonts w:ascii="Arial" w:eastAsia="Arial" w:hAnsi="Arial" w:cs="Arial"/>
          <w:color w:val="000000"/>
          <w:kern w:val="3"/>
          <w:shd w:val="clear" w:color="auto" w:fill="00FFFF"/>
        </w:rPr>
        <w:t>deeply divided opinions</w:t>
      </w:r>
      <w:r w:rsidR="004D2254" w:rsidRPr="6978AB31">
        <w:rPr>
          <w:rFonts w:ascii="Arial" w:eastAsia="Arial" w:hAnsi="Arial" w:cs="Arial"/>
          <w:color w:val="000000"/>
          <w:kern w:val="3"/>
          <w:shd w:val="clear" w:color="auto" w:fill="00FFFF"/>
        </w:rPr>
        <w:t xml:space="preserve"> which </w:t>
      </w:r>
      <w:r w:rsidR="0014671E" w:rsidRPr="6978AB31">
        <w:rPr>
          <w:rFonts w:ascii="Arial" w:eastAsia="Arial" w:hAnsi="Arial" w:cs="Arial"/>
          <w:color w:val="000000"/>
          <w:kern w:val="3"/>
          <w:shd w:val="clear" w:color="auto" w:fill="00FFFF"/>
        </w:rPr>
        <w:t>caus</w:t>
      </w:r>
      <w:r w:rsidR="004D2254" w:rsidRPr="6978AB31">
        <w:rPr>
          <w:rFonts w:ascii="Arial" w:eastAsia="Arial" w:hAnsi="Arial" w:cs="Arial"/>
          <w:color w:val="000000"/>
          <w:kern w:val="3"/>
          <w:shd w:val="clear" w:color="auto" w:fill="00FFFF"/>
        </w:rPr>
        <w:t>ed</w:t>
      </w:r>
      <w:r w:rsidR="0014671E" w:rsidRPr="6978AB31">
        <w:rPr>
          <w:rFonts w:ascii="Arial" w:eastAsia="Arial" w:hAnsi="Arial" w:cs="Arial"/>
          <w:color w:val="000000"/>
          <w:kern w:val="3"/>
          <w:shd w:val="clear" w:color="auto" w:fill="00FFFF"/>
        </w:rPr>
        <w:t xml:space="preserve"> significant and long-term concerns. However, C</w:t>
      </w:r>
      <w:r w:rsidR="00FD47EF" w:rsidRPr="6978AB31">
        <w:rPr>
          <w:rFonts w:ascii="Arial" w:eastAsia="Arial" w:hAnsi="Arial" w:cs="Arial"/>
          <w:color w:val="000000"/>
          <w:kern w:val="3"/>
          <w:shd w:val="clear" w:color="auto" w:fill="00FFFF"/>
        </w:rPr>
        <w:t>OVID</w:t>
      </w:r>
      <w:r w:rsidR="0014671E" w:rsidRPr="6978AB31">
        <w:rPr>
          <w:rFonts w:ascii="Arial" w:eastAsia="Arial" w:hAnsi="Arial" w:cs="Arial"/>
          <w:color w:val="000000"/>
          <w:kern w:val="3"/>
          <w:shd w:val="clear" w:color="auto" w:fill="00FFFF"/>
        </w:rPr>
        <w:t>-19 has had little influence on welfare benefits and catastrophic expenses.</w:t>
      </w:r>
    </w:p>
    <w:p w14:paraId="2AB940FD" w14:textId="4A2D08D3" w:rsidR="00993A9B" w:rsidRDefault="0014671E" w:rsidP="6978AB31">
      <w:pPr>
        <w:jc w:val="both"/>
        <w:rPr>
          <w:rFonts w:ascii="Arial" w:eastAsia="Arial" w:hAnsi="Arial" w:cs="Arial"/>
          <w:shd w:val="clear" w:color="auto" w:fill="00FFFF"/>
        </w:rPr>
      </w:pPr>
      <w:r w:rsidRPr="6978AB31">
        <w:rPr>
          <w:rFonts w:ascii="Arial" w:eastAsia="Arial" w:hAnsi="Arial" w:cs="Arial"/>
          <w:shd w:val="clear" w:color="auto" w:fill="00FFFF"/>
        </w:rPr>
        <w:t>Age UK (2022) emphasise</w:t>
      </w:r>
      <w:r w:rsidR="00FD47EF" w:rsidRPr="6978AB31">
        <w:rPr>
          <w:rFonts w:ascii="Arial" w:eastAsia="Arial" w:hAnsi="Arial" w:cs="Arial"/>
          <w:shd w:val="clear" w:color="auto" w:fill="00FFFF"/>
        </w:rPr>
        <w:t>s</w:t>
      </w:r>
      <w:r w:rsidRPr="6978AB31">
        <w:rPr>
          <w:rFonts w:ascii="Arial" w:eastAsia="Arial" w:hAnsi="Arial" w:cs="Arial"/>
          <w:shd w:val="clear" w:color="auto" w:fill="00FFFF"/>
        </w:rPr>
        <w:t xml:space="preserve"> that the Equality Act (2010) serves to protect everyone's rights, and no one should ever experience discrimination on the grounds of their age.</w:t>
      </w:r>
    </w:p>
    <w:p w14:paraId="12686F25" w14:textId="37C0D4E5" w:rsidR="00993A9B" w:rsidRDefault="0014671E" w:rsidP="6978AB31">
      <w:pPr>
        <w:jc w:val="both"/>
        <w:rPr>
          <w:rFonts w:ascii="Arial" w:eastAsia="Arial" w:hAnsi="Arial" w:cs="Arial"/>
          <w:shd w:val="clear" w:color="auto" w:fill="00FFFF"/>
        </w:rPr>
      </w:pPr>
      <w:r w:rsidRPr="6978AB31">
        <w:rPr>
          <w:rFonts w:ascii="Arial" w:eastAsia="Arial" w:hAnsi="Arial" w:cs="Arial"/>
          <w:shd w:val="clear" w:color="auto" w:fill="00FFFF"/>
        </w:rPr>
        <w:t>There are also five main articles of the European Convention on Human Rights (1998) that are signific</w:t>
      </w:r>
      <w:r w:rsidR="00FA7BD2" w:rsidRPr="6978AB31">
        <w:rPr>
          <w:rFonts w:ascii="Arial" w:eastAsia="Arial" w:hAnsi="Arial" w:cs="Arial"/>
          <w:shd w:val="clear" w:color="auto" w:fill="00FFFF"/>
        </w:rPr>
        <w:t xml:space="preserve">ant </w:t>
      </w:r>
      <w:r w:rsidRPr="6978AB31">
        <w:rPr>
          <w:rFonts w:ascii="Arial" w:eastAsia="Arial" w:hAnsi="Arial" w:cs="Arial"/>
          <w:shd w:val="clear" w:color="auto" w:fill="00FFFF"/>
        </w:rPr>
        <w:t>for older people.</w:t>
      </w:r>
    </w:p>
    <w:p w14:paraId="4B7C9849" w14:textId="77777777" w:rsidR="00993A9B" w:rsidRDefault="0014671E" w:rsidP="6978AB31">
      <w:pPr>
        <w:pStyle w:val="ListParagraph"/>
        <w:numPr>
          <w:ilvl w:val="0"/>
          <w:numId w:val="3"/>
        </w:numPr>
        <w:jc w:val="both"/>
        <w:rPr>
          <w:rFonts w:ascii="Arial" w:eastAsia="Arial" w:hAnsi="Arial" w:cs="Arial"/>
          <w:sz w:val="22"/>
          <w:szCs w:val="22"/>
          <w:shd w:val="clear" w:color="auto" w:fill="00FFFF"/>
        </w:rPr>
      </w:pPr>
      <w:r w:rsidRPr="6978AB31">
        <w:rPr>
          <w:rFonts w:ascii="Arial" w:eastAsia="Arial" w:hAnsi="Arial" w:cs="Arial"/>
          <w:sz w:val="22"/>
          <w:szCs w:val="22"/>
          <w:shd w:val="clear" w:color="auto" w:fill="00FFFF"/>
        </w:rPr>
        <w:t xml:space="preserve">Article 2 - Right to life </w:t>
      </w:r>
    </w:p>
    <w:p w14:paraId="05EB0B0E" w14:textId="77777777" w:rsidR="00993A9B" w:rsidRDefault="0014671E" w:rsidP="6978AB31">
      <w:pPr>
        <w:pStyle w:val="ListParagraph"/>
        <w:numPr>
          <w:ilvl w:val="0"/>
          <w:numId w:val="3"/>
        </w:numPr>
        <w:jc w:val="both"/>
        <w:rPr>
          <w:rFonts w:ascii="Arial" w:eastAsia="Arial" w:hAnsi="Arial" w:cs="Arial"/>
          <w:sz w:val="22"/>
          <w:szCs w:val="22"/>
          <w:shd w:val="clear" w:color="auto" w:fill="00FFFF"/>
        </w:rPr>
      </w:pPr>
      <w:r w:rsidRPr="6978AB31">
        <w:rPr>
          <w:rFonts w:ascii="Arial" w:eastAsia="Arial" w:hAnsi="Arial" w:cs="Arial"/>
          <w:sz w:val="22"/>
          <w:szCs w:val="22"/>
          <w:shd w:val="clear" w:color="auto" w:fill="00FFFF"/>
        </w:rPr>
        <w:t>Article 3 - Prohibition of torture, inhuman and degrading treatment</w:t>
      </w:r>
    </w:p>
    <w:p w14:paraId="2513C618" w14:textId="77777777" w:rsidR="00993A9B" w:rsidRDefault="0014671E" w:rsidP="6978AB31">
      <w:pPr>
        <w:pStyle w:val="ListParagraph"/>
        <w:numPr>
          <w:ilvl w:val="0"/>
          <w:numId w:val="3"/>
        </w:numPr>
        <w:jc w:val="both"/>
        <w:rPr>
          <w:rFonts w:ascii="Arial" w:eastAsia="Arial" w:hAnsi="Arial" w:cs="Arial"/>
          <w:sz w:val="22"/>
          <w:szCs w:val="22"/>
          <w:shd w:val="clear" w:color="auto" w:fill="00FFFF"/>
        </w:rPr>
      </w:pPr>
      <w:r w:rsidRPr="6978AB31">
        <w:rPr>
          <w:rFonts w:ascii="Arial" w:eastAsia="Arial" w:hAnsi="Arial" w:cs="Arial"/>
          <w:sz w:val="22"/>
          <w:szCs w:val="22"/>
          <w:shd w:val="clear" w:color="auto" w:fill="00FFFF"/>
        </w:rPr>
        <w:t xml:space="preserve">Article 5 - Right to liberty </w:t>
      </w:r>
    </w:p>
    <w:p w14:paraId="02A34E6E" w14:textId="77777777" w:rsidR="00993A9B" w:rsidRDefault="0014671E" w:rsidP="6978AB31">
      <w:pPr>
        <w:pStyle w:val="ListParagraph"/>
        <w:numPr>
          <w:ilvl w:val="0"/>
          <w:numId w:val="3"/>
        </w:numPr>
        <w:jc w:val="both"/>
        <w:rPr>
          <w:rFonts w:ascii="Arial" w:eastAsia="Arial" w:hAnsi="Arial" w:cs="Arial"/>
          <w:sz w:val="22"/>
          <w:szCs w:val="22"/>
          <w:shd w:val="clear" w:color="auto" w:fill="00FFFF"/>
        </w:rPr>
      </w:pPr>
      <w:r w:rsidRPr="6978AB31">
        <w:rPr>
          <w:rFonts w:ascii="Arial" w:eastAsia="Arial" w:hAnsi="Arial" w:cs="Arial"/>
          <w:sz w:val="22"/>
          <w:szCs w:val="22"/>
          <w:shd w:val="clear" w:color="auto" w:fill="00FFFF"/>
        </w:rPr>
        <w:t xml:space="preserve">Article 8 - Right to respect for private and family life </w:t>
      </w:r>
    </w:p>
    <w:p w14:paraId="4E047EEB" w14:textId="77777777" w:rsidR="00993A9B" w:rsidRDefault="0014671E" w:rsidP="6978AB31">
      <w:pPr>
        <w:pStyle w:val="ListParagraph"/>
        <w:numPr>
          <w:ilvl w:val="0"/>
          <w:numId w:val="3"/>
        </w:numPr>
        <w:jc w:val="both"/>
        <w:rPr>
          <w:rFonts w:ascii="Arial" w:eastAsia="Arial" w:hAnsi="Arial" w:cs="Arial"/>
          <w:sz w:val="22"/>
          <w:szCs w:val="22"/>
          <w:shd w:val="clear" w:color="auto" w:fill="00FFFF"/>
        </w:rPr>
      </w:pPr>
      <w:r w:rsidRPr="6978AB31">
        <w:rPr>
          <w:rFonts w:ascii="Arial" w:eastAsia="Arial" w:hAnsi="Arial" w:cs="Arial"/>
          <w:sz w:val="22"/>
          <w:szCs w:val="22"/>
          <w:shd w:val="clear" w:color="auto" w:fill="00FFFF"/>
        </w:rPr>
        <w:t>Article 14 - Prohibition of discrimination</w:t>
      </w:r>
    </w:p>
    <w:p w14:paraId="04568D73" w14:textId="0237A9FF" w:rsidR="00993A9B" w:rsidRDefault="00993A9B" w:rsidP="6978AB31">
      <w:pPr>
        <w:jc w:val="both"/>
        <w:rPr>
          <w:rFonts w:ascii="Arial" w:eastAsia="Arial" w:hAnsi="Arial" w:cs="Arial"/>
          <w:kern w:val="3"/>
          <w:shd w:val="clear" w:color="auto" w:fill="00FFFF"/>
        </w:rPr>
      </w:pPr>
    </w:p>
    <w:p w14:paraId="656D2F14" w14:textId="7E61A656" w:rsidR="00993A9B" w:rsidRDefault="0014671E" w:rsidP="6978AB31">
      <w:pPr>
        <w:tabs>
          <w:tab w:val="left" w:pos="720"/>
        </w:tabs>
        <w:spacing w:after="120" w:line="360" w:lineRule="auto"/>
        <w:contextualSpacing/>
        <w:jc w:val="both"/>
        <w:rPr>
          <w:rFonts w:ascii="Arial" w:eastAsia="Arial" w:hAnsi="Arial" w:cs="Arial"/>
          <w:color w:val="262626"/>
          <w:kern w:val="3"/>
          <w:shd w:val="clear" w:color="auto" w:fill="00FFFF"/>
          <w:lang w:eastAsia="en-GB"/>
        </w:rPr>
      </w:pPr>
      <w:r w:rsidRPr="6978AB31">
        <w:rPr>
          <w:rFonts w:ascii="Arial" w:eastAsia="Arial" w:hAnsi="Arial" w:cs="Arial"/>
          <w:color w:val="262626"/>
          <w:kern w:val="3"/>
          <w:shd w:val="clear" w:color="auto" w:fill="00FFFF"/>
          <w:lang w:eastAsia="en-GB"/>
        </w:rPr>
        <w:t>The biological, social, and psychological aspects of ageing cannot be explained by a single theory. In the development of ageing theories, an integrated approach includ</w:t>
      </w:r>
      <w:r w:rsidR="005E1225" w:rsidRPr="6978AB31">
        <w:rPr>
          <w:rFonts w:ascii="Arial" w:eastAsia="Arial" w:hAnsi="Arial" w:cs="Arial"/>
          <w:color w:val="262626"/>
          <w:kern w:val="3"/>
          <w:shd w:val="clear" w:color="auto" w:fill="00FFFF"/>
          <w:lang w:eastAsia="en-GB"/>
        </w:rPr>
        <w:t>ing</w:t>
      </w:r>
      <w:r w:rsidRPr="6978AB31">
        <w:rPr>
          <w:rFonts w:ascii="Arial" w:eastAsia="Arial" w:hAnsi="Arial" w:cs="Arial"/>
          <w:color w:val="262626"/>
          <w:kern w:val="3"/>
          <w:shd w:val="clear" w:color="auto" w:fill="00FFFF"/>
          <w:lang w:eastAsia="en-GB"/>
        </w:rPr>
        <w:t xml:space="preserve"> features from biological sciences, sociology, society philosophy was adopted.</w:t>
      </w:r>
    </w:p>
    <w:p w14:paraId="1DCB2790" w14:textId="79D9E067" w:rsidR="00993A9B" w:rsidRDefault="0014671E" w:rsidP="6978AB31">
      <w:pPr>
        <w:suppressAutoHyphens w:val="0"/>
        <w:spacing w:line="360" w:lineRule="auto"/>
        <w:jc w:val="both"/>
        <w:rPr>
          <w:rFonts w:ascii="Arial" w:eastAsia="Arial" w:hAnsi="Arial" w:cs="Arial"/>
        </w:rPr>
      </w:pPr>
      <w:r w:rsidRPr="6978AB31">
        <w:rPr>
          <w:rFonts w:ascii="Arial" w:eastAsia="Arial" w:hAnsi="Arial" w:cs="Arial"/>
          <w:color w:val="000000"/>
          <w:shd w:val="clear" w:color="auto" w:fill="00FFFF"/>
        </w:rPr>
        <w:t>According to Johnson and Barer, (1992)</w:t>
      </w:r>
      <w:r w:rsidRPr="6978AB31">
        <w:rPr>
          <w:rFonts w:ascii="Arial" w:eastAsia="Arial" w:hAnsi="Arial" w:cs="Arial"/>
          <w:shd w:val="clear" w:color="auto" w:fill="00FFFF"/>
        </w:rPr>
        <w:t xml:space="preserve"> the </w:t>
      </w:r>
      <w:r w:rsidR="009A6CFA" w:rsidRPr="6978AB31">
        <w:rPr>
          <w:rFonts w:ascii="Arial" w:eastAsia="Arial" w:hAnsi="Arial" w:cs="Arial"/>
          <w:shd w:val="clear" w:color="auto" w:fill="00FFFF"/>
        </w:rPr>
        <w:t xml:space="preserve">Disengagement Theory </w:t>
      </w:r>
      <w:r w:rsidRPr="6978AB31">
        <w:rPr>
          <w:rFonts w:ascii="Arial" w:eastAsia="Arial" w:hAnsi="Arial" w:cs="Arial"/>
          <w:shd w:val="clear" w:color="auto" w:fill="00FFFF"/>
        </w:rPr>
        <w:t xml:space="preserve">refers to the procedure when people </w:t>
      </w:r>
      <w:r w:rsidR="002561A3" w:rsidRPr="6978AB31">
        <w:rPr>
          <w:rFonts w:ascii="Arial" w:eastAsia="Arial" w:hAnsi="Arial" w:cs="Arial"/>
          <w:shd w:val="clear" w:color="auto" w:fill="00FFFF"/>
        </w:rPr>
        <w:t xml:space="preserve">become </w:t>
      </w:r>
      <w:r w:rsidRPr="6978AB31">
        <w:rPr>
          <w:rFonts w:ascii="Arial" w:eastAsia="Arial" w:hAnsi="Arial" w:cs="Arial"/>
          <w:shd w:val="clear" w:color="auto" w:fill="00FFFF"/>
        </w:rPr>
        <w:t xml:space="preserve">disengaged from social relationships </w:t>
      </w:r>
      <w:r w:rsidR="00C74672" w:rsidRPr="6978AB31">
        <w:rPr>
          <w:rFonts w:ascii="Arial" w:eastAsia="Arial" w:hAnsi="Arial" w:cs="Arial"/>
          <w:shd w:val="clear" w:color="auto" w:fill="00FFFF"/>
        </w:rPr>
        <w:t xml:space="preserve">when </w:t>
      </w:r>
      <w:r w:rsidRPr="6978AB31">
        <w:rPr>
          <w:rFonts w:ascii="Arial" w:eastAsia="Arial" w:hAnsi="Arial" w:cs="Arial"/>
          <w:shd w:val="clear" w:color="auto" w:fill="00FFFF"/>
        </w:rPr>
        <w:t>they get older and become aged. Larkin, (2009) suggest</w:t>
      </w:r>
      <w:r w:rsidR="00C74672" w:rsidRPr="6978AB31">
        <w:rPr>
          <w:rFonts w:ascii="Arial" w:eastAsia="Arial" w:hAnsi="Arial" w:cs="Arial"/>
          <w:shd w:val="clear" w:color="auto" w:fill="00FFFF"/>
        </w:rPr>
        <w:t>s</w:t>
      </w:r>
      <w:r w:rsidRPr="6978AB31">
        <w:rPr>
          <w:rFonts w:ascii="Arial" w:eastAsia="Arial" w:hAnsi="Arial" w:cs="Arial"/>
          <w:shd w:val="clear" w:color="auto" w:fill="00FFFF"/>
        </w:rPr>
        <w:t xml:space="preserve"> that </w:t>
      </w:r>
      <w:r w:rsidRPr="6978AB31">
        <w:rPr>
          <w:rFonts w:ascii="Arial" w:eastAsia="Arial" w:hAnsi="Arial" w:cs="Arial"/>
          <w:color w:val="000000"/>
          <w:kern w:val="3"/>
          <w:shd w:val="clear" w:color="auto" w:fill="00FFFF"/>
        </w:rPr>
        <w:t>as older adults slow down, they gradually withdraw from society</w:t>
      </w:r>
      <w:r w:rsidR="00C74672" w:rsidRPr="6978AB31">
        <w:rPr>
          <w:rFonts w:ascii="Arial" w:eastAsia="Arial" w:hAnsi="Arial" w:cs="Arial"/>
          <w:color w:val="000000"/>
          <w:kern w:val="3"/>
          <w:shd w:val="clear" w:color="auto" w:fill="00FFFF"/>
        </w:rPr>
        <w:t xml:space="preserve">. </w:t>
      </w:r>
      <w:r w:rsidR="00C74672" w:rsidRPr="6978AB31">
        <w:rPr>
          <w:rFonts w:ascii="Arial" w:eastAsia="Arial" w:hAnsi="Arial" w:cs="Arial"/>
          <w:shd w:val="clear" w:color="auto" w:fill="00FFFF"/>
        </w:rPr>
        <w:t xml:space="preserve">Furthermore, </w:t>
      </w:r>
      <w:r w:rsidRPr="6978AB31">
        <w:rPr>
          <w:rFonts w:ascii="Arial" w:eastAsia="Arial" w:hAnsi="Arial" w:cs="Arial"/>
          <w:shd w:val="clear" w:color="auto" w:fill="00FFFF"/>
        </w:rPr>
        <w:t>this concept</w:t>
      </w:r>
      <w:r w:rsidR="00C74672" w:rsidRPr="6978AB31">
        <w:rPr>
          <w:rFonts w:ascii="Arial" w:eastAsia="Arial" w:hAnsi="Arial" w:cs="Arial"/>
          <w:shd w:val="clear" w:color="auto" w:fill="00FFFF"/>
        </w:rPr>
        <w:t xml:space="preserve"> figures out that </w:t>
      </w:r>
      <w:r w:rsidRPr="6978AB31">
        <w:rPr>
          <w:rFonts w:ascii="Arial" w:eastAsia="Arial" w:hAnsi="Arial" w:cs="Arial"/>
          <w:shd w:val="clear" w:color="auto" w:fill="00FFFF"/>
        </w:rPr>
        <w:t>older individuals gradually retreat from or feel disconnected from the societal expectations and interactions which define</w:t>
      </w:r>
      <w:r w:rsidR="006A5D0D" w:rsidRPr="6978AB31">
        <w:rPr>
          <w:rFonts w:ascii="Arial" w:eastAsia="Arial" w:hAnsi="Arial" w:cs="Arial"/>
          <w:shd w:val="clear" w:color="auto" w:fill="00FFFF"/>
        </w:rPr>
        <w:t>s</w:t>
      </w:r>
      <w:r w:rsidRPr="6978AB31">
        <w:rPr>
          <w:rFonts w:ascii="Arial" w:eastAsia="Arial" w:hAnsi="Arial" w:cs="Arial"/>
          <w:shd w:val="clear" w:color="auto" w:fill="00FFFF"/>
        </w:rPr>
        <w:t xml:space="preserve"> their remaining years.</w:t>
      </w:r>
    </w:p>
    <w:p w14:paraId="2CDC3FE3" w14:textId="5E148801" w:rsidR="00993A9B" w:rsidRDefault="0014671E" w:rsidP="6978AB31">
      <w:pPr>
        <w:suppressAutoHyphens w:val="0"/>
        <w:spacing w:line="360" w:lineRule="auto"/>
        <w:jc w:val="both"/>
        <w:rPr>
          <w:rFonts w:ascii="Arial" w:eastAsia="Arial" w:hAnsi="Arial" w:cs="Arial"/>
          <w:shd w:val="clear" w:color="auto" w:fill="00FFFF"/>
          <w:lang w:eastAsia="en-GB"/>
        </w:rPr>
      </w:pPr>
      <w:r w:rsidRPr="6978AB31">
        <w:rPr>
          <w:rFonts w:ascii="Arial" w:eastAsia="Arial" w:hAnsi="Arial" w:cs="Arial"/>
          <w:shd w:val="clear" w:color="auto" w:fill="00FFFF"/>
        </w:rPr>
        <w:t xml:space="preserve">Mauk (2010) argues that the </w:t>
      </w:r>
      <w:r w:rsidR="006A5D0D" w:rsidRPr="6978AB31">
        <w:rPr>
          <w:rFonts w:ascii="Arial" w:eastAsia="Arial" w:hAnsi="Arial" w:cs="Arial"/>
          <w:shd w:val="clear" w:color="auto" w:fill="00FFFF"/>
        </w:rPr>
        <w:t>Activity</w:t>
      </w:r>
      <w:r w:rsidRPr="6978AB31">
        <w:rPr>
          <w:rFonts w:ascii="Arial" w:eastAsia="Arial" w:hAnsi="Arial" w:cs="Arial"/>
          <w:shd w:val="clear" w:color="auto" w:fill="00FFFF"/>
        </w:rPr>
        <w:t xml:space="preserve"> </w:t>
      </w:r>
      <w:r w:rsidR="006A5D0D" w:rsidRPr="6978AB31">
        <w:rPr>
          <w:rFonts w:ascii="Arial" w:eastAsia="Arial" w:hAnsi="Arial" w:cs="Arial"/>
          <w:shd w:val="clear" w:color="auto" w:fill="00FFFF"/>
        </w:rPr>
        <w:t>Theory</w:t>
      </w:r>
      <w:r w:rsidRPr="6978AB31">
        <w:rPr>
          <w:rFonts w:ascii="Arial" w:eastAsia="Arial" w:hAnsi="Arial" w:cs="Arial"/>
          <w:shd w:val="clear" w:color="auto" w:fill="00FFFF"/>
        </w:rPr>
        <w:t xml:space="preserve"> is the absolute opposite of </w:t>
      </w:r>
      <w:r w:rsidR="006A5D0D" w:rsidRPr="6978AB31">
        <w:rPr>
          <w:rFonts w:ascii="Arial" w:eastAsia="Arial" w:hAnsi="Arial" w:cs="Arial"/>
          <w:shd w:val="clear" w:color="auto" w:fill="00FFFF"/>
        </w:rPr>
        <w:t xml:space="preserve">the </w:t>
      </w:r>
      <w:r w:rsidR="00D02D0A" w:rsidRPr="6978AB31">
        <w:rPr>
          <w:rFonts w:ascii="Arial" w:eastAsia="Arial" w:hAnsi="Arial" w:cs="Arial"/>
          <w:shd w:val="clear" w:color="auto" w:fill="00FFFF"/>
        </w:rPr>
        <w:t>Disengagement Theory</w:t>
      </w:r>
      <w:r w:rsidRPr="6978AB31">
        <w:rPr>
          <w:rFonts w:ascii="Arial" w:eastAsia="Arial" w:hAnsi="Arial" w:cs="Arial"/>
          <w:shd w:val="clear" w:color="auto" w:fill="00FFFF"/>
        </w:rPr>
        <w:t xml:space="preserve">, emphasising that the more active and involved </w:t>
      </w:r>
      <w:r w:rsidR="00D02D0A" w:rsidRPr="6978AB31">
        <w:rPr>
          <w:rFonts w:ascii="Arial" w:eastAsia="Arial" w:hAnsi="Arial" w:cs="Arial"/>
          <w:shd w:val="clear" w:color="auto" w:fill="00FFFF"/>
        </w:rPr>
        <w:t xml:space="preserve">older individuals </w:t>
      </w:r>
      <w:r w:rsidRPr="6978AB31">
        <w:rPr>
          <w:rFonts w:ascii="Arial" w:eastAsia="Arial" w:hAnsi="Arial" w:cs="Arial"/>
          <w:shd w:val="clear" w:color="auto" w:fill="00FFFF"/>
        </w:rPr>
        <w:t xml:space="preserve">remain, </w:t>
      </w:r>
      <w:r w:rsidR="00D02D0A" w:rsidRPr="6978AB31">
        <w:rPr>
          <w:rFonts w:ascii="Arial" w:eastAsia="Arial" w:hAnsi="Arial" w:cs="Arial"/>
          <w:shd w:val="clear" w:color="auto" w:fill="00FFFF"/>
        </w:rPr>
        <w:t xml:space="preserve">the </w:t>
      </w:r>
      <w:r w:rsidRPr="6978AB31">
        <w:rPr>
          <w:rFonts w:ascii="Arial" w:eastAsia="Arial" w:hAnsi="Arial" w:cs="Arial"/>
          <w:shd w:val="clear" w:color="auto" w:fill="00FFFF"/>
        </w:rPr>
        <w:t xml:space="preserve">greater </w:t>
      </w:r>
      <w:r w:rsidR="003D62E5" w:rsidRPr="6978AB31">
        <w:rPr>
          <w:rFonts w:ascii="Arial" w:eastAsia="Arial" w:hAnsi="Arial" w:cs="Arial"/>
          <w:shd w:val="clear" w:color="auto" w:fill="00FFFF"/>
        </w:rPr>
        <w:t>fulfilment</w:t>
      </w:r>
      <w:r w:rsidRPr="6978AB31">
        <w:rPr>
          <w:rFonts w:ascii="Arial" w:eastAsia="Arial" w:hAnsi="Arial" w:cs="Arial"/>
          <w:shd w:val="clear" w:color="auto" w:fill="00FFFF"/>
        </w:rPr>
        <w:t xml:space="preserve"> they can </w:t>
      </w:r>
      <w:r w:rsidR="003D62E5" w:rsidRPr="6978AB31">
        <w:rPr>
          <w:rFonts w:ascii="Arial" w:eastAsia="Arial" w:hAnsi="Arial" w:cs="Arial"/>
          <w:shd w:val="clear" w:color="auto" w:fill="00FFFF"/>
        </w:rPr>
        <w:t>achieve</w:t>
      </w:r>
      <w:r w:rsidRPr="6978AB31">
        <w:rPr>
          <w:rFonts w:ascii="Arial" w:eastAsia="Arial" w:hAnsi="Arial" w:cs="Arial"/>
          <w:shd w:val="clear" w:color="auto" w:fill="00FFFF"/>
        </w:rPr>
        <w:t xml:space="preserve"> </w:t>
      </w:r>
      <w:r w:rsidR="003D62E5" w:rsidRPr="6978AB31">
        <w:rPr>
          <w:rFonts w:ascii="Arial" w:eastAsia="Arial" w:hAnsi="Arial" w:cs="Arial"/>
          <w:shd w:val="clear" w:color="auto" w:fill="00FFFF"/>
        </w:rPr>
        <w:t xml:space="preserve">from </w:t>
      </w:r>
      <w:r w:rsidRPr="6978AB31">
        <w:rPr>
          <w:rFonts w:ascii="Arial" w:eastAsia="Arial" w:hAnsi="Arial" w:cs="Arial"/>
          <w:shd w:val="clear" w:color="auto" w:fill="00FFFF"/>
        </w:rPr>
        <w:t>their life.</w:t>
      </w:r>
    </w:p>
    <w:p w14:paraId="188BC281" w14:textId="13968236" w:rsidR="00993A9B" w:rsidRDefault="0014671E" w:rsidP="6978AB31">
      <w:pPr>
        <w:spacing w:line="360" w:lineRule="auto"/>
        <w:jc w:val="both"/>
        <w:rPr>
          <w:rFonts w:ascii="Arial" w:eastAsia="Arial" w:hAnsi="Arial" w:cs="Arial"/>
          <w:lang w:eastAsia="en-GB"/>
        </w:rPr>
      </w:pPr>
      <w:r w:rsidRPr="6978AB31">
        <w:rPr>
          <w:rFonts w:ascii="Arial" w:eastAsia="Arial" w:hAnsi="Arial" w:cs="Arial"/>
          <w:shd w:val="clear" w:color="auto" w:fill="00FFFF"/>
          <w:lang w:eastAsia="en-GB"/>
        </w:rPr>
        <w:t>Wang (2012) asserts that when individuals age, they want to keep as much of their earlier routines, personalities, or mode</w:t>
      </w:r>
      <w:r w:rsidR="003D62E5" w:rsidRPr="6978AB31">
        <w:rPr>
          <w:rFonts w:ascii="Arial" w:eastAsia="Arial" w:hAnsi="Arial" w:cs="Arial"/>
          <w:shd w:val="clear" w:color="auto" w:fill="00FFFF"/>
          <w:lang w:eastAsia="en-GB"/>
        </w:rPr>
        <w:t>s</w:t>
      </w:r>
      <w:r w:rsidRPr="6978AB31">
        <w:rPr>
          <w:rFonts w:ascii="Arial" w:eastAsia="Arial" w:hAnsi="Arial" w:cs="Arial"/>
          <w:shd w:val="clear" w:color="auto" w:fill="00FFFF"/>
          <w:lang w:eastAsia="en-GB"/>
        </w:rPr>
        <w:t xml:space="preserve"> of living as possible.</w:t>
      </w:r>
      <w:r w:rsidRPr="6978AB31">
        <w:rPr>
          <w:rFonts w:ascii="Arial" w:eastAsia="Arial" w:hAnsi="Arial" w:cs="Arial"/>
          <w:shd w:val="clear" w:color="auto" w:fill="00FFFF"/>
        </w:rPr>
        <w:t xml:space="preserve"> </w:t>
      </w:r>
      <w:r w:rsidR="003D62E5" w:rsidRPr="6978AB31">
        <w:rPr>
          <w:rFonts w:ascii="Arial" w:eastAsia="Arial" w:hAnsi="Arial" w:cs="Arial"/>
          <w:shd w:val="clear" w:color="auto" w:fill="00FFFF"/>
          <w:lang w:eastAsia="en-GB"/>
        </w:rPr>
        <w:t>Older</w:t>
      </w:r>
      <w:r w:rsidRPr="6978AB31">
        <w:rPr>
          <w:rFonts w:ascii="Arial" w:eastAsia="Arial" w:hAnsi="Arial" w:cs="Arial"/>
          <w:shd w:val="clear" w:color="auto" w:fill="00FFFF"/>
          <w:lang w:eastAsia="en-GB"/>
        </w:rPr>
        <w:t xml:space="preserve"> adults' decreased social involvement may be explained by ill health or impairment</w:t>
      </w:r>
      <w:r w:rsidR="007A3A57" w:rsidRPr="6978AB31">
        <w:rPr>
          <w:rFonts w:ascii="Arial" w:eastAsia="Arial" w:hAnsi="Arial" w:cs="Arial"/>
          <w:shd w:val="clear" w:color="auto" w:fill="00FFFF"/>
          <w:lang w:eastAsia="en-GB"/>
        </w:rPr>
        <w:t>s</w:t>
      </w:r>
      <w:r w:rsidRPr="6978AB31">
        <w:rPr>
          <w:rFonts w:ascii="Arial" w:eastAsia="Arial" w:hAnsi="Arial" w:cs="Arial"/>
          <w:shd w:val="clear" w:color="auto" w:fill="00FFFF"/>
          <w:lang w:eastAsia="en-GB"/>
        </w:rPr>
        <w:t>, rather than a societal demand to disengage from their earlier responsibilities.</w:t>
      </w:r>
    </w:p>
    <w:p w14:paraId="2FFBF55F" w14:textId="1DE05AE7" w:rsidR="00993A9B" w:rsidRDefault="0014671E" w:rsidP="6978AB31">
      <w:pPr>
        <w:spacing w:line="360" w:lineRule="auto"/>
        <w:jc w:val="both"/>
        <w:rPr>
          <w:rFonts w:ascii="Arial" w:eastAsia="Arial" w:hAnsi="Arial" w:cs="Arial"/>
          <w:lang w:eastAsia="en-GB"/>
        </w:rPr>
      </w:pPr>
      <w:r w:rsidRPr="6978AB31">
        <w:rPr>
          <w:rFonts w:ascii="Arial" w:eastAsia="Arial" w:hAnsi="Arial" w:cs="Arial"/>
          <w:shd w:val="clear" w:color="auto" w:fill="00FFFF"/>
          <w:lang w:eastAsia="en-GB"/>
        </w:rPr>
        <w:lastRenderedPageBreak/>
        <w:t>Recent ageing theories focus on an individual's personal competency in their surroundings. Lawton (1982) created the model to investigate potential complex relationships between a group of people, older adults, and their community as well as surroundings. Almost everybody, especially older people, do have some unique abilities which assist in building their lifestyles.</w:t>
      </w:r>
      <w:r w:rsidRPr="6978AB31">
        <w:rPr>
          <w:rFonts w:ascii="Arial" w:eastAsia="Arial" w:hAnsi="Arial" w:cs="Arial"/>
          <w:shd w:val="clear" w:color="auto" w:fill="00FFFF"/>
        </w:rPr>
        <w:t xml:space="preserve"> </w:t>
      </w:r>
      <w:r w:rsidRPr="6978AB31">
        <w:rPr>
          <w:rFonts w:ascii="Arial" w:eastAsia="Arial" w:hAnsi="Arial" w:cs="Arial"/>
          <w:shd w:val="clear" w:color="auto" w:fill="00FFFF"/>
          <w:lang w:eastAsia="en-GB"/>
        </w:rPr>
        <w:t>Lawton lists ego strength, motor skill, biologic, cognitive, and sensory-perceptual capacity (1982). Each one aids with environmental engagement. Many of these qualities may change or fade with age. Environment-human connections change. As one aged, the environment gets more dangerous, and one may feel vulnerable.</w:t>
      </w:r>
    </w:p>
    <w:p w14:paraId="7000F747" w14:textId="77777777" w:rsidR="00993A9B" w:rsidRDefault="00993A9B" w:rsidP="6978AB31">
      <w:pPr>
        <w:shd w:val="clear" w:color="auto" w:fill="FFFFFF" w:themeFill="background1"/>
        <w:suppressAutoHyphens w:val="0"/>
        <w:spacing w:after="0" w:line="360" w:lineRule="atLeast"/>
        <w:ind w:hanging="120"/>
        <w:jc w:val="both"/>
        <w:rPr>
          <w:rFonts w:ascii="Arial" w:eastAsia="Arial" w:hAnsi="Arial" w:cs="Arial"/>
          <w:shd w:val="clear" w:color="auto" w:fill="00FFFF"/>
        </w:rPr>
      </w:pPr>
    </w:p>
    <w:p w14:paraId="655A4B7B" w14:textId="44D85B21" w:rsidR="00993A9B" w:rsidRDefault="0014671E" w:rsidP="6978AB31">
      <w:pPr>
        <w:jc w:val="both"/>
        <w:rPr>
          <w:rFonts w:ascii="Arial" w:eastAsia="Arial" w:hAnsi="Arial" w:cs="Arial"/>
          <w:shd w:val="clear" w:color="auto" w:fill="00FFFF"/>
          <w:lang w:eastAsia="en-GB"/>
        </w:rPr>
      </w:pPr>
      <w:r w:rsidRPr="6978AB31">
        <w:rPr>
          <w:rFonts w:ascii="Arial" w:eastAsia="Arial" w:hAnsi="Arial" w:cs="Arial"/>
          <w:shd w:val="clear" w:color="auto" w:fill="00FFFF"/>
          <w:lang w:eastAsia="en-GB"/>
        </w:rPr>
        <w:t>Age stratification</w:t>
      </w:r>
      <w:r w:rsidR="00726A38" w:rsidRPr="6978AB31">
        <w:rPr>
          <w:rFonts w:ascii="Arial" w:eastAsia="Arial" w:hAnsi="Arial" w:cs="Arial"/>
          <w:shd w:val="clear" w:color="auto" w:fill="00FFFF"/>
          <w:lang w:eastAsia="en-GB"/>
        </w:rPr>
        <w:t xml:space="preserve"> is </w:t>
      </w:r>
      <w:r w:rsidRPr="6978AB31">
        <w:rPr>
          <w:rFonts w:ascii="Arial" w:eastAsia="Arial" w:hAnsi="Arial" w:cs="Arial"/>
          <w:shd w:val="clear" w:color="auto" w:fill="00FFFF"/>
          <w:lang w:eastAsia="en-GB"/>
        </w:rPr>
        <w:t xml:space="preserve">defined by Andersen and Taylor (2007), </w:t>
      </w:r>
      <w:r w:rsidR="00726A38" w:rsidRPr="6978AB31">
        <w:rPr>
          <w:rFonts w:ascii="Arial" w:eastAsia="Arial" w:hAnsi="Arial" w:cs="Arial"/>
          <w:shd w:val="clear" w:color="auto" w:fill="00FFFF"/>
          <w:lang w:eastAsia="en-GB"/>
        </w:rPr>
        <w:t xml:space="preserve">as </w:t>
      </w:r>
      <w:r w:rsidRPr="6978AB31">
        <w:rPr>
          <w:rFonts w:ascii="Arial" w:eastAsia="Arial" w:hAnsi="Arial" w:cs="Arial"/>
          <w:shd w:val="clear" w:color="auto" w:fill="00FFFF"/>
          <w:lang w:eastAsia="en-GB"/>
        </w:rPr>
        <w:t>the hierarchical classification of people into age groups within a community. Estes (2003) argue</w:t>
      </w:r>
      <w:r w:rsidR="004A2CF4" w:rsidRPr="6978AB31">
        <w:rPr>
          <w:rFonts w:ascii="Arial" w:eastAsia="Arial" w:hAnsi="Arial" w:cs="Arial"/>
          <w:shd w:val="clear" w:color="auto" w:fill="00FFFF"/>
          <w:lang w:eastAsia="en-GB"/>
        </w:rPr>
        <w:t>s</w:t>
      </w:r>
      <w:r w:rsidRPr="6978AB31">
        <w:rPr>
          <w:rFonts w:ascii="Arial" w:eastAsia="Arial" w:hAnsi="Arial" w:cs="Arial"/>
          <w:shd w:val="clear" w:color="auto" w:fill="00FFFF"/>
          <w:lang w:eastAsia="en-GB"/>
        </w:rPr>
        <w:t xml:space="preserve"> that </w:t>
      </w:r>
      <w:r w:rsidR="004A2CF4" w:rsidRPr="6978AB31">
        <w:rPr>
          <w:rFonts w:ascii="Arial" w:eastAsia="Arial" w:hAnsi="Arial" w:cs="Arial"/>
          <w:shd w:val="clear" w:color="auto" w:fill="00FFFF"/>
          <w:lang w:eastAsia="en-GB"/>
        </w:rPr>
        <w:t>the Age</w:t>
      </w:r>
      <w:r w:rsidRPr="6978AB31">
        <w:rPr>
          <w:rFonts w:ascii="Arial" w:eastAsia="Arial" w:hAnsi="Arial" w:cs="Arial"/>
          <w:shd w:val="clear" w:color="auto" w:fill="00FFFF"/>
          <w:lang w:eastAsia="en-GB"/>
        </w:rPr>
        <w:t xml:space="preserve"> </w:t>
      </w:r>
      <w:r w:rsidR="004A2CF4" w:rsidRPr="6978AB31">
        <w:rPr>
          <w:rFonts w:ascii="Arial" w:eastAsia="Arial" w:hAnsi="Arial" w:cs="Arial"/>
          <w:shd w:val="clear" w:color="auto" w:fill="00FFFF"/>
          <w:lang w:eastAsia="en-GB"/>
        </w:rPr>
        <w:t>Stratification</w:t>
      </w:r>
      <w:r w:rsidRPr="6978AB31">
        <w:rPr>
          <w:rFonts w:ascii="Arial" w:eastAsia="Arial" w:hAnsi="Arial" w:cs="Arial"/>
          <w:shd w:val="clear" w:color="auto" w:fill="00FFFF"/>
          <w:lang w:eastAsia="en-GB"/>
        </w:rPr>
        <w:t xml:space="preserve"> </w:t>
      </w:r>
      <w:r w:rsidR="004A2CF4" w:rsidRPr="6978AB31">
        <w:rPr>
          <w:rFonts w:ascii="Arial" w:eastAsia="Arial" w:hAnsi="Arial" w:cs="Arial"/>
          <w:shd w:val="clear" w:color="auto" w:fill="00FFFF"/>
          <w:lang w:eastAsia="en-GB"/>
        </w:rPr>
        <w:t>Theory</w:t>
      </w:r>
      <w:r w:rsidRPr="6978AB31">
        <w:rPr>
          <w:rFonts w:ascii="Arial" w:eastAsia="Arial" w:hAnsi="Arial" w:cs="Arial"/>
          <w:shd w:val="clear" w:color="auto" w:fill="00FFFF"/>
          <w:lang w:eastAsia="en-GB"/>
        </w:rPr>
        <w:t xml:space="preserve"> is a viable alternative to conventional methods that ignore the ageing process and its social construction</w:t>
      </w:r>
      <w:r w:rsidR="00652D1B" w:rsidRPr="6978AB31">
        <w:rPr>
          <w:rFonts w:ascii="Arial" w:eastAsia="Arial" w:hAnsi="Arial" w:cs="Arial"/>
          <w:shd w:val="clear" w:color="auto" w:fill="00FFFF"/>
          <w:lang w:eastAsia="en-GB"/>
        </w:rPr>
        <w:t>,</w:t>
      </w:r>
      <w:r w:rsidRPr="6978AB31">
        <w:rPr>
          <w:rFonts w:ascii="Arial" w:eastAsia="Arial" w:hAnsi="Arial" w:cs="Arial"/>
          <w:shd w:val="clear" w:color="auto" w:fill="00FFFF"/>
          <w:lang w:eastAsia="en-GB"/>
        </w:rPr>
        <w:t xml:space="preserve"> as an issue of wider social forces of class, position, and power.</w:t>
      </w:r>
    </w:p>
    <w:p w14:paraId="540EA964" w14:textId="74B1C520" w:rsidR="00993A9B" w:rsidRPr="006826DC" w:rsidRDefault="0014671E" w:rsidP="6978AB31">
      <w:pPr>
        <w:spacing w:line="360" w:lineRule="auto"/>
        <w:jc w:val="both"/>
        <w:rPr>
          <w:rFonts w:ascii="Arial" w:eastAsia="Arial" w:hAnsi="Arial" w:cs="Arial"/>
          <w:shd w:val="clear" w:color="auto" w:fill="00FFFF"/>
          <w:lang w:eastAsia="en-GB"/>
        </w:rPr>
      </w:pPr>
      <w:r w:rsidRPr="6978AB31">
        <w:rPr>
          <w:rFonts w:ascii="Arial" w:eastAsia="Arial" w:hAnsi="Arial" w:cs="Arial"/>
          <w:shd w:val="clear" w:color="auto" w:fill="00FFFF"/>
          <w:lang w:eastAsia="en-GB"/>
        </w:rPr>
        <w:t>Inadequacies exist in our health-care system</w:t>
      </w:r>
      <w:r w:rsidR="00652D1B" w:rsidRPr="6978AB31">
        <w:rPr>
          <w:rFonts w:ascii="Arial" w:eastAsia="Arial" w:hAnsi="Arial" w:cs="Arial"/>
          <w:shd w:val="clear" w:color="auto" w:fill="00FFFF"/>
          <w:lang w:eastAsia="en-GB"/>
        </w:rPr>
        <w:t>, with the basis primarily being</w:t>
      </w:r>
      <w:r w:rsidRPr="6978AB31">
        <w:rPr>
          <w:rFonts w:ascii="Arial" w:eastAsia="Arial" w:hAnsi="Arial" w:cs="Arial"/>
          <w:shd w:val="clear" w:color="auto" w:fill="00FFFF"/>
          <w:lang w:eastAsia="en-GB"/>
        </w:rPr>
        <w:t xml:space="preserve"> on </w:t>
      </w:r>
      <w:r w:rsidR="00652D1B" w:rsidRPr="6978AB31">
        <w:rPr>
          <w:rFonts w:ascii="Arial" w:eastAsia="Arial" w:hAnsi="Arial" w:cs="Arial"/>
          <w:shd w:val="clear" w:color="auto" w:fill="00FFFF"/>
          <w:lang w:eastAsia="en-GB"/>
        </w:rPr>
        <w:t>the</w:t>
      </w:r>
      <w:r w:rsidRPr="6978AB31">
        <w:rPr>
          <w:rFonts w:ascii="Arial" w:eastAsia="Arial" w:hAnsi="Arial" w:cs="Arial"/>
          <w:shd w:val="clear" w:color="auto" w:fill="00FFFF"/>
          <w:lang w:eastAsia="en-GB"/>
        </w:rPr>
        <w:t xml:space="preserve"> medical model</w:t>
      </w:r>
      <w:r w:rsidR="00F974C5" w:rsidRPr="6978AB31">
        <w:rPr>
          <w:rFonts w:ascii="Arial" w:eastAsia="Arial" w:hAnsi="Arial" w:cs="Arial"/>
          <w:shd w:val="clear" w:color="auto" w:fill="00FFFF"/>
          <w:lang w:eastAsia="en-GB"/>
        </w:rPr>
        <w:t xml:space="preserve">, with a tendency </w:t>
      </w:r>
      <w:r w:rsidRPr="6978AB31">
        <w:rPr>
          <w:rFonts w:ascii="Arial" w:eastAsia="Arial" w:hAnsi="Arial" w:cs="Arial"/>
          <w:shd w:val="clear" w:color="auto" w:fill="00FFFF"/>
          <w:lang w:eastAsia="en-GB"/>
        </w:rPr>
        <w:t xml:space="preserve">to blame individuals for their disabilities and </w:t>
      </w:r>
      <w:r w:rsidR="00F974C5" w:rsidRPr="6978AB31">
        <w:rPr>
          <w:rFonts w:ascii="Arial" w:eastAsia="Arial" w:hAnsi="Arial" w:cs="Arial"/>
          <w:shd w:val="clear" w:color="auto" w:fill="00FFFF"/>
          <w:lang w:eastAsia="en-GB"/>
        </w:rPr>
        <w:t xml:space="preserve">label </w:t>
      </w:r>
      <w:r w:rsidRPr="6978AB31">
        <w:rPr>
          <w:rFonts w:ascii="Arial" w:eastAsia="Arial" w:hAnsi="Arial" w:cs="Arial"/>
          <w:shd w:val="clear" w:color="auto" w:fill="00FFFF"/>
          <w:lang w:eastAsia="en-GB"/>
        </w:rPr>
        <w:t>them as defective or broken.</w:t>
      </w:r>
      <w:r w:rsidR="000A6C22" w:rsidRPr="6978AB31">
        <w:rPr>
          <w:rFonts w:ascii="Arial" w:eastAsia="Arial" w:hAnsi="Arial" w:cs="Arial"/>
          <w:shd w:val="clear" w:color="auto" w:fill="00FFFF"/>
          <w:lang w:eastAsia="en-GB"/>
        </w:rPr>
        <w:t xml:space="preserve"> </w:t>
      </w:r>
      <w:r w:rsidRPr="6978AB31">
        <w:rPr>
          <w:rFonts w:ascii="Arial" w:eastAsia="Arial" w:hAnsi="Arial" w:cs="Arial"/>
          <w:shd w:val="clear" w:color="auto" w:fill="00FFFF"/>
          <w:lang w:eastAsia="en-GB"/>
        </w:rPr>
        <w:t xml:space="preserve">According to </w:t>
      </w:r>
      <w:r w:rsidR="000A6C22" w:rsidRPr="6978AB31">
        <w:rPr>
          <w:rFonts w:ascii="Arial" w:eastAsia="Arial" w:hAnsi="Arial" w:cs="Arial"/>
          <w:shd w:val="clear" w:color="auto" w:fill="00FFFF"/>
          <w:lang w:eastAsia="en-GB"/>
        </w:rPr>
        <w:t xml:space="preserve">the </w:t>
      </w:r>
      <w:r w:rsidRPr="6978AB31">
        <w:rPr>
          <w:rFonts w:ascii="Arial" w:eastAsia="Arial" w:hAnsi="Arial" w:cs="Arial"/>
          <w:shd w:val="clear" w:color="auto" w:fill="00FFFF"/>
          <w:lang w:eastAsia="en-GB"/>
        </w:rPr>
        <w:t>Disability Nottinghamshire (n.d)</w:t>
      </w:r>
      <w:r w:rsidR="000A6C22" w:rsidRPr="6978AB31">
        <w:rPr>
          <w:rFonts w:ascii="Arial" w:eastAsia="Arial" w:hAnsi="Arial" w:cs="Arial"/>
          <w:shd w:val="clear" w:color="auto" w:fill="00FFFF"/>
          <w:lang w:eastAsia="en-GB"/>
        </w:rPr>
        <w:t xml:space="preserve">, </w:t>
      </w:r>
      <w:r w:rsidRPr="6978AB31">
        <w:rPr>
          <w:rFonts w:ascii="Arial" w:eastAsia="Arial" w:hAnsi="Arial" w:cs="Arial"/>
          <w:shd w:val="clear" w:color="auto" w:fill="00FFFF"/>
          <w:lang w:eastAsia="en-GB"/>
        </w:rPr>
        <w:t>the</w:t>
      </w:r>
      <w:r w:rsidRPr="6978AB31">
        <w:rPr>
          <w:rFonts w:ascii="Arial" w:eastAsia="Arial" w:hAnsi="Arial" w:cs="Arial"/>
          <w:shd w:val="clear" w:color="auto" w:fill="00FFFF"/>
        </w:rPr>
        <w:t xml:space="preserve"> medical model of disability claims that people are disabled by their impairments or differences</w:t>
      </w:r>
      <w:r w:rsidR="006826DC" w:rsidRPr="6978AB31">
        <w:rPr>
          <w:rFonts w:ascii="Arial" w:eastAsia="Arial" w:hAnsi="Arial" w:cs="Arial"/>
          <w:shd w:val="clear" w:color="auto" w:fill="00FFFF"/>
        </w:rPr>
        <w:t xml:space="preserve"> and</w:t>
      </w:r>
      <w:r w:rsidRPr="6978AB31">
        <w:rPr>
          <w:rFonts w:ascii="Arial" w:eastAsia="Arial" w:hAnsi="Arial" w:cs="Arial"/>
          <w:shd w:val="clear" w:color="auto" w:fill="00FFFF"/>
          <w:lang w:eastAsia="en-GB"/>
        </w:rPr>
        <w:t xml:space="preserve"> claims</w:t>
      </w:r>
      <w:r w:rsidR="004F2C10" w:rsidRPr="6978AB31">
        <w:rPr>
          <w:rFonts w:ascii="Arial" w:eastAsia="Arial" w:hAnsi="Arial" w:cs="Arial"/>
          <w:shd w:val="clear" w:color="auto" w:fill="00FFFF"/>
          <w:lang w:eastAsia="en-GB"/>
        </w:rPr>
        <w:t xml:space="preserve"> that</w:t>
      </w:r>
      <w:r w:rsidRPr="6978AB31">
        <w:rPr>
          <w:rFonts w:ascii="Arial" w:eastAsia="Arial" w:hAnsi="Arial" w:cs="Arial"/>
          <w:shd w:val="clear" w:color="auto" w:fill="00FFFF"/>
          <w:lang w:eastAsia="en-GB"/>
        </w:rPr>
        <w:t xml:space="preserve"> a medic</w:t>
      </w:r>
      <w:r w:rsidR="004F2C10" w:rsidRPr="6978AB31">
        <w:rPr>
          <w:rFonts w:ascii="Arial" w:eastAsia="Arial" w:hAnsi="Arial" w:cs="Arial"/>
          <w:shd w:val="clear" w:color="auto" w:fill="00FFFF"/>
          <w:lang w:eastAsia="en-GB"/>
        </w:rPr>
        <w:t>ine</w:t>
      </w:r>
      <w:r w:rsidRPr="6978AB31">
        <w:rPr>
          <w:rFonts w:ascii="Arial" w:eastAsia="Arial" w:hAnsi="Arial" w:cs="Arial"/>
          <w:shd w:val="clear" w:color="auto" w:fill="00FFFF"/>
          <w:lang w:eastAsia="en-GB"/>
        </w:rPr>
        <w:t xml:space="preserve"> </w:t>
      </w:r>
      <w:r w:rsidR="004F2C10" w:rsidRPr="6978AB31">
        <w:rPr>
          <w:rFonts w:ascii="Arial" w:eastAsia="Arial" w:hAnsi="Arial" w:cs="Arial"/>
          <w:shd w:val="clear" w:color="auto" w:fill="00FFFF"/>
          <w:lang w:eastAsia="en-GB"/>
        </w:rPr>
        <w:t xml:space="preserve">or </w:t>
      </w:r>
      <w:r w:rsidRPr="6978AB31">
        <w:rPr>
          <w:rFonts w:ascii="Arial" w:eastAsia="Arial" w:hAnsi="Arial" w:cs="Arial"/>
          <w:shd w:val="clear" w:color="auto" w:fill="00FFFF"/>
          <w:lang w:eastAsia="en-GB"/>
        </w:rPr>
        <w:t>therapy</w:t>
      </w:r>
      <w:r w:rsidR="004F2C10" w:rsidRPr="6978AB31">
        <w:rPr>
          <w:rFonts w:ascii="Arial" w:eastAsia="Arial" w:hAnsi="Arial" w:cs="Arial"/>
          <w:shd w:val="clear" w:color="auto" w:fill="00FFFF"/>
          <w:lang w:eastAsia="en-GB"/>
        </w:rPr>
        <w:t xml:space="preserve">/treatment </w:t>
      </w:r>
      <w:r w:rsidR="00B129C3" w:rsidRPr="6978AB31">
        <w:rPr>
          <w:rFonts w:ascii="Arial" w:eastAsia="Arial" w:hAnsi="Arial" w:cs="Arial"/>
          <w:shd w:val="clear" w:color="auto" w:fill="00FFFF"/>
          <w:lang w:eastAsia="en-GB"/>
        </w:rPr>
        <w:t xml:space="preserve">are required </w:t>
      </w:r>
      <w:r w:rsidRPr="6978AB31">
        <w:rPr>
          <w:rFonts w:ascii="Arial" w:eastAsia="Arial" w:hAnsi="Arial" w:cs="Arial"/>
          <w:shd w:val="clear" w:color="auto" w:fill="00FFFF"/>
          <w:lang w:eastAsia="en-GB"/>
        </w:rPr>
        <w:t xml:space="preserve">for these impairments or differences, even if they do not cause pain or disease. </w:t>
      </w:r>
      <w:r w:rsidR="00B129C3" w:rsidRPr="6978AB31">
        <w:rPr>
          <w:rFonts w:ascii="Arial" w:eastAsia="Arial" w:hAnsi="Arial" w:cs="Arial"/>
          <w:shd w:val="clear" w:color="auto" w:fill="00FFFF"/>
          <w:lang w:eastAsia="en-GB"/>
        </w:rPr>
        <w:t>The medical model does not encompass an integrated approach</w:t>
      </w:r>
      <w:r w:rsidR="001C161E" w:rsidRPr="6978AB31">
        <w:rPr>
          <w:rFonts w:ascii="Arial" w:eastAsia="Arial" w:hAnsi="Arial" w:cs="Arial"/>
          <w:shd w:val="clear" w:color="auto" w:fill="00FFFF"/>
          <w:lang w:eastAsia="en-GB"/>
        </w:rPr>
        <w:t xml:space="preserve">, considering all of a </w:t>
      </w:r>
      <w:r w:rsidRPr="6978AB31">
        <w:rPr>
          <w:rFonts w:ascii="Arial" w:eastAsia="Arial" w:hAnsi="Arial" w:cs="Arial"/>
          <w:shd w:val="clear" w:color="auto" w:fill="00FFFF"/>
          <w:lang w:eastAsia="en-GB"/>
        </w:rPr>
        <w:t xml:space="preserve">person's needs, </w:t>
      </w:r>
      <w:r w:rsidR="00B73CB8" w:rsidRPr="6978AB31">
        <w:rPr>
          <w:rFonts w:ascii="Arial" w:eastAsia="Arial" w:hAnsi="Arial" w:cs="Arial"/>
          <w:shd w:val="clear" w:color="auto" w:fill="00FFFF"/>
          <w:lang w:eastAsia="en-GB"/>
        </w:rPr>
        <w:t>but instead</w:t>
      </w:r>
      <w:r w:rsidRPr="6978AB31">
        <w:rPr>
          <w:rFonts w:ascii="Arial" w:eastAsia="Arial" w:hAnsi="Arial" w:cs="Arial"/>
          <w:shd w:val="clear" w:color="auto" w:fill="00FFFF"/>
          <w:lang w:eastAsia="en-GB"/>
        </w:rPr>
        <w:t xml:space="preserve"> focus</w:t>
      </w:r>
      <w:r w:rsidR="00B73CB8" w:rsidRPr="6978AB31">
        <w:rPr>
          <w:rFonts w:ascii="Arial" w:eastAsia="Arial" w:hAnsi="Arial" w:cs="Arial"/>
          <w:shd w:val="clear" w:color="auto" w:fill="00FFFF"/>
          <w:lang w:eastAsia="en-GB"/>
        </w:rPr>
        <w:t>es</w:t>
      </w:r>
      <w:r w:rsidRPr="6978AB31">
        <w:rPr>
          <w:rFonts w:ascii="Arial" w:eastAsia="Arial" w:hAnsi="Arial" w:cs="Arial"/>
          <w:shd w:val="clear" w:color="auto" w:fill="00FFFF"/>
          <w:lang w:eastAsia="en-GB"/>
        </w:rPr>
        <w:t xml:space="preserve"> on what is 'wrong' with the individual. As a result, individuals develop low expectations for themselves and their futures, and they become less free to make their own choices and decisions. aired because of their physical or mental defects or disabilities. On the contrary</w:t>
      </w:r>
      <w:r w:rsidR="00AA0E6F" w:rsidRPr="6978AB31">
        <w:rPr>
          <w:rFonts w:ascii="Arial" w:eastAsia="Arial" w:hAnsi="Arial" w:cs="Arial"/>
          <w:shd w:val="clear" w:color="auto" w:fill="00FFFF"/>
          <w:lang w:eastAsia="en-GB"/>
        </w:rPr>
        <w:t>,</w:t>
      </w:r>
      <w:r w:rsidRPr="6978AB31">
        <w:rPr>
          <w:rFonts w:ascii="Arial" w:eastAsia="Arial" w:hAnsi="Arial" w:cs="Arial"/>
          <w:shd w:val="clear" w:color="auto" w:fill="00FFFF"/>
          <w:lang w:eastAsia="en-GB"/>
        </w:rPr>
        <w:t xml:space="preserve"> the Centre for </w:t>
      </w:r>
      <w:r w:rsidR="00CB1CD5" w:rsidRPr="6978AB31">
        <w:rPr>
          <w:rFonts w:ascii="Arial" w:eastAsia="Arial" w:hAnsi="Arial" w:cs="Arial"/>
          <w:shd w:val="clear" w:color="auto" w:fill="00FFFF"/>
          <w:lang w:eastAsia="en-GB"/>
        </w:rPr>
        <w:t>better</w:t>
      </w:r>
      <w:r w:rsidRPr="6978AB31">
        <w:rPr>
          <w:rFonts w:ascii="Arial" w:eastAsia="Arial" w:hAnsi="Arial" w:cs="Arial"/>
          <w:shd w:val="clear" w:color="auto" w:fill="00FFFF"/>
          <w:lang w:eastAsia="en-GB"/>
        </w:rPr>
        <w:t xml:space="preserve"> </w:t>
      </w:r>
      <w:r w:rsidR="00CB1CD5" w:rsidRPr="6978AB31">
        <w:rPr>
          <w:rFonts w:ascii="Arial" w:eastAsia="Arial" w:hAnsi="Arial" w:cs="Arial"/>
          <w:shd w:val="clear" w:color="auto" w:fill="00FFFF"/>
          <w:lang w:eastAsia="en-GB"/>
        </w:rPr>
        <w:t>ageing</w:t>
      </w:r>
      <w:r w:rsidRPr="6978AB31">
        <w:rPr>
          <w:rFonts w:ascii="Arial" w:eastAsia="Arial" w:hAnsi="Arial" w:cs="Arial"/>
          <w:shd w:val="clear" w:color="auto" w:fill="00FFFF"/>
          <w:lang w:eastAsia="en-GB"/>
        </w:rPr>
        <w:t xml:space="preserve"> (2021), suggest that </w:t>
      </w:r>
      <w:r w:rsidR="00CB1CD5" w:rsidRPr="6978AB31">
        <w:rPr>
          <w:rFonts w:ascii="Arial" w:eastAsia="Arial" w:hAnsi="Arial" w:cs="Arial"/>
          <w:shd w:val="clear" w:color="auto" w:fill="00FFFF"/>
          <w:lang w:eastAsia="en-GB"/>
        </w:rPr>
        <w:t>adopting</w:t>
      </w:r>
      <w:r w:rsidRPr="6978AB31">
        <w:rPr>
          <w:rFonts w:ascii="Arial" w:eastAsia="Arial" w:hAnsi="Arial" w:cs="Arial"/>
          <w:shd w:val="clear" w:color="auto" w:fill="00FFFF"/>
          <w:lang w:eastAsia="en-GB"/>
        </w:rPr>
        <w:t xml:space="preserve"> </w:t>
      </w:r>
      <w:r w:rsidR="00527519" w:rsidRPr="6978AB31">
        <w:rPr>
          <w:rFonts w:ascii="Arial" w:eastAsia="Arial" w:hAnsi="Arial" w:cs="Arial"/>
          <w:shd w:val="clear" w:color="auto" w:fill="00FFFF"/>
          <w:lang w:eastAsia="en-GB"/>
        </w:rPr>
        <w:t xml:space="preserve">the </w:t>
      </w:r>
      <w:r w:rsidRPr="6978AB31">
        <w:rPr>
          <w:rFonts w:ascii="Arial" w:eastAsia="Arial" w:hAnsi="Arial" w:cs="Arial"/>
          <w:shd w:val="clear" w:color="auto" w:fill="00FFFF"/>
          <w:lang w:eastAsia="en-GB"/>
        </w:rPr>
        <w:t>social model</w:t>
      </w:r>
      <w:r w:rsidR="00CB1CD5" w:rsidRPr="6978AB31">
        <w:rPr>
          <w:rFonts w:ascii="Arial" w:eastAsia="Arial" w:hAnsi="Arial" w:cs="Arial"/>
          <w:shd w:val="clear" w:color="auto" w:fill="00FFFF"/>
          <w:lang w:eastAsia="en-GB"/>
        </w:rPr>
        <w:t xml:space="preserve"> approach </w:t>
      </w:r>
      <w:r w:rsidRPr="6978AB31">
        <w:rPr>
          <w:rFonts w:ascii="Arial" w:eastAsia="Arial" w:hAnsi="Arial" w:cs="Arial"/>
          <w:shd w:val="clear" w:color="auto" w:fill="00FFFF"/>
          <w:lang w:eastAsia="en-GB"/>
        </w:rPr>
        <w:t xml:space="preserve">to older individuals as they age helps everyone to address conventional preconceptions and recognise that most of the difficult things </w:t>
      </w:r>
      <w:r w:rsidR="00B87698" w:rsidRPr="6978AB31">
        <w:rPr>
          <w:rFonts w:ascii="Arial" w:eastAsia="Arial" w:hAnsi="Arial" w:cs="Arial"/>
          <w:shd w:val="clear" w:color="auto" w:fill="00FFFF"/>
          <w:lang w:eastAsia="en-GB"/>
        </w:rPr>
        <w:t>related to age</w:t>
      </w:r>
      <w:r w:rsidRPr="6978AB31">
        <w:rPr>
          <w:rFonts w:ascii="Arial" w:eastAsia="Arial" w:hAnsi="Arial" w:cs="Arial"/>
          <w:shd w:val="clear" w:color="auto" w:fill="00FFFF"/>
          <w:lang w:eastAsia="en-GB"/>
        </w:rPr>
        <w:t xml:space="preserve"> changes are contextual.</w:t>
      </w:r>
      <w:r w:rsidRPr="6978AB31">
        <w:rPr>
          <w:rFonts w:ascii="Arial" w:eastAsia="Arial" w:hAnsi="Arial" w:cs="Arial"/>
          <w:shd w:val="clear" w:color="auto" w:fill="00FFFF"/>
        </w:rPr>
        <w:t xml:space="preserve"> </w:t>
      </w:r>
      <w:r w:rsidRPr="6978AB31">
        <w:rPr>
          <w:rFonts w:ascii="Arial" w:eastAsia="Arial" w:hAnsi="Arial" w:cs="Arial"/>
          <w:shd w:val="clear" w:color="auto" w:fill="00FFFF"/>
          <w:lang w:eastAsia="en-GB"/>
        </w:rPr>
        <w:t xml:space="preserve">It is essential for older adults to have meaningful lives as long as their </w:t>
      </w:r>
      <w:r w:rsidR="00B87698" w:rsidRPr="6978AB31">
        <w:rPr>
          <w:rFonts w:ascii="Arial" w:eastAsia="Arial" w:hAnsi="Arial" w:cs="Arial"/>
          <w:shd w:val="clear" w:color="auto" w:fill="00FFFF"/>
          <w:lang w:eastAsia="en-GB"/>
        </w:rPr>
        <w:t xml:space="preserve">environment </w:t>
      </w:r>
      <w:r w:rsidRPr="6978AB31">
        <w:rPr>
          <w:rFonts w:ascii="Arial" w:eastAsia="Arial" w:hAnsi="Arial" w:cs="Arial"/>
          <w:shd w:val="clear" w:color="auto" w:fill="00FFFF"/>
          <w:lang w:eastAsia="en-GB"/>
        </w:rPr>
        <w:t xml:space="preserve">and residences are </w:t>
      </w:r>
      <w:r w:rsidR="008011E0" w:rsidRPr="6978AB31">
        <w:rPr>
          <w:rFonts w:ascii="Arial" w:eastAsia="Arial" w:hAnsi="Arial" w:cs="Arial"/>
          <w:shd w:val="clear" w:color="auto" w:fill="00FFFF"/>
          <w:lang w:eastAsia="en-GB"/>
        </w:rPr>
        <w:t xml:space="preserve">accessible for </w:t>
      </w:r>
      <w:r w:rsidRPr="6978AB31">
        <w:rPr>
          <w:rFonts w:ascii="Arial" w:eastAsia="Arial" w:hAnsi="Arial" w:cs="Arial"/>
          <w:shd w:val="clear" w:color="auto" w:fill="00FFFF"/>
          <w:lang w:eastAsia="en-GB"/>
        </w:rPr>
        <w:t>them</w:t>
      </w:r>
      <w:r w:rsidR="008011E0" w:rsidRPr="6978AB31">
        <w:rPr>
          <w:rFonts w:ascii="Arial" w:eastAsia="Arial" w:hAnsi="Arial" w:cs="Arial"/>
          <w:shd w:val="clear" w:color="auto" w:fill="00FFFF"/>
          <w:lang w:eastAsia="en-GB"/>
        </w:rPr>
        <w:t>,</w:t>
      </w:r>
      <w:r w:rsidRPr="6978AB31">
        <w:rPr>
          <w:rFonts w:ascii="Arial" w:eastAsia="Arial" w:hAnsi="Arial" w:cs="Arial"/>
          <w:shd w:val="clear" w:color="auto" w:fill="00FFFF"/>
          <w:lang w:eastAsia="en-GB"/>
        </w:rPr>
        <w:t xml:space="preserve"> including those of their relatives and family members.</w:t>
      </w:r>
    </w:p>
    <w:p w14:paraId="7E97D9A9" w14:textId="711706DB" w:rsidR="00993A9B" w:rsidRDefault="0014671E" w:rsidP="6978AB31">
      <w:pPr>
        <w:tabs>
          <w:tab w:val="left" w:pos="720"/>
        </w:tabs>
        <w:spacing w:after="120" w:line="360" w:lineRule="auto"/>
        <w:contextualSpacing/>
        <w:jc w:val="both"/>
        <w:rPr>
          <w:rFonts w:ascii="Arial" w:eastAsia="Arial" w:hAnsi="Arial" w:cs="Arial"/>
        </w:rPr>
      </w:pPr>
      <w:r w:rsidRPr="6978AB31">
        <w:rPr>
          <w:rFonts w:ascii="Arial" w:eastAsia="Arial" w:hAnsi="Arial" w:cs="Arial"/>
          <w:shd w:val="clear" w:color="auto" w:fill="00FFFF"/>
        </w:rPr>
        <w:t xml:space="preserve">According to Thielke </w:t>
      </w:r>
      <w:r w:rsidRPr="08654B89">
        <w:rPr>
          <w:rFonts w:ascii="Arial" w:eastAsia="Arial" w:hAnsi="Arial" w:cs="Arial"/>
          <w:i/>
          <w:iCs/>
          <w:shd w:val="clear" w:color="auto" w:fill="00FFFF"/>
        </w:rPr>
        <w:t>et al.</w:t>
      </w:r>
      <w:r w:rsidRPr="6978AB31">
        <w:rPr>
          <w:rFonts w:ascii="Arial" w:eastAsia="Arial" w:hAnsi="Arial" w:cs="Arial"/>
          <w:shd w:val="clear" w:color="auto" w:fill="00FFFF"/>
        </w:rPr>
        <w:t xml:space="preserve"> (2012) Maslow's </w:t>
      </w:r>
      <w:proofErr w:type="spellStart"/>
      <w:r w:rsidR="00B20BAD" w:rsidRPr="6978AB31">
        <w:rPr>
          <w:rFonts w:ascii="Arial" w:eastAsia="Arial" w:hAnsi="Arial" w:cs="Arial"/>
          <w:shd w:val="clear" w:color="auto" w:fill="00FFFF"/>
        </w:rPr>
        <w:t>Hierarchicy</w:t>
      </w:r>
      <w:proofErr w:type="spellEnd"/>
      <w:r w:rsidR="00B20BAD" w:rsidRPr="6978AB31">
        <w:rPr>
          <w:rFonts w:ascii="Arial" w:eastAsia="Arial" w:hAnsi="Arial" w:cs="Arial"/>
          <w:shd w:val="clear" w:color="auto" w:fill="00FFFF"/>
        </w:rPr>
        <w:t xml:space="preserve"> </w:t>
      </w:r>
      <w:r w:rsidRPr="6978AB31">
        <w:rPr>
          <w:rFonts w:ascii="Arial" w:eastAsia="Arial" w:hAnsi="Arial" w:cs="Arial"/>
          <w:shd w:val="clear" w:color="auto" w:fill="00FFFF"/>
        </w:rPr>
        <w:t xml:space="preserve">of </w:t>
      </w:r>
      <w:r w:rsidR="00B20BAD" w:rsidRPr="6978AB31">
        <w:rPr>
          <w:rFonts w:ascii="Arial" w:eastAsia="Arial" w:hAnsi="Arial" w:cs="Arial"/>
          <w:shd w:val="clear" w:color="auto" w:fill="00FFFF"/>
        </w:rPr>
        <w:t>Needs</w:t>
      </w:r>
      <w:r w:rsidRPr="6978AB31">
        <w:rPr>
          <w:rFonts w:ascii="Arial" w:eastAsia="Arial" w:hAnsi="Arial" w:cs="Arial"/>
          <w:shd w:val="clear" w:color="auto" w:fill="00FFFF"/>
        </w:rPr>
        <w:t xml:space="preserve"> provides an invaluable approach for identifying key critical elements of the adoption and application of technology aimed at older individuals. </w:t>
      </w:r>
      <w:r w:rsidR="00451C8E" w:rsidRPr="6978AB31">
        <w:rPr>
          <w:rFonts w:ascii="Arial" w:eastAsia="Arial" w:hAnsi="Arial" w:cs="Arial"/>
          <w:shd w:val="clear" w:color="auto" w:fill="00FFFF"/>
        </w:rPr>
        <w:t xml:space="preserve">It </w:t>
      </w:r>
      <w:r w:rsidRPr="6978AB31">
        <w:rPr>
          <w:rFonts w:ascii="Arial" w:eastAsia="Arial" w:hAnsi="Arial" w:cs="Arial"/>
          <w:shd w:val="clear" w:color="auto" w:fill="00FFFF"/>
        </w:rPr>
        <w:t xml:space="preserve">implies that many technologies aimed at enhancing </w:t>
      </w:r>
      <w:r w:rsidR="00C42596" w:rsidRPr="6978AB31">
        <w:rPr>
          <w:rFonts w:ascii="Arial" w:eastAsia="Arial" w:hAnsi="Arial" w:cs="Arial"/>
          <w:shd w:val="clear" w:color="auto" w:fill="00FFFF"/>
        </w:rPr>
        <w:t xml:space="preserve">a person's </w:t>
      </w:r>
      <w:r w:rsidRPr="6978AB31">
        <w:rPr>
          <w:rFonts w:ascii="Arial" w:eastAsia="Arial" w:hAnsi="Arial" w:cs="Arial"/>
          <w:shd w:val="clear" w:color="auto" w:fill="00FFFF"/>
        </w:rPr>
        <w:t>quality of life, health, and independence may fail to suit the unique requirements of individual.</w:t>
      </w:r>
    </w:p>
    <w:p w14:paraId="10741FE3" w14:textId="1443A912" w:rsidR="00993A9B" w:rsidRDefault="0014671E" w:rsidP="6978AB31">
      <w:pPr>
        <w:spacing w:line="360" w:lineRule="auto"/>
        <w:jc w:val="both"/>
        <w:rPr>
          <w:rFonts w:ascii="Arial" w:eastAsia="Arial" w:hAnsi="Arial" w:cs="Arial"/>
        </w:rPr>
      </w:pPr>
      <w:r w:rsidRPr="6978AB31">
        <w:rPr>
          <w:rFonts w:ascii="Arial" w:eastAsia="Arial" w:hAnsi="Arial" w:cs="Arial"/>
          <w:shd w:val="clear" w:color="auto" w:fill="00FFFF"/>
        </w:rPr>
        <w:t xml:space="preserve">In </w:t>
      </w:r>
      <w:r w:rsidR="00945224" w:rsidRPr="6978AB31">
        <w:rPr>
          <w:rFonts w:ascii="Arial" w:eastAsia="Arial" w:hAnsi="Arial" w:cs="Arial"/>
          <w:shd w:val="clear" w:color="auto" w:fill="00FFFF"/>
        </w:rPr>
        <w:t xml:space="preserve">conclusion, </w:t>
      </w:r>
      <w:r w:rsidRPr="6978AB31">
        <w:rPr>
          <w:rFonts w:ascii="Arial" w:eastAsia="Arial" w:hAnsi="Arial" w:cs="Arial"/>
          <w:shd w:val="clear" w:color="auto" w:fill="00FFFF"/>
        </w:rPr>
        <w:t>it</w:t>
      </w:r>
      <w:r w:rsidR="00945224" w:rsidRPr="6978AB31">
        <w:rPr>
          <w:rFonts w:ascii="Arial" w:eastAsia="Arial" w:hAnsi="Arial" w:cs="Arial"/>
          <w:shd w:val="clear" w:color="auto" w:fill="00FFFF"/>
        </w:rPr>
        <w:t xml:space="preserve"> is </w:t>
      </w:r>
      <w:r w:rsidRPr="6978AB31">
        <w:rPr>
          <w:rFonts w:ascii="Arial" w:eastAsia="Arial" w:hAnsi="Arial" w:cs="Arial"/>
          <w:shd w:val="clear" w:color="auto" w:fill="00FFFF"/>
        </w:rPr>
        <w:t xml:space="preserve">indeed logical to conclude that the </w:t>
      </w:r>
      <w:r w:rsidR="00945224" w:rsidRPr="6978AB31">
        <w:rPr>
          <w:rFonts w:ascii="Arial" w:eastAsia="Arial" w:hAnsi="Arial" w:cs="Arial"/>
          <w:shd w:val="clear" w:color="auto" w:fill="00FFFF"/>
        </w:rPr>
        <w:t xml:space="preserve">COVID-19 </w:t>
      </w:r>
      <w:r w:rsidRPr="6978AB31">
        <w:rPr>
          <w:rFonts w:ascii="Arial" w:eastAsia="Arial" w:hAnsi="Arial" w:cs="Arial"/>
          <w:shd w:val="clear" w:color="auto" w:fill="00FFFF"/>
        </w:rPr>
        <w:t xml:space="preserve">pandemic has had a detrimental effect on the </w:t>
      </w:r>
      <w:r w:rsidR="004E4ACB" w:rsidRPr="6978AB31">
        <w:rPr>
          <w:rFonts w:ascii="Arial" w:eastAsia="Arial" w:hAnsi="Arial" w:cs="Arial"/>
          <w:shd w:val="clear" w:color="auto" w:fill="00FFFF"/>
        </w:rPr>
        <w:t>ageing</w:t>
      </w:r>
      <w:r w:rsidRPr="6978AB31">
        <w:rPr>
          <w:rFonts w:ascii="Arial" w:eastAsia="Arial" w:hAnsi="Arial" w:cs="Arial"/>
          <w:shd w:val="clear" w:color="auto" w:fill="00FFFF"/>
        </w:rPr>
        <w:t xml:space="preserve"> population in the U</w:t>
      </w:r>
      <w:r w:rsidR="004E4ACB" w:rsidRPr="6978AB31">
        <w:rPr>
          <w:rFonts w:ascii="Arial" w:eastAsia="Arial" w:hAnsi="Arial" w:cs="Arial"/>
          <w:shd w:val="clear" w:color="auto" w:fill="00FFFF"/>
        </w:rPr>
        <w:t>K</w:t>
      </w:r>
      <w:r w:rsidRPr="6978AB31">
        <w:rPr>
          <w:rFonts w:ascii="Arial" w:eastAsia="Arial" w:hAnsi="Arial" w:cs="Arial"/>
          <w:shd w:val="clear" w:color="auto" w:fill="00FFFF"/>
        </w:rPr>
        <w:t xml:space="preserve">. During the </w:t>
      </w:r>
      <w:r w:rsidR="004E4ACB" w:rsidRPr="6978AB31">
        <w:rPr>
          <w:rFonts w:ascii="Arial" w:eastAsia="Arial" w:hAnsi="Arial" w:cs="Arial"/>
          <w:shd w:val="clear" w:color="auto" w:fill="00FFFF"/>
        </w:rPr>
        <w:t xml:space="preserve">enforced </w:t>
      </w:r>
      <w:r w:rsidRPr="6978AB31">
        <w:rPr>
          <w:rFonts w:ascii="Arial" w:eastAsia="Arial" w:hAnsi="Arial" w:cs="Arial"/>
          <w:shd w:val="clear" w:color="auto" w:fill="00FFFF"/>
        </w:rPr>
        <w:t>lockdown</w:t>
      </w:r>
      <w:r w:rsidR="004E4ACB" w:rsidRPr="6978AB31">
        <w:rPr>
          <w:rFonts w:ascii="Arial" w:eastAsia="Arial" w:hAnsi="Arial" w:cs="Arial"/>
          <w:shd w:val="clear" w:color="auto" w:fill="00FFFF"/>
        </w:rPr>
        <w:t>s</w:t>
      </w:r>
      <w:r w:rsidRPr="6978AB31">
        <w:rPr>
          <w:rFonts w:ascii="Arial" w:eastAsia="Arial" w:hAnsi="Arial" w:cs="Arial"/>
          <w:shd w:val="clear" w:color="auto" w:fill="00FFFF"/>
        </w:rPr>
        <w:t xml:space="preserve"> and self-isolation</w:t>
      </w:r>
      <w:r w:rsidR="004E4ACB" w:rsidRPr="6978AB31">
        <w:rPr>
          <w:rFonts w:ascii="Arial" w:eastAsia="Arial" w:hAnsi="Arial" w:cs="Arial"/>
          <w:shd w:val="clear" w:color="auto" w:fill="00FFFF"/>
        </w:rPr>
        <w:t xml:space="preserve"> periods</w:t>
      </w:r>
      <w:r w:rsidRPr="6978AB31">
        <w:rPr>
          <w:rFonts w:ascii="Arial" w:eastAsia="Arial" w:hAnsi="Arial" w:cs="Arial"/>
          <w:shd w:val="clear" w:color="auto" w:fill="00FFFF"/>
        </w:rPr>
        <w:t xml:space="preserve">, elderly people </w:t>
      </w:r>
      <w:r w:rsidR="004E4ACB" w:rsidRPr="6978AB31">
        <w:rPr>
          <w:rFonts w:ascii="Arial" w:eastAsia="Arial" w:hAnsi="Arial" w:cs="Arial"/>
          <w:shd w:val="clear" w:color="auto" w:fill="00FFFF"/>
        </w:rPr>
        <w:t>were</w:t>
      </w:r>
      <w:r w:rsidRPr="6978AB31">
        <w:rPr>
          <w:rFonts w:ascii="Arial" w:eastAsia="Arial" w:hAnsi="Arial" w:cs="Arial"/>
          <w:shd w:val="clear" w:color="auto" w:fill="00FFFF"/>
        </w:rPr>
        <w:t xml:space="preserve"> concerned about losing loved ones, spouses, </w:t>
      </w:r>
      <w:r w:rsidR="008318F2" w:rsidRPr="6978AB31">
        <w:rPr>
          <w:rFonts w:ascii="Arial" w:eastAsia="Arial" w:hAnsi="Arial" w:cs="Arial"/>
          <w:shd w:val="clear" w:color="auto" w:fill="00FFFF"/>
        </w:rPr>
        <w:t>becoming</w:t>
      </w:r>
      <w:r w:rsidRPr="6978AB31">
        <w:rPr>
          <w:rFonts w:ascii="Arial" w:eastAsia="Arial" w:hAnsi="Arial" w:cs="Arial"/>
          <w:shd w:val="clear" w:color="auto" w:fill="00FFFF"/>
        </w:rPr>
        <w:t xml:space="preserve"> infected, or ill </w:t>
      </w:r>
      <w:r w:rsidR="008318F2" w:rsidRPr="6978AB31">
        <w:rPr>
          <w:rFonts w:ascii="Arial" w:eastAsia="Arial" w:hAnsi="Arial" w:cs="Arial"/>
          <w:shd w:val="clear" w:color="auto" w:fill="00FFFF"/>
        </w:rPr>
        <w:t xml:space="preserve">more so </w:t>
      </w:r>
      <w:r w:rsidRPr="6978AB31">
        <w:rPr>
          <w:rFonts w:ascii="Arial" w:eastAsia="Arial" w:hAnsi="Arial" w:cs="Arial"/>
          <w:shd w:val="clear" w:color="auto" w:fill="00FFFF"/>
        </w:rPr>
        <w:t>than they were before. Additionally, it had a</w:t>
      </w:r>
      <w:r w:rsidR="00C745A8" w:rsidRPr="6978AB31">
        <w:rPr>
          <w:rFonts w:ascii="Arial" w:eastAsia="Arial" w:hAnsi="Arial" w:cs="Arial"/>
          <w:shd w:val="clear" w:color="auto" w:fill="00FFFF"/>
        </w:rPr>
        <w:t xml:space="preserve"> negative </w:t>
      </w:r>
      <w:r w:rsidRPr="6978AB31">
        <w:rPr>
          <w:rFonts w:ascii="Arial" w:eastAsia="Arial" w:hAnsi="Arial" w:cs="Arial"/>
          <w:shd w:val="clear" w:color="auto" w:fill="00FFFF"/>
        </w:rPr>
        <w:t>effect on the mental health of the elderly population</w:t>
      </w:r>
      <w:r w:rsidR="00C745A8" w:rsidRPr="6978AB31">
        <w:rPr>
          <w:rFonts w:ascii="Arial" w:eastAsia="Arial" w:hAnsi="Arial" w:cs="Arial"/>
          <w:shd w:val="clear" w:color="auto" w:fill="00FFFF"/>
        </w:rPr>
        <w:t xml:space="preserve">, with a dramatic decline in mental wellbeing. </w:t>
      </w:r>
      <w:r w:rsidRPr="6978AB31">
        <w:rPr>
          <w:rFonts w:ascii="Arial" w:eastAsia="Arial" w:hAnsi="Arial" w:cs="Arial"/>
          <w:shd w:val="clear" w:color="auto" w:fill="00FFFF"/>
        </w:rPr>
        <w:t xml:space="preserve">Our </w:t>
      </w:r>
      <w:r w:rsidRPr="6978AB31">
        <w:rPr>
          <w:rFonts w:ascii="Arial" w:eastAsia="Arial" w:hAnsi="Arial" w:cs="Arial"/>
          <w:shd w:val="clear" w:color="auto" w:fill="00FFFF"/>
        </w:rPr>
        <w:lastRenderedPageBreak/>
        <w:t xml:space="preserve">healthcare is based </w:t>
      </w:r>
      <w:r w:rsidR="006B7337" w:rsidRPr="6978AB31">
        <w:rPr>
          <w:rFonts w:ascii="Arial" w:eastAsia="Arial" w:hAnsi="Arial" w:cs="Arial"/>
          <w:shd w:val="clear" w:color="auto" w:fill="00FFFF"/>
        </w:rPr>
        <w:t>up</w:t>
      </w:r>
      <w:r w:rsidRPr="6978AB31">
        <w:rPr>
          <w:rFonts w:ascii="Arial" w:eastAsia="Arial" w:hAnsi="Arial" w:cs="Arial"/>
          <w:shd w:val="clear" w:color="auto" w:fill="00FFFF"/>
        </w:rPr>
        <w:t xml:space="preserve">on </w:t>
      </w:r>
      <w:r w:rsidR="006B7337" w:rsidRPr="6978AB31">
        <w:rPr>
          <w:rFonts w:ascii="Arial" w:eastAsia="Arial" w:hAnsi="Arial" w:cs="Arial"/>
          <w:shd w:val="clear" w:color="auto" w:fill="00FFFF"/>
        </w:rPr>
        <w:t xml:space="preserve">a </w:t>
      </w:r>
      <w:r w:rsidRPr="6978AB31">
        <w:rPr>
          <w:rFonts w:ascii="Arial" w:eastAsia="Arial" w:hAnsi="Arial" w:cs="Arial"/>
          <w:shd w:val="clear" w:color="auto" w:fill="00FFFF"/>
        </w:rPr>
        <w:t>medical model</w:t>
      </w:r>
      <w:r w:rsidR="006B7337" w:rsidRPr="6978AB31">
        <w:rPr>
          <w:rFonts w:ascii="Arial" w:eastAsia="Arial" w:hAnsi="Arial" w:cs="Arial"/>
          <w:shd w:val="clear" w:color="auto" w:fill="00FFFF"/>
        </w:rPr>
        <w:t>,</w:t>
      </w:r>
      <w:r w:rsidRPr="6978AB31">
        <w:rPr>
          <w:rFonts w:ascii="Arial" w:eastAsia="Arial" w:hAnsi="Arial" w:cs="Arial"/>
          <w:shd w:val="clear" w:color="auto" w:fill="00FFFF"/>
        </w:rPr>
        <w:t xml:space="preserve"> which traditionall</w:t>
      </w:r>
      <w:r w:rsidR="006B7337" w:rsidRPr="6978AB31">
        <w:rPr>
          <w:rFonts w:ascii="Arial" w:eastAsia="Arial" w:hAnsi="Arial" w:cs="Arial"/>
          <w:shd w:val="clear" w:color="auto" w:fill="00FFFF"/>
        </w:rPr>
        <w:t xml:space="preserve">y considers </w:t>
      </w:r>
      <w:r w:rsidRPr="6978AB31">
        <w:rPr>
          <w:rFonts w:ascii="Arial" w:eastAsia="Arial" w:hAnsi="Arial" w:cs="Arial"/>
          <w:shd w:val="clear" w:color="auto" w:fill="00FFFF"/>
        </w:rPr>
        <w:t>impairments as disabling</w:t>
      </w:r>
      <w:r w:rsidR="008D0F08" w:rsidRPr="6978AB31">
        <w:rPr>
          <w:rFonts w:ascii="Arial" w:eastAsia="Arial" w:hAnsi="Arial" w:cs="Arial"/>
          <w:shd w:val="clear" w:color="auto" w:fill="00FFFF"/>
        </w:rPr>
        <w:t xml:space="preserve"> element of </w:t>
      </w:r>
      <w:r w:rsidRPr="6978AB31">
        <w:rPr>
          <w:rFonts w:ascii="Arial" w:eastAsia="Arial" w:hAnsi="Arial" w:cs="Arial"/>
          <w:shd w:val="clear" w:color="auto" w:fill="00FFFF"/>
        </w:rPr>
        <w:t>impaired person</w:t>
      </w:r>
      <w:r w:rsidR="008D0F08" w:rsidRPr="6978AB31">
        <w:rPr>
          <w:rFonts w:ascii="Arial" w:eastAsia="Arial" w:hAnsi="Arial" w:cs="Arial"/>
          <w:shd w:val="clear" w:color="auto" w:fill="00FFFF"/>
        </w:rPr>
        <w:t>.</w:t>
      </w:r>
      <w:r w:rsidR="00E57CB3" w:rsidRPr="6978AB31">
        <w:rPr>
          <w:rFonts w:ascii="Arial" w:eastAsia="Arial" w:hAnsi="Arial" w:cs="Arial"/>
          <w:shd w:val="clear" w:color="auto" w:fill="00FFFF"/>
        </w:rPr>
        <w:t xml:space="preserve"> Moreover, it enforce</w:t>
      </w:r>
      <w:r w:rsidR="008E3CAB" w:rsidRPr="6978AB31">
        <w:rPr>
          <w:rFonts w:ascii="Arial" w:eastAsia="Arial" w:hAnsi="Arial" w:cs="Arial"/>
          <w:shd w:val="clear" w:color="auto" w:fill="00FFFF"/>
        </w:rPr>
        <w:t>s</w:t>
      </w:r>
      <w:r w:rsidR="00E57CB3" w:rsidRPr="6978AB31">
        <w:rPr>
          <w:rFonts w:ascii="Arial" w:eastAsia="Arial" w:hAnsi="Arial" w:cs="Arial"/>
          <w:shd w:val="clear" w:color="auto" w:fill="00FFFF"/>
        </w:rPr>
        <w:t xml:space="preserve"> the belief that </w:t>
      </w:r>
      <w:r w:rsidRPr="6978AB31">
        <w:rPr>
          <w:rFonts w:ascii="Arial" w:eastAsia="Arial" w:hAnsi="Arial" w:cs="Arial"/>
          <w:shd w:val="clear" w:color="auto" w:fill="00FFFF"/>
        </w:rPr>
        <w:t>if individuals' disabilities</w:t>
      </w:r>
      <w:r w:rsidR="008E3CAB" w:rsidRPr="6978AB31">
        <w:rPr>
          <w:rFonts w:ascii="Arial" w:eastAsia="Arial" w:hAnsi="Arial" w:cs="Arial"/>
          <w:shd w:val="clear" w:color="auto" w:fill="00FFFF"/>
        </w:rPr>
        <w:t xml:space="preserve"> are treated and/or removed</w:t>
      </w:r>
      <w:r w:rsidRPr="6978AB31">
        <w:rPr>
          <w:rFonts w:ascii="Arial" w:eastAsia="Arial" w:hAnsi="Arial" w:cs="Arial"/>
          <w:shd w:val="clear" w:color="auto" w:fill="00FFFF"/>
        </w:rPr>
        <w:t>, th</w:t>
      </w:r>
      <w:r w:rsidR="00961800" w:rsidRPr="6978AB31">
        <w:rPr>
          <w:rFonts w:ascii="Arial" w:eastAsia="Arial" w:hAnsi="Arial" w:cs="Arial"/>
          <w:shd w:val="clear" w:color="auto" w:fill="00FFFF"/>
        </w:rPr>
        <w:t>en</w:t>
      </w:r>
      <w:r w:rsidRPr="6978AB31">
        <w:rPr>
          <w:rFonts w:ascii="Arial" w:eastAsia="Arial" w:hAnsi="Arial" w:cs="Arial"/>
          <w:shd w:val="clear" w:color="auto" w:fill="00FFFF"/>
        </w:rPr>
        <w:t xml:space="preserve"> </w:t>
      </w:r>
      <w:r w:rsidR="008E3CAB" w:rsidRPr="6978AB31">
        <w:rPr>
          <w:rFonts w:ascii="Arial" w:eastAsia="Arial" w:hAnsi="Arial" w:cs="Arial"/>
          <w:shd w:val="clear" w:color="auto" w:fill="00FFFF"/>
        </w:rPr>
        <w:t xml:space="preserve">this will </w:t>
      </w:r>
      <w:r w:rsidRPr="6978AB31">
        <w:rPr>
          <w:rFonts w:ascii="Arial" w:eastAsia="Arial" w:hAnsi="Arial" w:cs="Arial"/>
          <w:shd w:val="clear" w:color="auto" w:fill="00FFFF"/>
        </w:rPr>
        <w:t xml:space="preserve">solve the social integration issue. </w:t>
      </w:r>
      <w:r w:rsidR="00402D49" w:rsidRPr="6978AB31">
        <w:rPr>
          <w:rFonts w:ascii="Arial" w:eastAsia="Arial" w:hAnsi="Arial" w:cs="Arial"/>
          <w:shd w:val="clear" w:color="auto" w:fill="00FFFF"/>
        </w:rPr>
        <w:t>There is a</w:t>
      </w:r>
      <w:r w:rsidR="00C111CE" w:rsidRPr="6978AB31">
        <w:rPr>
          <w:rFonts w:ascii="Arial" w:eastAsia="Arial" w:hAnsi="Arial" w:cs="Arial"/>
          <w:shd w:val="clear" w:color="auto" w:fill="00FFFF"/>
        </w:rPr>
        <w:t xml:space="preserve">lso a </w:t>
      </w:r>
      <w:r w:rsidR="00402D49" w:rsidRPr="6978AB31">
        <w:rPr>
          <w:rFonts w:ascii="Arial" w:eastAsia="Arial" w:hAnsi="Arial" w:cs="Arial"/>
          <w:shd w:val="clear" w:color="auto" w:fill="00FFFF"/>
        </w:rPr>
        <w:t xml:space="preserve">reinforcement within the medical model that society </w:t>
      </w:r>
      <w:r w:rsidRPr="6978AB31">
        <w:rPr>
          <w:rFonts w:ascii="Arial" w:eastAsia="Arial" w:hAnsi="Arial" w:cs="Arial"/>
          <w:shd w:val="clear" w:color="auto" w:fill="00FFFF"/>
        </w:rPr>
        <w:t>does</w:t>
      </w:r>
      <w:r w:rsidR="00961800" w:rsidRPr="6978AB31">
        <w:rPr>
          <w:rFonts w:ascii="Arial" w:eastAsia="Arial" w:hAnsi="Arial" w:cs="Arial"/>
          <w:shd w:val="clear" w:color="auto" w:fill="00FFFF"/>
        </w:rPr>
        <w:t xml:space="preserve"> not</w:t>
      </w:r>
      <w:r w:rsidRPr="6978AB31">
        <w:rPr>
          <w:rFonts w:ascii="Arial" w:eastAsia="Arial" w:hAnsi="Arial" w:cs="Arial"/>
          <w:shd w:val="clear" w:color="auto" w:fill="00FFFF"/>
        </w:rPr>
        <w:t xml:space="preserve"> have to adapt</w:t>
      </w:r>
      <w:r w:rsidR="009378C1" w:rsidRPr="6978AB31">
        <w:rPr>
          <w:rFonts w:ascii="Arial" w:eastAsia="Arial" w:hAnsi="Arial" w:cs="Arial"/>
          <w:shd w:val="clear" w:color="auto" w:fill="00FFFF"/>
        </w:rPr>
        <w:t xml:space="preserve"> to the </w:t>
      </w:r>
      <w:proofErr w:type="gramStart"/>
      <w:r w:rsidR="009378C1" w:rsidRPr="6978AB31">
        <w:rPr>
          <w:rFonts w:ascii="Arial" w:eastAsia="Arial" w:hAnsi="Arial" w:cs="Arial"/>
          <w:shd w:val="clear" w:color="auto" w:fill="00FFFF"/>
        </w:rPr>
        <w:t>person</w:t>
      </w:r>
      <w:proofErr w:type="gramEnd"/>
      <w:r w:rsidR="00DB62C9" w:rsidRPr="6978AB31">
        <w:rPr>
          <w:rFonts w:ascii="Arial" w:eastAsia="Arial" w:hAnsi="Arial" w:cs="Arial"/>
          <w:shd w:val="clear" w:color="auto" w:fill="00FFFF"/>
        </w:rPr>
        <w:t xml:space="preserve"> and this is a stark contrast to the social model. </w:t>
      </w:r>
      <w:r w:rsidR="00D032A5" w:rsidRPr="6978AB31">
        <w:rPr>
          <w:rFonts w:ascii="Arial" w:eastAsia="Arial" w:hAnsi="Arial" w:cs="Arial"/>
          <w:shd w:val="clear" w:color="auto" w:fill="00FFFF"/>
        </w:rPr>
        <w:t>Regarding the issue of DNR’s, even though</w:t>
      </w:r>
      <w:r w:rsidR="0070211F" w:rsidRPr="6978AB31">
        <w:rPr>
          <w:rFonts w:ascii="Arial" w:eastAsia="Arial" w:hAnsi="Arial" w:cs="Arial"/>
          <w:shd w:val="clear" w:color="auto" w:fill="00FFFF"/>
        </w:rPr>
        <w:t xml:space="preserve"> </w:t>
      </w:r>
      <w:r w:rsidRPr="6978AB31">
        <w:rPr>
          <w:rFonts w:ascii="Arial" w:eastAsia="Arial" w:hAnsi="Arial" w:cs="Arial"/>
          <w:shd w:val="clear" w:color="auto" w:fill="00FFFF"/>
        </w:rPr>
        <w:t>anybody has the right to</w:t>
      </w:r>
      <w:r w:rsidR="0070211F" w:rsidRPr="6978AB31">
        <w:rPr>
          <w:rFonts w:ascii="Arial" w:eastAsia="Arial" w:hAnsi="Arial" w:cs="Arial"/>
          <w:shd w:val="clear" w:color="auto" w:fill="00FFFF"/>
        </w:rPr>
        <w:t xml:space="preserve"> this</w:t>
      </w:r>
      <w:r w:rsidRPr="6978AB31">
        <w:rPr>
          <w:rFonts w:ascii="Arial" w:eastAsia="Arial" w:hAnsi="Arial" w:cs="Arial"/>
          <w:shd w:val="clear" w:color="auto" w:fill="00FFFF"/>
        </w:rPr>
        <w:t xml:space="preserve">, </w:t>
      </w:r>
      <w:r w:rsidR="000340A2" w:rsidRPr="6978AB31">
        <w:rPr>
          <w:rFonts w:ascii="Arial" w:eastAsia="Arial" w:hAnsi="Arial" w:cs="Arial"/>
          <w:shd w:val="clear" w:color="auto" w:fill="00FFFF"/>
        </w:rPr>
        <w:t xml:space="preserve">it </w:t>
      </w:r>
      <w:r w:rsidRPr="6978AB31">
        <w:rPr>
          <w:rFonts w:ascii="Arial" w:eastAsia="Arial" w:hAnsi="Arial" w:cs="Arial"/>
          <w:shd w:val="clear" w:color="auto" w:fill="00FFFF"/>
        </w:rPr>
        <w:t xml:space="preserve">was exploited during the COVID-19 pandemic which </w:t>
      </w:r>
      <w:r w:rsidR="000340A2" w:rsidRPr="6978AB31">
        <w:rPr>
          <w:rFonts w:ascii="Arial" w:eastAsia="Arial" w:hAnsi="Arial" w:cs="Arial"/>
          <w:shd w:val="clear" w:color="auto" w:fill="00FFFF"/>
        </w:rPr>
        <w:t xml:space="preserve">was a </w:t>
      </w:r>
      <w:r w:rsidRPr="6978AB31">
        <w:rPr>
          <w:rFonts w:ascii="Arial" w:eastAsia="Arial" w:hAnsi="Arial" w:cs="Arial"/>
          <w:shd w:val="clear" w:color="auto" w:fill="00FFFF"/>
        </w:rPr>
        <w:t>bre</w:t>
      </w:r>
      <w:r w:rsidR="000340A2" w:rsidRPr="6978AB31">
        <w:rPr>
          <w:rFonts w:ascii="Arial" w:eastAsia="Arial" w:hAnsi="Arial" w:cs="Arial"/>
          <w:shd w:val="clear" w:color="auto" w:fill="00FFFF"/>
        </w:rPr>
        <w:t>ach</w:t>
      </w:r>
      <w:r w:rsidRPr="6978AB31">
        <w:rPr>
          <w:rFonts w:ascii="Arial" w:eastAsia="Arial" w:hAnsi="Arial" w:cs="Arial"/>
          <w:shd w:val="clear" w:color="auto" w:fill="00FFFF"/>
        </w:rPr>
        <w:t xml:space="preserve"> of </w:t>
      </w:r>
      <w:r w:rsidR="000340A2" w:rsidRPr="6978AB31">
        <w:rPr>
          <w:rFonts w:ascii="Arial" w:eastAsia="Arial" w:hAnsi="Arial" w:cs="Arial"/>
          <w:shd w:val="clear" w:color="auto" w:fill="00FFFF"/>
        </w:rPr>
        <w:t xml:space="preserve">the </w:t>
      </w:r>
      <w:r w:rsidRPr="6978AB31">
        <w:rPr>
          <w:rFonts w:ascii="Arial" w:eastAsia="Arial" w:hAnsi="Arial" w:cs="Arial"/>
          <w:shd w:val="clear" w:color="auto" w:fill="00FFFF"/>
        </w:rPr>
        <w:t>Human Rights</w:t>
      </w:r>
      <w:r w:rsidR="000340A2" w:rsidRPr="6978AB31">
        <w:rPr>
          <w:rFonts w:ascii="Arial" w:eastAsia="Arial" w:hAnsi="Arial" w:cs="Arial"/>
          <w:shd w:val="clear" w:color="auto" w:fill="00FFFF"/>
        </w:rPr>
        <w:t xml:space="preserve"> Act (1998)</w:t>
      </w:r>
      <w:r w:rsidRPr="6978AB31">
        <w:rPr>
          <w:rFonts w:ascii="Arial" w:eastAsia="Arial" w:hAnsi="Arial" w:cs="Arial"/>
          <w:shd w:val="clear" w:color="auto" w:fill="00FFFF"/>
        </w:rPr>
        <w:t xml:space="preserve"> and </w:t>
      </w:r>
      <w:r w:rsidR="000340A2" w:rsidRPr="6978AB31">
        <w:rPr>
          <w:rFonts w:ascii="Arial" w:eastAsia="Arial" w:hAnsi="Arial" w:cs="Arial"/>
          <w:shd w:val="clear" w:color="auto" w:fill="00FFFF"/>
        </w:rPr>
        <w:t>Equality</w:t>
      </w:r>
      <w:r w:rsidRPr="6978AB31">
        <w:rPr>
          <w:rFonts w:ascii="Arial" w:eastAsia="Arial" w:hAnsi="Arial" w:cs="Arial"/>
          <w:shd w:val="clear" w:color="auto" w:fill="00FFFF"/>
        </w:rPr>
        <w:t xml:space="preserve"> Act </w:t>
      </w:r>
      <w:r w:rsidR="000340A2" w:rsidRPr="6978AB31">
        <w:rPr>
          <w:rFonts w:ascii="Arial" w:eastAsia="Arial" w:hAnsi="Arial" w:cs="Arial"/>
          <w:shd w:val="clear" w:color="auto" w:fill="00FFFF"/>
        </w:rPr>
        <w:t>(</w:t>
      </w:r>
      <w:r w:rsidRPr="6978AB31">
        <w:rPr>
          <w:rFonts w:ascii="Arial" w:eastAsia="Arial" w:hAnsi="Arial" w:cs="Arial"/>
          <w:shd w:val="clear" w:color="auto" w:fill="00FFFF"/>
        </w:rPr>
        <w:t>2010</w:t>
      </w:r>
      <w:r w:rsidR="000340A2" w:rsidRPr="6978AB31">
        <w:rPr>
          <w:rFonts w:ascii="Arial" w:eastAsia="Arial" w:hAnsi="Arial" w:cs="Arial"/>
          <w:shd w:val="clear" w:color="auto" w:fill="00FFFF"/>
        </w:rPr>
        <w:t>)</w:t>
      </w:r>
      <w:r w:rsidRPr="6978AB31">
        <w:rPr>
          <w:rFonts w:ascii="Arial" w:eastAsia="Arial" w:hAnsi="Arial" w:cs="Arial"/>
          <w:shd w:val="clear" w:color="auto" w:fill="00FFFF"/>
        </w:rPr>
        <w:t>.</w:t>
      </w:r>
    </w:p>
    <w:p w14:paraId="51F7F5C5" w14:textId="77777777" w:rsidR="00993A9B" w:rsidRDefault="00993A9B" w:rsidP="6978AB31">
      <w:pPr>
        <w:jc w:val="both"/>
        <w:rPr>
          <w:rFonts w:ascii="Arial" w:eastAsia="Arial" w:hAnsi="Arial" w:cs="Arial"/>
        </w:rPr>
      </w:pPr>
    </w:p>
    <w:p w14:paraId="309C6A26" w14:textId="77777777" w:rsidR="00993A9B" w:rsidRDefault="00993A9B" w:rsidP="6978AB31">
      <w:pPr>
        <w:jc w:val="both"/>
        <w:rPr>
          <w:rFonts w:ascii="Arial" w:eastAsia="Arial" w:hAnsi="Arial" w:cs="Arial"/>
        </w:rPr>
      </w:pPr>
    </w:p>
    <w:p w14:paraId="7BA0F6A3" w14:textId="77777777" w:rsidR="00993A9B" w:rsidRDefault="00993A9B" w:rsidP="6978AB31">
      <w:pPr>
        <w:jc w:val="both"/>
        <w:rPr>
          <w:rFonts w:ascii="Arial" w:eastAsia="Arial" w:hAnsi="Arial" w:cs="Arial"/>
        </w:rPr>
      </w:pPr>
    </w:p>
    <w:p w14:paraId="6922CC50" w14:textId="77777777" w:rsidR="00993A9B" w:rsidRDefault="00993A9B" w:rsidP="08654B89">
      <w:pPr>
        <w:jc w:val="both"/>
        <w:rPr>
          <w:rFonts w:ascii="Arial" w:eastAsia="Arial" w:hAnsi="Arial" w:cs="Arial"/>
        </w:rPr>
      </w:pPr>
    </w:p>
    <w:p w14:paraId="77051810" w14:textId="77777777" w:rsidR="00993A9B" w:rsidRDefault="00993A9B" w:rsidP="08654B89">
      <w:pPr>
        <w:jc w:val="both"/>
        <w:rPr>
          <w:rFonts w:ascii="Arial" w:eastAsia="Arial" w:hAnsi="Arial" w:cs="Arial"/>
        </w:rPr>
      </w:pPr>
    </w:p>
    <w:p w14:paraId="19791972" w14:textId="77777777" w:rsidR="00993A9B" w:rsidRDefault="00993A9B" w:rsidP="08654B89">
      <w:pPr>
        <w:jc w:val="both"/>
        <w:rPr>
          <w:rFonts w:ascii="Arial" w:eastAsia="Arial" w:hAnsi="Arial" w:cs="Arial"/>
        </w:rPr>
      </w:pPr>
    </w:p>
    <w:p w14:paraId="55D1F92A" w14:textId="77777777" w:rsidR="00993A9B" w:rsidRDefault="00993A9B" w:rsidP="08654B89">
      <w:pPr>
        <w:jc w:val="both"/>
        <w:rPr>
          <w:rFonts w:ascii="Arial" w:eastAsia="Arial" w:hAnsi="Arial" w:cs="Arial"/>
        </w:rPr>
      </w:pPr>
    </w:p>
    <w:p w14:paraId="7350966C" w14:textId="77777777" w:rsidR="00993A9B" w:rsidRDefault="00993A9B" w:rsidP="08654B89">
      <w:pPr>
        <w:jc w:val="both"/>
        <w:rPr>
          <w:rFonts w:ascii="Arial" w:eastAsia="Arial" w:hAnsi="Arial" w:cs="Arial"/>
        </w:rPr>
      </w:pPr>
    </w:p>
    <w:p w14:paraId="75A7A917" w14:textId="77777777" w:rsidR="00993A9B" w:rsidRDefault="00993A9B" w:rsidP="08654B89">
      <w:pPr>
        <w:jc w:val="both"/>
        <w:rPr>
          <w:rFonts w:ascii="Arial" w:eastAsia="Arial" w:hAnsi="Arial" w:cs="Arial"/>
        </w:rPr>
      </w:pPr>
    </w:p>
    <w:p w14:paraId="3C0EBAF0" w14:textId="77777777" w:rsidR="00993A9B" w:rsidRDefault="00993A9B" w:rsidP="08654B89">
      <w:pPr>
        <w:jc w:val="both"/>
        <w:rPr>
          <w:rFonts w:ascii="Arial" w:eastAsia="Arial" w:hAnsi="Arial" w:cs="Arial"/>
        </w:rPr>
      </w:pPr>
    </w:p>
    <w:p w14:paraId="1C264C1A" w14:textId="77777777" w:rsidR="00993A9B" w:rsidRDefault="00993A9B" w:rsidP="08654B89">
      <w:pPr>
        <w:jc w:val="both"/>
      </w:pPr>
    </w:p>
    <w:p w14:paraId="04423CCB" w14:textId="77777777" w:rsidR="00993A9B" w:rsidRDefault="00993A9B" w:rsidP="08654B89">
      <w:pPr>
        <w:jc w:val="both"/>
      </w:pPr>
    </w:p>
    <w:p w14:paraId="068DA918" w14:textId="4D2C7ABB" w:rsidR="00993A9B" w:rsidRDefault="00993A9B" w:rsidP="08654B89">
      <w:pPr>
        <w:jc w:val="both"/>
      </w:pPr>
    </w:p>
    <w:p w14:paraId="6ABA89CB" w14:textId="762E164B" w:rsidR="00993A9B" w:rsidRDefault="00993A9B" w:rsidP="08654B89">
      <w:pPr>
        <w:jc w:val="both"/>
      </w:pPr>
    </w:p>
    <w:p w14:paraId="6B144090" w14:textId="2FA7921C" w:rsidR="08654B89" w:rsidRDefault="08654B89" w:rsidP="08654B89">
      <w:pPr>
        <w:jc w:val="both"/>
      </w:pPr>
    </w:p>
    <w:p w14:paraId="4370B2D8" w14:textId="67BB0007" w:rsidR="08654B89" w:rsidRDefault="08654B89" w:rsidP="08654B89">
      <w:pPr>
        <w:jc w:val="both"/>
      </w:pPr>
    </w:p>
    <w:p w14:paraId="7D97CBAB" w14:textId="14675325" w:rsidR="08654B89" w:rsidRDefault="08654B89" w:rsidP="08654B89">
      <w:pPr>
        <w:jc w:val="both"/>
      </w:pPr>
    </w:p>
    <w:p w14:paraId="7E99D715" w14:textId="0C0CA2CF" w:rsidR="08654B89" w:rsidRDefault="08654B89" w:rsidP="08654B89">
      <w:pPr>
        <w:jc w:val="both"/>
      </w:pPr>
    </w:p>
    <w:p w14:paraId="432773FA" w14:textId="25235981" w:rsidR="08654B89" w:rsidRDefault="08654B89" w:rsidP="08654B89"/>
    <w:p w14:paraId="00523837" w14:textId="5638DF19" w:rsidR="08654B89" w:rsidRDefault="08654B89" w:rsidP="08654B89"/>
    <w:p w14:paraId="7DA6653A" w14:textId="4472B214" w:rsidR="08654B89" w:rsidRDefault="08654B89" w:rsidP="08654B89"/>
    <w:p w14:paraId="56982732" w14:textId="5BAFC103" w:rsidR="08654B89" w:rsidRDefault="08654B89" w:rsidP="08654B89"/>
    <w:p w14:paraId="2C22AE4D" w14:textId="63580D2F" w:rsidR="08654B89" w:rsidRDefault="08654B89" w:rsidP="08654B89"/>
    <w:p w14:paraId="7F164A21" w14:textId="1076D1C2" w:rsidR="08654B89" w:rsidRDefault="08654B89" w:rsidP="08654B89"/>
    <w:p w14:paraId="572B91E6" w14:textId="630B4E5A" w:rsidR="08654B89" w:rsidRDefault="08654B89" w:rsidP="08654B89"/>
    <w:p w14:paraId="39C07390" w14:textId="4C457344" w:rsidR="08654B89" w:rsidRDefault="08654B89" w:rsidP="08654B89"/>
    <w:p w14:paraId="11452A35" w14:textId="77777777" w:rsidR="00993A9B" w:rsidRDefault="0014671E">
      <w:pPr>
        <w:pStyle w:val="Title"/>
      </w:pPr>
      <w:r>
        <w:t>Reference List</w:t>
      </w:r>
    </w:p>
    <w:p w14:paraId="2570F797" w14:textId="77777777" w:rsidR="00993A9B" w:rsidRDefault="00993A9B">
      <w:pPr>
        <w:spacing w:line="276" w:lineRule="auto"/>
        <w:rPr>
          <w:rFonts w:ascii="Arial" w:hAnsi="Arial" w:cs="Arial"/>
        </w:rPr>
      </w:pPr>
    </w:p>
    <w:p w14:paraId="79D72881" w14:textId="77777777" w:rsidR="00993A9B" w:rsidRDefault="08654B89" w:rsidP="08654B89">
      <w:pPr>
        <w:pStyle w:val="ListParagraph"/>
        <w:numPr>
          <w:ilvl w:val="0"/>
          <w:numId w:val="1"/>
        </w:numPr>
        <w:spacing w:line="276" w:lineRule="auto"/>
        <w:rPr>
          <w:rFonts w:ascii="Arial" w:eastAsia="Arial" w:hAnsi="Arial" w:cs="Arial"/>
          <w:sz w:val="22"/>
          <w:szCs w:val="22"/>
        </w:rPr>
      </w:pPr>
      <w:bookmarkStart w:id="6" w:name="_Int_QWgcsVfD"/>
      <w:r w:rsidRPr="08654B89">
        <w:rPr>
          <w:rFonts w:ascii="Arial" w:eastAsia="Arial" w:hAnsi="Arial" w:cs="Arial"/>
          <w:sz w:val="22"/>
          <w:szCs w:val="22"/>
        </w:rPr>
        <w:t>Aburto, J.M., Villavicencio, F., Basellini, U., Kjærgaard, S. and Vaupel, J.W., (2020).</w:t>
      </w:r>
      <w:bookmarkEnd w:id="6"/>
      <w:r w:rsidRPr="08654B89">
        <w:rPr>
          <w:rFonts w:ascii="Arial" w:eastAsia="Arial" w:hAnsi="Arial" w:cs="Arial"/>
          <w:sz w:val="22"/>
          <w:szCs w:val="22"/>
        </w:rPr>
        <w:t xml:space="preserve"> Dynamics of life expectancy and life span equality. Proceedings of the National Academy of Sciences, 117(10), pp.5250-5259.</w:t>
      </w:r>
    </w:p>
    <w:p w14:paraId="4E39D619" w14:textId="77777777" w:rsidR="00993A9B" w:rsidRDefault="08654B89" w:rsidP="08654B89">
      <w:pPr>
        <w:pStyle w:val="ListParagraph"/>
        <w:numPr>
          <w:ilvl w:val="0"/>
          <w:numId w:val="1"/>
        </w:numPr>
        <w:spacing w:line="276" w:lineRule="auto"/>
        <w:rPr>
          <w:rFonts w:ascii="Arial" w:eastAsia="Arial" w:hAnsi="Arial" w:cs="Arial"/>
          <w:sz w:val="22"/>
          <w:szCs w:val="22"/>
        </w:rPr>
      </w:pPr>
      <w:bookmarkStart w:id="7" w:name="_Int_fgv16hAh"/>
      <w:r w:rsidRPr="08654B89">
        <w:rPr>
          <w:rFonts w:ascii="Arial" w:eastAsia="Arial" w:hAnsi="Arial" w:cs="Arial"/>
          <w:sz w:val="22"/>
          <w:szCs w:val="22"/>
        </w:rPr>
        <w:t>Age Concern, Help the Aged (2009) One Voice: Shaping our Ageing Society.</w:t>
      </w:r>
      <w:bookmarkEnd w:id="7"/>
      <w:r w:rsidRPr="08654B89">
        <w:rPr>
          <w:rFonts w:ascii="Arial" w:eastAsia="Arial" w:hAnsi="Arial" w:cs="Arial"/>
          <w:sz w:val="22"/>
          <w:szCs w:val="22"/>
        </w:rPr>
        <w:t xml:space="preserve"> Age Concern.</w:t>
      </w:r>
    </w:p>
    <w:p w14:paraId="1BD75307" w14:textId="77777777" w:rsidR="00993A9B" w:rsidRDefault="08654B89" w:rsidP="08654B89">
      <w:pPr>
        <w:pStyle w:val="ListParagraph"/>
        <w:numPr>
          <w:ilvl w:val="0"/>
          <w:numId w:val="1"/>
        </w:numPr>
        <w:spacing w:line="276" w:lineRule="auto"/>
        <w:rPr>
          <w:rFonts w:ascii="Arial" w:eastAsia="Arial" w:hAnsi="Arial" w:cs="Arial"/>
          <w:sz w:val="22"/>
          <w:szCs w:val="22"/>
        </w:rPr>
      </w:pPr>
      <w:r w:rsidRPr="08654B89">
        <w:rPr>
          <w:rFonts w:ascii="Arial" w:eastAsia="Arial" w:hAnsi="Arial" w:cs="Arial"/>
          <w:sz w:val="22"/>
          <w:szCs w:val="22"/>
        </w:rPr>
        <w:t>Age UK (2017) Briefing: Human Rights of Older Persons and their Comprehensive Care. Age UK.</w:t>
      </w:r>
    </w:p>
    <w:p w14:paraId="2E98F422" w14:textId="77777777" w:rsidR="00993A9B" w:rsidRDefault="08654B89" w:rsidP="08654B89">
      <w:pPr>
        <w:pStyle w:val="ListParagraph"/>
        <w:numPr>
          <w:ilvl w:val="0"/>
          <w:numId w:val="1"/>
        </w:numPr>
        <w:shd w:val="clear" w:color="auto" w:fill="FFFFFF" w:themeFill="background1"/>
        <w:suppressAutoHyphens w:val="0"/>
        <w:spacing w:line="276" w:lineRule="auto"/>
        <w:rPr>
          <w:rFonts w:ascii="Arial" w:eastAsia="Arial" w:hAnsi="Arial" w:cs="Arial"/>
          <w:color w:val="000000" w:themeColor="text1"/>
          <w:sz w:val="22"/>
          <w:szCs w:val="22"/>
        </w:rPr>
      </w:pPr>
      <w:r w:rsidRPr="08654B89">
        <w:rPr>
          <w:rFonts w:ascii="Arial" w:eastAsia="Arial" w:hAnsi="Arial" w:cs="Arial"/>
          <w:color w:val="000000" w:themeColor="text1"/>
          <w:sz w:val="22"/>
          <w:szCs w:val="22"/>
        </w:rPr>
        <w:t>Andersen, M. and Taylor, H., (2007). </w:t>
      </w:r>
      <w:r w:rsidRPr="08654B89">
        <w:rPr>
          <w:rFonts w:ascii="Arial" w:eastAsia="Arial" w:hAnsi="Arial" w:cs="Arial"/>
          <w:i/>
          <w:iCs/>
          <w:color w:val="000000" w:themeColor="text1"/>
          <w:sz w:val="22"/>
          <w:szCs w:val="22"/>
        </w:rPr>
        <w:t>Sociology</w:t>
      </w:r>
      <w:r w:rsidRPr="08654B89">
        <w:rPr>
          <w:rFonts w:ascii="Arial" w:eastAsia="Arial" w:hAnsi="Arial" w:cs="Arial"/>
          <w:color w:val="000000" w:themeColor="text1"/>
          <w:sz w:val="22"/>
          <w:szCs w:val="22"/>
        </w:rPr>
        <w:t>. Belmont, CA: Thomson Higher Education.</w:t>
      </w:r>
    </w:p>
    <w:p w14:paraId="3CDA85DB" w14:textId="77777777" w:rsidR="00993A9B" w:rsidRDefault="0014671E" w:rsidP="08654B89">
      <w:pPr>
        <w:pStyle w:val="ListParagraph"/>
        <w:numPr>
          <w:ilvl w:val="0"/>
          <w:numId w:val="1"/>
        </w:numPr>
        <w:shd w:val="clear" w:color="auto" w:fill="FFFFFF" w:themeFill="background1"/>
        <w:suppressAutoHyphens w:val="0"/>
        <w:spacing w:line="276" w:lineRule="auto"/>
        <w:rPr>
          <w:rFonts w:ascii="Arial" w:eastAsia="Arial" w:hAnsi="Arial" w:cs="Arial"/>
          <w:color w:val="222222"/>
          <w:sz w:val="20"/>
          <w:szCs w:val="20"/>
        </w:rPr>
      </w:pPr>
      <w:r w:rsidRPr="08654B89">
        <w:rPr>
          <w:rFonts w:ascii="Arial" w:eastAsia="Arial" w:hAnsi="Arial" w:cs="Arial"/>
          <w:color w:val="222222"/>
          <w:sz w:val="20"/>
          <w:szCs w:val="20"/>
          <w:shd w:val="clear" w:color="auto" w:fill="FFFFFF"/>
        </w:rPr>
        <w:t xml:space="preserve">Alcover, C.M., Guglielmi, D., Depolo, M. and Mazzetti, G., (2021). </w:t>
      </w:r>
      <w:bookmarkStart w:id="8" w:name="_Int_dw41bTgY"/>
      <w:r w:rsidRPr="08654B89">
        <w:rPr>
          <w:rFonts w:ascii="Arial" w:eastAsia="Arial" w:hAnsi="Arial" w:cs="Arial"/>
          <w:color w:val="222222"/>
          <w:sz w:val="20"/>
          <w:szCs w:val="20"/>
          <w:shd w:val="clear" w:color="auto" w:fill="FFFFFF"/>
        </w:rPr>
        <w:t>“Aging-and-Tech Job Vulnerability”: A proposed framework on the dual impact of aging and AI, robotics, and automation among older workers.</w:t>
      </w:r>
      <w:bookmarkEnd w:id="8"/>
      <w:r w:rsidRPr="08654B89">
        <w:rPr>
          <w:rFonts w:ascii="Arial" w:eastAsia="Arial" w:hAnsi="Arial" w:cs="Arial"/>
          <w:color w:val="222222"/>
          <w:sz w:val="20"/>
          <w:szCs w:val="20"/>
          <w:shd w:val="clear" w:color="auto" w:fill="FFFFFF"/>
        </w:rPr>
        <w:t> </w:t>
      </w:r>
      <w:r w:rsidRPr="08654B89">
        <w:rPr>
          <w:rFonts w:ascii="Arial" w:eastAsia="Arial" w:hAnsi="Arial" w:cs="Arial"/>
          <w:i/>
          <w:iCs/>
          <w:color w:val="222222"/>
          <w:sz w:val="20"/>
          <w:szCs w:val="20"/>
          <w:shd w:val="clear" w:color="auto" w:fill="FFFFFF"/>
        </w:rPr>
        <w:t>Organizational Psychology Review</w:t>
      </w:r>
      <w:r w:rsidRPr="08654B89">
        <w:rPr>
          <w:rFonts w:ascii="Arial" w:eastAsia="Arial" w:hAnsi="Arial" w:cs="Arial"/>
          <w:color w:val="222222"/>
          <w:sz w:val="20"/>
          <w:szCs w:val="20"/>
          <w:shd w:val="clear" w:color="auto" w:fill="FFFFFF"/>
        </w:rPr>
        <w:t>, </w:t>
      </w:r>
      <w:r w:rsidRPr="08654B89">
        <w:rPr>
          <w:rFonts w:ascii="Arial" w:eastAsia="Arial" w:hAnsi="Arial" w:cs="Arial"/>
          <w:i/>
          <w:iCs/>
          <w:color w:val="222222"/>
          <w:sz w:val="20"/>
          <w:szCs w:val="20"/>
          <w:shd w:val="clear" w:color="auto" w:fill="FFFFFF"/>
        </w:rPr>
        <w:t>11</w:t>
      </w:r>
      <w:r w:rsidRPr="08654B89">
        <w:rPr>
          <w:rFonts w:ascii="Arial" w:eastAsia="Arial" w:hAnsi="Arial" w:cs="Arial"/>
          <w:color w:val="222222"/>
          <w:sz w:val="20"/>
          <w:szCs w:val="20"/>
          <w:shd w:val="clear" w:color="auto" w:fill="FFFFFF"/>
        </w:rPr>
        <w:t>(2), pp.175-201.</w:t>
      </w:r>
    </w:p>
    <w:p w14:paraId="264E03AB" w14:textId="77777777" w:rsidR="00993A9B" w:rsidRDefault="0014671E" w:rsidP="08654B89">
      <w:pPr>
        <w:pStyle w:val="ListParagraph"/>
        <w:numPr>
          <w:ilvl w:val="0"/>
          <w:numId w:val="1"/>
        </w:numPr>
        <w:spacing w:line="276" w:lineRule="auto"/>
        <w:rPr>
          <w:rFonts w:ascii="Arial" w:eastAsia="Arial" w:hAnsi="Arial" w:cs="Arial"/>
          <w:color w:val="222222"/>
          <w:sz w:val="22"/>
          <w:szCs w:val="22"/>
        </w:rPr>
      </w:pPr>
      <w:r w:rsidRPr="08654B89">
        <w:rPr>
          <w:rFonts w:ascii="Arial" w:eastAsia="Arial" w:hAnsi="Arial" w:cs="Arial"/>
          <w:color w:val="222222"/>
          <w:sz w:val="22"/>
          <w:szCs w:val="22"/>
          <w:shd w:val="clear" w:color="auto" w:fill="FFFFFF"/>
        </w:rPr>
        <w:t>Applegate, W.B. and Ouslander, J.G., (2020). COVID‐19 presents high risk to older persons. </w:t>
      </w:r>
      <w:r w:rsidRPr="08654B89">
        <w:rPr>
          <w:rFonts w:ascii="Arial" w:eastAsia="Arial" w:hAnsi="Arial" w:cs="Arial"/>
          <w:i/>
          <w:iCs/>
          <w:color w:val="222222"/>
          <w:sz w:val="22"/>
          <w:szCs w:val="22"/>
          <w:shd w:val="clear" w:color="auto" w:fill="FFFFFF"/>
        </w:rPr>
        <w:t>Journal of the American Geriatrics Society</w:t>
      </w:r>
      <w:r w:rsidRPr="08654B89">
        <w:rPr>
          <w:rFonts w:ascii="Arial" w:eastAsia="Arial" w:hAnsi="Arial" w:cs="Arial"/>
          <w:color w:val="222222"/>
          <w:sz w:val="22"/>
          <w:szCs w:val="22"/>
          <w:shd w:val="clear" w:color="auto" w:fill="FFFFFF"/>
        </w:rPr>
        <w:t>, </w:t>
      </w:r>
      <w:r w:rsidRPr="08654B89">
        <w:rPr>
          <w:rFonts w:ascii="Arial" w:eastAsia="Arial" w:hAnsi="Arial" w:cs="Arial"/>
          <w:i/>
          <w:iCs/>
          <w:color w:val="222222"/>
          <w:sz w:val="22"/>
          <w:szCs w:val="22"/>
          <w:shd w:val="clear" w:color="auto" w:fill="FFFFFF"/>
        </w:rPr>
        <w:t>68</w:t>
      </w:r>
      <w:r w:rsidRPr="08654B89">
        <w:rPr>
          <w:rFonts w:ascii="Arial" w:eastAsia="Arial" w:hAnsi="Arial" w:cs="Arial"/>
          <w:color w:val="222222"/>
          <w:sz w:val="22"/>
          <w:szCs w:val="22"/>
          <w:shd w:val="clear" w:color="auto" w:fill="FFFFFF"/>
        </w:rPr>
        <w:t>(4), p.681.</w:t>
      </w:r>
    </w:p>
    <w:p w14:paraId="19EF7A2F" w14:textId="77777777" w:rsidR="00993A9B" w:rsidRDefault="0014671E" w:rsidP="08654B89">
      <w:pPr>
        <w:pStyle w:val="ListParagraph"/>
        <w:numPr>
          <w:ilvl w:val="0"/>
          <w:numId w:val="1"/>
        </w:numPr>
        <w:spacing w:line="276" w:lineRule="auto"/>
        <w:rPr>
          <w:rFonts w:ascii="Arial" w:eastAsia="Arial" w:hAnsi="Arial" w:cs="Arial"/>
          <w:color w:val="222222"/>
          <w:sz w:val="22"/>
          <w:szCs w:val="22"/>
        </w:rPr>
      </w:pPr>
      <w:bookmarkStart w:id="9" w:name="_Int_yzn3qqb9"/>
      <w:r w:rsidRPr="08654B89">
        <w:rPr>
          <w:rFonts w:ascii="Arial" w:eastAsia="Arial" w:hAnsi="Arial" w:cs="Arial"/>
          <w:color w:val="222222"/>
          <w:sz w:val="22"/>
          <w:szCs w:val="22"/>
          <w:shd w:val="clear" w:color="auto" w:fill="FFFFFF"/>
        </w:rPr>
        <w:t>Armitage, R. and Nellums, L.B., (2020). COVID-19 and the consequences of isolating the elderly.</w:t>
      </w:r>
      <w:bookmarkEnd w:id="9"/>
      <w:r w:rsidRPr="08654B89">
        <w:rPr>
          <w:rFonts w:ascii="Arial" w:eastAsia="Arial" w:hAnsi="Arial" w:cs="Arial"/>
          <w:color w:val="222222"/>
          <w:sz w:val="22"/>
          <w:szCs w:val="22"/>
          <w:shd w:val="clear" w:color="auto" w:fill="FFFFFF"/>
        </w:rPr>
        <w:t> </w:t>
      </w:r>
      <w:r w:rsidRPr="08654B89">
        <w:rPr>
          <w:rFonts w:ascii="Arial" w:eastAsia="Arial" w:hAnsi="Arial" w:cs="Arial"/>
          <w:i/>
          <w:iCs/>
          <w:color w:val="222222"/>
          <w:sz w:val="22"/>
          <w:szCs w:val="22"/>
          <w:shd w:val="clear" w:color="auto" w:fill="FFFFFF"/>
        </w:rPr>
        <w:t>The Lancet Public Health</w:t>
      </w:r>
      <w:r w:rsidRPr="08654B89">
        <w:rPr>
          <w:rFonts w:ascii="Arial" w:eastAsia="Arial" w:hAnsi="Arial" w:cs="Arial"/>
          <w:color w:val="222222"/>
          <w:sz w:val="22"/>
          <w:szCs w:val="22"/>
          <w:shd w:val="clear" w:color="auto" w:fill="FFFFFF"/>
        </w:rPr>
        <w:t>, </w:t>
      </w:r>
      <w:r w:rsidRPr="08654B89">
        <w:rPr>
          <w:rFonts w:ascii="Arial" w:eastAsia="Arial" w:hAnsi="Arial" w:cs="Arial"/>
          <w:i/>
          <w:iCs/>
          <w:color w:val="222222"/>
          <w:sz w:val="22"/>
          <w:szCs w:val="22"/>
          <w:shd w:val="clear" w:color="auto" w:fill="FFFFFF"/>
        </w:rPr>
        <w:t>5</w:t>
      </w:r>
      <w:r w:rsidRPr="08654B89">
        <w:rPr>
          <w:rFonts w:ascii="Arial" w:eastAsia="Arial" w:hAnsi="Arial" w:cs="Arial"/>
          <w:color w:val="222222"/>
          <w:sz w:val="22"/>
          <w:szCs w:val="22"/>
          <w:shd w:val="clear" w:color="auto" w:fill="FFFFFF"/>
        </w:rPr>
        <w:t>(5), p.e256.</w:t>
      </w:r>
    </w:p>
    <w:p w14:paraId="132F265B" w14:textId="77777777" w:rsidR="00993A9B" w:rsidRDefault="00993A9B" w:rsidP="08654B89">
      <w:pPr>
        <w:spacing w:line="276" w:lineRule="auto"/>
        <w:rPr>
          <w:rFonts w:ascii="Arial" w:eastAsia="Arial" w:hAnsi="Arial" w:cs="Arial"/>
        </w:rPr>
      </w:pPr>
    </w:p>
    <w:p w14:paraId="12DF3D44" w14:textId="77777777" w:rsidR="00993A9B" w:rsidRDefault="08654B89" w:rsidP="08654B89">
      <w:pPr>
        <w:pStyle w:val="ListParagraph"/>
        <w:numPr>
          <w:ilvl w:val="0"/>
          <w:numId w:val="1"/>
        </w:numPr>
        <w:spacing w:line="276" w:lineRule="auto"/>
        <w:rPr>
          <w:rFonts w:ascii="Arial" w:eastAsia="Arial" w:hAnsi="Arial" w:cs="Arial"/>
          <w:sz w:val="22"/>
          <w:szCs w:val="22"/>
        </w:rPr>
      </w:pPr>
      <w:r w:rsidRPr="08654B89">
        <w:rPr>
          <w:rFonts w:ascii="Arial" w:eastAsia="Arial" w:hAnsi="Arial" w:cs="Arial"/>
          <w:sz w:val="22"/>
          <w:szCs w:val="22"/>
        </w:rPr>
        <w:t xml:space="preserve">Caycho-Rodríguez, T., Tomás, J.M., Barboza-Palomino, M., Ventura-León, J., Gallegos, M., Reyes-Bossio, M. and Vilca, L.W., (2022). </w:t>
      </w:r>
      <w:bookmarkStart w:id="10" w:name="_Int_KH3UgKwI"/>
      <w:r w:rsidRPr="08654B89">
        <w:rPr>
          <w:rFonts w:ascii="Arial" w:eastAsia="Arial" w:hAnsi="Arial" w:cs="Arial"/>
          <w:sz w:val="22"/>
          <w:szCs w:val="22"/>
        </w:rPr>
        <w:t>Assessment of fear of COVID-19 in older adults: Validation of the fear of COVID-19 scale.</w:t>
      </w:r>
      <w:bookmarkEnd w:id="10"/>
      <w:r w:rsidRPr="08654B89">
        <w:rPr>
          <w:rFonts w:ascii="Arial" w:eastAsia="Arial" w:hAnsi="Arial" w:cs="Arial"/>
          <w:sz w:val="22"/>
          <w:szCs w:val="22"/>
        </w:rPr>
        <w:t xml:space="preserve"> International Journal of Mental Health and Addiction, 20(2), pp.1231-1245.</w:t>
      </w:r>
    </w:p>
    <w:p w14:paraId="193E02C4" w14:textId="77777777" w:rsidR="00993A9B" w:rsidRDefault="08654B89" w:rsidP="08654B89">
      <w:pPr>
        <w:pStyle w:val="ListParagraph"/>
        <w:numPr>
          <w:ilvl w:val="0"/>
          <w:numId w:val="1"/>
        </w:numPr>
        <w:spacing w:line="276" w:lineRule="auto"/>
        <w:rPr>
          <w:rFonts w:ascii="Arial" w:eastAsia="Arial" w:hAnsi="Arial" w:cs="Arial"/>
          <w:sz w:val="22"/>
          <w:szCs w:val="22"/>
        </w:rPr>
      </w:pPr>
      <w:r w:rsidRPr="08654B89">
        <w:rPr>
          <w:rFonts w:ascii="Arial" w:eastAsia="Arial" w:hAnsi="Arial" w:cs="Arial"/>
          <w:sz w:val="22"/>
          <w:szCs w:val="22"/>
        </w:rPr>
        <w:t>Clancy, A., Simonsen, N., Lind, J., Liveng, A. and Johannessen, A., (2021). The meaning of dignity for older adults: A meta-synthesis. Nursing Ethics, 28(6), pp.878-894.</w:t>
      </w:r>
    </w:p>
    <w:p w14:paraId="7AFCE15B" w14:textId="77777777" w:rsidR="00993A9B" w:rsidRDefault="08654B89" w:rsidP="08654B89">
      <w:pPr>
        <w:pStyle w:val="ListParagraph"/>
        <w:numPr>
          <w:ilvl w:val="0"/>
          <w:numId w:val="1"/>
        </w:numPr>
        <w:rPr>
          <w:rFonts w:ascii="Arial" w:eastAsia="Arial" w:hAnsi="Arial" w:cs="Arial"/>
          <w:sz w:val="22"/>
          <w:szCs w:val="22"/>
        </w:rPr>
      </w:pPr>
      <w:r w:rsidRPr="08654B89">
        <w:rPr>
          <w:rFonts w:ascii="Arial" w:eastAsia="Arial" w:hAnsi="Arial" w:cs="Arial"/>
        </w:rPr>
        <w:t>Crawford, R. and Karjalainen, H. (2020) Financial consequences of the coronavirus pandemic for older people. Available at: https://ifs.org.uk/publications/15052 (Accessed: 17 April 2022).</w:t>
      </w:r>
    </w:p>
    <w:p w14:paraId="525E5D30" w14:textId="77777777" w:rsidR="00993A9B" w:rsidRDefault="08654B89" w:rsidP="08654B89">
      <w:pPr>
        <w:pStyle w:val="ListParagraph"/>
        <w:numPr>
          <w:ilvl w:val="0"/>
          <w:numId w:val="1"/>
        </w:numPr>
        <w:spacing w:line="276" w:lineRule="auto"/>
        <w:rPr>
          <w:rFonts w:ascii="Arial" w:eastAsia="Arial" w:hAnsi="Arial" w:cs="Arial"/>
          <w:sz w:val="22"/>
          <w:szCs w:val="22"/>
        </w:rPr>
      </w:pPr>
      <w:r w:rsidRPr="08654B89">
        <w:rPr>
          <w:rFonts w:ascii="Arial" w:eastAsia="Arial" w:hAnsi="Arial" w:cs="Arial"/>
          <w:sz w:val="22"/>
          <w:szCs w:val="22"/>
        </w:rPr>
        <w:t>Dyer, C., (2021). Many “do not resuscitate” decisions in England during pandemic ignored equality and human rights laws, says CQC. BMJ, p.n754.</w:t>
      </w:r>
    </w:p>
    <w:p w14:paraId="0929E178" w14:textId="77777777" w:rsidR="00993A9B" w:rsidRDefault="0014671E" w:rsidP="08654B89">
      <w:pPr>
        <w:pStyle w:val="ListParagraph"/>
        <w:numPr>
          <w:ilvl w:val="0"/>
          <w:numId w:val="1"/>
        </w:numPr>
        <w:spacing w:line="276" w:lineRule="auto"/>
        <w:rPr>
          <w:rFonts w:ascii="Arial" w:eastAsia="Arial" w:hAnsi="Arial" w:cs="Arial"/>
          <w:color w:val="222222"/>
          <w:sz w:val="22"/>
          <w:szCs w:val="22"/>
        </w:rPr>
      </w:pPr>
      <w:r w:rsidRPr="08654B89">
        <w:rPr>
          <w:rFonts w:ascii="Arial" w:eastAsia="Arial" w:hAnsi="Arial" w:cs="Arial"/>
          <w:color w:val="222222"/>
          <w:sz w:val="22"/>
          <w:szCs w:val="22"/>
          <w:shd w:val="clear" w:color="auto" w:fill="FFFFFF"/>
        </w:rPr>
        <w:t>Dykstra, P.A., Van Tilburg, T.G. and Gierveld, J.D.J., (2005). Changes in older adult loneliness: Results from a seven-year longitudinal study. </w:t>
      </w:r>
      <w:r w:rsidRPr="08654B89">
        <w:rPr>
          <w:rFonts w:ascii="Arial" w:eastAsia="Arial" w:hAnsi="Arial" w:cs="Arial"/>
          <w:i/>
          <w:iCs/>
          <w:color w:val="222222"/>
          <w:sz w:val="22"/>
          <w:szCs w:val="22"/>
          <w:shd w:val="clear" w:color="auto" w:fill="FFFFFF"/>
        </w:rPr>
        <w:t>Research on aging</w:t>
      </w:r>
      <w:r w:rsidRPr="08654B89">
        <w:rPr>
          <w:rFonts w:ascii="Arial" w:eastAsia="Arial" w:hAnsi="Arial" w:cs="Arial"/>
          <w:color w:val="222222"/>
          <w:sz w:val="22"/>
          <w:szCs w:val="22"/>
          <w:shd w:val="clear" w:color="auto" w:fill="FFFFFF"/>
        </w:rPr>
        <w:t>, </w:t>
      </w:r>
      <w:r w:rsidRPr="08654B89">
        <w:rPr>
          <w:rFonts w:ascii="Arial" w:eastAsia="Arial" w:hAnsi="Arial" w:cs="Arial"/>
          <w:i/>
          <w:iCs/>
          <w:color w:val="222222"/>
          <w:sz w:val="22"/>
          <w:szCs w:val="22"/>
          <w:shd w:val="clear" w:color="auto" w:fill="FFFFFF"/>
        </w:rPr>
        <w:t>27</w:t>
      </w:r>
      <w:r w:rsidRPr="08654B89">
        <w:rPr>
          <w:rFonts w:ascii="Arial" w:eastAsia="Arial" w:hAnsi="Arial" w:cs="Arial"/>
          <w:color w:val="222222"/>
          <w:sz w:val="22"/>
          <w:szCs w:val="22"/>
          <w:shd w:val="clear" w:color="auto" w:fill="FFFFFF"/>
        </w:rPr>
        <w:t>(6), pp.725-747.</w:t>
      </w:r>
    </w:p>
    <w:p w14:paraId="26BB62B5" w14:textId="77777777" w:rsidR="00993A9B" w:rsidRDefault="00993A9B" w:rsidP="08654B89">
      <w:pPr>
        <w:spacing w:line="276" w:lineRule="auto"/>
        <w:rPr>
          <w:rFonts w:ascii="Arial" w:eastAsia="Arial" w:hAnsi="Arial" w:cs="Arial"/>
        </w:rPr>
      </w:pPr>
    </w:p>
    <w:p w14:paraId="7DC67060" w14:textId="77777777" w:rsidR="00993A9B" w:rsidRDefault="08654B89" w:rsidP="08654B89">
      <w:pPr>
        <w:pStyle w:val="ListParagraph"/>
        <w:numPr>
          <w:ilvl w:val="0"/>
          <w:numId w:val="1"/>
        </w:numPr>
        <w:spacing w:line="276" w:lineRule="auto"/>
        <w:rPr>
          <w:rFonts w:ascii="Arial" w:eastAsia="Arial" w:hAnsi="Arial" w:cs="Arial"/>
          <w:sz w:val="22"/>
          <w:szCs w:val="22"/>
        </w:rPr>
      </w:pPr>
      <w:r w:rsidRPr="08654B89">
        <w:rPr>
          <w:rFonts w:ascii="Arial" w:eastAsia="Arial" w:hAnsi="Arial" w:cs="Arial"/>
        </w:rPr>
        <w:t>Estes, C.L. (2003) ‘Theoretical Perspectives on Old Age Policy: A Critique and A Proposal*’, in The Need for Theory. Routledge.</w:t>
      </w:r>
    </w:p>
    <w:p w14:paraId="40D1FCAD" w14:textId="77777777" w:rsidR="00993A9B" w:rsidRDefault="00993A9B" w:rsidP="08654B89">
      <w:pPr>
        <w:pStyle w:val="ListParagraph"/>
        <w:ind w:left="0"/>
        <w:rPr>
          <w:rFonts w:ascii="Arial" w:eastAsia="Arial" w:hAnsi="Arial" w:cs="Arial"/>
        </w:rPr>
      </w:pPr>
    </w:p>
    <w:p w14:paraId="52D73E9B" w14:textId="0CC681B5" w:rsidR="00993A9B" w:rsidRDefault="0014671E" w:rsidP="08654B89">
      <w:pPr>
        <w:pStyle w:val="ListParagraph"/>
        <w:numPr>
          <w:ilvl w:val="0"/>
          <w:numId w:val="1"/>
        </w:numPr>
        <w:spacing w:line="360" w:lineRule="auto"/>
        <w:rPr>
          <w:rFonts w:ascii="Arial" w:eastAsia="Arial" w:hAnsi="Arial" w:cs="Arial"/>
          <w:color w:val="000000" w:themeColor="text1"/>
          <w:sz w:val="22"/>
          <w:szCs w:val="22"/>
        </w:rPr>
      </w:pPr>
      <w:r w:rsidRPr="08654B89">
        <w:rPr>
          <w:rFonts w:ascii="Arial" w:eastAsia="Arial" w:hAnsi="Arial" w:cs="Arial"/>
          <w:color w:val="000000"/>
          <w:shd w:val="clear" w:color="auto" w:fill="FFFFFF"/>
        </w:rPr>
        <w:t>European Centre for Disease Prevention and Control. (2020). Available at: &lt;https://www.ecdc.europa.eu/sites/default/files/documents/Increase-fatal-cases-of-COVID-19-among-long-term-care-facility-residents.pdf&gt; (Accessed 20 April 2022).</w:t>
      </w:r>
    </w:p>
    <w:p w14:paraId="26899E45" w14:textId="77777777" w:rsidR="00993A9B" w:rsidRDefault="08654B89" w:rsidP="08654B89">
      <w:pPr>
        <w:pStyle w:val="ListParagraph"/>
        <w:numPr>
          <w:ilvl w:val="0"/>
          <w:numId w:val="1"/>
        </w:numPr>
        <w:spacing w:line="276" w:lineRule="auto"/>
        <w:rPr>
          <w:rFonts w:ascii="Arial" w:eastAsia="Arial" w:hAnsi="Arial" w:cs="Arial"/>
          <w:sz w:val="22"/>
          <w:szCs w:val="22"/>
        </w:rPr>
      </w:pPr>
      <w:r w:rsidRPr="08654B89">
        <w:rPr>
          <w:rFonts w:ascii="Arial" w:eastAsia="Arial" w:hAnsi="Arial" w:cs="Arial"/>
        </w:rPr>
        <w:t xml:space="preserve"> </w:t>
      </w:r>
    </w:p>
    <w:p w14:paraId="08898E5E" w14:textId="77777777" w:rsidR="00993A9B" w:rsidRDefault="0014671E" w:rsidP="08654B89">
      <w:pPr>
        <w:pStyle w:val="ListParagraph"/>
        <w:numPr>
          <w:ilvl w:val="0"/>
          <w:numId w:val="1"/>
        </w:numPr>
        <w:spacing w:line="276" w:lineRule="auto"/>
        <w:rPr>
          <w:rFonts w:ascii="Arial" w:eastAsia="Arial" w:hAnsi="Arial" w:cs="Arial"/>
          <w:color w:val="222222"/>
          <w:sz w:val="22"/>
          <w:szCs w:val="22"/>
        </w:rPr>
      </w:pPr>
      <w:r w:rsidRPr="08654B89">
        <w:rPr>
          <w:rFonts w:ascii="Arial" w:eastAsia="Arial" w:hAnsi="Arial" w:cs="Arial"/>
          <w:color w:val="222222"/>
          <w:sz w:val="22"/>
          <w:szCs w:val="22"/>
          <w:shd w:val="clear" w:color="auto" w:fill="FFFFFF"/>
        </w:rPr>
        <w:t xml:space="preserve">Fuchs, V.R., (1984). " </w:t>
      </w:r>
      <w:bookmarkStart w:id="11" w:name="_Int_jhMagHyC"/>
      <w:r w:rsidRPr="08654B89">
        <w:rPr>
          <w:rFonts w:ascii="Arial" w:eastAsia="Arial" w:hAnsi="Arial" w:cs="Arial"/>
          <w:color w:val="222222"/>
          <w:sz w:val="22"/>
          <w:szCs w:val="22"/>
          <w:shd w:val="clear" w:color="auto" w:fill="FFFFFF"/>
        </w:rPr>
        <w:t>Though Much is Taken"--Reflections on Aging, Health, and Medical Care.</w:t>
      </w:r>
      <w:bookmarkEnd w:id="11"/>
    </w:p>
    <w:p w14:paraId="202762B3" w14:textId="77777777" w:rsidR="00993A9B" w:rsidRDefault="0014671E" w:rsidP="08654B89">
      <w:pPr>
        <w:pStyle w:val="ListParagraph"/>
        <w:numPr>
          <w:ilvl w:val="0"/>
          <w:numId w:val="1"/>
        </w:numPr>
        <w:spacing w:line="276" w:lineRule="auto"/>
        <w:rPr>
          <w:rFonts w:ascii="Arial" w:eastAsia="Arial" w:hAnsi="Arial" w:cs="Arial"/>
          <w:color w:val="222222"/>
          <w:sz w:val="22"/>
          <w:szCs w:val="22"/>
        </w:rPr>
      </w:pPr>
      <w:r w:rsidRPr="08654B89">
        <w:rPr>
          <w:rFonts w:ascii="Arial" w:eastAsia="Arial" w:hAnsi="Arial" w:cs="Arial"/>
          <w:color w:val="222222"/>
          <w:sz w:val="22"/>
          <w:szCs w:val="22"/>
          <w:shd w:val="clear" w:color="auto" w:fill="FFFFFF"/>
        </w:rPr>
        <w:t xml:space="preserve">Gendron, T.L., Welleford, E.A., Inker, J. and White, J.T., 2016. </w:t>
      </w:r>
      <w:bookmarkStart w:id="12" w:name="_Int_a9C5amKQ"/>
      <w:r w:rsidRPr="08654B89">
        <w:rPr>
          <w:rFonts w:ascii="Arial" w:eastAsia="Arial" w:hAnsi="Arial" w:cs="Arial"/>
          <w:color w:val="222222"/>
          <w:sz w:val="22"/>
          <w:szCs w:val="22"/>
          <w:shd w:val="clear" w:color="auto" w:fill="FFFFFF"/>
        </w:rPr>
        <w:t>The language of ageism: Why we need to use words carefully.</w:t>
      </w:r>
      <w:bookmarkEnd w:id="12"/>
      <w:r w:rsidRPr="08654B89">
        <w:rPr>
          <w:rFonts w:ascii="Arial" w:eastAsia="Arial" w:hAnsi="Arial" w:cs="Arial"/>
          <w:color w:val="222222"/>
          <w:sz w:val="22"/>
          <w:szCs w:val="22"/>
          <w:shd w:val="clear" w:color="auto" w:fill="FFFFFF"/>
        </w:rPr>
        <w:t> </w:t>
      </w:r>
      <w:r w:rsidRPr="08654B89">
        <w:rPr>
          <w:rFonts w:ascii="Arial" w:eastAsia="Arial" w:hAnsi="Arial" w:cs="Arial"/>
          <w:i/>
          <w:iCs/>
          <w:color w:val="222222"/>
          <w:sz w:val="22"/>
          <w:szCs w:val="22"/>
          <w:shd w:val="clear" w:color="auto" w:fill="FFFFFF"/>
        </w:rPr>
        <w:t>The Gerontologist</w:t>
      </w:r>
      <w:r w:rsidRPr="08654B89">
        <w:rPr>
          <w:rFonts w:ascii="Arial" w:eastAsia="Arial" w:hAnsi="Arial" w:cs="Arial"/>
          <w:color w:val="222222"/>
          <w:sz w:val="22"/>
          <w:szCs w:val="22"/>
          <w:shd w:val="clear" w:color="auto" w:fill="FFFFFF"/>
        </w:rPr>
        <w:t>, </w:t>
      </w:r>
      <w:r w:rsidRPr="08654B89">
        <w:rPr>
          <w:rFonts w:ascii="Arial" w:eastAsia="Arial" w:hAnsi="Arial" w:cs="Arial"/>
          <w:i/>
          <w:iCs/>
          <w:color w:val="222222"/>
          <w:sz w:val="22"/>
          <w:szCs w:val="22"/>
          <w:shd w:val="clear" w:color="auto" w:fill="FFFFFF"/>
        </w:rPr>
        <w:t>56</w:t>
      </w:r>
      <w:r w:rsidRPr="08654B89">
        <w:rPr>
          <w:rFonts w:ascii="Arial" w:eastAsia="Arial" w:hAnsi="Arial" w:cs="Arial"/>
          <w:color w:val="222222"/>
          <w:sz w:val="22"/>
          <w:szCs w:val="22"/>
          <w:shd w:val="clear" w:color="auto" w:fill="FFFFFF"/>
        </w:rPr>
        <w:t>(6), pp.997-1006.</w:t>
      </w:r>
    </w:p>
    <w:p w14:paraId="2202297F" w14:textId="77777777" w:rsidR="00993A9B" w:rsidRDefault="0014671E" w:rsidP="08654B89">
      <w:pPr>
        <w:pStyle w:val="ListParagraph"/>
        <w:numPr>
          <w:ilvl w:val="0"/>
          <w:numId w:val="1"/>
        </w:numPr>
        <w:spacing w:line="276" w:lineRule="auto"/>
        <w:rPr>
          <w:rFonts w:ascii="Arial" w:eastAsia="Arial" w:hAnsi="Arial" w:cs="Arial"/>
          <w:color w:val="222222"/>
          <w:sz w:val="22"/>
          <w:szCs w:val="22"/>
        </w:rPr>
      </w:pPr>
      <w:r w:rsidRPr="08654B89">
        <w:rPr>
          <w:rFonts w:ascii="Arial" w:eastAsia="Arial" w:hAnsi="Arial" w:cs="Arial"/>
          <w:color w:val="222222"/>
          <w:sz w:val="22"/>
          <w:szCs w:val="22"/>
          <w:shd w:val="clear" w:color="auto" w:fill="FFFFFF"/>
        </w:rPr>
        <w:t>Hofer, S.M. and Sliwinski, M.J., (2001). Understanding ageing. </w:t>
      </w:r>
      <w:r w:rsidRPr="08654B89">
        <w:rPr>
          <w:rFonts w:ascii="Arial" w:eastAsia="Arial" w:hAnsi="Arial" w:cs="Arial"/>
          <w:i/>
          <w:iCs/>
          <w:color w:val="222222"/>
          <w:sz w:val="22"/>
          <w:szCs w:val="22"/>
          <w:shd w:val="clear" w:color="auto" w:fill="FFFFFF"/>
        </w:rPr>
        <w:t>Gerontology</w:t>
      </w:r>
      <w:r w:rsidRPr="08654B89">
        <w:rPr>
          <w:rFonts w:ascii="Arial" w:eastAsia="Arial" w:hAnsi="Arial" w:cs="Arial"/>
          <w:color w:val="222222"/>
          <w:sz w:val="22"/>
          <w:szCs w:val="22"/>
          <w:shd w:val="clear" w:color="auto" w:fill="FFFFFF"/>
        </w:rPr>
        <w:t>, </w:t>
      </w:r>
      <w:r w:rsidRPr="08654B89">
        <w:rPr>
          <w:rFonts w:ascii="Arial" w:eastAsia="Arial" w:hAnsi="Arial" w:cs="Arial"/>
          <w:i/>
          <w:iCs/>
          <w:color w:val="222222"/>
          <w:sz w:val="22"/>
          <w:szCs w:val="22"/>
          <w:shd w:val="clear" w:color="auto" w:fill="FFFFFF"/>
        </w:rPr>
        <w:t>47</w:t>
      </w:r>
      <w:r w:rsidRPr="08654B89">
        <w:rPr>
          <w:rFonts w:ascii="Arial" w:eastAsia="Arial" w:hAnsi="Arial" w:cs="Arial"/>
          <w:color w:val="222222"/>
          <w:sz w:val="22"/>
          <w:szCs w:val="22"/>
          <w:shd w:val="clear" w:color="auto" w:fill="FFFFFF"/>
        </w:rPr>
        <w:t>(6), pp.341-352.</w:t>
      </w:r>
    </w:p>
    <w:p w14:paraId="47FEB704" w14:textId="77777777" w:rsidR="00993A9B" w:rsidRDefault="08654B89" w:rsidP="08654B89">
      <w:pPr>
        <w:pStyle w:val="ListParagraph"/>
        <w:numPr>
          <w:ilvl w:val="0"/>
          <w:numId w:val="1"/>
        </w:numPr>
        <w:spacing w:line="276" w:lineRule="auto"/>
        <w:rPr>
          <w:rFonts w:ascii="Arial" w:eastAsia="Arial" w:hAnsi="Arial" w:cs="Arial"/>
          <w:sz w:val="22"/>
          <w:szCs w:val="22"/>
        </w:rPr>
      </w:pPr>
      <w:r w:rsidRPr="08654B89">
        <w:rPr>
          <w:rFonts w:ascii="Arial" w:eastAsia="Arial" w:hAnsi="Arial" w:cs="Arial"/>
        </w:rPr>
        <w:t xml:space="preserve">Holt, A. and Butcher, B., (2021). </w:t>
      </w:r>
      <w:r w:rsidRPr="08654B89">
        <w:rPr>
          <w:rFonts w:ascii="Arial" w:eastAsia="Arial" w:hAnsi="Arial" w:cs="Arial"/>
          <w:i/>
          <w:iCs/>
        </w:rPr>
        <w:t xml:space="preserve">Social care: What are the challenges facing the system? </w:t>
      </w:r>
      <w:r w:rsidRPr="08654B89">
        <w:rPr>
          <w:rFonts w:ascii="Arial" w:eastAsia="Arial" w:hAnsi="Arial" w:cs="Arial"/>
        </w:rPr>
        <w:t>Available at: &lt;https://www.bbc.co.uk/news/health-50377846&gt; [Accessed 17 April 2022].</w:t>
      </w:r>
    </w:p>
    <w:p w14:paraId="11BFF20B" w14:textId="77777777" w:rsidR="00993A9B" w:rsidRDefault="00993A9B" w:rsidP="08654B89">
      <w:pPr>
        <w:spacing w:line="276" w:lineRule="auto"/>
        <w:rPr>
          <w:rFonts w:ascii="Arial" w:eastAsia="Arial" w:hAnsi="Arial" w:cs="Arial"/>
        </w:rPr>
      </w:pPr>
    </w:p>
    <w:p w14:paraId="0BB53E75" w14:textId="77777777" w:rsidR="00993A9B" w:rsidRDefault="08654B89" w:rsidP="08654B89">
      <w:pPr>
        <w:pStyle w:val="ListParagraph"/>
        <w:numPr>
          <w:ilvl w:val="0"/>
          <w:numId w:val="1"/>
        </w:numPr>
        <w:spacing w:line="276" w:lineRule="auto"/>
        <w:rPr>
          <w:rFonts w:ascii="Arial" w:eastAsia="Arial" w:hAnsi="Arial" w:cs="Arial"/>
          <w:sz w:val="22"/>
          <w:szCs w:val="22"/>
        </w:rPr>
      </w:pPr>
      <w:r w:rsidRPr="08654B89">
        <w:rPr>
          <w:rFonts w:ascii="Arial" w:eastAsia="Arial" w:hAnsi="Arial" w:cs="Arial"/>
          <w:sz w:val="22"/>
          <w:szCs w:val="22"/>
        </w:rPr>
        <w:t>Johnson, C.L. and Barer, B.M., 1992. Patterns of engagement and disengagement among the oldest old. Journal of Aging Studies, 6(4), pp.351-364.</w:t>
      </w:r>
    </w:p>
    <w:p w14:paraId="4329B34B" w14:textId="77777777" w:rsidR="00993A9B" w:rsidRDefault="0014671E" w:rsidP="08654B89">
      <w:pPr>
        <w:pStyle w:val="ListParagraph"/>
        <w:numPr>
          <w:ilvl w:val="0"/>
          <w:numId w:val="1"/>
        </w:numPr>
        <w:spacing w:line="276" w:lineRule="auto"/>
        <w:rPr>
          <w:rFonts w:ascii="Arial" w:eastAsia="Arial" w:hAnsi="Arial" w:cs="Arial"/>
          <w:color w:val="222222"/>
          <w:sz w:val="22"/>
          <w:szCs w:val="22"/>
        </w:rPr>
      </w:pPr>
      <w:r w:rsidRPr="08654B89">
        <w:rPr>
          <w:rFonts w:ascii="Arial" w:eastAsia="Arial" w:hAnsi="Arial" w:cs="Arial"/>
          <w:color w:val="222222"/>
          <w:sz w:val="22"/>
          <w:szCs w:val="22"/>
          <w:shd w:val="clear" w:color="auto" w:fill="FFFFFF"/>
        </w:rPr>
        <w:t xml:space="preserve">Kasar, K.S. and Karaman, E., (2021). </w:t>
      </w:r>
      <w:bookmarkStart w:id="13" w:name="_Int_T4mJlVw2"/>
      <w:r w:rsidRPr="08654B89">
        <w:rPr>
          <w:rFonts w:ascii="Arial" w:eastAsia="Arial" w:hAnsi="Arial" w:cs="Arial"/>
          <w:color w:val="222222"/>
          <w:sz w:val="22"/>
          <w:szCs w:val="22"/>
          <w:shd w:val="clear" w:color="auto" w:fill="FFFFFF"/>
        </w:rPr>
        <w:t>Life in lockdown: social isolation, loneliness and quality of life in the elderly during the COVID-19 pandemic: a scoping review.</w:t>
      </w:r>
      <w:bookmarkEnd w:id="13"/>
      <w:r w:rsidRPr="08654B89">
        <w:rPr>
          <w:rFonts w:ascii="Arial" w:eastAsia="Arial" w:hAnsi="Arial" w:cs="Arial"/>
          <w:color w:val="222222"/>
          <w:sz w:val="22"/>
          <w:szCs w:val="22"/>
          <w:shd w:val="clear" w:color="auto" w:fill="FFFFFF"/>
        </w:rPr>
        <w:t> </w:t>
      </w:r>
      <w:r w:rsidRPr="08654B89">
        <w:rPr>
          <w:rFonts w:ascii="Arial" w:eastAsia="Arial" w:hAnsi="Arial" w:cs="Arial"/>
          <w:i/>
          <w:iCs/>
          <w:color w:val="222222"/>
          <w:sz w:val="22"/>
          <w:szCs w:val="22"/>
          <w:shd w:val="clear" w:color="auto" w:fill="FFFFFF"/>
        </w:rPr>
        <w:t>Geriatric Nursing</w:t>
      </w:r>
      <w:r w:rsidRPr="08654B89">
        <w:rPr>
          <w:rFonts w:ascii="Arial" w:eastAsia="Arial" w:hAnsi="Arial" w:cs="Arial"/>
          <w:color w:val="222222"/>
          <w:sz w:val="22"/>
          <w:szCs w:val="22"/>
          <w:shd w:val="clear" w:color="auto" w:fill="FFFFFF"/>
        </w:rPr>
        <w:t>, </w:t>
      </w:r>
      <w:r w:rsidRPr="08654B89">
        <w:rPr>
          <w:rFonts w:ascii="Arial" w:eastAsia="Arial" w:hAnsi="Arial" w:cs="Arial"/>
          <w:i/>
          <w:iCs/>
          <w:color w:val="222222"/>
          <w:sz w:val="22"/>
          <w:szCs w:val="22"/>
          <w:shd w:val="clear" w:color="auto" w:fill="FFFFFF"/>
        </w:rPr>
        <w:t>42</w:t>
      </w:r>
      <w:r w:rsidRPr="08654B89">
        <w:rPr>
          <w:rFonts w:ascii="Arial" w:eastAsia="Arial" w:hAnsi="Arial" w:cs="Arial"/>
          <w:color w:val="222222"/>
          <w:sz w:val="22"/>
          <w:szCs w:val="22"/>
          <w:shd w:val="clear" w:color="auto" w:fill="FFFFFF"/>
        </w:rPr>
        <w:t>(5), pp.1222-1229.</w:t>
      </w:r>
    </w:p>
    <w:p w14:paraId="31D02534" w14:textId="77777777" w:rsidR="00993A9B" w:rsidRDefault="0014671E" w:rsidP="08654B89">
      <w:pPr>
        <w:pStyle w:val="ListParagraph"/>
        <w:numPr>
          <w:ilvl w:val="0"/>
          <w:numId w:val="1"/>
        </w:numPr>
        <w:spacing w:line="276" w:lineRule="auto"/>
        <w:rPr>
          <w:rFonts w:ascii="Arial" w:eastAsia="Arial" w:hAnsi="Arial" w:cs="Arial"/>
          <w:color w:val="222222"/>
          <w:sz w:val="22"/>
          <w:szCs w:val="22"/>
        </w:rPr>
      </w:pPr>
      <w:r w:rsidRPr="08654B89">
        <w:rPr>
          <w:rFonts w:ascii="Arial" w:eastAsia="Arial" w:hAnsi="Arial" w:cs="Arial"/>
          <w:color w:val="222222"/>
          <w:sz w:val="22"/>
          <w:szCs w:val="22"/>
          <w:shd w:val="clear" w:color="auto" w:fill="FFFFFF"/>
        </w:rPr>
        <w:t>Mahase, E., 2020. Covid-19: death rate is 0.66% and increases with age, study estimates. </w:t>
      </w:r>
      <w:r w:rsidRPr="08654B89">
        <w:rPr>
          <w:rFonts w:ascii="Arial" w:eastAsia="Arial" w:hAnsi="Arial" w:cs="Arial"/>
          <w:i/>
          <w:iCs/>
          <w:color w:val="222222"/>
          <w:sz w:val="22"/>
          <w:szCs w:val="22"/>
          <w:shd w:val="clear" w:color="auto" w:fill="FFFFFF"/>
        </w:rPr>
        <w:t>BMJ: British Medical Journal (Online)</w:t>
      </w:r>
      <w:r w:rsidRPr="08654B89">
        <w:rPr>
          <w:rFonts w:ascii="Arial" w:eastAsia="Arial" w:hAnsi="Arial" w:cs="Arial"/>
          <w:color w:val="222222"/>
          <w:sz w:val="22"/>
          <w:szCs w:val="22"/>
          <w:shd w:val="clear" w:color="auto" w:fill="FFFFFF"/>
        </w:rPr>
        <w:t>, </w:t>
      </w:r>
      <w:r w:rsidRPr="08654B89">
        <w:rPr>
          <w:rFonts w:ascii="Arial" w:eastAsia="Arial" w:hAnsi="Arial" w:cs="Arial"/>
          <w:i/>
          <w:iCs/>
          <w:color w:val="222222"/>
          <w:sz w:val="22"/>
          <w:szCs w:val="22"/>
          <w:shd w:val="clear" w:color="auto" w:fill="FFFFFF"/>
        </w:rPr>
        <w:t>369</w:t>
      </w:r>
      <w:r w:rsidRPr="08654B89">
        <w:rPr>
          <w:rFonts w:ascii="Arial" w:eastAsia="Arial" w:hAnsi="Arial" w:cs="Arial"/>
          <w:color w:val="222222"/>
          <w:sz w:val="22"/>
          <w:szCs w:val="22"/>
          <w:shd w:val="clear" w:color="auto" w:fill="FFFFFF"/>
        </w:rPr>
        <w:t>.</w:t>
      </w:r>
    </w:p>
    <w:p w14:paraId="19301761" w14:textId="77777777" w:rsidR="00993A9B" w:rsidRDefault="0014671E" w:rsidP="08654B89">
      <w:pPr>
        <w:pStyle w:val="ListParagraph"/>
        <w:numPr>
          <w:ilvl w:val="0"/>
          <w:numId w:val="1"/>
        </w:numPr>
        <w:spacing w:line="276" w:lineRule="auto"/>
        <w:rPr>
          <w:rFonts w:ascii="Arial" w:eastAsia="Arial" w:hAnsi="Arial" w:cs="Arial"/>
          <w:color w:val="333333"/>
          <w:sz w:val="22"/>
          <w:szCs w:val="22"/>
        </w:rPr>
      </w:pPr>
      <w:r w:rsidRPr="08654B89">
        <w:rPr>
          <w:rFonts w:ascii="Arial" w:eastAsia="Arial" w:hAnsi="Arial" w:cs="Arial"/>
          <w:color w:val="333333"/>
          <w:sz w:val="22"/>
          <w:szCs w:val="22"/>
          <w:shd w:val="clear" w:color="auto" w:fill="FFFFFF"/>
        </w:rPr>
        <w:t xml:space="preserve">Sumner, G. (1969) ‘Book Review: Old People in Three Industrial Societies by Ethel </w:t>
      </w:r>
      <w:proofErr w:type="spellStart"/>
      <w:r w:rsidRPr="08654B89">
        <w:rPr>
          <w:rFonts w:ascii="Arial" w:eastAsia="Arial" w:hAnsi="Arial" w:cs="Arial"/>
          <w:color w:val="333333"/>
          <w:sz w:val="22"/>
          <w:szCs w:val="22"/>
          <w:shd w:val="clear" w:color="auto" w:fill="FFFFFF"/>
        </w:rPr>
        <w:t>Shanas</w:t>
      </w:r>
      <w:proofErr w:type="spellEnd"/>
      <w:r w:rsidRPr="08654B89">
        <w:rPr>
          <w:rFonts w:ascii="Arial" w:eastAsia="Arial" w:hAnsi="Arial" w:cs="Arial"/>
          <w:color w:val="333333"/>
          <w:sz w:val="22"/>
          <w:szCs w:val="22"/>
          <w:shd w:val="clear" w:color="auto" w:fill="FFFFFF"/>
        </w:rPr>
        <w:t xml:space="preserve">, Peter Towns-end, Dorothy Wedderburn, Henning Friis, Paul </w:t>
      </w:r>
      <w:proofErr w:type="spellStart"/>
      <w:r w:rsidRPr="08654B89">
        <w:rPr>
          <w:rFonts w:ascii="Arial" w:eastAsia="Arial" w:hAnsi="Arial" w:cs="Arial"/>
          <w:color w:val="333333"/>
          <w:sz w:val="22"/>
          <w:szCs w:val="22"/>
          <w:shd w:val="clear" w:color="auto" w:fill="FFFFFF"/>
        </w:rPr>
        <w:t>Milhoj</w:t>
      </w:r>
      <w:proofErr w:type="spellEnd"/>
      <w:r w:rsidRPr="08654B89">
        <w:rPr>
          <w:rFonts w:ascii="Arial" w:eastAsia="Arial" w:hAnsi="Arial" w:cs="Arial"/>
          <w:color w:val="333333"/>
          <w:sz w:val="22"/>
          <w:szCs w:val="22"/>
          <w:shd w:val="clear" w:color="auto" w:fill="FFFFFF"/>
        </w:rPr>
        <w:t xml:space="preserve"> and Jan Stehouwer, Routledge and Kegan Paul, 1968, pp. 478, 84/-’, </w:t>
      </w:r>
      <w:r w:rsidRPr="08654B89">
        <w:rPr>
          <w:rFonts w:ascii="Arial" w:eastAsia="Arial" w:hAnsi="Arial" w:cs="Arial"/>
          <w:i/>
          <w:iCs/>
          <w:color w:val="333333"/>
          <w:sz w:val="22"/>
          <w:szCs w:val="22"/>
          <w:shd w:val="clear" w:color="auto" w:fill="FFFFFF"/>
        </w:rPr>
        <w:t>Urban Studies</w:t>
      </w:r>
      <w:r w:rsidRPr="08654B89">
        <w:rPr>
          <w:rFonts w:ascii="Arial" w:eastAsia="Arial" w:hAnsi="Arial" w:cs="Arial"/>
          <w:color w:val="333333"/>
          <w:sz w:val="22"/>
          <w:szCs w:val="22"/>
          <w:shd w:val="clear" w:color="auto" w:fill="FFFFFF"/>
        </w:rPr>
        <w:t>, 6(1), pp. 120–122. doi: </w:t>
      </w:r>
      <w:hyperlink r:id="rId7" w:history="1">
        <w:r w:rsidRPr="08654B89">
          <w:rPr>
            <w:rFonts w:ascii="Arial" w:eastAsia="Arial" w:hAnsi="Arial" w:cs="Arial"/>
            <w:color w:val="006ACC"/>
            <w:sz w:val="22"/>
            <w:szCs w:val="22"/>
            <w:u w:val="single"/>
            <w:shd w:val="clear" w:color="auto" w:fill="FFFFFF"/>
          </w:rPr>
          <w:t>10.1080/00420986920080191</w:t>
        </w:r>
      </w:hyperlink>
      <w:r w:rsidRPr="08654B89">
        <w:rPr>
          <w:rFonts w:ascii="Arial" w:eastAsia="Arial" w:hAnsi="Arial" w:cs="Arial"/>
          <w:color w:val="333333"/>
          <w:sz w:val="22"/>
          <w:szCs w:val="22"/>
          <w:shd w:val="clear" w:color="auto" w:fill="FFFFFF"/>
        </w:rPr>
        <w:t>.</w:t>
      </w:r>
    </w:p>
    <w:p w14:paraId="64FDB5C2" w14:textId="77777777" w:rsidR="00993A9B" w:rsidRDefault="08654B89" w:rsidP="08654B89">
      <w:pPr>
        <w:pStyle w:val="Bibliography"/>
        <w:numPr>
          <w:ilvl w:val="0"/>
          <w:numId w:val="1"/>
        </w:numPr>
        <w:spacing w:line="276" w:lineRule="auto"/>
        <w:rPr>
          <w:rFonts w:ascii="Arial" w:eastAsia="Arial" w:hAnsi="Arial" w:cs="Arial"/>
        </w:rPr>
      </w:pPr>
      <w:bookmarkStart w:id="14" w:name="_Int_n1HtJ0ri"/>
      <w:r w:rsidRPr="08654B89">
        <w:rPr>
          <w:rFonts w:ascii="Arial" w:eastAsia="Arial" w:hAnsi="Arial" w:cs="Arial"/>
        </w:rPr>
        <w:t xml:space="preserve">Taylor, S. </w:t>
      </w:r>
      <w:r w:rsidRPr="08654B89">
        <w:rPr>
          <w:rFonts w:ascii="Arial" w:eastAsia="Arial" w:hAnsi="Arial" w:cs="Arial"/>
          <w:i/>
          <w:iCs/>
        </w:rPr>
        <w:t>et al.</w:t>
      </w:r>
      <w:r w:rsidRPr="08654B89">
        <w:rPr>
          <w:rFonts w:ascii="Arial" w:eastAsia="Arial" w:hAnsi="Arial" w:cs="Arial"/>
        </w:rPr>
        <w:t xml:space="preserve"> (2020) ‘Development and initial validation of the COVID Stress Scales’, </w:t>
      </w:r>
      <w:r w:rsidRPr="08654B89">
        <w:rPr>
          <w:rFonts w:ascii="Arial" w:eastAsia="Arial" w:hAnsi="Arial" w:cs="Arial"/>
          <w:i/>
          <w:iCs/>
        </w:rPr>
        <w:t>Journal of Anxiety Disorders</w:t>
      </w:r>
      <w:r w:rsidRPr="08654B89">
        <w:rPr>
          <w:rFonts w:ascii="Arial" w:eastAsia="Arial" w:hAnsi="Arial" w:cs="Arial"/>
        </w:rPr>
        <w:t>, 72, p. 102232.</w:t>
      </w:r>
      <w:bookmarkEnd w:id="14"/>
      <w:r w:rsidRPr="08654B89">
        <w:rPr>
          <w:rFonts w:ascii="Arial" w:eastAsia="Arial" w:hAnsi="Arial" w:cs="Arial"/>
        </w:rPr>
        <w:t xml:space="preserve"> doi: 10.1016/j.janxdis.2020.102232.</w:t>
      </w:r>
    </w:p>
    <w:p w14:paraId="7432C54A" w14:textId="77777777" w:rsidR="00993A9B" w:rsidRDefault="0014671E" w:rsidP="08654B89">
      <w:pPr>
        <w:pStyle w:val="ListParagraph"/>
        <w:numPr>
          <w:ilvl w:val="0"/>
          <w:numId w:val="1"/>
        </w:numPr>
        <w:spacing w:line="276" w:lineRule="auto"/>
        <w:rPr>
          <w:rFonts w:ascii="Arial" w:eastAsia="Arial" w:hAnsi="Arial" w:cs="Arial"/>
          <w:color w:val="222222"/>
          <w:sz w:val="22"/>
          <w:szCs w:val="22"/>
        </w:rPr>
      </w:pPr>
      <w:r w:rsidRPr="08654B89">
        <w:rPr>
          <w:rFonts w:ascii="Arial" w:eastAsia="Arial" w:hAnsi="Arial" w:cs="Arial"/>
          <w:color w:val="222222"/>
          <w:sz w:val="22"/>
          <w:szCs w:val="22"/>
          <w:shd w:val="clear" w:color="auto" w:fill="FFFFFF"/>
        </w:rPr>
        <w:t>Taylor, S., (2019). </w:t>
      </w:r>
      <w:bookmarkStart w:id="15" w:name="_Int_qxsZivdM"/>
      <w:r w:rsidRPr="08654B89">
        <w:rPr>
          <w:rFonts w:ascii="Arial" w:eastAsia="Arial" w:hAnsi="Arial" w:cs="Arial"/>
          <w:i/>
          <w:iCs/>
          <w:color w:val="222222"/>
          <w:sz w:val="22"/>
          <w:szCs w:val="22"/>
          <w:shd w:val="clear" w:color="auto" w:fill="FFFFFF"/>
        </w:rPr>
        <w:t>The psychology of pandemics: Preparing for the next global outbreak of infectious disease</w:t>
      </w:r>
      <w:r w:rsidRPr="08654B89">
        <w:rPr>
          <w:rFonts w:ascii="Arial" w:eastAsia="Arial" w:hAnsi="Arial" w:cs="Arial"/>
          <w:color w:val="222222"/>
          <w:sz w:val="22"/>
          <w:szCs w:val="22"/>
          <w:shd w:val="clear" w:color="auto" w:fill="FFFFFF"/>
        </w:rPr>
        <w:t>.</w:t>
      </w:r>
      <w:bookmarkEnd w:id="15"/>
      <w:r w:rsidR="6978AB31" w:rsidRPr="08654B89">
        <w:rPr>
          <w:rFonts w:ascii="Arial" w:eastAsia="Arial" w:hAnsi="Arial" w:cs="Arial"/>
          <w:color w:val="222222"/>
          <w:sz w:val="22"/>
          <w:szCs w:val="22"/>
        </w:rPr>
        <w:t xml:space="preserve"> Cambridge scholars publishing.</w:t>
      </w:r>
    </w:p>
    <w:p w14:paraId="5AC7A4B6" w14:textId="77777777" w:rsidR="00993A9B" w:rsidRDefault="0014671E" w:rsidP="08654B89">
      <w:pPr>
        <w:pStyle w:val="ListParagraph"/>
        <w:numPr>
          <w:ilvl w:val="0"/>
          <w:numId w:val="1"/>
        </w:numPr>
        <w:spacing w:line="276" w:lineRule="auto"/>
        <w:rPr>
          <w:rFonts w:ascii="Arial" w:eastAsia="Arial" w:hAnsi="Arial" w:cs="Arial"/>
          <w:color w:val="222222"/>
          <w:sz w:val="22"/>
          <w:szCs w:val="22"/>
        </w:rPr>
      </w:pPr>
      <w:r w:rsidRPr="08654B89">
        <w:rPr>
          <w:rFonts w:ascii="Arial" w:eastAsia="Arial" w:hAnsi="Arial" w:cs="Arial"/>
          <w:color w:val="222222"/>
          <w:sz w:val="22"/>
          <w:szCs w:val="22"/>
          <w:shd w:val="clear" w:color="auto" w:fill="FFFFFF"/>
        </w:rPr>
        <w:t xml:space="preserve">Thielke, S., </w:t>
      </w:r>
      <w:proofErr w:type="spellStart"/>
      <w:r w:rsidRPr="08654B89">
        <w:rPr>
          <w:rFonts w:ascii="Arial" w:eastAsia="Arial" w:hAnsi="Arial" w:cs="Arial"/>
          <w:color w:val="222222"/>
          <w:sz w:val="22"/>
          <w:szCs w:val="22"/>
          <w:shd w:val="clear" w:color="auto" w:fill="FFFFFF"/>
        </w:rPr>
        <w:t>Harniss</w:t>
      </w:r>
      <w:proofErr w:type="spellEnd"/>
      <w:r w:rsidRPr="08654B89">
        <w:rPr>
          <w:rFonts w:ascii="Arial" w:eastAsia="Arial" w:hAnsi="Arial" w:cs="Arial"/>
          <w:color w:val="222222"/>
          <w:sz w:val="22"/>
          <w:szCs w:val="22"/>
          <w:shd w:val="clear" w:color="auto" w:fill="FFFFFF"/>
        </w:rPr>
        <w:t xml:space="preserve">, M., Thompson, H., Patel, S., </w:t>
      </w:r>
      <w:proofErr w:type="spellStart"/>
      <w:r w:rsidRPr="08654B89">
        <w:rPr>
          <w:rFonts w:ascii="Arial" w:eastAsia="Arial" w:hAnsi="Arial" w:cs="Arial"/>
          <w:color w:val="222222"/>
          <w:sz w:val="22"/>
          <w:szCs w:val="22"/>
          <w:shd w:val="clear" w:color="auto" w:fill="FFFFFF"/>
        </w:rPr>
        <w:t>Demiris</w:t>
      </w:r>
      <w:proofErr w:type="spellEnd"/>
      <w:r w:rsidRPr="08654B89">
        <w:rPr>
          <w:rFonts w:ascii="Arial" w:eastAsia="Arial" w:hAnsi="Arial" w:cs="Arial"/>
          <w:color w:val="222222"/>
          <w:sz w:val="22"/>
          <w:szCs w:val="22"/>
          <w:shd w:val="clear" w:color="auto" w:fill="FFFFFF"/>
        </w:rPr>
        <w:t xml:space="preserve">, G. and Johnson, K., (2012). </w:t>
      </w:r>
      <w:bookmarkStart w:id="16" w:name="_Int_Lk4P4N33"/>
      <w:r w:rsidRPr="08654B89">
        <w:rPr>
          <w:rFonts w:ascii="Arial" w:eastAsia="Arial" w:hAnsi="Arial" w:cs="Arial"/>
          <w:color w:val="222222"/>
          <w:sz w:val="22"/>
          <w:szCs w:val="22"/>
          <w:shd w:val="clear" w:color="auto" w:fill="FFFFFF"/>
        </w:rPr>
        <w:t>Maslow’s hierarchy of human needs and the adoption of health-related technologies for older adults.</w:t>
      </w:r>
      <w:bookmarkEnd w:id="16"/>
      <w:r w:rsidRPr="08654B89">
        <w:rPr>
          <w:rFonts w:ascii="Arial" w:eastAsia="Arial" w:hAnsi="Arial" w:cs="Arial"/>
          <w:color w:val="222222"/>
          <w:sz w:val="22"/>
          <w:szCs w:val="22"/>
          <w:shd w:val="clear" w:color="auto" w:fill="FFFFFF"/>
        </w:rPr>
        <w:t> </w:t>
      </w:r>
      <w:r w:rsidRPr="08654B89">
        <w:rPr>
          <w:rFonts w:ascii="Arial" w:eastAsia="Arial" w:hAnsi="Arial" w:cs="Arial"/>
          <w:i/>
          <w:iCs/>
          <w:color w:val="222222"/>
          <w:sz w:val="22"/>
          <w:szCs w:val="22"/>
          <w:shd w:val="clear" w:color="auto" w:fill="FFFFFF"/>
        </w:rPr>
        <w:t>Ageing international</w:t>
      </w:r>
      <w:r w:rsidRPr="08654B89">
        <w:rPr>
          <w:rFonts w:ascii="Arial" w:eastAsia="Arial" w:hAnsi="Arial" w:cs="Arial"/>
          <w:color w:val="222222"/>
          <w:sz w:val="22"/>
          <w:szCs w:val="22"/>
          <w:shd w:val="clear" w:color="auto" w:fill="FFFFFF"/>
        </w:rPr>
        <w:t>, </w:t>
      </w:r>
      <w:r w:rsidRPr="08654B89">
        <w:rPr>
          <w:rFonts w:ascii="Arial" w:eastAsia="Arial" w:hAnsi="Arial" w:cs="Arial"/>
          <w:i/>
          <w:iCs/>
          <w:color w:val="222222"/>
          <w:sz w:val="22"/>
          <w:szCs w:val="22"/>
          <w:shd w:val="clear" w:color="auto" w:fill="FFFFFF"/>
        </w:rPr>
        <w:t>37</w:t>
      </w:r>
      <w:r w:rsidRPr="08654B89">
        <w:rPr>
          <w:rFonts w:ascii="Arial" w:eastAsia="Arial" w:hAnsi="Arial" w:cs="Arial"/>
          <w:color w:val="222222"/>
          <w:sz w:val="22"/>
          <w:szCs w:val="22"/>
          <w:shd w:val="clear" w:color="auto" w:fill="FFFFFF"/>
        </w:rPr>
        <w:t>(4), pp.470-488.</w:t>
      </w:r>
    </w:p>
    <w:p w14:paraId="3806CBA2" w14:textId="77777777" w:rsidR="00993A9B" w:rsidRDefault="08654B89" w:rsidP="08654B89">
      <w:pPr>
        <w:pStyle w:val="ListParagraph"/>
        <w:numPr>
          <w:ilvl w:val="0"/>
          <w:numId w:val="1"/>
        </w:numPr>
        <w:spacing w:line="276" w:lineRule="auto"/>
        <w:rPr>
          <w:rFonts w:ascii="Arial" w:eastAsia="Arial" w:hAnsi="Arial" w:cs="Arial"/>
          <w:sz w:val="22"/>
          <w:szCs w:val="22"/>
        </w:rPr>
      </w:pPr>
      <w:r w:rsidRPr="08654B89">
        <w:rPr>
          <w:rFonts w:ascii="Arial" w:eastAsia="Arial" w:hAnsi="Arial" w:cs="Arial"/>
          <w:sz w:val="22"/>
          <w:szCs w:val="22"/>
        </w:rPr>
        <w:t xml:space="preserve">Verity, R., Okell, L.C., </w:t>
      </w:r>
      <w:proofErr w:type="spellStart"/>
      <w:r w:rsidRPr="08654B89">
        <w:rPr>
          <w:rFonts w:ascii="Arial" w:eastAsia="Arial" w:hAnsi="Arial" w:cs="Arial"/>
          <w:sz w:val="22"/>
          <w:szCs w:val="22"/>
        </w:rPr>
        <w:t>Dorigatti</w:t>
      </w:r>
      <w:proofErr w:type="spellEnd"/>
      <w:r w:rsidRPr="08654B89">
        <w:rPr>
          <w:rFonts w:ascii="Arial" w:eastAsia="Arial" w:hAnsi="Arial" w:cs="Arial"/>
          <w:sz w:val="22"/>
          <w:szCs w:val="22"/>
        </w:rPr>
        <w:t>, I., Winskill, P., Whittaker, C., Imai, N., Cuomo-</w:t>
      </w:r>
      <w:proofErr w:type="spellStart"/>
      <w:r w:rsidRPr="08654B89">
        <w:rPr>
          <w:rFonts w:ascii="Arial" w:eastAsia="Arial" w:hAnsi="Arial" w:cs="Arial"/>
          <w:sz w:val="22"/>
          <w:szCs w:val="22"/>
        </w:rPr>
        <w:t>Dannenburg</w:t>
      </w:r>
      <w:proofErr w:type="spellEnd"/>
      <w:r w:rsidRPr="08654B89">
        <w:rPr>
          <w:rFonts w:ascii="Arial" w:eastAsia="Arial" w:hAnsi="Arial" w:cs="Arial"/>
          <w:sz w:val="22"/>
          <w:szCs w:val="22"/>
        </w:rPr>
        <w:t>, G., Thompson, H., Walker, P.G., Fu, H. and Dighe, A., (2020). Estimates of the severity of coronavirus disease 2019: a model-based analysis. The Lancet infectious diseases, 20(6), pp.669-677.</w:t>
      </w:r>
    </w:p>
    <w:p w14:paraId="77BEE6CE" w14:textId="77777777" w:rsidR="00993A9B" w:rsidRDefault="0014671E" w:rsidP="08654B89">
      <w:pPr>
        <w:pStyle w:val="ListParagraph"/>
        <w:numPr>
          <w:ilvl w:val="0"/>
          <w:numId w:val="1"/>
        </w:numPr>
        <w:suppressAutoHyphens w:val="0"/>
        <w:spacing w:line="276" w:lineRule="auto"/>
        <w:textAlignment w:val="baseline"/>
        <w:rPr>
          <w:rFonts w:ascii="Arial" w:eastAsia="Arial" w:hAnsi="Arial" w:cs="Arial"/>
          <w:color w:val="000000" w:themeColor="text1"/>
          <w:sz w:val="22"/>
          <w:szCs w:val="22"/>
        </w:rPr>
      </w:pPr>
      <w:r w:rsidRPr="08654B89">
        <w:rPr>
          <w:rFonts w:ascii="Arial" w:eastAsia="Arial" w:hAnsi="Arial" w:cs="Arial"/>
          <w:color w:val="000000"/>
          <w:kern w:val="3"/>
        </w:rPr>
        <w:t xml:space="preserve">Wang, M. (ed.) (2012) </w:t>
      </w:r>
      <w:r w:rsidRPr="08654B89">
        <w:rPr>
          <w:rFonts w:ascii="Arial" w:eastAsia="Arial" w:hAnsi="Arial" w:cs="Arial"/>
          <w:i/>
          <w:iCs/>
          <w:color w:val="000000"/>
          <w:kern w:val="3"/>
        </w:rPr>
        <w:t xml:space="preserve">The Oxford Handbook of Retirement. </w:t>
      </w:r>
      <w:r w:rsidRPr="08654B89">
        <w:rPr>
          <w:rFonts w:ascii="Arial" w:eastAsia="Arial" w:hAnsi="Arial" w:cs="Arial"/>
          <w:color w:val="000000"/>
          <w:kern w:val="3"/>
        </w:rPr>
        <w:t>Oxford: Oxford University Press.</w:t>
      </w:r>
    </w:p>
    <w:p w14:paraId="71A96EAF" w14:textId="77777777" w:rsidR="00993A9B" w:rsidRDefault="08654B89" w:rsidP="08654B89">
      <w:pPr>
        <w:pStyle w:val="ListParagraph"/>
        <w:numPr>
          <w:ilvl w:val="0"/>
          <w:numId w:val="1"/>
        </w:numPr>
        <w:rPr>
          <w:rFonts w:ascii="Arial" w:eastAsia="Arial" w:hAnsi="Arial" w:cs="Arial"/>
          <w:sz w:val="22"/>
          <w:szCs w:val="22"/>
          <w:lang w:eastAsia="en-US"/>
        </w:rPr>
      </w:pPr>
      <w:r w:rsidRPr="08654B89">
        <w:rPr>
          <w:rFonts w:ascii="Arial" w:eastAsia="Arial" w:hAnsi="Arial" w:cs="Arial"/>
          <w:sz w:val="22"/>
          <w:szCs w:val="22"/>
          <w:lang w:eastAsia="en-US"/>
        </w:rPr>
        <w:t xml:space="preserve">Whaley, C.M., </w:t>
      </w:r>
      <w:proofErr w:type="spellStart"/>
      <w:r w:rsidRPr="08654B89">
        <w:rPr>
          <w:rFonts w:ascii="Arial" w:eastAsia="Arial" w:hAnsi="Arial" w:cs="Arial"/>
          <w:sz w:val="22"/>
          <w:szCs w:val="22"/>
          <w:lang w:eastAsia="en-US"/>
        </w:rPr>
        <w:t>Pera</w:t>
      </w:r>
      <w:proofErr w:type="spellEnd"/>
      <w:r w:rsidRPr="08654B89">
        <w:rPr>
          <w:rFonts w:ascii="Arial" w:eastAsia="Arial" w:hAnsi="Arial" w:cs="Arial"/>
          <w:sz w:val="22"/>
          <w:szCs w:val="22"/>
          <w:lang w:eastAsia="en-US"/>
        </w:rPr>
        <w:t xml:space="preserve">, M.F., Cantor, J., Chang, J., Velasco, J., Hagg, H.K., Sood, N. and Bravata, D.M., (2020). </w:t>
      </w:r>
      <w:bookmarkStart w:id="17" w:name="_Int_1DiYnlyA"/>
      <w:r w:rsidRPr="08654B89">
        <w:rPr>
          <w:rFonts w:ascii="Arial" w:eastAsia="Arial" w:hAnsi="Arial" w:cs="Arial"/>
          <w:sz w:val="22"/>
          <w:szCs w:val="22"/>
          <w:lang w:eastAsia="en-US"/>
        </w:rPr>
        <w:t>Changes in health services use among commercially insured US populations during the COVID-19 pandemic.</w:t>
      </w:r>
      <w:bookmarkEnd w:id="17"/>
      <w:r w:rsidRPr="08654B89">
        <w:rPr>
          <w:rFonts w:ascii="Arial" w:eastAsia="Arial" w:hAnsi="Arial" w:cs="Arial"/>
          <w:sz w:val="22"/>
          <w:szCs w:val="22"/>
          <w:lang w:eastAsia="en-US"/>
        </w:rPr>
        <w:t xml:space="preserve"> JAMA network open, 3(11), </w:t>
      </w:r>
      <w:proofErr w:type="gramStart"/>
      <w:r w:rsidRPr="08654B89">
        <w:rPr>
          <w:rFonts w:ascii="Arial" w:eastAsia="Arial" w:hAnsi="Arial" w:cs="Arial"/>
          <w:sz w:val="22"/>
          <w:szCs w:val="22"/>
          <w:lang w:eastAsia="en-US"/>
        </w:rPr>
        <w:t>pp.e</w:t>
      </w:r>
      <w:proofErr w:type="gramEnd"/>
      <w:r w:rsidRPr="08654B89">
        <w:rPr>
          <w:rFonts w:ascii="Arial" w:eastAsia="Arial" w:hAnsi="Arial" w:cs="Arial"/>
          <w:sz w:val="22"/>
          <w:szCs w:val="22"/>
          <w:lang w:eastAsia="en-US"/>
        </w:rPr>
        <w:t>2024984-e2024984.</w:t>
      </w:r>
    </w:p>
    <w:p w14:paraId="0C08278A" w14:textId="77777777" w:rsidR="00993A9B" w:rsidRDefault="00993A9B" w:rsidP="08654B89">
      <w:pPr>
        <w:suppressAutoHyphens w:val="0"/>
        <w:spacing w:line="276" w:lineRule="auto"/>
        <w:contextualSpacing/>
        <w:textAlignment w:val="baseline"/>
        <w:rPr>
          <w:rFonts w:ascii="Arial" w:eastAsia="Arial" w:hAnsi="Arial" w:cs="Arial"/>
        </w:rPr>
      </w:pPr>
    </w:p>
    <w:p w14:paraId="2FE18544" w14:textId="77777777" w:rsidR="00993A9B" w:rsidRDefault="08654B89" w:rsidP="08654B89">
      <w:pPr>
        <w:pStyle w:val="ListParagraph"/>
        <w:numPr>
          <w:ilvl w:val="0"/>
          <w:numId w:val="1"/>
        </w:numPr>
        <w:spacing w:line="276" w:lineRule="auto"/>
        <w:rPr>
          <w:rFonts w:ascii="Arial" w:eastAsia="Arial" w:hAnsi="Arial" w:cs="Arial"/>
          <w:sz w:val="22"/>
          <w:szCs w:val="22"/>
        </w:rPr>
      </w:pPr>
      <w:r w:rsidRPr="08654B89">
        <w:rPr>
          <w:rFonts w:ascii="Arial" w:eastAsia="Arial" w:hAnsi="Arial" w:cs="Arial"/>
          <w:sz w:val="22"/>
          <w:szCs w:val="22"/>
        </w:rPr>
        <w:t>WHO (2010</w:t>
      </w:r>
      <w:proofErr w:type="gramStart"/>
      <w:r w:rsidRPr="08654B89">
        <w:rPr>
          <w:rFonts w:ascii="Arial" w:eastAsia="Arial" w:hAnsi="Arial" w:cs="Arial"/>
          <w:sz w:val="22"/>
          <w:szCs w:val="22"/>
        </w:rPr>
        <w:t>).</w:t>
      </w:r>
      <w:proofErr w:type="gramEnd"/>
      <w:r w:rsidRPr="08654B89">
        <w:rPr>
          <w:rFonts w:ascii="Arial" w:eastAsia="Arial" w:hAnsi="Arial" w:cs="Arial"/>
          <w:sz w:val="22"/>
          <w:szCs w:val="22"/>
        </w:rPr>
        <w:t xml:space="preserve"> The ICD-10 classification of mental and behavioural disorders: clinical descriptions and diagnostic guidelines. In: World Health Organisation International, 10th ed. [online] Geneva.: World Health Organisation. Available at: </w:t>
      </w:r>
      <w:hyperlink r:id="rId8">
        <w:r w:rsidRPr="08654B89">
          <w:rPr>
            <w:rStyle w:val="Hyperlink"/>
            <w:rFonts w:ascii="Arial" w:eastAsia="Arial" w:hAnsi="Arial" w:cs="Arial"/>
            <w:sz w:val="22"/>
            <w:szCs w:val="22"/>
          </w:rPr>
          <w:t>https://icd.who.int/browse10/2010/en</w:t>
        </w:r>
      </w:hyperlink>
      <w:r w:rsidRPr="08654B89">
        <w:rPr>
          <w:rFonts w:ascii="Arial" w:eastAsia="Arial" w:hAnsi="Arial" w:cs="Arial"/>
          <w:sz w:val="22"/>
          <w:szCs w:val="22"/>
        </w:rPr>
        <w:t>.</w:t>
      </w:r>
    </w:p>
    <w:p w14:paraId="79C25B04" w14:textId="77777777" w:rsidR="00993A9B" w:rsidRDefault="00993A9B" w:rsidP="08654B89">
      <w:pPr>
        <w:pStyle w:val="ListParagraph"/>
        <w:ind w:left="0"/>
        <w:rPr>
          <w:rFonts w:ascii="Arial" w:eastAsia="Arial" w:hAnsi="Arial" w:cs="Arial"/>
        </w:rPr>
      </w:pPr>
    </w:p>
    <w:p w14:paraId="302A9613" w14:textId="77777777" w:rsidR="00993A9B" w:rsidRDefault="0014671E" w:rsidP="08654B89">
      <w:pPr>
        <w:pStyle w:val="ListParagraph"/>
        <w:numPr>
          <w:ilvl w:val="0"/>
          <w:numId w:val="1"/>
        </w:numPr>
        <w:suppressAutoHyphens w:val="0"/>
        <w:spacing w:before="100" w:after="100" w:line="360" w:lineRule="auto"/>
        <w:rPr>
          <w:rFonts w:ascii="Arial" w:eastAsia="Arial" w:hAnsi="Arial" w:cs="Arial"/>
          <w:color w:val="212121"/>
          <w:sz w:val="22"/>
          <w:szCs w:val="22"/>
        </w:rPr>
      </w:pPr>
      <w:r w:rsidRPr="08654B89">
        <w:rPr>
          <w:rFonts w:ascii="Arial" w:eastAsia="Arial" w:hAnsi="Arial" w:cs="Arial"/>
          <w:color w:val="212121"/>
          <w:shd w:val="clear" w:color="auto" w:fill="FFFFFF"/>
        </w:rPr>
        <w:t>Rowe JW, Kahn RL. Successful aging. Gerontologist. 1997 Aug;37(4):433-40. Doi: 10.1093/</w:t>
      </w:r>
      <w:proofErr w:type="spellStart"/>
      <w:r w:rsidRPr="08654B89">
        <w:rPr>
          <w:rFonts w:ascii="Arial" w:eastAsia="Arial" w:hAnsi="Arial" w:cs="Arial"/>
          <w:color w:val="212121"/>
          <w:shd w:val="clear" w:color="auto" w:fill="FFFFFF"/>
        </w:rPr>
        <w:t>geront</w:t>
      </w:r>
      <w:proofErr w:type="spellEnd"/>
      <w:r w:rsidRPr="08654B89">
        <w:rPr>
          <w:rFonts w:ascii="Arial" w:eastAsia="Arial" w:hAnsi="Arial" w:cs="Arial"/>
          <w:color w:val="212121"/>
          <w:shd w:val="clear" w:color="auto" w:fill="FFFFFF"/>
        </w:rPr>
        <w:t>/37.4.433. PMID: 9279031</w:t>
      </w:r>
    </w:p>
    <w:p w14:paraId="6CCC26D9" w14:textId="77777777" w:rsidR="00993A9B" w:rsidRDefault="00993A9B" w:rsidP="08654B89">
      <w:pPr>
        <w:spacing w:line="276" w:lineRule="auto"/>
        <w:rPr>
          <w:rFonts w:ascii="Arial" w:eastAsia="Arial" w:hAnsi="Arial" w:cs="Arial"/>
        </w:rPr>
      </w:pPr>
    </w:p>
    <w:sectPr w:rsidR="00993A9B">
      <w:headerReference w:type="default" r:id="rId9"/>
      <w:foot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07804" w14:textId="77777777" w:rsidR="00CC2A7D" w:rsidRDefault="00CC2A7D">
      <w:pPr>
        <w:spacing w:after="0"/>
      </w:pPr>
      <w:r>
        <w:separator/>
      </w:r>
    </w:p>
  </w:endnote>
  <w:endnote w:type="continuationSeparator" w:id="0">
    <w:p w14:paraId="5C0EE8AC" w14:textId="77777777" w:rsidR="00CC2A7D" w:rsidRDefault="00CC2A7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978AB31" w14:paraId="5F356DC0" w14:textId="77777777" w:rsidTr="6978AB31">
      <w:tc>
        <w:tcPr>
          <w:tcW w:w="3005" w:type="dxa"/>
        </w:tcPr>
        <w:p w14:paraId="029A55D3" w14:textId="1F82EE85" w:rsidR="6978AB31" w:rsidRDefault="6978AB31" w:rsidP="6978AB31">
          <w:pPr>
            <w:pStyle w:val="Header"/>
            <w:ind w:left="-115"/>
          </w:pPr>
        </w:p>
      </w:tc>
      <w:tc>
        <w:tcPr>
          <w:tcW w:w="3005" w:type="dxa"/>
        </w:tcPr>
        <w:p w14:paraId="19CDC4D8" w14:textId="298395BB" w:rsidR="6978AB31" w:rsidRDefault="6978AB31" w:rsidP="6978AB31">
          <w:pPr>
            <w:pStyle w:val="Header"/>
            <w:jc w:val="center"/>
          </w:pPr>
        </w:p>
      </w:tc>
      <w:tc>
        <w:tcPr>
          <w:tcW w:w="3005" w:type="dxa"/>
        </w:tcPr>
        <w:p w14:paraId="50123D32" w14:textId="4C3699FB" w:rsidR="6978AB31" w:rsidRDefault="6978AB31" w:rsidP="6978AB31">
          <w:pPr>
            <w:pStyle w:val="Header"/>
            <w:ind w:right="-115"/>
            <w:jc w:val="right"/>
          </w:pPr>
        </w:p>
      </w:tc>
    </w:tr>
  </w:tbl>
  <w:p w14:paraId="635C959A" w14:textId="4F91719D" w:rsidR="6978AB31" w:rsidRDefault="6978AB31" w:rsidP="6978AB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58C8C" w14:textId="77777777" w:rsidR="00CC2A7D" w:rsidRDefault="00CC2A7D">
      <w:pPr>
        <w:spacing w:after="0"/>
      </w:pPr>
      <w:r>
        <w:rPr>
          <w:color w:val="000000"/>
        </w:rPr>
        <w:separator/>
      </w:r>
    </w:p>
  </w:footnote>
  <w:footnote w:type="continuationSeparator" w:id="0">
    <w:p w14:paraId="2E451F9F" w14:textId="77777777" w:rsidR="00CC2A7D" w:rsidRDefault="00CC2A7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tblGrid>
    <w:tr w:rsidR="6978AB31" w14:paraId="13229005" w14:textId="77777777" w:rsidTr="6978AB31">
      <w:tc>
        <w:tcPr>
          <w:tcW w:w="3005" w:type="dxa"/>
        </w:tcPr>
        <w:p w14:paraId="070736FD" w14:textId="0B73F2C1" w:rsidR="6978AB31" w:rsidRDefault="6978AB31" w:rsidP="6978AB31">
          <w:pPr>
            <w:pStyle w:val="Header"/>
            <w:ind w:left="-115"/>
          </w:pPr>
          <w:r>
            <w:t>ZUBAIDA AMBREEN</w:t>
          </w:r>
        </w:p>
      </w:tc>
      <w:tc>
        <w:tcPr>
          <w:tcW w:w="3005" w:type="dxa"/>
        </w:tcPr>
        <w:p w14:paraId="45E41C13" w14:textId="6B419583" w:rsidR="6978AB31" w:rsidRDefault="6978AB31" w:rsidP="6978AB31">
          <w:pPr>
            <w:pStyle w:val="Header"/>
            <w:jc w:val="center"/>
          </w:pPr>
          <w:r>
            <w:t>191299</w:t>
          </w:r>
        </w:p>
      </w:tc>
    </w:tr>
  </w:tbl>
  <w:p w14:paraId="0E225066" w14:textId="340DBC51" w:rsidR="6978AB31" w:rsidRDefault="6978AB31" w:rsidP="6978AB31">
    <w:pPr>
      <w:pStyle w:val="Header"/>
    </w:pPr>
  </w:p>
</w:hdr>
</file>

<file path=word/intelligence2.xml><?xml version="1.0" encoding="utf-8"?>
<int2:intelligence xmlns:int2="http://schemas.microsoft.com/office/intelligence/2020/intelligence" xmlns:oel="http://schemas.microsoft.com/office/2019/extlst">
  <int2:observations>
    <int2:textHash int2:hashCode="vYt7Ap1XMvkJdk" int2:id="OuL1mXty">
      <int2:state int2:value="Rejected" int2:type="AugLoop_Text_Critique"/>
    </int2:textHash>
    <int2:textHash int2:hashCode="aJEbnAIbafiZ8P" int2:id="rLUzSLTf">
      <int2:state int2:value="Rejected" int2:type="AugLoop_Text_Critique"/>
    </int2:textHash>
    <int2:textHash int2:hashCode="FhxCN58vOqq4SL" int2:id="DY9LGCGV">
      <int2:state int2:value="Rejected" int2:type="AugLoop_Text_Critique"/>
    </int2:textHash>
    <int2:textHash int2:hashCode="JDJzec+qz/sSmn" int2:id="8qvWGwh1">
      <int2:state int2:value="Rejected" int2:type="AugLoop_Text_Critique"/>
    </int2:textHash>
    <int2:textHash int2:hashCode="XtaMez2c7WAuLl" int2:id="8I1BNTfs">
      <int2:state int2:value="Rejected" int2:type="AugLoop_Text_Critique"/>
    </int2:textHash>
    <int2:textHash int2:hashCode="l0FG8Fxy3Pg/nu" int2:id="IrkJECD6">
      <int2:state int2:value="Rejected" int2:type="AugLoop_Text_Critique"/>
    </int2:textHash>
    <int2:textHash int2:hashCode="oDKeFME1Nby2NZ" int2:id="xtB92n3c">
      <int2:state int2:value="Rejected" int2:type="AugLoop_Text_Critique"/>
    </int2:textHash>
    <int2:textHash int2:hashCode="i3yFfLulxsiHAF" int2:id="3gMuQqU4">
      <int2:state int2:value="Rejected" int2:type="AugLoop_Text_Critique"/>
    </int2:textHash>
    <int2:textHash int2:hashCode="PydjB0c3hXomnO" int2:id="BdliFtwI">
      <int2:state int2:value="Rejected" int2:type="AugLoop_Text_Critique"/>
    </int2:textHash>
    <int2:textHash int2:hashCode="3aKsP3YcWmO9eC" int2:id="RuHHl0IP">
      <int2:state int2:value="Rejected" int2:type="AugLoop_Text_Critique"/>
    </int2:textHash>
    <int2:textHash int2:hashCode="sar3mSXK+m9z5Y" int2:id="5QQSrZXg">
      <int2:state int2:value="Rejected" int2:type="AugLoop_Text_Critique"/>
    </int2:textHash>
    <int2:textHash int2:hashCode="ofR02Yx6J43n6P" int2:id="722ZDDEi">
      <int2:state int2:value="Rejected" int2:type="AugLoop_Text_Critique"/>
    </int2:textHash>
    <int2:textHash int2:hashCode="T24C/899pyT9Zy" int2:id="pL42pKau">
      <int2:state int2:value="Rejected" int2:type="AugLoop_Text_Critique"/>
    </int2:textHash>
    <int2:textHash int2:hashCode="VRd/LyDcPFdCnc" int2:id="8WzERUii">
      <int2:state int2:value="Rejected" int2:type="AugLoop_Text_Critique"/>
    </int2:textHash>
    <int2:textHash int2:hashCode="N7dBRKxbARt7Js" int2:id="shgd9RyL">
      <int2:state int2:value="Rejected" int2:type="AugLoop_Text_Critique"/>
    </int2:textHash>
    <int2:textHash int2:hashCode="0BrDOhVK2r396J" int2:id="LTqkABqu">
      <int2:state int2:value="Rejected" int2:type="AugLoop_Text_Critique"/>
    </int2:textHash>
    <int2:textHash int2:hashCode="43K/JlIt1QZTyM" int2:id="ZOwfCdqS">
      <int2:state int2:value="Rejected" int2:type="AugLoop_Text_Critique"/>
    </int2:textHash>
    <int2:textHash int2:hashCode="eoGoMMnFdMawT5" int2:id="gweWaCtm">
      <int2:state int2:value="Rejected" int2:type="AugLoop_Text_Critique"/>
    </int2:textHash>
    <int2:textHash int2:hashCode="maS+KK4PEzqNKd" int2:id="OCnbMqJ2">
      <int2:state int2:value="Rejected" int2:type="AugLoop_Text_Critique"/>
    </int2:textHash>
    <int2:textHash int2:hashCode="+uK4uj9l4ldcdf" int2:id="hzE4hb7R">
      <int2:state int2:value="Rejected" int2:type="AugLoop_Text_Critique"/>
    </int2:textHash>
    <int2:textHash int2:hashCode="srnyohC+7v4Kmi" int2:id="jMWsAgAe">
      <int2:state int2:value="Rejected" int2:type="AugLoop_Text_Critique"/>
    </int2:textHash>
    <int2:textHash int2:hashCode="YwJZuJqmSowhkY" int2:id="jbLMRyIR">
      <int2:state int2:value="Rejected" int2:type="AugLoop_Text_Critique"/>
    </int2:textHash>
    <int2:textHash int2:hashCode="fLH1bT++CegJJE" int2:id="TcEENHE7">
      <int2:state int2:value="Rejected" int2:type="AugLoop_Text_Critique"/>
    </int2:textHash>
    <int2:textHash int2:hashCode="3bPvKjIwSOetA5" int2:id="GISZeaE0">
      <int2:state int2:value="Rejected" int2:type="AugLoop_Text_Critique"/>
    </int2:textHash>
    <int2:textHash int2:hashCode="nooB8ljuYJMKIn" int2:id="4G9L0CkI">
      <int2:state int2:value="Rejected" int2:type="AugLoop_Text_Critique"/>
    </int2:textHash>
    <int2:textHash int2:hashCode="ZanletI6wlweVG" int2:id="haXlFWNq">
      <int2:state int2:value="Rejected" int2:type="AugLoop_Text_Critique"/>
    </int2:textHash>
    <int2:textHash int2:hashCode="zP4wYw3XQckHar" int2:id="GFE6VjoM">
      <int2:state int2:value="Rejected" int2:type="AugLoop_Text_Critique"/>
    </int2:textHash>
    <int2:textHash int2:hashCode="dkmkRuVDysnpuX" int2:id="w5gynOSH">
      <int2:state int2:value="Rejected" int2:type="AugLoop_Text_Critique"/>
    </int2:textHash>
    <int2:textHash int2:hashCode="4bg4dPoZm2pTqD" int2:id="0nzDUnxP">
      <int2:state int2:value="Rejected" int2:type="AugLoop_Text_Critique"/>
    </int2:textHash>
    <int2:textHash int2:hashCode="0ONz2uVQMdbgX/" int2:id="wY2wAazw">
      <int2:state int2:value="Rejected" int2:type="AugLoop_Text_Critique"/>
    </int2:textHash>
    <int2:textHash int2:hashCode="GnfUFiJMu+d6Q5" int2:id="Bri1zE2K">
      <int2:state int2:value="Rejected" int2:type="AugLoop_Text_Critique"/>
    </int2:textHash>
    <int2:textHash int2:hashCode="a7X/VNNYq0VXgz" int2:id="LS24AbX9">
      <int2:state int2:value="Rejected" int2:type="AugLoop_Text_Critique"/>
    </int2:textHash>
    <int2:textHash int2:hashCode="gRg+Ewpr1g5/o3" int2:id="SxwBlGIb">
      <int2:state int2:value="Rejected" int2:type="AugLoop_Text_Critique"/>
    </int2:textHash>
    <int2:textHash int2:hashCode="EldEySq5L/jYYS" int2:id="LcshGz6b">
      <int2:state int2:value="Rejected" int2:type="LegacyProofing"/>
    </int2:textHash>
    <int2:textHash int2:hashCode="fTWbqLtAAvIH42" int2:id="GsmCalSl">
      <int2:state int2:value="Rejected" int2:type="LegacyProofing"/>
    </int2:textHash>
    <int2:textHash int2:hashCode="D1OAY4O+f68iDD" int2:id="jd5JOFJo">
      <int2:state int2:value="Rejected" int2:type="LegacyProofing"/>
    </int2:textHash>
    <int2:textHash int2:hashCode="Rvfrzgs/iDpHaD" int2:id="H72AnQh3">
      <int2:state int2:value="Rejected" int2:type="LegacyProofing"/>
    </int2:textHash>
    <int2:textHash int2:hashCode="nKSqeplhGAKl3s" int2:id="RB8iBWZb">
      <int2:state int2:value="Rejected" int2:type="LegacyProofing"/>
    </int2:textHash>
    <int2:textHash int2:hashCode="w0n42TTkElu97H" int2:id="InJYHIpS">
      <int2:state int2:value="Rejected" int2:type="LegacyProofing"/>
    </int2:textHash>
    <int2:textHash int2:hashCode="lGEPgT5zIkQxUC" int2:id="NS1UVcAi">
      <int2:state int2:value="Rejected" int2:type="LegacyProofing"/>
    </int2:textHash>
    <int2:textHash int2:hashCode="pp9DVWrMSnf4ER" int2:id="x6RuLhLK">
      <int2:state int2:value="Rejected" int2:type="LegacyProofing"/>
    </int2:textHash>
    <int2:textHash int2:hashCode="bqazlQeWhxLL5f" int2:id="3LGYEwCc">
      <int2:state int2:value="Rejected" int2:type="LegacyProofing"/>
    </int2:textHash>
    <int2:textHash int2:hashCode="rHAiCQ2sHzO4BT" int2:id="jMJdMuEd">
      <int2:state int2:value="Rejected" int2:type="LegacyProofing"/>
    </int2:textHash>
    <int2:textHash int2:hashCode="YU8S9Li16h5TjS" int2:id="Z5N3UKxV">
      <int2:state int2:value="Rejected" int2:type="LegacyProofing"/>
    </int2:textHash>
    <int2:textHash int2:hashCode="mruyZZ6eATvpXR" int2:id="4rRLvOji">
      <int2:state int2:value="Rejected" int2:type="LegacyProofing"/>
    </int2:textHash>
    <int2:textHash int2:hashCode="rIWznWAtD4Zv6r" int2:id="hElnYbuM">
      <int2:state int2:value="Rejected" int2:type="LegacyProofing"/>
    </int2:textHash>
    <int2:bookmark int2:bookmarkName="_Int_1DiYnlyA" int2:invalidationBookmarkName="" int2:hashCode="aiUxpN6gFeoCLd" int2:id="9RxXaXky">
      <int2:extLst>
        <oel:ext uri="426473B9-03D8-482F-96C9-C2C85392BACA">
          <int2:similarityCritique int2:version="1" int2:context="Changes in health services use among commercially insured US populations during the COVID-19 pandemic.">
            <int2:source int2:sourceType="Online" int2:sourceTitle="Changes in Health Services Use Among Commercially Insured ..." int2:sourceUrl="https://www.rand.org/pubs/external_publications/EP68469.html" int2:sourceSnippet="Changes in Health Services Use Among Commercially Insured US Populations During the COVID-19 Pandemic. Published in: JAMA Network Open, Volume 3, Issue 11 (2020). doi: 10.1001/jamanetworkopen.2020.24984">
              <int2:suggestions int2:citationType="Inline">
                <int2:suggestion int2:citationStyle="Mla" int2:isIdentical="1">
                  <int2:citationText>(“Changes in Health Services Use Among Commercially Insured ...”)</int2:citationText>
                </int2:suggestion>
                <int2:suggestion int2:citationStyle="Apa" int2:isIdentical="1">
                  <int2:citationText>(“Changes in Health Services Use Among Commercially Insured ...”)</int2:citationText>
                </int2:suggestion>
                <int2:suggestion int2:citationStyle="Chicago" int2:isIdentical="1">
                  <int2:citationText>(“Changes in Health Services Use Among Commercially Insured ...”)</int2:citationText>
                </int2:suggestion>
              </int2:suggestions>
              <int2:suggestions int2:citationType="Full">
                <int2:suggestion int2:citationStyle="Mla" int2:isIdentical="1">
                  <int2:citationText>&lt;i&gt;Changes in Health Services Use Among Commercially Insured ...&lt;/i&gt;, https://www.rand.org/pubs/external_publications/EP68469.html.</int2:citationText>
                </int2:suggestion>
                <int2:suggestion int2:citationStyle="Apa" int2:isIdentical="1">
                  <int2:citationText>&lt;i&gt;Changes in Health Services Use Among Commercially Insured ...&lt;/i&gt;. (n.d.). Retrieved from https://www.rand.org/pubs/external_publications/EP68469.html</int2:citationText>
                </int2:suggestion>
                <int2:suggestion int2:citationStyle="Chicago" int2:isIdentical="1">
                  <int2:citationText>“Changes in Health Services Use Among Commercially Insured ...” n.d., https://www.rand.org/pubs/external_publications/EP68469.html.</int2:citationText>
                </int2:suggestion>
              </int2:suggestions>
            </int2:source>
            <int2:source int2:sourceType="Online" int2:sourceTitle="JAMA Health Forum – Health Policy, Health Care Reform ..." int2:sourceUrl="https://jamanetwork.com/journals/jama-health-forum/fullarticle/2785399" int2:sourceSnippet="Whaley CM﻿, Pera MF﻿, Cantor J﻿, et al. Changes in health services use among commercially insured US populations during the COVID-19 pandemic. ﻿ JAMA Netw Open . 2020;3(11):e2024984. doi: 10.1001/jamanetworkopen.2020.24984 ﻿ PubMed Google Scholar">
              <int2:suggestions int2:citationType="Inline">
                <int2:suggestion int2:citationStyle="Mla" int2:isIdentical="1">
                  <int2:citationText>(“JAMA Health Forum – Health Policy, Health Care Reform ...”)</int2:citationText>
                </int2:suggestion>
                <int2:suggestion int2:citationStyle="Apa" int2:isIdentical="1">
                  <int2:citationText>(“JAMA Health Forum – Health Policy, Health Care Reform ...”)</int2:citationText>
                </int2:suggestion>
                <int2:suggestion int2:citationStyle="Chicago" int2:isIdentical="1">
                  <int2:citationText>(“JAMA Health Forum – Health Policy, Health Care Reform ...”)</int2:citationText>
                </int2:suggestion>
              </int2:suggestions>
              <int2:suggestions int2:citationType="Full">
                <int2:suggestion int2:citationStyle="Mla" int2:isIdentical="1">
                  <int2:citationText>&lt;i&gt;JAMA Health Forum – Health Policy, Health Care Reform ...&lt;/i&gt;, https://jamanetwork.com/journals/jama-health-forum/fullarticle/2785399.</int2:citationText>
                </int2:suggestion>
                <int2:suggestion int2:citationStyle="Apa" int2:isIdentical="1">
                  <int2:citationText>&lt;i&gt;JAMA Health Forum – Health Policy, Health Care Reform ...&lt;/i&gt;. (n.d.). Retrieved from https://jamanetwork.com/journals/jama-health-forum/fullarticle/2785399</int2:citationText>
                </int2:suggestion>
                <int2:suggestion int2:citationStyle="Chicago" int2:isIdentical="1">
                  <int2:citationText>“JAMA Health Forum – Health Policy, Health Care Reform ...” n.d., https://jamanetwork.com/journals/jama-health-forum/fullarticle/2785399.</int2:citationText>
                </int2:suggestion>
              </int2:suggestions>
            </int2:source>
            <int2:source int2:sourceType="Online" int2:sourceTitle="Changes in Mammography Use by Women’s Characteristics ..." int2:sourceUrl="https://academic.oup.com/jnci/article/113/9/1161/6184869" int2:sourceSnippet="Changes in health services use among commercially insured US populations during the COVID-19 pandemic. JAMA Netw Open. 2020; 3 (11): e2024984. Google Scholar. Crossref. Search ADS. PubMed">
              <int2:suggestions int2:citationType="Inline">
                <int2:suggestion int2:citationStyle="Mla" int2:isIdentical="1">
                  <int2:citationText>(“Changes in Mammography Use by Women’s Characteristics ...”)</int2:citationText>
                </int2:suggestion>
                <int2:suggestion int2:citationStyle="Apa" int2:isIdentical="1">
                  <int2:citationText>(“Changes in Mammography Use by Women’s Characteristics ...”)</int2:citationText>
                </int2:suggestion>
                <int2:suggestion int2:citationStyle="Chicago" int2:isIdentical="1">
                  <int2:citationText>(“Changes in Mammography Use by Women’s Characteristics ...”)</int2:citationText>
                </int2:suggestion>
              </int2:suggestions>
              <int2:suggestions int2:citationType="Full">
                <int2:suggestion int2:citationStyle="Mla" int2:isIdentical="1">
                  <int2:citationText>&lt;i&gt;Changes in Mammography Use by Women’s Characteristics ...&lt;/i&gt;, https://academic.oup.com/jnci/article/113/9/1161/6184869.</int2:citationText>
                </int2:suggestion>
                <int2:suggestion int2:citationStyle="Apa" int2:isIdentical="1">
                  <int2:citationText>&lt;i&gt;Changes in Mammography Use by Women’s Characteristics ...&lt;/i&gt;. (n.d.). Retrieved from https://academic.oup.com/jnci/article/113/9/1161/6184869</int2:citationText>
                </int2:suggestion>
                <int2:suggestion int2:citationStyle="Chicago" int2:isIdentical="1">
                  <int2:citationText>“Changes in Mammography Use by Women’s Characteristics ...” n.d., https://academic.oup.com/jnci/article/113/9/1161/6184869.</int2:citationText>
                </int2:suggestion>
              </int2:suggestions>
            </int2:source>
          </int2:similarityCritique>
        </oel:ext>
      </int2:extLst>
    </int2:bookmark>
    <int2:bookmark int2:bookmarkName="_Int_Lk4P4N33" int2:invalidationBookmarkName="" int2:hashCode="vY0U6oU+rcTvRG" int2:id="yUsjO5fU">
      <int2:extLst>
        <oel:ext uri="426473B9-03D8-482F-96C9-C2C85392BACA">
          <int2:similarityCritique int2:version="1" int2:context="Maslow’s hierarchy of human needs and the adoption of health-related technologies for older adults.">
            <int2:source int2:sourceType="Online" int2:sourceTitle="MASLOW.docx - Maslow's Hierarchy of Human Needs and the ..." int2:sourceUrl="https://www.coursehero.com/file/65372561/MASLOWdocx/" int2:sourceSnippet="View MASLOW.docx from DMK 2033 at Sunway University. Maslow's Hierarchy of Human Needs and the Adoption of Health-Related Technologies for Older Adults. Level 3: Belonging and Love Needs The next">
              <int2:suggestions int2:citationType="Inline">
                <int2:suggestion int2:citationStyle="Mla" int2:isIdentical="1">
                  <int2:citationText>(“MASLOW.docx - Maslow's Hierarchy of Human Needs and the ...”)</int2:citationText>
                </int2:suggestion>
                <int2:suggestion int2:citationStyle="Apa" int2:isIdentical="1">
                  <int2:citationText>(“MASLOW.docx - Maslow's Hierarchy of Human Needs and the ...”)</int2:citationText>
                </int2:suggestion>
                <int2:suggestion int2:citationStyle="Chicago" int2:isIdentical="1">
                  <int2:citationText>(“MASLOW.docx - Maslow's Hierarchy of Human Needs and the ...”)</int2:citationText>
                </int2:suggestion>
              </int2:suggestions>
              <int2:suggestions int2:citationType="Full">
                <int2:suggestion int2:citationStyle="Mla" int2:isIdentical="1">
                  <int2:citationText>&lt;i&gt;MASLOW.docx - Maslow's Hierarchy of Human Needs and the ...&lt;/i&gt;, https://www.coursehero.com/file/65372561/MASLOWdocx/.</int2:citationText>
                </int2:suggestion>
                <int2:suggestion int2:citationStyle="Apa" int2:isIdentical="1">
                  <int2:citationText>&lt;i&gt;MASLOW.docx - Maslow's Hierarchy of Human Needs and the ...&lt;/i&gt;. (n.d.). Retrieved from https://www.coursehero.com/file/65372561/MASLOWdocx/</int2:citationText>
                </int2:suggestion>
                <int2:suggestion int2:citationStyle="Chicago" int2:isIdentical="1">
                  <int2:citationText>“MASLOW.docx - Maslow's Hierarchy of Human Needs and the ...” n.d., https://www.coursehero.com/file/65372561/MASLOWdocx/.</int2:citationText>
                </int2:suggestion>
              </int2:suggestions>
            </int2:source>
            <int2:source int2:sourceType="Online" int2:sourceTitle="Maslow’s Hierarchy of Human Needs and the Adoption of ..." int2:sourceUrl="https://link.springer.com/article/10.1007/s12126-011-9121-4" int2:sourceSnippet="Maslow’s Hierarchy of Human Needs and the Adoption of Health-Related Technologies for Older Adults. Stephen Thielke 1, Mark Harniss 2, Hilaire Thompson 3, Shwetak Patel 4, George Demiris 3 &amp; Kurt Johnson 2 Ageing International volume 37, pages 470–488 (2012)Cite this article">
              <int2:suggestions int2:citationType="Inline">
                <int2:suggestion int2:citationStyle="Mla" int2:isIdentical="1">
                  <int2:citationText>(“Maslow’s Hierarchy of Human Needs and the Adoption of ...”)</int2:citationText>
                </int2:suggestion>
                <int2:suggestion int2:citationStyle="Apa" int2:isIdentical="1">
                  <int2:citationText>(“Maslow’s Hierarchy of Human Needs and the Adoption of ...”)</int2:citationText>
                </int2:suggestion>
                <int2:suggestion int2:citationStyle="Chicago" int2:isIdentical="1">
                  <int2:citationText>(“Maslow’s Hierarchy of Human Needs and the Adoption of ...”)</int2:citationText>
                </int2:suggestion>
              </int2:suggestions>
              <int2:suggestions int2:citationType="Full">
                <int2:suggestion int2:citationStyle="Mla" int2:isIdentical="1">
                  <int2:citationText>&lt;i&gt;Maslow’s Hierarchy of Human Needs and the Adoption of ...&lt;/i&gt;, https://link.springer.com/article/10.1007/s12126-011-9121-4.</int2:citationText>
                </int2:suggestion>
                <int2:suggestion int2:citationStyle="Apa" int2:isIdentical="1">
                  <int2:citationText>&lt;i&gt;Maslow’s Hierarchy of Human Needs and the Adoption of ...&lt;/i&gt;. (n.d.). Retrieved from https://link.springer.com/article/10.1007/s12126-011-9121-4</int2:citationText>
                </int2:suggestion>
                <int2:suggestion int2:citationStyle="Chicago" int2:isIdentical="1">
                  <int2:citationText>“Maslow’s Hierarchy of Human Needs and the Adoption of ...” n.d., https://link.springer.com/article/10.1007/s12126-011-9121-4.</int2:citationText>
                </int2:suggestion>
              </int2:suggestions>
            </int2:source>
            <int2:source int2:sourceType="Online" int2:sourceTitle="Maslow’s Hierarchy of Human Needs and the Adoption of ..." int2:sourceUrl="https://www.wikidata.org/wiki/Q56417105" int2:sourceSnippet="Maslow’s Hierarchy of Human Needs and the Adoption of Health-Related Technologies for Older Adults. article. Statements. instance of. scholarly article. 0 references.">
              <int2:suggestions int2:citationType="Inline">
                <int2:suggestion int2:citationStyle="Mla" int2:isIdentical="1">
                  <int2:citationText>(“Maslow’s Hierarchy of Human Needs and the Adoption of ...”)</int2:citationText>
                </int2:suggestion>
                <int2:suggestion int2:citationStyle="Apa" int2:isIdentical="1">
                  <int2:citationText>(“Maslow’s Hierarchy of Human Needs and the Adoption of ...”)</int2:citationText>
                </int2:suggestion>
                <int2:suggestion int2:citationStyle="Chicago" int2:isIdentical="1">
                  <int2:citationText>(“Maslow’s Hierarchy of Human Needs and the Adoption of ...”)</int2:citationText>
                </int2:suggestion>
              </int2:suggestions>
              <int2:suggestions int2:citationType="Full">
                <int2:suggestion int2:citationStyle="Mla" int2:isIdentical="1">
                  <int2:citationText>&lt;i&gt;Maslow’s Hierarchy of Human Needs and the Adoption of ...&lt;/i&gt;, https://www.wikidata.org/wiki/Q56417105.</int2:citationText>
                </int2:suggestion>
                <int2:suggestion int2:citationStyle="Apa" int2:isIdentical="1">
                  <int2:citationText>&lt;i&gt;Maslow’s Hierarchy of Human Needs and the Adoption of ...&lt;/i&gt;. (n.d.). Retrieved from https://www.wikidata.org/wiki/Q56417105</int2:citationText>
                </int2:suggestion>
                <int2:suggestion int2:citationStyle="Chicago" int2:isIdentical="1">
                  <int2:citationText>“Maslow’s Hierarchy of Human Needs and the Adoption of ...” n.d., https://www.wikidata.org/wiki/Q56417105.</int2:citationText>
                </int2:suggestion>
              </int2:suggestions>
            </int2:source>
          </int2:similarityCritique>
        </oel:ext>
      </int2:extLst>
    </int2:bookmark>
    <int2:bookmark int2:bookmarkName="_Int_qxsZivdM" int2:invalidationBookmarkName="" int2:hashCode="7xc2Q80kJJ1ZOs" int2:id="MWKIgc8i">
      <int2:extLst>
        <oel:ext uri="426473B9-03D8-482F-96C9-C2C85392BACA">
          <int2:similarityCritique int2:version="1" int2:context="The psychology of pandemics: Preparing for the next global outbreak of infectious disease.">
            <int2:source int2:sourceType="Online" int2:sourceTitle="The Psychology of Pandemics: Preparing for the Next Global ..." int2:sourceUrl="https://www.amazon.com/Psychology-Pandemics-Preparing-Outbreak-Infectious-ebook/dp/B086PXRG13" int2:sourceSnippet="The Psychology of Pandemics: Preparing for the Next Global Outbreak of Infectious Disease - Kindle edition by Taylor, Steven. Download it once and read it on your Kindle device, PC, phones or tablets. Use features like bookmarks, note taking and highlighting while reading The Psychology of Pandemics: Preparing for the Next Global Outbreak of Infectious Disease.">
              <int2:suggestions int2:citationType="Inline">
                <int2:suggestion int2:citationStyle="Mla" int2:isIdentical="1">
                  <int2:citationText>(“The Psychology of Pandemics: Preparing for the Next Global ...”)</int2:citationText>
                </int2:suggestion>
                <int2:suggestion int2:citationStyle="Apa" int2:isIdentical="1">
                  <int2:citationText>(“The Psychology of Pandemics: Preparing for the Next Global ...”)</int2:citationText>
                </int2:suggestion>
                <int2:suggestion int2:citationStyle="Chicago" int2:isIdentical="1">
                  <int2:citationText>(“The Psychology of Pandemics: Preparing for the Next Global ...”)</int2:citationText>
                </int2:suggestion>
              </int2:suggestions>
              <int2:suggestions int2:citationType="Full">
                <int2:suggestion int2:citationStyle="Mla" int2:isIdentical="1">
                  <int2:citationText>&lt;i&gt;The Psychology of Pandemics: Preparing for the Next Global ...&lt;/i&gt;, https://www.amazon.com/Psychology-Pandemics-Preparing-Outbreak-Infectious-ebook/dp/B086PXRG13.</int2:citationText>
                </int2:suggestion>
                <int2:suggestion int2:citationStyle="Apa" int2:isIdentical="1">
                  <int2:citationText>&lt;i&gt;The Psychology of Pandemics: Preparing for the Next Global ...&lt;/i&gt;. (n.d.). Retrieved from https://www.amazon.com/Psychology-Pandemics-Preparing-Outbreak-Infectious-ebook/dp/B086PXRG13</int2:citationText>
                </int2:suggestion>
                <int2:suggestion int2:citationStyle="Chicago" int2:isIdentical="1">
                  <int2:citationText>“The Psychology of Pandemics: Preparing for the Next Global ...” n.d., https://www.amazon.com/Psychology-Pandemics-Preparing-Outbreak-Infectious-ebook/dp/B086PXRG13.</int2:citationText>
                </int2:suggestion>
              </int2:suggestions>
            </int2:source>
            <int2:source int2:sourceType="Online" int2:sourceTitle="The Psychology of Pandemics: Preparing for the Next Global ..." int2:sourceUrl="https://www.goodreads.com/book/show/53300414-the-psychology-of-pandemics" int2:sourceSnippet="Start your review of The Psychology of Pandemics: Preparing for the Next Global Outbreak of Infectious Disease. Write a review. Sep 08, 2021 Michael Perkins rated it really liked it · review of another edition. This is a book for people in the healthcare field. It was ready for publication in 2019, but the author could not find a publisher.">
              <int2:suggestions int2:citationType="Inline">
                <int2:suggestion int2:citationStyle="Mla" int2:isIdentical="1">
                  <int2:citationText>(“The Psychology of Pandemics: Preparing for the Next Global ...”)</int2:citationText>
                </int2:suggestion>
                <int2:suggestion int2:citationStyle="Apa" int2:isIdentical="1">
                  <int2:citationText>(“The Psychology of Pandemics: Preparing for the Next Global ...”)</int2:citationText>
                </int2:suggestion>
                <int2:suggestion int2:citationStyle="Chicago" int2:isIdentical="1">
                  <int2:citationText>(“The Psychology of Pandemics: Preparing for the Next Global ...”)</int2:citationText>
                </int2:suggestion>
              </int2:suggestions>
              <int2:suggestions int2:citationType="Full">
                <int2:suggestion int2:citationStyle="Mla" int2:isIdentical="1">
                  <int2:citationText>&lt;i&gt;The Psychology of Pandemics: Preparing for the Next Global ...&lt;/i&gt;, https://www.goodreads.com/book/show/53300414-the-psychology-of-pandemics.</int2:citationText>
                </int2:suggestion>
                <int2:suggestion int2:citationStyle="Apa" int2:isIdentical="1">
                  <int2:citationText>&lt;i&gt;The Psychology of Pandemics: Preparing for the Next Global ...&lt;/i&gt;. (n.d.). Retrieved from https://www.goodreads.com/book/show/53300414-the-psychology-of-pandemics</int2:citationText>
                </int2:suggestion>
                <int2:suggestion int2:citationStyle="Chicago" int2:isIdentical="1">
                  <int2:citationText>“The Psychology of Pandemics: Preparing for the Next Global ...” n.d., https://www.goodreads.com/book/show/53300414-the-psychology-of-pandemics.</int2:citationText>
                </int2:suggestion>
              </int2:suggestions>
            </int2:source>
            <int2:source int2:sourceType="Online" int2:sourceTitle="Taylor, S. (2019) The Psychology of Pandemics Preparing ..." int2:sourceUrl="https://www.scirp.org/reference/referencespapers.aspx?referenceid=2820902" int2:sourceSnippet="Taylor, S. (2019) The Psychology of Pandemics: Preparing For the Next Global Outbreak of Infectious Disease. Cambridge Scholars Publishing, Cambridge. has been cited by the following article: TITLE: Evaluation of Fear and Peritraumatic Distress during COVID-19 Pandemic in Brazil">
              <int2:suggestions int2:citationType="Inline">
                <int2:suggestion int2:citationStyle="Mla" int2:isIdentical="1">
                  <int2:citationText>(“Taylor, S. (2019) The Psychology of Pandemics Preparing ...”)</int2:citationText>
                </int2:suggestion>
                <int2:suggestion int2:citationStyle="Apa" int2:isIdentical="1">
                  <int2:citationText>(“Taylor, S. (2019) The Psychology of Pandemics Preparing ...”)</int2:citationText>
                </int2:suggestion>
                <int2:suggestion int2:citationStyle="Chicago" int2:isIdentical="1">
                  <int2:citationText>(“Taylor, S. (2019) The Psychology of Pandemics Preparing ...”)</int2:citationText>
                </int2:suggestion>
              </int2:suggestions>
              <int2:suggestions int2:citationType="Full">
                <int2:suggestion int2:citationStyle="Mla" int2:isIdentical="1">
                  <int2:citationText>&lt;i&gt;Taylor, S. (2019) The Psychology of Pandemics Preparing ...&lt;/i&gt;, https://www.scirp.org/reference/referencespapers.aspx?referenceid=2820902.</int2:citationText>
                </int2:suggestion>
                <int2:suggestion int2:citationStyle="Apa" int2:isIdentical="1">
                  <int2:citationText>&lt;i&gt;Taylor, S. (2019) The Psychology of Pandemics Preparing ...&lt;/i&gt;. (n.d.). Retrieved from https://www.scirp.org/reference/referencespapers.aspx?referenceid=2820902</int2:citationText>
                </int2:suggestion>
                <int2:suggestion int2:citationStyle="Chicago" int2:isIdentical="1">
                  <int2:citationText>“Taylor, S. (2019) The Psychology of Pandemics Preparing ...” n.d., https://www.scirp.org/reference/referencespapers.aspx?referenceid=2820902.</int2:citationText>
                </int2:suggestion>
              </int2:suggestions>
            </int2:source>
          </int2:similarityCritique>
        </oel:ext>
      </int2:extLst>
    </int2:bookmark>
    <int2:bookmark int2:bookmarkName="_Int_n1HtJ0ri" int2:invalidationBookmarkName="" int2:hashCode="gVLrUPxKdfqYpJ" int2:id="lpLghSz0">
      <int2:extLst>
        <oel:ext uri="426473B9-03D8-482F-96C9-C2C85392BACA">
          <int2:similarityCritique int2:version="1" int2:context="Taylor, S. et al. (2020) ‘Development and initial validation of the COVID Stress Scales’, Journal of Anxiety Disorders, 72, p. 102232.">
            <int2:source int2:sourceType="Online" int2:sourceTitle="Sosyoekonomi » Submission » The Mediating Role of ..." int2:sourceUrl="https://dergipark.org.tr/en/pub/sosyoekonomi/issue/68269/946120" int2:sourceSnippet="Taylor, S. et al. (2020), “Development and initial validation of the COVID stress scales”, Journal of Anxiety Disorders, 72, 102232. Terlep, S. (2020), “Why clorox wipes are still so hard to find; shortage isn’t improving; ‘within 30-45 minutes they’re gone”, Wall Street Journal, May 7. Torlak, Ö.">
              <int2:suggestions int2:citationType="Inline">
                <int2:suggestion int2:citationStyle="Mla" int2:isIdentical="0">
                  <int2:citationText>(“Sosyoekonomi » Submission » The Mediating Role of ...”)</int2:citationText>
                </int2:suggestion>
                <int2:suggestion int2:citationStyle="Apa" int2:isIdentical="0">
                  <int2:citationText>(“Sosyoekonomi » Submission » The Mediating Role of ...”)</int2:citationText>
                </int2:suggestion>
                <int2:suggestion int2:citationStyle="Chicago" int2:isIdentical="0">
                  <int2:citationText>(“Sosyoekonomi » Submission » The Mediating Role of ...”)</int2:citationText>
                </int2:suggestion>
              </int2:suggestions>
              <int2:suggestions int2:citationType="Full">
                <int2:suggestion int2:citationStyle="Mla" int2:isIdentical="0">
                  <int2:citationText>&lt;i&gt;Sosyoekonomi » Submission » The Mediating Role of ...&lt;/i&gt;, https://dergipark.org.tr/en/pub/sosyoekonomi/issue/68269/946120.</int2:citationText>
                </int2:suggestion>
                <int2:suggestion int2:citationStyle="Apa" int2:isIdentical="0">
                  <int2:citationText>&lt;i&gt;Sosyoekonomi » Submission » The Mediating Role of ...&lt;/i&gt;. (n.d.). Retrieved from https://dergipark.org.tr/en/pub/sosyoekonomi/issue/68269/946120</int2:citationText>
                </int2:suggestion>
                <int2:suggestion int2:citationStyle="Chicago" int2:isIdentical="0">
                  <int2:citationText>“Sosyoekonomi » Submission » The Mediating Role of ...” n.d., https://dergipark.org.tr/en/pub/sosyoekonomi/issue/68269/946120.</int2:citationText>
                </int2:suggestion>
              </int2:suggestions>
            </int2:source>
          </int2:similarityCritique>
        </oel:ext>
      </int2:extLst>
    </int2:bookmark>
    <int2:bookmark int2:bookmarkName="_Int_T4mJlVw2" int2:invalidationBookmarkName="" int2:hashCode="/hlbcEBPjpxF2E" int2:id="wq4CT5F8">
      <int2:extLst>
        <oel:ext uri="426473B9-03D8-482F-96C9-C2C85392BACA">
          <int2:similarityCritique int2:version="1" int2:context="Life in lockdown: social isolation, loneliness and quality of life in the elderly during the COVID-19 pandemic: a scoping review.">
            <int2:source int2:sourceType="Online" int2:sourceTitle="Effectiveness of public health measures in reducing the ..." int2:sourceUrl="https://www.bmj.com/content/375/bmj-2021-068302/rapid-responses" int2:sourceSnippet="Sayin Kasar K, Karaman E. Life in lockdown: Social isolation, loneliness and quality of life in the elderly during the COVID-19 pandemic: A scoping review. Geriatr Nurs. 2021;42:1222-1229. doi: 10.1016/j.gerinurse.2021.03.010. 07. Rozelle S, Rahimi H, Wang H, Dill E. Lockdowns are protecting China’s rural families from COVID-19, but the ...">
              <int2:suggestions int2:citationType="Inline">
                <int2:suggestion int2:citationStyle="Mla" int2:isIdentical="1">
                  <int2:citationText>(“Effectiveness of public health measures in reducing the ...”)</int2:citationText>
                </int2:suggestion>
                <int2:suggestion int2:citationStyle="Apa" int2:isIdentical="1">
                  <int2:citationText>(“Effectiveness of public health measures in reducing the ...”)</int2:citationText>
                </int2:suggestion>
                <int2:suggestion int2:citationStyle="Chicago" int2:isIdentical="1">
                  <int2:citationText>(“Effectiveness of public health measures in reducing the ...”)</int2:citationText>
                </int2:suggestion>
              </int2:suggestions>
              <int2:suggestions int2:citationType="Full">
                <int2:suggestion int2:citationStyle="Mla" int2:isIdentical="1">
                  <int2:citationText>&lt;i&gt;Effectiveness of public health measures in reducing the ...&lt;/i&gt;, https://www.bmj.com/content/375/bmj-2021-068302/rapid-responses.</int2:citationText>
                </int2:suggestion>
                <int2:suggestion int2:citationStyle="Apa" int2:isIdentical="1">
                  <int2:citationText>&lt;i&gt;Effectiveness of public health measures in reducing the ...&lt;/i&gt;. (n.d.). Retrieved from https://www.bmj.com/content/375/bmj-2021-068302/rapid-responses</int2:citationText>
                </int2:suggestion>
                <int2:suggestion int2:citationStyle="Chicago" int2:isIdentical="1">
                  <int2:citationText>“Effectiveness of public health measures in reducing the ...” n.d., https://www.bmj.com/content/375/bmj-2021-068302/rapid-responses.</int2:citationText>
                </int2:suggestion>
              </int2:suggestions>
            </int2:source>
            <int2:source int2:sourceType="Online" int2:sourceTitle="Re: Effectiveness of public health measures in reducing ..." int2:sourceUrl="https://www.bmj.com/content/375/bmj-2021-068302/rr-16" int2:sourceSnippet="Sayin Kasar K, Karaman E. Life in lockdown: Social isolation, loneliness and quality of life in the elderly during the COVID-19 pandemic: A scoping review. Geriatr Nurs. 2021;42:1222-1229. doi: 10.1016/j.gerinurse.2021.03.010. 07. Rozelle S, Rahimi H, Wang H, Dill E. Lockdowns are protecting China’s rural families from COVID-19, but the ...">
              <int2:suggestions int2:citationType="Inline">
                <int2:suggestion int2:citationStyle="Mla" int2:isIdentical="1">
                  <int2:citationText>(“Re: Effectiveness of public health measures in reducing ...”)</int2:citationText>
                </int2:suggestion>
                <int2:suggestion int2:citationStyle="Apa" int2:isIdentical="1">
                  <int2:citationText>(“Re: Effectiveness of public health measures in reducing ...”)</int2:citationText>
                </int2:suggestion>
                <int2:suggestion int2:citationStyle="Chicago" int2:isIdentical="1">
                  <int2:citationText>(“Re: Effectiveness of public health measures in reducing ...”)</int2:citationText>
                </int2:suggestion>
              </int2:suggestions>
              <int2:suggestions int2:citationType="Full">
                <int2:suggestion int2:citationStyle="Mla" int2:isIdentical="1">
                  <int2:citationText>&lt;i&gt;Re: Effectiveness of public health measures in reducing ...&lt;/i&gt;, https://www.bmj.com/content/375/bmj-2021-068302/rr-16.</int2:citationText>
                </int2:suggestion>
                <int2:suggestion int2:citationStyle="Apa" int2:isIdentical="1">
                  <int2:citationText>&lt;i&gt;Re: Effectiveness of public health measures in reducing ...&lt;/i&gt;. (n.d.). Retrieved from https://www.bmj.com/content/375/bmj-2021-068302/rr-16</int2:citationText>
                </int2:suggestion>
                <int2:suggestion int2:citationStyle="Chicago" int2:isIdentical="1">
                  <int2:citationText>“Re: Effectiveness of public health measures in reducing ...” n.d., https://www.bmj.com/content/375/bmj-2021-068302/rr-16.</int2:citationText>
                </int2:suggestion>
              </int2:suggestions>
            </int2:source>
            <int2:source int2:sourceType="Online" int2:sourceTitle="Life in lockdown: Social isolation, loneliness and quality ..." int2:sourceUrl="https://www.ncbi.nlm.nih.gov/pmc/articles/PMC8566023/" int2:sourceSnippet="Life in lockdown: Social isolation, loneliness and quality of life in the elderly during the COVID-19 pandemic: A scoping review Kadriye Sayin Kasar , PhD, RN a, ⁎ and Emine Karaman , PhD, RN b Kadriye Sayin Kasar">
              <int2:suggestions int2:citationType="Inline">
                <int2:suggestion int2:citationStyle="Mla" int2:isIdentical="0">
                  <int2:citationText>(“Life in lockdown: Social isolation, loneliness and quality ...”)</int2:citationText>
                </int2:suggestion>
                <int2:suggestion int2:citationStyle="Apa" int2:isIdentical="0">
                  <int2:citationText>(“Life in lockdown: Social isolation, loneliness and quality ...”)</int2:citationText>
                </int2:suggestion>
                <int2:suggestion int2:citationStyle="Chicago" int2:isIdentical="0">
                  <int2:citationText>(“Life in lockdown: Social isolation, loneliness and quality ...”)</int2:citationText>
                </int2:suggestion>
              </int2:suggestions>
              <int2:suggestions int2:citationType="Full">
                <int2:suggestion int2:citationStyle="Mla" int2:isIdentical="0">
                  <int2:citationText>&lt;i&gt;Life in lockdown: Social isolation, loneliness and quality ...&lt;/i&gt;, https://www.ncbi.nlm.nih.gov/pmc/articles/PMC8566023/.</int2:citationText>
                </int2:suggestion>
                <int2:suggestion int2:citationStyle="Apa" int2:isIdentical="0">
                  <int2:citationText>&lt;i&gt;Life in lockdown: Social isolation, loneliness and quality ...&lt;/i&gt;. (n.d.). Retrieved from https://www.ncbi.nlm.nih.gov/pmc/articles/PMC8566023/</int2:citationText>
                </int2:suggestion>
                <int2:suggestion int2:citationStyle="Chicago" int2:isIdentical="0">
                  <int2:citationText>“Life in lockdown: Social isolation, loneliness and quality ...” n.d., https://www.ncbi.nlm.nih.gov/pmc/articles/PMC8566023/.</int2:citationText>
                </int2:suggestion>
              </int2:suggestions>
            </int2:source>
          </int2:similarityCritique>
        </oel:ext>
      </int2:extLst>
    </int2:bookmark>
    <int2:bookmark int2:bookmarkName="_Int_a9C5amKQ" int2:invalidationBookmarkName="" int2:hashCode="minSRD1Fy7zQ7Q" int2:id="VO20XBzV">
      <int2:extLst>
        <oel:ext uri="426473B9-03D8-482F-96C9-C2C85392BACA">
          <int2:similarityCritique int2:version="1" int2:context="The language of ageism: Why we need to use words carefully.">
            <int2:source int2:sourceType="Online" int2:sourceTitle="The Language of Ageism: Why We Need to Use ... - OUP Academic" int2:sourceUrl="https://academic.oup.com/gerontologist/article/56/6/997/2952876" int2:sourceSnippet="The Language of Ageism: Why We Need to Use Words Carefully. 1 Department of Gerontology, Virginia Commonwealth University, Richmond. * Address correspondence to Tracey L. Gendron, PhD, Department of Gerontology, Virginia Commonwealth University, P.O Box 980228, Richmond, VA 23284. E-mail: tlgendro@vcu.edu.">
              <int2:suggestions int2:citationType="Inline">
                <int2:suggestion int2:citationStyle="Mla" int2:isIdentical="1">
                  <int2:citationText>(“The Language of Ageism: Why We Need to Use ... - OUP Academic”)</int2:citationText>
                </int2:suggestion>
                <int2:suggestion int2:citationStyle="Apa" int2:isIdentical="1">
                  <int2:citationText>(“The Language of Ageism: Why We Need to Use ... - OUP Academic”)</int2:citationText>
                </int2:suggestion>
                <int2:suggestion int2:citationStyle="Chicago" int2:isIdentical="1">
                  <int2:citationText>(“The Language of Ageism: Why We Need to Use ... - OUP Academic”)</int2:citationText>
                </int2:suggestion>
              </int2:suggestions>
              <int2:suggestions int2:citationType="Full">
                <int2:suggestion int2:citationStyle="Mla" int2:isIdentical="1">
                  <int2:citationText>&lt;i&gt;The Language of Ageism: Why We Need to Use ... - OUP Academic&lt;/i&gt;, https://academic.oup.com/gerontologist/article/56/6/997/2952876.</int2:citationText>
                </int2:suggestion>
                <int2:suggestion int2:citationStyle="Apa" int2:isIdentical="1">
                  <int2:citationText>&lt;i&gt;The Language of Ageism: Why We Need to Use ... - OUP Academic&lt;/i&gt;. (n.d.). Retrieved from https://academic.oup.com/gerontologist/article/56/6/997/2952876</int2:citationText>
                </int2:suggestion>
                <int2:suggestion int2:citationStyle="Chicago" int2:isIdentical="1">
                  <int2:citationText>“The Language of Ageism: Why We Need to Use ... - OUP Academic” n.d., https://academic.oup.com/gerontologist/article/56/6/997/2952876.</int2:citationText>
                </int2:suggestion>
              </int2:suggestions>
            </int2:source>
            <int2:source int2:sourceType="Online" int2:sourceTitle="The Language of Ageism: Why We Need to Use Words Carefully ..." int2:sourceUrl="https://europepmc.org/article/MED/26185154" int2:sourceSnippet="The Language of Ageism: Why We Need to Use Words Carefully. Gendron TL 1, Welleford EA 1, Inker J 1, White JT 1. Author information. Affiliations. 4 authors. 1. Department of Gerontology, Virginia Commonwealth University, Richmond. ...">
              <int2:suggestions int2:citationType="Inline">
                <int2:suggestion int2:citationStyle="Mla" int2:isIdentical="1">
                  <int2:citationText>(“The Language of Ageism: Why We Need to Use Words Carefully ...”)</int2:citationText>
                </int2:suggestion>
                <int2:suggestion int2:citationStyle="Apa" int2:isIdentical="1">
                  <int2:citationText>(“The Language of Ageism: Why We Need to Use Words Carefully ...”)</int2:citationText>
                </int2:suggestion>
                <int2:suggestion int2:citationStyle="Chicago" int2:isIdentical="1">
                  <int2:citationText>(“The Language of Ageism: Why We Need to Use Words Carefully ...”)</int2:citationText>
                </int2:suggestion>
              </int2:suggestions>
              <int2:suggestions int2:citationType="Full">
                <int2:suggestion int2:citationStyle="Mla" int2:isIdentical="1">
                  <int2:citationText>&lt;i&gt;The Language of Ageism: Why We Need to Use Words Carefully ...&lt;/i&gt;, https://europepmc.org/article/MED/26185154.</int2:citationText>
                </int2:suggestion>
                <int2:suggestion int2:citationStyle="Apa" int2:isIdentical="1">
                  <int2:citationText>&lt;i&gt;The Language of Ageism: Why We Need to Use Words Carefully ...&lt;/i&gt;. (n.d.). Retrieved from https://europepmc.org/article/MED/26185154</int2:citationText>
                </int2:suggestion>
                <int2:suggestion int2:citationStyle="Chicago" int2:isIdentical="1">
                  <int2:citationText>“The Language of Ageism: Why We Need to Use Words Carefully ...” n.d., https://europepmc.org/article/MED/26185154.</int2:citationText>
                </int2:suggestion>
              </int2:suggestions>
            </int2:source>
            <int2:source int2:sourceType="Online" int2:sourceTitle="Ma’am: Polite or Putdown? - Psychology Today" int2:sourceUrl="https://www.psychologytoday.com/us/blog/taking-ageism-seriously/202002/ma-am-polite-or-putdown" int2:sourceSnippet="The language of ageism: Why we need to use words carefully. The Gerontologist, 56(6), 997–1006. doi: 10.1093/geront/gnv066. Hollis-Sawyer, L. &amp; Cuevas, L. (2013). Mirror, mirror on the wall ...">
              <int2:suggestions int2:citationType="Inline">
                <int2:suggestion int2:citationStyle="Mla" int2:isIdentical="1">
                  <int2:citationText>(“Ma’am: Polite or Putdown? - Psychology Today”)</int2:citationText>
                </int2:suggestion>
                <int2:suggestion int2:citationStyle="Apa" int2:isIdentical="1">
                  <int2:citationText>(“Ma’am: Polite or Putdown? - Psychology Today”)</int2:citationText>
                </int2:suggestion>
                <int2:suggestion int2:citationStyle="Chicago" int2:isIdentical="1">
                  <int2:citationText>(“Ma’am: Polite or Putdown? - Psychology Today”)</int2:citationText>
                </int2:suggestion>
              </int2:suggestions>
              <int2:suggestions int2:citationType="Full">
                <int2:suggestion int2:citationStyle="Mla" int2:isIdentical="1">
                  <int2:citationText>&lt;i&gt;Ma’am: Polite or Putdown? - Psychology Today&lt;/i&gt;, https://www.psychologytoday.com/us/blog/taking-ageism-seriously/202002/ma-am-polite-or-putdown.</int2:citationText>
                </int2:suggestion>
                <int2:suggestion int2:citationStyle="Apa" int2:isIdentical="1">
                  <int2:citationText>&lt;i&gt;Ma’am: Polite or Putdown? - Psychology Today&lt;/i&gt;. (n.d.). Retrieved from https://www.psychologytoday.com/us/blog/taking-ageism-seriously/202002/ma-am-polite-or-putdown</int2:citationText>
                </int2:suggestion>
                <int2:suggestion int2:citationStyle="Chicago" int2:isIdentical="1">
                  <int2:citationText>“Ma’am: Polite or Putdown? - Psychology Today” n.d., https://www.psychologytoday.com/us/blog/taking-ageism-seriously/202002/ma-am-polite-or-putdown.</int2:citationText>
                </int2:suggestion>
              </int2:suggestions>
            </int2:source>
          </int2:similarityCritique>
        </oel:ext>
      </int2:extLst>
    </int2:bookmark>
    <int2:bookmark int2:bookmarkName="_Int_jhMagHyC" int2:invalidationBookmarkName="" int2:hashCode="R5fmByLj7mfte5" int2:id="o6B2IKPn">
      <int2:extLst>
        <oel:ext uri="426473B9-03D8-482F-96C9-C2C85392BACA">
          <int2:similarityCritique int2:version="1" int2:context="Though Much is Taken&quot;--Reflections on Aging, Health, and Medical Care.">
            <int2:source int2:sourceType="Online" int2:sourceTitle="“Though Much Is Taken”: Reflections on Aging, Health, and ..." int2:sourceUrl="https://www.milbank.org/wp-content/uploads/mq/volume-62/issue-02/62-2-Though-Much-Is-Taken.pdf" int2:sourceSnippet="“Though Much Is Taken”: Reflections on Aging, Health, and Medical Care VICTOR R. FUCHS Stanford University and the National Bureau of Economic Research Though much is taken, much abides (Alfred, Lord Tennyson). L ess than one score years ago this nation brought forth a new system of financing health care for the elderly—Medicare.">
              <int2:suggestions int2:citationType="Inline">
                <int2:suggestion int2:citationStyle="Mla" int2:isIdentical="0">
                  <int2:citationText>(““Though Much Is Taken”: Reflections on Aging, Health, and ...”)</int2:citationText>
                </int2:suggestion>
                <int2:suggestion int2:citationStyle="Apa" int2:isIdentical="0">
                  <int2:citationText>(““Though Much Is Taken”: Reflections on Aging, Health, and ...”)</int2:citationText>
                </int2:suggestion>
                <int2:suggestion int2:citationStyle="Chicago" int2:isIdentical="0">
                  <int2:citationText>(““Though Much Is Taken”: Reflections on Aging, Health, and ...”)</int2:citationText>
                </int2:suggestion>
              </int2:suggestions>
              <int2:suggestions int2:citationType="Full">
                <int2:suggestion int2:citationStyle="Mla" int2:isIdentical="0">
                  <int2:citationText>&lt;i&gt;“Though Much Is Taken”: Reflections on Aging, Health, and ...&lt;/i&gt;, https://www.milbank.org/wp-content/uploads/mq/volume-62/issue-02/62-2-Though-Much-Is-Taken.pdf.</int2:citationText>
                </int2:suggestion>
                <int2:suggestion int2:citationStyle="Apa" int2:isIdentical="0">
                  <int2:citationText>&lt;i&gt;“Though Much Is Taken”: Reflections on Aging, Health, and ...&lt;/i&gt;. (n.d.). Retrieved from https://www.milbank.org/wp-content/uploads/mq/volume-62/issue-02/62-2-Though-Much-Is-Taken.pdf</int2:citationText>
                </int2:suggestion>
                <int2:suggestion int2:citationStyle="Chicago" int2:isIdentical="0">
                  <int2:citationText>““Though Much Is Taken”: Reflections on Aging, Health, and ...” n.d., https://www.milbank.org/wp-content/uploads/mq/volume-62/issue-02/62-2-Though-Much-Is-Taken.pdf.</int2:citationText>
                </int2:suggestion>
              </int2:suggestions>
            </int2:source>
            <int2:source int2:sourceType="Online" int2:sourceTitle="&quot;Though Much is Taken&quot; -- Reflections on Aging, Health ..." int2:sourceUrl="https://www.nber.org/papers/w1269" int2:sourceSnippet="&quot;Though Much is Taken&quot; -- Reflections… &quot;Though Much is Taken&quot; -- Reflections on Aging, Health, and Medical Care. Victor R. Fuchs. Share. Twitter LinkedIn Email. Working Paper 1269 DOI 10.3386/w1269 Issue Date January 1984.">
              <int2:suggestions int2:citationType="Inline">
                <int2:suggestion int2:citationStyle="Mla" int2:isIdentical="0">
                  <int2:citationText>(“"Though Much is Taken" -- Reflections on Aging, Health ...”)</int2:citationText>
                </int2:suggestion>
                <int2:suggestion int2:citationStyle="Apa" int2:isIdentical="0">
                  <int2:citationText>(“"Though Much is Taken" -- Reflections on Aging, Health ...”)</int2:citationText>
                </int2:suggestion>
                <int2:suggestion int2:citationStyle="Chicago" int2:isIdentical="0">
                  <int2:citationText>(“"Though Much is Taken" -- Reflections on Aging, Health ...”)</int2:citationText>
                </int2:suggestion>
              </int2:suggestions>
              <int2:suggestions int2:citationType="Full">
                <int2:suggestion int2:citationStyle="Mla" int2:isIdentical="0">
                  <int2:citationText>&lt;i&gt;"Though Much is Taken" -- Reflections on Aging, Health ...&lt;/i&gt;, https://www.nber.org/papers/w1269.</int2:citationText>
                </int2:suggestion>
                <int2:suggestion int2:citationStyle="Apa" int2:isIdentical="0">
                  <int2:citationText>&lt;i&gt;"Though Much is Taken" -- Reflections on Aging, Health ...&lt;/i&gt;. (n.d.). Retrieved from https://www.nber.org/papers/w1269</int2:citationText>
                </int2:suggestion>
                <int2:suggestion int2:citationStyle="Chicago" int2:isIdentical="0">
                  <int2:citationText>“"Though Much is Taken" -- Reflections on Aging, Health ...” n.d., https://www.nber.org/papers/w1269.</int2:citationText>
                </int2:suggestion>
              </int2:suggestions>
            </int2:source>
            <int2:source int2:sourceType="Online" int2:sourceTitle="NBER WORKING PAPER SERIES THOUGH MUCH IS TAKEN ..." int2:sourceUrl="https://www.nber.org/system/files/working_papers/w1269/w1269.pdf" int2:sourceSnippet="&quot;THOUGH MUCH IS TAKEN&quot;--REFLECTIONS ON AGING, HEALTH, AND MEDICAL CARE Victor R. Fuchs Stanford University and National Bureau of Economic Research &quot;Though much is taken, much abides.&quot;--Alfred Lord Tennyson Less than one score years ago this nation brought forth a new system of financing health care for the elderly--Medicare. This system,">
              <int2:suggestions int2:citationType="Inline">
                <int2:suggestion int2:citationStyle="Mla" int2:isIdentical="0">
                  <int2:citationText>(“NBER WORKING PAPER SERIES THOUGH MUCH IS TAKEN ...”)</int2:citationText>
                </int2:suggestion>
                <int2:suggestion int2:citationStyle="Apa" int2:isIdentical="0">
                  <int2:citationText>(“NBER WORKING PAPER SERIES THOUGH MUCH IS TAKEN ...”)</int2:citationText>
                </int2:suggestion>
                <int2:suggestion int2:citationStyle="Chicago" int2:isIdentical="0">
                  <int2:citationText>(“NBER WORKING PAPER SERIES THOUGH MUCH IS TAKEN ...”)</int2:citationText>
                </int2:suggestion>
              </int2:suggestions>
              <int2:suggestions int2:citationType="Full">
                <int2:suggestion int2:citationStyle="Mla" int2:isIdentical="0">
                  <int2:citationText>&lt;i&gt;NBER WORKING PAPER SERIES THOUGH MUCH IS TAKEN ...&lt;/i&gt;, https://www.nber.org/system/files/working_papers/w1269/w1269.pdf.</int2:citationText>
                </int2:suggestion>
                <int2:suggestion int2:citationStyle="Apa" int2:isIdentical="0">
                  <int2:citationText>&lt;i&gt;NBER WORKING PAPER SERIES THOUGH MUCH IS TAKEN ...&lt;/i&gt;. (n.d.). Retrieved from https://www.nber.org/system/files/working_papers/w1269/w1269.pdf</int2:citationText>
                </int2:suggestion>
                <int2:suggestion int2:citationStyle="Chicago" int2:isIdentical="0">
                  <int2:citationText>“NBER WORKING PAPER SERIES THOUGH MUCH IS TAKEN ...” n.d., https://www.nber.org/system/files/working_papers/w1269/w1269.pdf.</int2:citationText>
                </int2:suggestion>
              </int2:suggestions>
            </int2:source>
          </int2:similarityCritique>
        </oel:ext>
      </int2:extLst>
    </int2:bookmark>
    <int2:bookmark int2:bookmarkName="_Int_KH3UgKwI" int2:invalidationBookmarkName="" int2:hashCode="a6w/AAhfRnQ7ex" int2:id="k4cZEsJe">
      <int2:extLst>
        <oel:ext uri="426473B9-03D8-482F-96C9-C2C85392BACA">
          <int2:similarityCritique int2:version="1" int2:context="Assessment of fear of COVID-19 in older adults: Validation of the fear of COVID-19 scale.">
            <int2:source int2:sourceType="Online" int2:sourceTitle="Assessment of Fear of COVID-19 in Older Adults: Validation ..." int2:sourceUrl="https://pubmed.ncbi.nlm.nih.gov/33432265/" int2:sourceSnippet="Assessment of Fear of COVID-19 in Older Adults: Validation of the Fear of COVID-19 Scale. Int J Ment Health Addict. 2021 Jan 6;1-15. doi: 10.1007/s11469-020-00438-2. Online ahead of print.">
              <int2:suggestions int2:citationType="Inline">
                <int2:suggestion int2:citationStyle="Mla" int2:isIdentical="1">
                  <int2:citationText>(“Assessment of Fear of COVID-19 in Older Adults: Validation ...”)</int2:citationText>
                </int2:suggestion>
                <int2:suggestion int2:citationStyle="Apa" int2:isIdentical="1">
                  <int2:citationText>(“Assessment of Fear of COVID-19 in Older Adults: Validation ...”)</int2:citationText>
                </int2:suggestion>
                <int2:suggestion int2:citationStyle="Chicago" int2:isIdentical="1">
                  <int2:citationText>(“Assessment of Fear of COVID-19 in Older Adults: Validation ...”)</int2:citationText>
                </int2:suggestion>
              </int2:suggestions>
              <int2:suggestions int2:citationType="Full">
                <int2:suggestion int2:citationStyle="Mla" int2:isIdentical="1">
                  <int2:citationText>&lt;i&gt;Assessment of Fear of COVID-19 in Older Adults: Validation ...&lt;/i&gt;, https://pubmed.ncbi.nlm.nih.gov/33432265/.</int2:citationText>
                </int2:suggestion>
                <int2:suggestion int2:citationStyle="Apa" int2:isIdentical="1">
                  <int2:citationText>&lt;i&gt;Assessment of Fear of COVID-19 in Older Adults: Validation ...&lt;/i&gt;. (n.d.). Retrieved from https://pubmed.ncbi.nlm.nih.gov/33432265/</int2:citationText>
                </int2:suggestion>
                <int2:suggestion int2:citationStyle="Chicago" int2:isIdentical="1">
                  <int2:citationText>“Assessment of Fear of COVID-19 in Older Adults: Validation ...” n.d., https://pubmed.ncbi.nlm.nih.gov/33432265/.</int2:citationText>
                </int2:suggestion>
              </int2:suggestions>
            </int2:source>
            <int2:source int2:sourceType="Online" int2:sourceTitle="(PDF) Assessment of Fear of COVID-19 in Older Adults ..." int2:sourceUrl="https://www.academia.edu/54330021/Assessment_of_Fear_of_COVID_19_in_Older_Adults_Validation_of_the_Fear_of_COVID_19_Scale" int2:sourceSnippet="Assessment of Fear of COVID-19 in Older Adults: Validation of the Fear of COVID-19 Scale. International Journal of Mental Health and Addiction. Miguel Gallegos. Download PDF. Download Full PDF Package. This paper. A short summary of this paper. 37 Full PDFs related to this paper.">
              <int2:suggestions int2:citationType="Inline">
                <int2:suggestion int2:citationStyle="Mla" int2:isIdentical="1">
                  <int2:citationText>(“(PDF) Assessment of Fear of COVID-19 in Older Adults ...”)</int2:citationText>
                </int2:suggestion>
                <int2:suggestion int2:citationStyle="Apa" int2:isIdentical="1">
                  <int2:citationText>(“(PDF) Assessment of Fear of COVID-19 in Older Adults ...”)</int2:citationText>
                </int2:suggestion>
                <int2:suggestion int2:citationStyle="Chicago" int2:isIdentical="1">
                  <int2:citationText>(“(PDF) Assessment of Fear of COVID-19 in Older Adults ...”)</int2:citationText>
                </int2:suggestion>
              </int2:suggestions>
              <int2:suggestions int2:citationType="Full">
                <int2:suggestion int2:citationStyle="Mla" int2:isIdentical="1">
                  <int2:citationText>&lt;i&gt;(PDF) Assessment of Fear of COVID-19 in Older Adults ...&lt;/i&gt;, https://www.academia.edu/54330021/Assessment_of_Fear_of_COVID_19_in_Older_Adults_Validation_of_the_Fear_of_COVID_19_Scale.</int2:citationText>
                </int2:suggestion>
                <int2:suggestion int2:citationStyle="Apa" int2:isIdentical="1">
                  <int2:citationText>&lt;i&gt;(PDF) Assessment of Fear of COVID-19 in Older Adults ...&lt;/i&gt;. (n.d.). Retrieved from https://www.academia.edu/54330021/Assessment_of_Fear_of_COVID_19_in_Older_Adults_Validation_of_the_Fear_of_COVID_19_Scale</int2:citationText>
                </int2:suggestion>
                <int2:suggestion int2:citationStyle="Chicago" int2:isIdentical="1">
                  <int2:citationText>“(PDF) Assessment of Fear of COVID-19 in Older Adults ...” n.d., https://www.academia.edu/54330021/Assessment_of_Fear_of_COVID_19_in_Older_Adults_Validation_of_the_Fear_of_COVID_19_Scale.</int2:citationText>
                </int2:suggestion>
              </int2:suggestions>
            </int2:source>
            <int2:source int2:sourceType="Online" int2:sourceTitle="Assessment of Fear of COVID-19 in Older Adults: Validation ..." int2:sourceUrl="https://search.bvsalud.org/global-literature-on-novel-coronavirus-2019-ncov/resource/pt/covidwho-1023346" int2:sourceSnippet="Assessment of Fear of COVID-19 in Older Adults: Validation of the Fear of COVID-19 Scale.">
              <int2:suggestions int2:citationType="Inline">
                <int2:suggestion int2:citationStyle="Mla" int2:isIdentical="1">
                  <int2:citationText>(“Assessment of Fear of COVID-19 in Older Adults: Validation ...”)</int2:citationText>
                </int2:suggestion>
                <int2:suggestion int2:citationStyle="Apa" int2:isIdentical="1">
                  <int2:citationText>(“Assessment of Fear of COVID-19 in Older Adults: Validation ...”)</int2:citationText>
                </int2:suggestion>
                <int2:suggestion int2:citationStyle="Chicago" int2:isIdentical="1">
                  <int2:citationText>(“Assessment of Fear of COVID-19 in Older Adults: Validation ...”)</int2:citationText>
                </int2:suggestion>
              </int2:suggestions>
              <int2:suggestions int2:citationType="Full">
                <int2:suggestion int2:citationStyle="Mla" int2:isIdentical="1">
                  <int2:citationText>&lt;i&gt;Assessment of Fear of COVID-19 in Older Adults: Validation ...&lt;/i&gt;, https://search.bvsalud.org/global-literature-on-novel-coronavirus-2019-ncov/resource/pt/covidwho-1023346.</int2:citationText>
                </int2:suggestion>
                <int2:suggestion int2:citationStyle="Apa" int2:isIdentical="1">
                  <int2:citationText>&lt;i&gt;Assessment of Fear of COVID-19 in Older Adults: Validation ...&lt;/i&gt;. (n.d.). Retrieved from https://search.bvsalud.org/global-literature-on-novel-coronavirus-2019-ncov/resource/pt/covidwho-1023346</int2:citationText>
                </int2:suggestion>
                <int2:suggestion int2:citationStyle="Chicago" int2:isIdentical="1">
                  <int2:citationText>“Assessment of Fear of COVID-19 in Older Adults: Validation ...” n.d., https://search.bvsalud.org/global-literature-on-novel-coronavirus-2019-ncov/resource/pt/covidwho-1023346.</int2:citationText>
                </int2:suggestion>
              </int2:suggestions>
            </int2:source>
          </int2:similarityCritique>
        </oel:ext>
      </int2:extLst>
    </int2:bookmark>
    <int2:bookmark int2:bookmarkName="_Int_yzn3qqb9" int2:invalidationBookmarkName="" int2:hashCode="DB14NeAojkh1Sh" int2:id="KA5Vdfwt">
      <int2:extLst>
        <oel:ext uri="426473B9-03D8-482F-96C9-C2C85392BACA">
          <int2:similarityCritique int2:version="1" int2:context="Armitage, R. and Nellums, L.B., (2020). COVID-19 and the consequences of isolating the elderly.">
            <int2:source int2:sourceType="Online" int2:sourceTitle="Armitage, R. and Nellums, L.B. (2020) COVID-19 and the ..." int2:sourceUrl="https://www.scirp.org/(S(lz5mqp453edsnp55rrgjct55))/reference/referencespapers.aspx?referenceid=2933594" int2:sourceSnippet="Armitage, R. and Nellums, L.B. (2020) COVID-19 and the Consequences of Isolating the Elderly. Lancet Public Health, 5, e256.">
              <int2:suggestions int2:citationType="Inline">
                <int2:suggestion int2:citationStyle="Mla" int2:isIdentical="0">
                  <int2:citationText>(“Armitage, R. and Nellums, L.B. (2020) COVID-19 and the ...”)</int2:citationText>
                </int2:suggestion>
                <int2:suggestion int2:citationStyle="Apa" int2:isIdentical="0">
                  <int2:citationText>(“Armitage, R. and Nellums, L.B. (2020) COVID-19 and the ...”)</int2:citationText>
                </int2:suggestion>
                <int2:suggestion int2:citationStyle="Chicago" int2:isIdentical="0">
                  <int2:citationText>(“Armitage, R. and Nellums, L.B. (2020) COVID-19 and the ...”)</int2:citationText>
                </int2:suggestion>
              </int2:suggestions>
              <int2:suggestions int2:citationType="Full">
                <int2:suggestion int2:citationStyle="Mla" int2:isIdentical="0">
                  <int2:citationText>&lt;i&gt;Armitage, R. and Nellums, L.B. (2020) COVID-19 and the ...&lt;/i&gt;, https://www.scirp.org/(S(lz5mqp453edsnp55rrgjct55))/reference/referencespapers.aspx?referenceid=2933594.</int2:citationText>
                </int2:suggestion>
                <int2:suggestion int2:citationStyle="Apa" int2:isIdentical="0">
                  <int2:citationText>&lt;i&gt;Armitage, R. and Nellums, L.B. (2020) COVID-19 and the ...&lt;/i&gt;. (n.d.). Retrieved from https://www.scirp.org/(S(lz5mqp453edsnp55rrgjct55))/reference/referencespapers.aspx?referenceid=2933594</int2:citationText>
                </int2:suggestion>
                <int2:suggestion int2:citationStyle="Chicago" int2:isIdentical="0">
                  <int2:citationText>“Armitage, R. and Nellums, L.B. (2020) COVID-19 and the ...” n.d., https://www.scirp.org/(S(lz5mqp453edsnp55rrgjct55))/reference/referencespapers.aspx?referenceid=2933594.</int2:citationText>
                </int2:suggestion>
              </int2:suggestions>
            </int2:source>
          </int2:similarityCritique>
        </oel:ext>
      </int2:extLst>
    </int2:bookmark>
    <int2:bookmark int2:bookmarkName="_Int_dw41bTgY" int2:invalidationBookmarkName="" int2:hashCode="Xmkf21SQpTJBHw" int2:id="0b4PPXeM">
      <int2:extLst>
        <oel:ext uri="426473B9-03D8-482F-96C9-C2C85392BACA">
          <int2:similarityCritique int2:version="1" int2:context="“Aging-and-Tech Job Vulnerability”: A proposed framework on the dual impact of aging and AI, robotics, and automation among older workers.">
            <int2:source int2:sourceType="Online" int2:sourceTitle="“Aging-and-Tech Job Vulnerability”: A proposed framework ..." int2:sourceUrl="https://journals.sagepub.com/doi/abs/10.1177/2041386621992105" int2:sourceSnippet="“Aging-and-Tech Job Vulnerability”: A proposed framework on the dual impact of aging and AI, robotics, and automation among older workers. Carlos-María Alcover, Dina Guglielmi, Marco Depolo, and Greta Mazzetti. Organizational Psychology Review 2021 11: 2, 175-201 Download Citation.">
              <int2:suggestions int2:citationType="Inline">
                <int2:suggestion int2:citationStyle="Mla" int2:isIdentical="1">
                  <int2:citationText>(““Aging-and-Tech Job Vulnerability”: A proposed framework ...”)</int2:citationText>
                </int2:suggestion>
                <int2:suggestion int2:citationStyle="Apa" int2:isIdentical="1">
                  <int2:citationText>(““Aging-and-Tech Job Vulnerability”: A proposed framework ...”)</int2:citationText>
                </int2:suggestion>
                <int2:suggestion int2:citationStyle="Chicago" int2:isIdentical="1">
                  <int2:citationText>(““Aging-and-Tech Job Vulnerability”: A proposed framework ...”)</int2:citationText>
                </int2:suggestion>
              </int2:suggestions>
              <int2:suggestions int2:citationType="Full">
                <int2:suggestion int2:citationStyle="Mla" int2:isIdentical="1">
                  <int2:citationText>&lt;i&gt;“Aging-and-Tech Job Vulnerability”: A proposed framework ...&lt;/i&gt;, https://journals.sagepub.com/doi/abs/10.1177/2041386621992105.</int2:citationText>
                </int2:suggestion>
                <int2:suggestion int2:citationStyle="Apa" int2:isIdentical="1">
                  <int2:citationText>&lt;i&gt;“Aging-and-Tech Job Vulnerability”: A proposed framework ...&lt;/i&gt;. (n.d.). Retrieved from https://journals.sagepub.com/doi/abs/10.1177/2041386621992105</int2:citationText>
                </int2:suggestion>
                <int2:suggestion int2:citationStyle="Chicago" int2:isIdentical="1">
                  <int2:citationText>““Aging-and-Tech Job Vulnerability”: A proposed framework ...” n.d., https://journals.sagepub.com/doi/abs/10.1177/2041386621992105.</int2:citationText>
                </int2:suggestion>
              </int2:suggestions>
            </int2:source>
            <int2:source int2:sourceType="Online" int2:sourceTitle="Health and safety of vulnerable workers in a changing ..." int2:sourceUrl="https://www.semanticscholar.org/paper/Health-and-safety-of-vulnerable-workers-in-a-world-Sargeant/7a19dd1f1d3e2f11a4af565f9eb2fe011a88b7d6" int2:sourceSnippet="Health and safety of vulnerable workers in a changing world of work. “Aging-and-Tech Job Vulnerability”: A proposed framework on the dual impact of aging and AI, robotics, and automation among older workers. As the aging population and workforce constitute a worldwide concern, it is becoming necessary to predict how the dual threat of aging ...">
              <int2:suggestions int2:citationType="Inline">
                <int2:suggestion int2:citationStyle="Mla" int2:isIdentical="1">
                  <int2:citationText>(“Health and safety of vulnerable workers in a changing ...”)</int2:citationText>
                </int2:suggestion>
                <int2:suggestion int2:citationStyle="Apa" int2:isIdentical="1">
                  <int2:citationText>(“Health and safety of vulnerable workers in a changing ...”)</int2:citationText>
                </int2:suggestion>
                <int2:suggestion int2:citationStyle="Chicago" int2:isIdentical="1">
                  <int2:citationText>(“Health and safety of vulnerable workers in a changing ...”)</int2:citationText>
                </int2:suggestion>
              </int2:suggestions>
              <int2:suggestions int2:citationType="Full">
                <int2:suggestion int2:citationStyle="Mla" int2:isIdentical="1">
                  <int2:citationText>&lt;i&gt;Health and safety of vulnerable workers in a changing ...&lt;/i&gt;, https://www.semanticscholar.org/paper/Health-and-safety-of-vulnerable-workers-in-a-world-Sargeant/7a19dd1f1d3e2f11a4af565f9eb2fe011a88b7d6.</int2:citationText>
                </int2:suggestion>
                <int2:suggestion int2:citationStyle="Apa" int2:isIdentical="1">
                  <int2:citationText>&lt;i&gt;Health and safety of vulnerable workers in a changing ...&lt;/i&gt;. (n.d.). Retrieved from https://www.semanticscholar.org/paper/Health-and-safety-of-vulnerable-workers-in-a-world-Sargeant/7a19dd1f1d3e2f11a4af565f9eb2fe011a88b7d6</int2:citationText>
                </int2:suggestion>
                <int2:suggestion int2:citationStyle="Chicago" int2:isIdentical="1">
                  <int2:citationText>“Health and safety of vulnerable workers in a changing ...” n.d., https://www.semanticscholar.org/paper/Health-and-safety-of-vulnerable-workers-in-a-world-Sargeant/7a19dd1f1d3e2f11a4af565f9eb2fe011a88b7d6.</int2:citationText>
                </int2:suggestion>
              </int2:suggestions>
            </int2:source>
            <int2:source int2:sourceType="Online" int2:sourceTitle="Organizational Psychology Review - Volume 11, Number 2 ..." int2:sourceUrl="https://journals.sagepub.com/toc/opr/11/2" int2:sourceSnippet="“Aging-and-Tech Job Vulnerability”: A proposed framework on the dual impact of aging and AI, robotics, and automation among older workers. Carlos-María Alcover. Carlos-María Alcover. Universidad Rey Juan Carlos, Spain View ORCID profile See all articles by this author.">
              <int2:suggestions int2:citationType="Inline">
                <int2:suggestion int2:citationStyle="Mla" int2:isIdentical="1">
                  <int2:citationText>(“Organizational Psychology Review - Volume 11, Number 2 ...”)</int2:citationText>
                </int2:suggestion>
                <int2:suggestion int2:citationStyle="Apa" int2:isIdentical="1">
                  <int2:citationText>(“Organizational Psychology Review - Volume 11, Number 2 ...”)</int2:citationText>
                </int2:suggestion>
                <int2:suggestion int2:citationStyle="Chicago" int2:isIdentical="1">
                  <int2:citationText>(“Organizational Psychology Review - Volume 11, Number 2 ...”)</int2:citationText>
                </int2:suggestion>
              </int2:suggestions>
              <int2:suggestions int2:citationType="Full">
                <int2:suggestion int2:citationStyle="Mla" int2:isIdentical="1">
                  <int2:citationText>&lt;i&gt;Organizational Psychology Review - Volume 11, Number 2 ...&lt;/i&gt;, https://journals.sagepub.com/toc/opr/11/2.</int2:citationText>
                </int2:suggestion>
                <int2:suggestion int2:citationStyle="Apa" int2:isIdentical="1">
                  <int2:citationText>&lt;i&gt;Organizational Psychology Review - Volume 11, Number 2 ...&lt;/i&gt;. (n.d.). Retrieved from https://journals.sagepub.com/toc/opr/11/2</int2:citationText>
                </int2:suggestion>
                <int2:suggestion int2:citationStyle="Chicago" int2:isIdentical="1">
                  <int2:citationText>“Organizational Psychology Review - Volume 11, Number 2 ...” n.d., https://journals.sagepub.com/toc/opr/11/2.</int2:citationText>
                </int2:suggestion>
              </int2:suggestions>
            </int2:source>
          </int2:similarityCritique>
        </oel:ext>
      </int2:extLst>
    </int2:bookmark>
    <int2:bookmark int2:bookmarkName="_Int_fgv16hAh" int2:invalidationBookmarkName="" int2:hashCode="yYyE31E2Qvb1UI" int2:id="t1Dmgtr4">
      <int2:extLst>
        <oel:ext uri="426473B9-03D8-482F-96C9-C2C85392BACA">
          <int2:similarityCritique int2:version="1" int2:context="Age Concern, Help the Aged (2009) One Voice: Shaping our Ageing Society.">
            <int2:source int2:sourceType="Online" int2:sourceTitle="(PDF) Gerontological Social Work: Reflections on its Role ..." int2:sourceUrl="https://www.researchgate.net/publication/269761499_Gerontological_Social_Work_Reflections_on_its_Role_Purpose_and_Value" int2:sourceSnippet="Age Concern and Help the Aged (2009) One Voice, Shaping Our Ageing Society, London, ACE and HTA. Age Concern and the Mental Health Foundation (2006) Promoting Mental Health and Well">
              <int2:suggestions int2:citationType="Inline">
                <int2:suggestion int2:citationStyle="Mla" int2:isIdentical="0">
                  <int2:citationText>(“(PDF) Gerontological Social Work: Reflections on its Role ...”)</int2:citationText>
                </int2:suggestion>
                <int2:suggestion int2:citationStyle="Apa" int2:isIdentical="0">
                  <int2:citationText>(“(PDF) Gerontological Social Work: Reflections on its Role ...”)</int2:citationText>
                </int2:suggestion>
                <int2:suggestion int2:citationStyle="Chicago" int2:isIdentical="0">
                  <int2:citationText>(“(PDF) Gerontological Social Work: Reflections on its Role ...”)</int2:citationText>
                </int2:suggestion>
              </int2:suggestions>
              <int2:suggestions int2:citationType="Full">
                <int2:suggestion int2:citationStyle="Mla" int2:isIdentical="0">
                  <int2:citationText>&lt;i&gt;(PDF) Gerontological Social Work: Reflections on its Role ...&lt;/i&gt;, https://www.researchgate.net/publication/269761499_Gerontological_Social_Work_Reflections_on_its_Role_Purpose_and_Value.</int2:citationText>
                </int2:suggestion>
                <int2:suggestion int2:citationStyle="Apa" int2:isIdentical="0">
                  <int2:citationText>&lt;i&gt;(PDF) Gerontological Social Work: Reflections on its Role ...&lt;/i&gt;. (n.d.). Retrieved from https://www.researchgate.net/publication/269761499_Gerontological_Social_Work_Reflections_on_its_Role_Purpose_and_Value</int2:citationText>
                </int2:suggestion>
                <int2:suggestion int2:citationStyle="Chicago" int2:isIdentical="0">
                  <int2:citationText>“(PDF) Gerontological Social Work: Reflections on its Role ...” n.d., https://www.researchgate.net/publication/269761499_Gerontological_Social_Work_Reflections_on_its_Role_Purpose_and_Value.</int2:citationText>
                </int2:suggestion>
              </int2:suggestions>
            </int2:source>
            <int2:source int2:sourceType="Online" int2:sourceTitle="What quality healthcare means to older ... - Nursing Times" int2:sourceUrl="https://www.nursingtimes.net/roles/older-people-nurses-roles/what-quality-healthcare-means-to-older-people-exploring-and-meeting-their-needs-15-12-2009/" int2:sourceSnippet="Age Concern and Help the Aged (2009) One Voice: Shaping our Ageing Society. Audit Commission et al (2006) Living Well in Later Life: A Review of Progress Against the National Service Framework for Older People. London: Commission for Healthcare Audit and Inspection.">
              <int2:suggestions int2:citationType="Inline">
                <int2:suggestion int2:citationStyle="Mla" int2:isIdentical="0">
                  <int2:citationText>(“What quality healthcare means to older ... - Nursing Times”)</int2:citationText>
                </int2:suggestion>
                <int2:suggestion int2:citationStyle="Apa" int2:isIdentical="0">
                  <int2:citationText>(“What quality healthcare means to older ... - Nursing Times”)</int2:citationText>
                </int2:suggestion>
                <int2:suggestion int2:citationStyle="Chicago" int2:isIdentical="0">
                  <int2:citationText>(“What quality healthcare means to older ... - Nursing Times”)</int2:citationText>
                </int2:suggestion>
              </int2:suggestions>
              <int2:suggestions int2:citationType="Full">
                <int2:suggestion int2:citationStyle="Mla" int2:isIdentical="0">
                  <int2:citationText>&lt;i&gt;What quality healthcare means to older ... - Nursing Times&lt;/i&gt;, https://www.nursingtimes.net/roles/older-people-nurses-roles/what-quality-healthcare-means-to-older-people-exploring-and-meeting-their-needs-15-12-2009/.</int2:citationText>
                </int2:suggestion>
                <int2:suggestion int2:citationStyle="Apa" int2:isIdentical="0">
                  <int2:citationText>&lt;i&gt;What quality healthcare means to older ... - Nursing Times&lt;/i&gt;. (n.d.). Retrieved from https://www.nursingtimes.net/roles/older-people-nurses-roles/what-quality-healthcare-means-to-older-people-exploring-and-meeting-their-needs-15-12-2009/</int2:citationText>
                </int2:suggestion>
                <int2:suggestion int2:citationStyle="Chicago" int2:isIdentical="0">
                  <int2:citationText>“What quality healthcare means to older ... - Nursing Times” n.d., https://www.nursingtimes.net/roles/older-people-nurses-roles/what-quality-healthcare-means-to-older-people-exploring-and-meeting-their-needs-15-12-2009/.</int2:citationText>
                </int2:suggestion>
              </int2:suggestions>
            </int2:source>
            <int2:source int2:sourceType="Online" int2:sourceTitle="References | Campaign to End Loneliness" int2:sourceUrl="https://www.campaigntoendloneliness.org/references/" int2:sourceSnippet="Harrop, A and Jopling, K. 2009. One Voice: shaping our ageing society (Age Concern and Help the Aged) ...">
              <int2:suggestions int2:citationType="Inline">
                <int2:suggestion int2:citationStyle="Mla" int2:isIdentical="0">
                  <int2:citationText>(“References | Campaign to End Loneliness”)</int2:citationText>
                </int2:suggestion>
                <int2:suggestion int2:citationStyle="Apa" int2:isIdentical="0">
                  <int2:citationText>(“References | Campaign to End Loneliness”)</int2:citationText>
                </int2:suggestion>
                <int2:suggestion int2:citationStyle="Chicago" int2:isIdentical="0">
                  <int2:citationText>(“References | Campaign to End Loneliness”)</int2:citationText>
                </int2:suggestion>
              </int2:suggestions>
              <int2:suggestions int2:citationType="Full">
                <int2:suggestion int2:citationStyle="Mla" int2:isIdentical="0">
                  <int2:citationText>&lt;i&gt;References | Campaign to End Loneliness&lt;/i&gt;, https://www.campaigntoendloneliness.org/references/.</int2:citationText>
                </int2:suggestion>
                <int2:suggestion int2:citationStyle="Apa" int2:isIdentical="0">
                  <int2:citationText>&lt;i&gt;References | Campaign to End Loneliness&lt;/i&gt;. (n.d.). Retrieved from https://www.campaigntoendloneliness.org/references/</int2:citationText>
                </int2:suggestion>
                <int2:suggestion int2:citationStyle="Chicago" int2:isIdentical="0">
                  <int2:citationText>“References | Campaign to End Loneliness” n.d., https://www.campaigntoendloneliness.org/references/.</int2:citationText>
                </int2:suggestion>
              </int2:suggestions>
            </int2:source>
          </int2:similarityCritique>
        </oel:ext>
      </int2:extLst>
    </int2:bookmark>
    <int2:bookmark int2:bookmarkName="_Int_QWgcsVfD" int2:invalidationBookmarkName="" int2:hashCode="SfCdEGHzvSMYaS" int2:id="Ht5W8dnc">
      <int2:extLst>
        <oel:ext uri="426473B9-03D8-482F-96C9-C2C85392BACA">
          <int2:similarityCritique int2:version="1" int2:context="Aburto, J.M., Villavicencio, F., Basellini, U., Kjærgaard, S. and Vaupel, J.W., (2020).">
            <int2:source int2:sourceType="Online" int2:sourceTitle="Distributionally adjusted life expectancy as a life table ..." int2:sourceUrl="https://www.demographic-research.org/volumes/vol43/14/references.htm" int2:sourceSnippet="Aburto, J.M., Villavicencio, F., Basellini, U., Kjærgaard, S., and Vaupel, J.W. (2020). Dynamics of life expectancy and life span equality. Proceedings of the ...">
              <int2:suggestions int2:citationType="Inline">
                <int2:suggestion int2:citationStyle="Mla" int2:isIdentical="0">
                  <int2:citationText>(“Distributionally adjusted life expectancy as a life table ...”)</int2:citationText>
                </int2:suggestion>
                <int2:suggestion int2:citationStyle="Apa" int2:isIdentical="0">
                  <int2:citationText>(“Distributionally adjusted life expectancy as a life table ...”)</int2:citationText>
                </int2:suggestion>
                <int2:suggestion int2:citationStyle="Chicago" int2:isIdentical="0">
                  <int2:citationText>(“Distributionally adjusted life expectancy as a life table ...”)</int2:citationText>
                </int2:suggestion>
              </int2:suggestions>
              <int2:suggestions int2:citationType="Full">
                <int2:suggestion int2:citationStyle="Mla" int2:isIdentical="0">
                  <int2:citationText>&lt;i&gt;Distributionally adjusted life expectancy as a life table ...&lt;/i&gt;, https://www.demographic-research.org/volumes/vol43/14/references.htm.</int2:citationText>
                </int2:suggestion>
                <int2:suggestion int2:citationStyle="Apa" int2:isIdentical="0">
                  <int2:citationText>&lt;i&gt;Distributionally adjusted life expectancy as a life table ...&lt;/i&gt;. (n.d.). Retrieved from https://www.demographic-research.org/volumes/vol43/14/references.htm</int2:citationText>
                </int2:suggestion>
                <int2:suggestion int2:citationStyle="Chicago" int2:isIdentical="0">
                  <int2:citationText>“Distributionally adjusted life expectancy as a life table ...” n.d., https://www.demographic-research.org/volumes/vol43/14/references.htm.</int2:citationText>
                </int2:suggestion>
              </int2:suggestions>
            </int2:source>
          </int2:similarityCritique>
        </oel:ext>
      </int2:extLst>
    </int2:bookmark>
    <int2:bookmark int2:bookmarkName="_Int_h4Bn8DFO" int2:invalidationBookmarkName="" int2:hashCode="At19c744+Numkv" int2:id="TY6w4Q5l">
      <int2:extLst>
        <oel:ext uri="426473B9-03D8-482F-96C9-C2C85392BACA">
          <int2:similarityCritique int2:version="1" int2:context="According to the classic concept of Rowe and Kahn (1997), successful ageing is defined as high physical, psychological, and social functioning in old age without major diseases.">
            <int2:source int2:sourceType="Online" int2:sourceTitle="Definitions of successful ageing: A brief review of a ..." int2:sourceUrl="https://www.ncbi.nlm.nih.gov/pmc/articles/PMC6776218/" int2:sourceSnippet="According to the classic concept of Rowe and Kahn, successful ageing is defined as high physical, psychological, and social functioning in old age without major diseases (5, 6). In this brief review we use the classic name, although several terms of this concept, such as healthy ageing, active ageing, productive ageing, and ageing well, etc ...">
              <int2:suggestions int2:citationType="Inline">
                <int2:suggestion int2:citationStyle="Mla" int2:isIdentical="0">
                  <int2:citationText>(“Definitions of successful ageing: A brief review of a ...”)</int2:citationText>
                </int2:suggestion>
                <int2:suggestion int2:citationStyle="Apa" int2:isIdentical="0">
                  <int2:citationText>(“Definitions of successful ageing: A brief review of a ...”)</int2:citationText>
                </int2:suggestion>
                <int2:suggestion int2:citationStyle="Chicago" int2:isIdentical="0">
                  <int2:citationText>(“Definitions of successful ageing: A brief review of a ...”)</int2:citationText>
                </int2:suggestion>
              </int2:suggestions>
              <int2:suggestions int2:citationType="Full">
                <int2:suggestion int2:citationStyle="Mla" int2:isIdentical="0">
                  <int2:citationText>&lt;i&gt;Definitions of successful ageing: A brief review of a ...&lt;/i&gt;, https://www.ncbi.nlm.nih.gov/pmc/articles/PMC6776218/.</int2:citationText>
                </int2:suggestion>
                <int2:suggestion int2:citationStyle="Apa" int2:isIdentical="0">
                  <int2:citationText>&lt;i&gt;Definitions of successful ageing: A brief review of a ...&lt;/i&gt;. (n.d.). Retrieved from https://www.ncbi.nlm.nih.gov/pmc/articles/PMC6776218/</int2:citationText>
                </int2:suggestion>
                <int2:suggestion int2:citationStyle="Chicago" int2:isIdentical="0">
                  <int2:citationText>“Definitions of successful ageing: A brief review of a ...” n.d., https://www.ncbi.nlm.nih.gov/pmc/articles/PMC6776218/.</int2:citationText>
                </int2:suggestion>
              </int2:suggestions>
            </int2:source>
            <int2:source int2:sourceType="Online" int2:sourceTitle="Who aging and health? - All Famous Faqs" int2:sourceUrl="https://allfamousbirthday.com/faqs/who-aging-and-health/" int2:sourceSnippet="According to the classic concept of Rowe and Kahn, successful ageing is defined as high physical, psychological, and social functioning in old age without major diseases (5, 6). … The main focus in the concept of successful ageing is how to expand healthy and functional years in the life span (8, 9).">
              <int2:suggestions int2:citationType="Inline">
                <int2:suggestion int2:citationStyle="Mla" int2:isIdentical="0">
                  <int2:citationText>(“Who aging and health? - All Famous Faqs”)</int2:citationText>
                </int2:suggestion>
                <int2:suggestion int2:citationStyle="Apa" int2:isIdentical="0">
                  <int2:citationText>(“Who aging and health? - All Famous Faqs”)</int2:citationText>
                </int2:suggestion>
                <int2:suggestion int2:citationStyle="Chicago" int2:isIdentical="0">
                  <int2:citationText>(“Who aging and health? - All Famous Faqs”)</int2:citationText>
                </int2:suggestion>
              </int2:suggestions>
              <int2:suggestions int2:citationType="Full">
                <int2:suggestion int2:citationStyle="Mla" int2:isIdentical="0">
                  <int2:citationText>&lt;i&gt;Who aging and health? - All Famous Faqs&lt;/i&gt;, https://allfamousbirthday.com/faqs/who-aging-and-health/.</int2:citationText>
                </int2:suggestion>
                <int2:suggestion int2:citationStyle="Apa" int2:isIdentical="0">
                  <int2:citationText>&lt;i&gt;Who aging and health? - All Famous Faqs&lt;/i&gt;. (n.d.). Retrieved from https://allfamousbirthday.com/faqs/who-aging-and-health/</int2:citationText>
                </int2:suggestion>
                <int2:suggestion int2:citationStyle="Chicago" int2:isIdentical="0">
                  <int2:citationText>“Who aging and health? - All Famous Faqs” n.d., https://allfamousbirthday.com/faqs/who-aging-and-health/.</int2:citationText>
                </int2:suggestion>
              </int2:suggestions>
            </int2:source>
            <int2:source int2:sourceType="Online" int2:sourceTitle="dev psych q_a.pdf - Q 1. Discuss Physical Development in ..." int2:sourceUrl="https://www.coursehero.com/file/115869548/dev-psych-q-apdf/" int2:sourceSnippet="According to the classic concept of Rowe and Kahn, successful ageing is defined as high physical, psychological, and social functioning in old age without major diseases. The main focus in the concept of successful ageing is how to expand healthy and functional years in the life span. The phenomenon of successful ageing can be viewed from a ...">
              <int2:suggestions int2:citationType="Inline">
                <int2:suggestion int2:citationStyle="Mla" int2:isIdentical="0">
                  <int2:citationText>(“dev psych q_a.pdf - Q 1. Discuss Physical Development in ...”)</int2:citationText>
                </int2:suggestion>
                <int2:suggestion int2:citationStyle="Apa" int2:isIdentical="0">
                  <int2:citationText>(“dev psych q_a.pdf - Q 1. Discuss Physical Development in ...”)</int2:citationText>
                </int2:suggestion>
                <int2:suggestion int2:citationStyle="Chicago" int2:isIdentical="0">
                  <int2:citationText>(“dev psych q_a.pdf - Q 1. Discuss Physical Development in ...”)</int2:citationText>
                </int2:suggestion>
              </int2:suggestions>
              <int2:suggestions int2:citationType="Full">
                <int2:suggestion int2:citationStyle="Mla" int2:isIdentical="0">
                  <int2:citationText>&lt;i&gt;dev psych q_a.pdf - Q 1. Discuss Physical Development in ...&lt;/i&gt;, https://www.coursehero.com/file/115869548/dev-psych-q-apdf/.</int2:citationText>
                </int2:suggestion>
                <int2:suggestion int2:citationStyle="Apa" int2:isIdentical="0">
                  <int2:citationText>&lt;i&gt;dev psych q_a.pdf - Q 1. Discuss Physical Development in ...&lt;/i&gt;. (n.d.). Retrieved from https://www.coursehero.com/file/115869548/dev-psych-q-apdf/</int2:citationText>
                </int2:suggestion>
                <int2:suggestion int2:citationStyle="Chicago" int2:isIdentical="0">
                  <int2:citationText>“dev psych q_a.pdf - Q 1. Discuss Physical Development in ...” n.d., https://www.coursehero.com/file/115869548/dev-psych-q-apdf/.</int2:citationText>
                </int2:suggestion>
              </int2:suggestions>
            </int2:source>
          </int2:similarityCritique>
        </oel:ext>
      </int2:extLst>
    </int2:bookmark>
    <int2:entireDocument int2:id="T5iACO8O">
      <int2:extLst>
        <oel:ext uri="E302BA01-7950-474C-9AD3-286E660C40A8">
          <int2:similaritySummary int2:version="1" int2:runId="1650579630772" int2:tilesCheckedInThisRun="87" int2:totalNumOfTiles="87" int2:similarityAnnotationCount="13" int2:numWords="3863" int2:numFlaggedWords="204"/>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02B8C99A-77777777 061AD9FD-77777777 4F296580-17710376 0227BEE1-77777777 49D26AB2-77777777 285407E8-599FCBC3 3AC02693-77777777 7894A054-4B469632 78D7A8EE-32AF9AF0 04789A64-77777777 21C79F69-75564AEC 023B31A6-05603AA0 33EC711E-77777777 10BC4E24-77777777 230E7513-77777777 7CAE2401-77C64B2D 3FA82CDB-77777777 31CD9604-77777777 3700E3BB-77777777 382D5354-77777777 3DE2818D-77777777 3590D55D-77777777 10563425-77777777 561B1D5F-77777777 6942AC9C-77777777 3DE4DA7A-235DBAF7 47EA1C3F-5C04E955 2FE89373-20B7A104 086D7521-77777777 6A331800-7443B0C9 452CADDD-77777777 5E16C668-77777777 2AC67CCB-77777777 1BAE38A3-77777777 05BF843C-77777777 1F409C0F-77777777 0CAFB003-77777777 4B001E48-77777777 5312EC75-09614118 18063952-7CB8E926 41D1B915-77777777 5BD95C50-24E30E8B 3CB75961-2780B06B 2AB940FD-4A2D08D3 1FFEF0CB-37C0D4E5 12686F25-77777777 4B7C9849-77777777 05EB0B0E-77777777 2513C618-77777777 02A34E6E-77777777 4E047EEB-77777777 1D85D69E-77777777 32871C54-77777777 04568D73-77777777 656D2F14-7E61A656 1DCB2790-79D9E067 2CDC3FE3-5E148801 188BC281-13968236 2FFBF55F-1DE05AE7 7000F747-77777777 655A4B7B-44D85B21 540EA964-74B1C520 518536E5-77777777 7E97D9A9-711706DB 22862CDF-77777777 10741FE3-1443A912 51F7F5C5-77777777 309C6A26-77777777 7BA0F6A3-77777777 6922CC50-77777777 77051810-77777777 19791972-77777777 55D1F92A-77777777 7350966C-77777777 75A7A917-77777777 3C0EBAF0-77777777 1C264C1A-77777777 04423CCB-77777777 7C22E5D3-77777777 61D7C4B0-77777777 2DA189A7-77777777 292A8CDB-77777777 606A8872-77777777 720163EA-77777777 3A62F46E-77777777 0147F383-77777777 40558A02-77777777 2C9C4905-77777777 02A9FF0A-77777777 4EA9DB47-77777777 654E18EC-77777777 001EF652-77777777 3EDC606F-77777777 276C6874-77777777 04F0021C-77777777 068DA918-77777777 6ABA89CB-762E164B 11452A35-77777777 2570F797-77777777 79D72881-77777777 4E39D619-77777777 1BD75307-77777777 2E98F422-77777777 3CDA85DB-77777777 264E03AB-77777777 19EF7A2F-77777777 132F265B-77777777 12DF3D44-77777777 193E02C4-77777777 7AFCE15B-77777777 525E5D30-77777777 0929E178-77777777 26BB62B5-77777777 7DC67060-77777777 40D1FCAD-77777777 52D73E9B-0CC681B5 26899E45-77777777 08898E5E-77777777 202762B3-77777777 2202297F-77777777 47FEB704-77777777 11BFF20B-77777777 0BB53E75-77777777 4329B34B-77777777 31D02534-77777777 19301761-77777777 64FDB5C2-77777777 7432C54A-77777777 5AC7A4B6-77777777 3806CBA2-77777777 77BEE6CE-77777777 71A96EAF-77777777 0C08278A-77777777 2FE18544-77777777 79C25B04-77777777 302A9613-7182077A 6CCC26D9-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D5C6D"/>
    <w:multiLevelType w:val="multilevel"/>
    <w:tmpl w:val="F45631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80942BF"/>
    <w:multiLevelType w:val="hybridMultilevel"/>
    <w:tmpl w:val="95789950"/>
    <w:lvl w:ilvl="0" w:tplc="0E9600AA">
      <w:start w:val="1"/>
      <w:numFmt w:val="decimal"/>
      <w:lvlText w:val="%1."/>
      <w:lvlJc w:val="left"/>
      <w:pPr>
        <w:ind w:left="360" w:hanging="360"/>
      </w:pPr>
    </w:lvl>
    <w:lvl w:ilvl="1" w:tplc="EDF8F730">
      <w:start w:val="1"/>
      <w:numFmt w:val="lowerLetter"/>
      <w:lvlText w:val="%2."/>
      <w:lvlJc w:val="left"/>
      <w:pPr>
        <w:ind w:left="1080" w:hanging="360"/>
      </w:pPr>
    </w:lvl>
    <w:lvl w:ilvl="2" w:tplc="94E6E272">
      <w:start w:val="1"/>
      <w:numFmt w:val="lowerRoman"/>
      <w:lvlText w:val="%3."/>
      <w:lvlJc w:val="right"/>
      <w:pPr>
        <w:ind w:left="1800" w:hanging="180"/>
      </w:pPr>
    </w:lvl>
    <w:lvl w:ilvl="3" w:tplc="AEE2AB7A">
      <w:start w:val="1"/>
      <w:numFmt w:val="decimal"/>
      <w:lvlText w:val="%4."/>
      <w:lvlJc w:val="left"/>
      <w:pPr>
        <w:ind w:left="2520" w:hanging="360"/>
      </w:pPr>
    </w:lvl>
    <w:lvl w:ilvl="4" w:tplc="D548AD16">
      <w:start w:val="1"/>
      <w:numFmt w:val="lowerLetter"/>
      <w:lvlText w:val="%5."/>
      <w:lvlJc w:val="left"/>
      <w:pPr>
        <w:ind w:left="3240" w:hanging="360"/>
      </w:pPr>
    </w:lvl>
    <w:lvl w:ilvl="5" w:tplc="DADCAB0E">
      <w:start w:val="1"/>
      <w:numFmt w:val="lowerRoman"/>
      <w:lvlText w:val="%6."/>
      <w:lvlJc w:val="right"/>
      <w:pPr>
        <w:ind w:left="3960" w:hanging="180"/>
      </w:pPr>
    </w:lvl>
    <w:lvl w:ilvl="6" w:tplc="D77AFC0A">
      <w:start w:val="1"/>
      <w:numFmt w:val="decimal"/>
      <w:lvlText w:val="%7."/>
      <w:lvlJc w:val="left"/>
      <w:pPr>
        <w:ind w:left="4680" w:hanging="360"/>
      </w:pPr>
    </w:lvl>
    <w:lvl w:ilvl="7" w:tplc="9A60D81C">
      <w:start w:val="1"/>
      <w:numFmt w:val="lowerLetter"/>
      <w:lvlText w:val="%8."/>
      <w:lvlJc w:val="left"/>
      <w:pPr>
        <w:ind w:left="5400" w:hanging="360"/>
      </w:pPr>
    </w:lvl>
    <w:lvl w:ilvl="8" w:tplc="3F063740">
      <w:start w:val="1"/>
      <w:numFmt w:val="lowerRoman"/>
      <w:lvlText w:val="%9."/>
      <w:lvlJc w:val="right"/>
      <w:pPr>
        <w:ind w:left="6120" w:hanging="180"/>
      </w:pPr>
    </w:lvl>
  </w:abstractNum>
  <w:abstractNum w:abstractNumId="2" w15:restartNumberingAfterBreak="0">
    <w:nsid w:val="208C5AF5"/>
    <w:multiLevelType w:val="multilevel"/>
    <w:tmpl w:val="6E147680"/>
    <w:lvl w:ilvl="0">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hint="default"/>
      </w:rPr>
    </w:lvl>
    <w:lvl w:ilvl="2">
      <w:numFmt w:val="bullet"/>
      <w:lvlText w:val=""/>
      <w:lvlJc w:val="left"/>
      <w:pPr>
        <w:ind w:left="1800" w:hanging="360"/>
      </w:pPr>
      <w:rPr>
        <w:rFonts w:ascii="Wingdings" w:hAnsi="Wingdings" w:hint="default"/>
      </w:rPr>
    </w:lvl>
    <w:lvl w:ilvl="3">
      <w:numFmt w:val="bullet"/>
      <w:lvlText w:val=""/>
      <w:lvlJc w:val="left"/>
      <w:pPr>
        <w:ind w:left="2520" w:hanging="360"/>
      </w:pPr>
      <w:rPr>
        <w:rFonts w:ascii="Symbol" w:hAnsi="Symbol" w:hint="default"/>
      </w:rPr>
    </w:lvl>
    <w:lvl w:ilvl="4">
      <w:numFmt w:val="bullet"/>
      <w:lvlText w:val="o"/>
      <w:lvlJc w:val="left"/>
      <w:pPr>
        <w:ind w:left="3240" w:hanging="360"/>
      </w:pPr>
      <w:rPr>
        <w:rFonts w:ascii="Courier New" w:hAnsi="Courier New" w:hint="default"/>
      </w:rPr>
    </w:lvl>
    <w:lvl w:ilvl="5">
      <w:numFmt w:val="bullet"/>
      <w:lvlText w:val=""/>
      <w:lvlJc w:val="left"/>
      <w:pPr>
        <w:ind w:left="3960" w:hanging="360"/>
      </w:pPr>
      <w:rPr>
        <w:rFonts w:ascii="Wingdings" w:hAnsi="Wingdings" w:hint="default"/>
      </w:rPr>
    </w:lvl>
    <w:lvl w:ilvl="6">
      <w:numFmt w:val="bullet"/>
      <w:lvlText w:val=""/>
      <w:lvlJc w:val="left"/>
      <w:pPr>
        <w:ind w:left="4680" w:hanging="360"/>
      </w:pPr>
      <w:rPr>
        <w:rFonts w:ascii="Symbol" w:hAnsi="Symbol" w:hint="default"/>
      </w:rPr>
    </w:lvl>
    <w:lvl w:ilvl="7">
      <w:numFmt w:val="bullet"/>
      <w:lvlText w:val="o"/>
      <w:lvlJc w:val="left"/>
      <w:pPr>
        <w:ind w:left="5400" w:hanging="360"/>
      </w:pPr>
      <w:rPr>
        <w:rFonts w:ascii="Courier New" w:hAnsi="Courier New" w:hint="default"/>
      </w:rPr>
    </w:lvl>
    <w:lvl w:ilvl="8">
      <w:numFmt w:val="bullet"/>
      <w:lvlText w:val=""/>
      <w:lvlJc w:val="left"/>
      <w:pPr>
        <w:ind w:left="6120" w:hanging="360"/>
      </w:pPr>
      <w:rPr>
        <w:rFonts w:ascii="Wingdings" w:hAnsi="Wingdings" w:hint="default"/>
      </w:rPr>
    </w:lvl>
  </w:abstractNum>
  <w:abstractNum w:abstractNumId="3" w15:restartNumberingAfterBreak="0">
    <w:nsid w:val="46B66C3D"/>
    <w:multiLevelType w:val="multilevel"/>
    <w:tmpl w:val="4834527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 w15:restartNumberingAfterBreak="0">
    <w:nsid w:val="62CF6489"/>
    <w:multiLevelType w:val="multilevel"/>
    <w:tmpl w:val="6218A98E"/>
    <w:lvl w:ilvl="0">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hint="default"/>
      </w:rPr>
    </w:lvl>
    <w:lvl w:ilvl="2">
      <w:numFmt w:val="bullet"/>
      <w:lvlText w:val=""/>
      <w:lvlJc w:val="left"/>
      <w:pPr>
        <w:ind w:left="1800" w:hanging="360"/>
      </w:pPr>
      <w:rPr>
        <w:rFonts w:ascii="Wingdings" w:hAnsi="Wingdings" w:hint="default"/>
      </w:rPr>
    </w:lvl>
    <w:lvl w:ilvl="3">
      <w:numFmt w:val="bullet"/>
      <w:lvlText w:val=""/>
      <w:lvlJc w:val="left"/>
      <w:pPr>
        <w:ind w:left="2520" w:hanging="360"/>
      </w:pPr>
      <w:rPr>
        <w:rFonts w:ascii="Symbol" w:hAnsi="Symbol" w:hint="default"/>
      </w:rPr>
    </w:lvl>
    <w:lvl w:ilvl="4">
      <w:numFmt w:val="bullet"/>
      <w:lvlText w:val="o"/>
      <w:lvlJc w:val="left"/>
      <w:pPr>
        <w:ind w:left="3240" w:hanging="360"/>
      </w:pPr>
      <w:rPr>
        <w:rFonts w:ascii="Courier New" w:hAnsi="Courier New" w:hint="default"/>
      </w:rPr>
    </w:lvl>
    <w:lvl w:ilvl="5">
      <w:numFmt w:val="bullet"/>
      <w:lvlText w:val=""/>
      <w:lvlJc w:val="left"/>
      <w:pPr>
        <w:ind w:left="3960" w:hanging="360"/>
      </w:pPr>
      <w:rPr>
        <w:rFonts w:ascii="Wingdings" w:hAnsi="Wingdings" w:hint="default"/>
      </w:rPr>
    </w:lvl>
    <w:lvl w:ilvl="6">
      <w:numFmt w:val="bullet"/>
      <w:lvlText w:val=""/>
      <w:lvlJc w:val="left"/>
      <w:pPr>
        <w:ind w:left="4680" w:hanging="360"/>
      </w:pPr>
      <w:rPr>
        <w:rFonts w:ascii="Symbol" w:hAnsi="Symbol" w:hint="default"/>
      </w:rPr>
    </w:lvl>
    <w:lvl w:ilvl="7">
      <w:numFmt w:val="bullet"/>
      <w:lvlText w:val="o"/>
      <w:lvlJc w:val="left"/>
      <w:pPr>
        <w:ind w:left="5400" w:hanging="360"/>
      </w:pPr>
      <w:rPr>
        <w:rFonts w:ascii="Courier New" w:hAnsi="Courier New" w:hint="default"/>
      </w:rPr>
    </w:lvl>
    <w:lvl w:ilvl="8">
      <w:numFmt w:val="bullet"/>
      <w:lvlText w:val=""/>
      <w:lvlJc w:val="left"/>
      <w:pPr>
        <w:ind w:left="6120" w:hanging="360"/>
      </w:pPr>
      <w:rPr>
        <w:rFonts w:ascii="Wingdings" w:hAnsi="Wingdings" w:hint="default"/>
      </w:rPr>
    </w:lvl>
  </w:abstractNum>
  <w:num w:numId="1" w16cid:durableId="3215038">
    <w:abstractNumId w:val="1"/>
  </w:num>
  <w:num w:numId="2" w16cid:durableId="2078934318">
    <w:abstractNumId w:val="3"/>
  </w:num>
  <w:num w:numId="3" w16cid:durableId="345140305">
    <w:abstractNumId w:val="0"/>
  </w:num>
  <w:num w:numId="4" w16cid:durableId="448159495">
    <w:abstractNumId w:val="4"/>
  </w:num>
  <w:num w:numId="5" w16cid:durableId="19289257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B"/>
    <w:rsid w:val="000340A2"/>
    <w:rsid w:val="0005212F"/>
    <w:rsid w:val="00057461"/>
    <w:rsid w:val="000A1F77"/>
    <w:rsid w:val="000A6C22"/>
    <w:rsid w:val="00114DCE"/>
    <w:rsid w:val="00114E96"/>
    <w:rsid w:val="0014671E"/>
    <w:rsid w:val="001C161E"/>
    <w:rsid w:val="001C6358"/>
    <w:rsid w:val="002272AD"/>
    <w:rsid w:val="002561A3"/>
    <w:rsid w:val="00281407"/>
    <w:rsid w:val="002E453A"/>
    <w:rsid w:val="002F5AF5"/>
    <w:rsid w:val="0030127F"/>
    <w:rsid w:val="00311990"/>
    <w:rsid w:val="003D62E5"/>
    <w:rsid w:val="003F2E26"/>
    <w:rsid w:val="00402D49"/>
    <w:rsid w:val="00451C8E"/>
    <w:rsid w:val="004562DB"/>
    <w:rsid w:val="004A2CF4"/>
    <w:rsid w:val="004D2254"/>
    <w:rsid w:val="004E4ACB"/>
    <w:rsid w:val="004F2C10"/>
    <w:rsid w:val="00506A6A"/>
    <w:rsid w:val="0051431B"/>
    <w:rsid w:val="00527519"/>
    <w:rsid w:val="005C3F0D"/>
    <w:rsid w:val="005E1225"/>
    <w:rsid w:val="005F6432"/>
    <w:rsid w:val="0063157C"/>
    <w:rsid w:val="006423D3"/>
    <w:rsid w:val="00652D1B"/>
    <w:rsid w:val="006826DC"/>
    <w:rsid w:val="006A5D0D"/>
    <w:rsid w:val="006B7337"/>
    <w:rsid w:val="006C7A5C"/>
    <w:rsid w:val="006D4811"/>
    <w:rsid w:val="006D7B81"/>
    <w:rsid w:val="006E14E6"/>
    <w:rsid w:val="006E19C5"/>
    <w:rsid w:val="0070211F"/>
    <w:rsid w:val="00726A38"/>
    <w:rsid w:val="007A3A57"/>
    <w:rsid w:val="007A5EB4"/>
    <w:rsid w:val="007F13C7"/>
    <w:rsid w:val="008011E0"/>
    <w:rsid w:val="008318F2"/>
    <w:rsid w:val="008D0F08"/>
    <w:rsid w:val="008D6C46"/>
    <w:rsid w:val="008E3CAB"/>
    <w:rsid w:val="00907454"/>
    <w:rsid w:val="009378C1"/>
    <w:rsid w:val="00945224"/>
    <w:rsid w:val="00961800"/>
    <w:rsid w:val="009709D9"/>
    <w:rsid w:val="00991BDB"/>
    <w:rsid w:val="00993A9B"/>
    <w:rsid w:val="009A6CFA"/>
    <w:rsid w:val="00AA0E6F"/>
    <w:rsid w:val="00B129C3"/>
    <w:rsid w:val="00B20BAD"/>
    <w:rsid w:val="00B21F21"/>
    <w:rsid w:val="00B73CB8"/>
    <w:rsid w:val="00B83515"/>
    <w:rsid w:val="00B87698"/>
    <w:rsid w:val="00BC5198"/>
    <w:rsid w:val="00C050EE"/>
    <w:rsid w:val="00C111CE"/>
    <w:rsid w:val="00C22632"/>
    <w:rsid w:val="00C30767"/>
    <w:rsid w:val="00C42596"/>
    <w:rsid w:val="00C745A8"/>
    <w:rsid w:val="00C74672"/>
    <w:rsid w:val="00CB1CD5"/>
    <w:rsid w:val="00CC2A7D"/>
    <w:rsid w:val="00D02D0A"/>
    <w:rsid w:val="00D032A5"/>
    <w:rsid w:val="00D473AB"/>
    <w:rsid w:val="00D53FA8"/>
    <w:rsid w:val="00D55998"/>
    <w:rsid w:val="00D72828"/>
    <w:rsid w:val="00DB62C9"/>
    <w:rsid w:val="00E57CB3"/>
    <w:rsid w:val="00E94AFD"/>
    <w:rsid w:val="00E94B7F"/>
    <w:rsid w:val="00ED2562"/>
    <w:rsid w:val="00F12351"/>
    <w:rsid w:val="00F15542"/>
    <w:rsid w:val="00F37AAC"/>
    <w:rsid w:val="00F974C5"/>
    <w:rsid w:val="00FA6B24"/>
    <w:rsid w:val="00FA7BD2"/>
    <w:rsid w:val="00FC4A6C"/>
    <w:rsid w:val="00FD47EF"/>
    <w:rsid w:val="08654B89"/>
    <w:rsid w:val="6978AB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FCCC9"/>
  <w15:docId w15:val="{C7545622-BD4A-4341-9656-B6091910F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semiHidden/>
    <w:unhideWhenUsed/>
    <w:qFormat/>
    <w:pPr>
      <w:keepNext/>
      <w:keepLines/>
      <w:spacing w:before="40" w:after="0"/>
      <w:outlineLvl w:val="1"/>
    </w:pPr>
    <w:rPr>
      <w:rFonts w:ascii="Calibri Light" w:eastAsia="Times New Roman" w:hAnsi="Calibri Light"/>
      <w:color w:val="2F5496"/>
      <w:sz w:val="26"/>
      <w:szCs w:val="26"/>
    </w:rPr>
  </w:style>
  <w:style w:type="paragraph" w:styleId="Heading4">
    <w:name w:val="heading 4"/>
    <w:basedOn w:val="Normal"/>
    <w:next w:val="Normal"/>
    <w:uiPriority w:val="9"/>
    <w:semiHidden/>
    <w:unhideWhenUsed/>
    <w:qFormat/>
    <w:pPr>
      <w:keepNext/>
      <w:keepLines/>
      <w:spacing w:before="40" w:after="0"/>
      <w:outlineLvl w:val="3"/>
    </w:pPr>
    <w:rPr>
      <w:rFonts w:ascii="Calibri Light" w:eastAsia="Times New Roman" w:hAnsi="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itle">
    <w:name w:val="Title"/>
    <w:basedOn w:val="Normal"/>
    <w:next w:val="Normal"/>
    <w:uiPriority w:val="10"/>
    <w:qFormat/>
    <w:pPr>
      <w:spacing w:after="0"/>
      <w:contextualSpacing/>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ListParagraph">
    <w:name w:val="List Paragraph"/>
    <w:basedOn w:val="Normal"/>
    <w:pPr>
      <w:spacing w:after="0"/>
      <w:ind w:left="720"/>
      <w:contextualSpacing/>
    </w:pPr>
    <w:rPr>
      <w:rFonts w:ascii="Times New Roman" w:eastAsia="Times New Roman" w:hAnsi="Times New Roman"/>
      <w:sz w:val="24"/>
      <w:szCs w:val="24"/>
      <w:lang w:eastAsia="en-GB"/>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NormalWeb">
    <w:name w:val="Normal (Web)"/>
    <w:basedOn w:val="Normal"/>
    <w:pPr>
      <w:suppressAutoHyphens w:val="0"/>
      <w:spacing w:before="100" w:after="100"/>
    </w:pPr>
    <w:rPr>
      <w:rFonts w:ascii="Times New Roman" w:eastAsia="Times New Roman" w:hAnsi="Times New Roman"/>
      <w:sz w:val="24"/>
      <w:szCs w:val="24"/>
      <w:lang w:eastAsia="en-GB"/>
    </w:rPr>
  </w:style>
  <w:style w:type="character" w:customStyle="1" w:styleId="xref-bibr">
    <w:name w:val="xref-bibr"/>
    <w:basedOn w:val="DefaultParagraphFont"/>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styleId="Strong">
    <w:name w:val="Strong"/>
    <w:basedOn w:val="DefaultParagraphFont"/>
    <w:rPr>
      <w:b/>
      <w:bCs/>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Bibliography">
    <w:name w:val="Bibliography"/>
    <w:basedOn w:val="Normal"/>
    <w:next w:val="Normal"/>
    <w:pPr>
      <w:spacing w:after="240"/>
    </w:pPr>
  </w:style>
  <w:style w:type="character" w:styleId="Emphasis">
    <w:name w:val="Emphasis"/>
    <w:basedOn w:val="DefaultParagraphFont"/>
    <w:rPr>
      <w:i/>
      <w:iCs/>
    </w:rPr>
  </w:style>
  <w:style w:type="character" w:styleId="CommentReference">
    <w:name w:val="annotation reference"/>
    <w:basedOn w:val="DefaultParagraphFont"/>
    <w:uiPriority w:val="99"/>
    <w:semiHidden/>
    <w:unhideWhenUsed/>
    <w:rsid w:val="00F37AAC"/>
    <w:rPr>
      <w:sz w:val="16"/>
      <w:szCs w:val="16"/>
    </w:rPr>
  </w:style>
  <w:style w:type="paragraph" w:styleId="CommentText">
    <w:name w:val="annotation text"/>
    <w:basedOn w:val="Normal"/>
    <w:link w:val="CommentTextChar"/>
    <w:uiPriority w:val="99"/>
    <w:semiHidden/>
    <w:unhideWhenUsed/>
    <w:rsid w:val="00F37AAC"/>
    <w:rPr>
      <w:sz w:val="20"/>
      <w:szCs w:val="20"/>
    </w:rPr>
  </w:style>
  <w:style w:type="character" w:customStyle="1" w:styleId="CommentTextChar">
    <w:name w:val="Comment Text Char"/>
    <w:basedOn w:val="DefaultParagraphFont"/>
    <w:link w:val="CommentText"/>
    <w:uiPriority w:val="99"/>
    <w:semiHidden/>
    <w:rsid w:val="00F37AAC"/>
    <w:rPr>
      <w:sz w:val="20"/>
      <w:szCs w:val="20"/>
    </w:rPr>
  </w:style>
  <w:style w:type="paragraph" w:styleId="CommentSubject">
    <w:name w:val="annotation subject"/>
    <w:basedOn w:val="CommentText"/>
    <w:next w:val="CommentText"/>
    <w:link w:val="CommentSubjectChar"/>
    <w:uiPriority w:val="99"/>
    <w:semiHidden/>
    <w:unhideWhenUsed/>
    <w:rsid w:val="00F37AAC"/>
    <w:rPr>
      <w:b/>
      <w:bCs/>
    </w:rPr>
  </w:style>
  <w:style w:type="character" w:customStyle="1" w:styleId="CommentSubjectChar">
    <w:name w:val="Comment Subject Char"/>
    <w:basedOn w:val="CommentTextChar"/>
    <w:link w:val="CommentSubject"/>
    <w:uiPriority w:val="99"/>
    <w:semiHidden/>
    <w:rsid w:val="00F37AAC"/>
    <w:rPr>
      <w:b/>
      <w:bCs/>
      <w:sz w:val="20"/>
      <w:szCs w:val="20"/>
    </w:rPr>
  </w:style>
  <w:style w:type="table" w:styleId="TableGrid">
    <w:name w:val="Table Grid"/>
    <w:basedOn w:val="TableNormal"/>
    <w:uiPriority w:val="59"/>
    <w:rsid w:val="00FB4123"/>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cd.who.int/browse10/2010/en"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doi.org/10.1080/0042098692008019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4036</Words>
  <Characters>23010</Characters>
  <Application>Microsoft Office Word</Application>
  <DocSecurity>0</DocSecurity>
  <Lines>191</Lines>
  <Paragraphs>53</Paragraphs>
  <ScaleCrop>false</ScaleCrop>
  <Company/>
  <LinksUpToDate>false</LinksUpToDate>
  <CharactersWithSpaces>26993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Zubaida Ambreen</dc:creator>
  <dc:description/>
  <cp:lastModifiedBy>Zubaida Ambreen</cp:lastModifiedBy>
  <cp:revision>2</cp:revision>
  <dcterms:created xsi:type="dcterms:W3CDTF">2022-04-21T22:45:00Z</dcterms:created>
  <dcterms:modified xsi:type="dcterms:W3CDTF">2022-04-21T22:45:00Z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id="Lud3DmA7"/&gt;&lt;style id="http://www.zotero.org/styles/harvard-cite-them-right" hasBibliography="1" bibliographyStyleHasBeenSet="1"/&gt;&lt;prefs&gt;&lt;pref name="fieldType" value="Field"/&gt;&lt;/prefs&gt;&lt;/data&gt;</vt:lpwstr>
  </property>
</Properties>
</file>