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5103"/>
        </w:tabs>
        <w:jc w:val="center"/>
        <w:rPr>
          <w:rFonts w:ascii="Arial" w:hAnsi="Arial" w:cs="Arial"/>
          <w:b/>
          <w:bCs/>
          <w:sz w:val="24"/>
          <w:szCs w:val="24"/>
        </w:rPr>
      </w:pPr>
      <w:r>
        <w:rPr>
          <w:rFonts w:ascii="Arial" w:hAnsi="Arial" w:cs="Arial"/>
          <w:b/>
          <w:bCs/>
          <w:sz w:val="24"/>
          <w:szCs w:val="24"/>
        </w:rPr>
        <w:t>APPLICATION FOR ETHICAL APPROVAL</w:t>
      </w:r>
    </w:p>
    <w:p>
      <w:pPr>
        <w:tabs>
          <w:tab w:val="left" w:pos="5103"/>
        </w:tabs>
        <w:jc w:val="center"/>
        <w:rPr>
          <w:rFonts w:ascii="Arial" w:hAnsi="Arial" w:cs="Arial"/>
          <w:b/>
          <w:bCs/>
        </w:rPr>
      </w:pPr>
    </w:p>
    <w:p>
      <w:pPr>
        <w:tabs>
          <w:tab w:val="left" w:pos="5103"/>
        </w:tabs>
        <w:jc w:val="both"/>
        <w:rPr>
          <w:rFonts w:ascii="Arial" w:hAnsi="Arial" w:cs="Arial"/>
          <w:b/>
          <w:bCs/>
          <w:sz w:val="22"/>
          <w:szCs w:val="22"/>
        </w:rPr>
      </w:pPr>
    </w:p>
    <w:p>
      <w:pPr>
        <w:tabs>
          <w:tab w:val="left" w:pos="5103"/>
        </w:tabs>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pPr>
        <w:tabs>
          <w:tab w:val="left" w:pos="5103"/>
        </w:tabs>
        <w:jc w:val="center"/>
        <w:rPr>
          <w:rFonts w:ascii="Arial" w:hAnsi="Arial" w:cs="Arial"/>
          <w:b/>
          <w:bCs/>
          <w:sz w:val="16"/>
          <w:szCs w:val="16"/>
        </w:rPr>
      </w:pPr>
    </w:p>
    <w:p>
      <w:pPr>
        <w:tabs>
          <w:tab w:val="left" w:pos="5103"/>
        </w:tabs>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pPr>
        <w:tabs>
          <w:tab w:val="left" w:pos="5103"/>
        </w:tabs>
        <w:jc w:val="both"/>
        <w:rPr>
          <w:rFonts w:ascii="Arial" w:hAnsi="Arial" w:cs="Arial"/>
          <w:sz w:val="22"/>
          <w:szCs w:val="22"/>
        </w:rPr>
      </w:pPr>
    </w:p>
    <w:p>
      <w:pPr>
        <w:tabs>
          <w:tab w:val="left" w:pos="5103"/>
        </w:tabs>
        <w:jc w:val="both"/>
        <w:rPr>
          <w:rFonts w:ascii="Arial" w:hAnsi="Arial" w:cs="Arial"/>
          <w:sz w:val="22"/>
          <w:szCs w:val="22"/>
        </w:rPr>
      </w:pPr>
      <w:r>
        <w:rPr>
          <w:rFonts w:ascii="Arial" w:hAnsi="Arial" w:cs="Arial"/>
          <w:sz w:val="22"/>
          <w:szCs w:val="22"/>
        </w:rPr>
        <w:t>The individual undertaking the research activity is known as the “principal researcher”.</w:t>
      </w:r>
    </w:p>
    <w:p>
      <w:pPr>
        <w:tabs>
          <w:tab w:val="left" w:pos="5103"/>
        </w:tabs>
        <w:jc w:val="both"/>
        <w:rPr>
          <w:rFonts w:ascii="Arial" w:hAnsi="Arial" w:cs="Arial"/>
          <w:sz w:val="22"/>
          <w:szCs w:val="22"/>
        </w:rPr>
      </w:pPr>
    </w:p>
    <w:p>
      <w:pPr>
        <w:tabs>
          <w:tab w:val="left" w:pos="5103"/>
        </w:tabs>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pPr>
        <w:tabs>
          <w:tab w:val="left" w:pos="5103"/>
        </w:tabs>
        <w:jc w:val="both"/>
        <w:rPr>
          <w:rFonts w:ascii="Arial" w:hAnsi="Arial" w:cs="Arial"/>
          <w:sz w:val="22"/>
          <w:szCs w:val="22"/>
        </w:rPr>
      </w:pPr>
    </w:p>
    <w:p>
      <w:pPr>
        <w:tabs>
          <w:tab w:val="left" w:pos="5103"/>
        </w:tabs>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pPr>
        <w:autoSpaceDE w:val="0"/>
        <w:autoSpaceDN w:val="0"/>
        <w:adjustRightInd w:val="0"/>
        <w:jc w:val="both"/>
        <w:rPr>
          <w:rFonts w:ascii="Arial" w:hAnsi="Arial" w:cs="Arial"/>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11"/>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2544"/>
        <w:gridCol w:w="709"/>
        <w:gridCol w:w="2551"/>
        <w:gridCol w:w="709"/>
        <w:gridCol w:w="2526"/>
        <w:gridCol w:w="850"/>
      </w:tblGrid>
      <w:tr>
        <w:trPr>
          <w:trHeight w:val="439"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1</w:t>
            </w:r>
          </w:p>
        </w:tc>
        <w:tc>
          <w:tcPr>
            <w:tcW w:w="3253" w:type="dxa"/>
            <w:gridSpan w:val="2"/>
            <w:shd w:val="clear" w:color="auto" w:fill="F1F1F1" w:themeFill="background1" w:themeFillShade="F2"/>
            <w:vAlign w:val="center"/>
          </w:tcPr>
          <w:p>
            <w:pPr>
              <w:rPr>
                <w:rFonts w:ascii="Arial" w:hAnsi="Arial" w:cs="Arial"/>
                <w:sz w:val="22"/>
                <w:szCs w:val="22"/>
              </w:rPr>
            </w:pPr>
            <w:r>
              <w:rPr>
                <w:rFonts w:ascii="Arial" w:hAnsi="Arial" w:cs="Arial"/>
                <w:sz w:val="22"/>
                <w:szCs w:val="22"/>
              </w:rPr>
              <w:t>Full Name:</w:t>
            </w:r>
          </w:p>
        </w:tc>
        <w:tc>
          <w:tcPr>
            <w:tcW w:w="6636" w:type="dxa"/>
            <w:gridSpan w:val="4"/>
            <w:vAlign w:val="center"/>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Wenrui Yin</w:t>
            </w:r>
          </w:p>
        </w:tc>
      </w:tr>
      <w:tr>
        <w:trPr>
          <w:trHeight w:val="472" w:hRule="atLeast"/>
        </w:trPr>
        <w:tc>
          <w:tcPr>
            <w:tcW w:w="559" w:type="dxa"/>
            <w:shd w:val="clear" w:color="auto" w:fill="BEBEBE" w:themeFill="background1" w:themeFillShade="BF"/>
            <w:vAlign w:val="center"/>
          </w:tcPr>
          <w:p>
            <w:pPr>
              <w:rPr>
                <w:rFonts w:ascii="Arial" w:hAnsi="Arial" w:cs="Arial"/>
                <w:sz w:val="22"/>
                <w:szCs w:val="22"/>
              </w:rPr>
            </w:pPr>
            <w:r>
              <w:rPr>
                <w:rFonts w:ascii="Arial" w:hAnsi="Arial" w:cs="Arial"/>
                <w:sz w:val="22"/>
                <w:szCs w:val="22"/>
              </w:rPr>
              <w:t>2</w:t>
            </w:r>
          </w:p>
        </w:tc>
        <w:tc>
          <w:tcPr>
            <w:tcW w:w="3253" w:type="dxa"/>
            <w:gridSpan w:val="2"/>
            <w:shd w:val="clear" w:color="auto" w:fill="BEBEBE" w:themeFill="background1" w:themeFillShade="BF"/>
            <w:vAlign w:val="center"/>
          </w:tcPr>
          <w:p>
            <w:pPr>
              <w:rPr>
                <w:rFonts w:ascii="Arial" w:hAnsi="Arial" w:cs="Arial"/>
                <w:sz w:val="22"/>
                <w:szCs w:val="22"/>
              </w:rPr>
            </w:pPr>
            <w:r>
              <w:rPr>
                <w:rFonts w:ascii="Arial" w:hAnsi="Arial" w:cs="Arial"/>
                <w:sz w:val="22"/>
                <w:szCs w:val="22"/>
              </w:rPr>
              <w:t>Tick all boxes that apply:</w:t>
            </w:r>
          </w:p>
        </w:tc>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Member of staff:</w:t>
            </w:r>
          </w:p>
        </w:tc>
        <w:tc>
          <w:tcPr>
            <w:tcW w:w="709" w:type="dxa"/>
            <w:shd w:val="clear" w:color="auto" w:fill="BEBEBE" w:themeFill="background1" w:themeFillShade="BF"/>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Honorary research fellow:</w:t>
            </w:r>
          </w:p>
        </w:tc>
        <w:tc>
          <w:tcPr>
            <w:tcW w:w="850" w:type="dxa"/>
            <w:shd w:val="clear" w:color="auto" w:fill="BEBEBE" w:themeFill="background1" w:themeFillShade="BF"/>
            <w:vAlign w:val="center"/>
          </w:tcPr>
          <w:p>
            <w:pPr>
              <w:jc w:val="center"/>
              <w:rPr>
                <w:rFonts w:ascii="Arial" w:hAnsi="Arial" w:cs="Arial"/>
                <w:sz w:val="22"/>
                <w:szCs w:val="22"/>
              </w:rPr>
            </w:pPr>
            <w:r>
              <w:rPr>
                <w:rFonts w:ascii="Segoe UI Symbol" w:hAnsi="Segoe UI Symbol" w:eastAsia="MS Gothic" w:cs="Segoe UI Symbol"/>
                <w:sz w:val="22"/>
                <w:szCs w:val="22"/>
              </w:rPr>
              <w:t>☐</w:t>
            </w:r>
          </w:p>
        </w:tc>
      </w:tr>
      <w:tr>
        <w:trPr>
          <w:trHeight w:val="472" w:hRule="atLeast"/>
        </w:trPr>
        <w:tc>
          <w:tcPr>
            <w:tcW w:w="559" w:type="dxa"/>
            <w:shd w:val="clear" w:color="auto" w:fill="F1F1F1" w:themeFill="background1" w:themeFillShade="F2"/>
            <w:vAlign w:val="center"/>
          </w:tcPr>
          <w:p>
            <w:pPr>
              <w:rPr>
                <w:rFonts w:ascii="Arial" w:hAnsi="Arial" w:cs="Arial"/>
                <w:sz w:val="22"/>
                <w:szCs w:val="22"/>
              </w:rPr>
            </w:pPr>
          </w:p>
        </w:tc>
        <w:tc>
          <w:tcPr>
            <w:tcW w:w="2544"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ascii="Segoe UI Symbol" w:hAnsi="Segoe UI Symbol" w:eastAsia="MS Gothic" w:cs="Segoe UI Symbol"/>
                    <w:sz w:val="22"/>
                    <w:szCs w:val="22"/>
                  </w:rPr>
                  <w:t>☐</w:t>
                </w:r>
              </w:p>
            </w:tc>
          </w:sdtContent>
        </w:sdt>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jc w:val="center"/>
                  <w:rPr>
                    <w:rFonts w:ascii="Arial" w:hAnsi="Arial" w:cs="Arial"/>
                    <w:sz w:val="22"/>
                    <w:szCs w:val="22"/>
                  </w:rPr>
                </w:pPr>
                <w:r>
                  <w:rPr>
                    <w:rFonts w:ascii="Segoe UI Symbol" w:hAnsi="Segoe UI Symbol" w:eastAsia="MS Gothic" w:cs="Segoe UI Symbol"/>
                    <w:sz w:val="22"/>
                    <w:szCs w:val="22"/>
                  </w:rPr>
                  <w:t>☐</w:t>
                </w:r>
              </w:p>
            </w:tc>
          </w:sdtContent>
        </w:sdt>
      </w:tr>
    </w:tbl>
    <w:p>
      <w:pPr>
        <w:rPr>
          <w:rFonts w:ascii="Arial" w:hAnsi="Arial" w:cs="Arial"/>
          <w:bCs/>
          <w:iCs/>
          <w:sz w:val="16"/>
          <w:szCs w:val="16"/>
        </w:rPr>
      </w:pPr>
    </w:p>
    <w:tbl>
      <w:tblPr>
        <w:tblStyle w:val="11"/>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3253"/>
        <w:gridCol w:w="6636"/>
      </w:tblGrid>
      <w:tr>
        <w:trPr>
          <w:cantSplit/>
          <w:trHeight w:val="334"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3</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Institute/Academic Discipline/Centre:</w:t>
            </w:r>
          </w:p>
        </w:tc>
        <w:tc>
          <w:tcPr>
            <w:tcW w:w="6636" w:type="dxa"/>
            <w:vAlign w:val="center"/>
          </w:tcPr>
          <w:p>
            <w:pPr>
              <w:rPr>
                <w:rFonts w:ascii="Arial" w:hAnsi="Arial" w:cs="Arial"/>
                <w:sz w:val="22"/>
                <w:szCs w:val="22"/>
              </w:rPr>
            </w:pPr>
            <w:r>
              <w:rPr>
                <w:rFonts w:ascii="Arial" w:hAnsi="Arial" w:cs="Arial"/>
                <w:sz w:val="22"/>
                <w:szCs w:val="22"/>
                <w:lang w:val="en-US" w:eastAsia="zh-CN"/>
              </w:rPr>
              <w:t>Education and Humanities</w:t>
            </w:r>
          </w:p>
          <w:p>
            <w:pPr>
              <w:rPr>
                <w:rFonts w:ascii="Arial" w:hAnsi="Arial" w:cs="Arial"/>
                <w:sz w:val="22"/>
                <w:szCs w:val="22"/>
              </w:rPr>
            </w:pPr>
          </w:p>
        </w:tc>
      </w:tr>
      <w:tr>
        <w:trPr>
          <w:cantSplit/>
          <w:trHeight w:val="340"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4</w:t>
            </w:r>
          </w:p>
        </w:tc>
        <w:tc>
          <w:tcPr>
            <w:tcW w:w="3253" w:type="dxa"/>
            <w:shd w:val="clear" w:color="auto" w:fill="F1F1F1" w:themeFill="background1" w:themeFillShade="F2"/>
            <w:vAlign w:val="center"/>
          </w:tcPr>
          <w:p>
            <w:pPr>
              <w:jc w:val="left"/>
              <w:rPr>
                <w:rFonts w:ascii="Arial" w:hAnsi="Arial" w:cs="Arial"/>
                <w:sz w:val="22"/>
                <w:szCs w:val="22"/>
              </w:rPr>
            </w:pPr>
            <w:r>
              <w:rPr>
                <w:rFonts w:ascii="Arial" w:hAnsi="Arial" w:cs="Arial"/>
                <w:sz w:val="22"/>
                <w:szCs w:val="22"/>
              </w:rPr>
              <w:t>Campus:</w:t>
            </w:r>
          </w:p>
        </w:tc>
        <w:tc>
          <w:tcPr>
            <w:tcW w:w="6636" w:type="dxa"/>
            <w:vAlign w:val="center"/>
          </w:tcPr>
          <w:p>
            <w:pPr>
              <w:jc w:val="left"/>
              <w:rPr>
                <w:rFonts w:ascii="Arial" w:hAnsi="Arial" w:cs="Arial"/>
                <w:sz w:val="22"/>
                <w:szCs w:val="22"/>
              </w:rPr>
            </w:pPr>
            <w:r>
              <w:rPr>
                <w:rFonts w:ascii="Arial" w:hAnsi="Arial" w:cs="Arial"/>
                <w:sz w:val="22"/>
                <w:szCs w:val="22"/>
                <w:lang w:val="en-US" w:eastAsia="zh-CN"/>
              </w:rPr>
              <w:t>Swansea, SA1</w:t>
            </w:r>
          </w:p>
          <w:p>
            <w:pPr>
              <w:jc w:val="left"/>
              <w:rPr>
                <w:rFonts w:ascii="Arial" w:hAnsi="Arial" w:cs="Arial"/>
                <w:sz w:val="22"/>
                <w:szCs w:val="22"/>
              </w:rPr>
            </w:pPr>
          </w:p>
        </w:tc>
      </w:tr>
      <w:tr>
        <w:trPr>
          <w:cantSplit/>
          <w:trHeight w:val="340"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5</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E-mail address:</w:t>
            </w:r>
          </w:p>
        </w:tc>
        <w:tc>
          <w:tcPr>
            <w:tcW w:w="6636" w:type="dxa"/>
            <w:vAlign w:val="center"/>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yinwenruimm@163.com</w:t>
            </w:r>
          </w:p>
          <w:p>
            <w:pPr>
              <w:rPr>
                <w:rFonts w:ascii="Arial" w:hAnsi="Arial" w:cs="Arial"/>
                <w:sz w:val="22"/>
                <w:szCs w:val="22"/>
              </w:rPr>
            </w:pPr>
          </w:p>
        </w:tc>
      </w:tr>
      <w:tr>
        <w:trPr>
          <w:cantSplit/>
          <w:trHeight w:val="340"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6</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Contact Telephone Number:</w:t>
            </w:r>
          </w:p>
        </w:tc>
        <w:tc>
          <w:tcPr>
            <w:tcW w:w="6636" w:type="dxa"/>
            <w:vAlign w:val="center"/>
          </w:tcPr>
          <w:p>
            <w:pPr>
              <w:rPr>
                <w:rFonts w:ascii="Arial" w:hAnsi="Arial" w:cs="Arial"/>
                <w:sz w:val="22"/>
                <w:szCs w:val="22"/>
              </w:rPr>
            </w:pPr>
            <w:r>
              <w:rPr>
                <w:rFonts w:hint="eastAsia" w:ascii="Arial" w:hAnsi="Arial" w:cs="Arial"/>
                <w:sz w:val="22"/>
                <w:szCs w:val="22"/>
              </w:rPr>
              <w:t>07538577271</w:t>
            </w:r>
          </w:p>
          <w:p>
            <w:pPr>
              <w:rPr>
                <w:rFonts w:ascii="Arial" w:hAnsi="Arial" w:cs="Arial"/>
                <w:sz w:val="22"/>
                <w:szCs w:val="22"/>
              </w:rPr>
            </w:pPr>
          </w:p>
        </w:tc>
      </w:tr>
      <w:tr>
        <w:tc>
          <w:tcPr>
            <w:tcW w:w="559" w:type="dxa"/>
            <w:shd w:val="clear" w:color="auto" w:fill="BEBEBE" w:themeFill="background1" w:themeFillShade="BF"/>
            <w:vAlign w:val="center"/>
          </w:tcPr>
          <w:p>
            <w:pPr>
              <w:rPr>
                <w:rFonts w:ascii="Arial" w:hAnsi="Arial" w:cs="Arial"/>
                <w:b/>
                <w:i/>
                <w:sz w:val="22"/>
                <w:szCs w:val="22"/>
              </w:rPr>
            </w:pPr>
          </w:p>
        </w:tc>
        <w:tc>
          <w:tcPr>
            <w:tcW w:w="9889" w:type="dxa"/>
            <w:gridSpan w:val="2"/>
            <w:shd w:val="clear" w:color="auto" w:fill="BEBEBE" w:themeFill="background1" w:themeFillShade="BF"/>
            <w:vAlign w:val="center"/>
          </w:tcPr>
          <w:p>
            <w:pPr>
              <w:rPr>
                <w:rFonts w:ascii="Arial" w:hAnsi="Arial" w:cs="Arial"/>
                <w:sz w:val="22"/>
                <w:szCs w:val="22"/>
              </w:rPr>
            </w:pPr>
            <w:r>
              <w:rPr>
                <w:rFonts w:ascii="Arial" w:hAnsi="Arial" w:cs="Arial"/>
                <w:b/>
                <w:i/>
                <w:sz w:val="22"/>
                <w:szCs w:val="22"/>
              </w:rPr>
              <w:t>For students:</w:t>
            </w:r>
          </w:p>
        </w:tc>
      </w:tr>
      <w:tr>
        <w:trPr>
          <w:trHeight w:val="513"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7</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Student Number:</w:t>
            </w:r>
          </w:p>
        </w:tc>
        <w:tc>
          <w:tcPr>
            <w:tcW w:w="6636" w:type="dxa"/>
            <w:vAlign w:val="center"/>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2319170</w:t>
            </w:r>
          </w:p>
        </w:tc>
      </w:tr>
      <w:tr>
        <w:trPr>
          <w:trHeight w:val="549"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8</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Programme of Study:</w:t>
            </w:r>
          </w:p>
        </w:tc>
        <w:tc>
          <w:tcPr>
            <w:tcW w:w="6636" w:type="dxa"/>
            <w:vAlign w:val="center"/>
          </w:tcPr>
          <w:p>
            <w:pPr>
              <w:rPr>
                <w:rFonts w:ascii="Arial" w:hAnsi="Arial" w:cs="Arial"/>
                <w:sz w:val="22"/>
                <w:szCs w:val="22"/>
              </w:rPr>
            </w:pPr>
            <w:r>
              <w:rPr>
                <w:rFonts w:ascii="Arial" w:hAnsi="Arial" w:cs="Arial"/>
                <w:sz w:val="22"/>
                <w:szCs w:val="22"/>
              </w:rPr>
              <w:t>Doctorate in Education (EdD)</w:t>
            </w:r>
          </w:p>
          <w:p>
            <w:pPr>
              <w:rPr>
                <w:rFonts w:ascii="Arial" w:hAnsi="Arial" w:cs="Arial"/>
                <w:sz w:val="22"/>
                <w:szCs w:val="22"/>
              </w:rPr>
            </w:pPr>
          </w:p>
        </w:tc>
      </w:tr>
      <w:tr>
        <w:trPr>
          <w:trHeight w:val="557"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9</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Director of Studies/Supervisor:</w:t>
            </w:r>
          </w:p>
        </w:tc>
        <w:tc>
          <w:tcPr>
            <w:tcW w:w="6636" w:type="dxa"/>
            <w:vAlign w:val="center"/>
          </w:tcPr>
          <w:p>
            <w:pPr>
              <w:rPr>
                <w:rFonts w:ascii="Arial" w:hAnsi="Arial" w:cs="Arial"/>
                <w:sz w:val="22"/>
                <w:szCs w:val="22"/>
              </w:rPr>
            </w:pPr>
            <w:r>
              <w:rPr>
                <w:rFonts w:ascii="Arial" w:hAnsi="Arial" w:cs="Arial"/>
                <w:sz w:val="22"/>
                <w:szCs w:val="22"/>
                <w:lang w:val="en-US" w:eastAsia="zh-CN"/>
              </w:rPr>
              <w:fldChar w:fldCharType="begin"/>
            </w:r>
            <w:r>
              <w:rPr>
                <w:rFonts w:ascii="Arial" w:hAnsi="Arial" w:cs="Arial"/>
                <w:sz w:val="22"/>
                <w:szCs w:val="22"/>
                <w:lang w:val="en-US" w:eastAsia="zh-CN"/>
              </w:rPr>
              <w:instrText xml:space="preserve"> HYPERLINK "mailto:C.Morgan@uwtsd.ac.uk" </w:instrText>
            </w:r>
            <w:r>
              <w:rPr>
                <w:rFonts w:ascii="Arial" w:hAnsi="Arial" w:cs="Arial"/>
                <w:sz w:val="22"/>
                <w:szCs w:val="22"/>
                <w:lang w:val="en-US" w:eastAsia="zh-CN"/>
              </w:rPr>
              <w:fldChar w:fldCharType="separate"/>
            </w:r>
            <w:r>
              <w:rPr>
                <w:rFonts w:hint="default" w:ascii="Arial" w:hAnsi="Arial" w:cs="Arial"/>
                <w:sz w:val="22"/>
                <w:szCs w:val="22"/>
              </w:rPr>
              <w:t>Catherine Morgan</w:t>
            </w:r>
            <w:r>
              <w:rPr>
                <w:rFonts w:hint="default" w:ascii="Arial" w:hAnsi="Arial" w:cs="Arial"/>
                <w:sz w:val="22"/>
                <w:szCs w:val="22"/>
                <w:lang w:val="en-US" w:eastAsia="zh-CN"/>
              </w:rPr>
              <w:fldChar w:fldCharType="end"/>
            </w:r>
          </w:p>
          <w:p>
            <w:pPr>
              <w:rPr>
                <w:rFonts w:ascii="Arial" w:hAnsi="Arial" w:cs="Arial"/>
                <w:sz w:val="22"/>
                <w:szCs w:val="22"/>
              </w:rPr>
            </w:pPr>
          </w:p>
        </w:tc>
      </w:tr>
    </w:tbl>
    <w:p>
      <w:pPr>
        <w:rPr>
          <w:rFonts w:ascii="Arial" w:hAnsi="Arial" w:cs="Arial"/>
          <w:bCs/>
          <w:iCs/>
        </w:rPr>
      </w:pPr>
    </w:p>
    <w:p>
      <w:pPr>
        <w:rPr>
          <w:rFonts w:ascii="Arial" w:hAnsi="Arial" w:cs="Arial"/>
          <w:b/>
          <w:sz w:val="22"/>
          <w:szCs w:val="22"/>
        </w:rPr>
      </w:pPr>
    </w:p>
    <w:p>
      <w:pPr>
        <w:rPr>
          <w:rFonts w:ascii="Arial" w:hAnsi="Arial" w:cs="Arial"/>
          <w:b/>
          <w:sz w:val="22"/>
          <w:szCs w:val="22"/>
        </w:rPr>
      </w:pPr>
    </w:p>
    <w:p>
      <w:pPr>
        <w:rPr>
          <w:rFonts w:ascii="Arial" w:hAnsi="Arial" w:cs="Arial"/>
          <w:b/>
          <w:sz w:val="22"/>
          <w:szCs w:val="22"/>
        </w:rPr>
      </w:pPr>
    </w:p>
    <w:p>
      <w:pPr>
        <w:rPr>
          <w:rFonts w:ascii="Arial" w:hAnsi="Arial" w:cs="Arial"/>
          <w:b/>
          <w:sz w:val="22"/>
          <w:szCs w:val="22"/>
        </w:rPr>
      </w:pPr>
    </w:p>
    <w:p>
      <w:pPr>
        <w:rPr>
          <w:rFonts w:ascii="Arial" w:hAnsi="Arial" w:cs="Arial"/>
          <w:b/>
          <w:sz w:val="22"/>
          <w:szCs w:val="22"/>
        </w:rPr>
      </w:pPr>
    </w:p>
    <w:p>
      <w:pPr>
        <w:rPr>
          <w:rFonts w:ascii="Arial" w:hAnsi="Arial" w:cs="Arial"/>
          <w:b/>
          <w:sz w:val="22"/>
          <w:szCs w:val="22"/>
        </w:rPr>
      </w:pPr>
    </w:p>
    <w:p>
      <w:pPr>
        <w:rPr>
          <w:rFonts w:ascii="Arial" w:hAnsi="Arial" w:cs="Arial"/>
          <w:b/>
          <w:sz w:val="22"/>
          <w:szCs w:val="22"/>
        </w:rPr>
      </w:pPr>
    </w:p>
    <w:p>
      <w:pPr>
        <w:rPr>
          <w:rFonts w:ascii="Arial" w:hAnsi="Arial" w:cs="Arial"/>
          <w:b/>
          <w:sz w:val="22"/>
          <w:szCs w:val="22"/>
        </w:rPr>
      </w:pPr>
    </w:p>
    <w:p>
      <w:pPr>
        <w:rPr>
          <w:rFonts w:ascii="Arial" w:hAnsi="Arial" w:cs="Arial"/>
          <w:b/>
          <w:sz w:val="22"/>
          <w:szCs w:val="22"/>
        </w:rPr>
      </w:pPr>
    </w:p>
    <w:p>
      <w:pPr>
        <w:rPr>
          <w:rFonts w:ascii="Arial" w:hAnsi="Arial" w:cs="Arial"/>
          <w:b/>
          <w:sz w:val="22"/>
          <w:szCs w:val="22"/>
        </w:rPr>
      </w:pPr>
      <w:r>
        <w:rPr>
          <w:rFonts w:ascii="Arial" w:hAnsi="Arial" w:cs="Arial"/>
          <w:b/>
          <w:sz w:val="22"/>
          <w:szCs w:val="22"/>
        </w:rPr>
        <w:br w:type="page"/>
      </w:r>
    </w:p>
    <w:p>
      <w:pPr>
        <w:rPr>
          <w:rFonts w:ascii="Arial" w:hAnsi="Arial" w:cs="Arial"/>
          <w:b/>
          <w:sz w:val="22"/>
          <w:szCs w:val="22"/>
        </w:rPr>
      </w:pPr>
    </w:p>
    <w:p>
      <w:pPr>
        <w:rPr>
          <w:rFonts w:ascii="Arial" w:hAnsi="Arial" w:cs="Arial"/>
          <w:b/>
          <w:sz w:val="22"/>
          <w:szCs w:val="22"/>
        </w:rPr>
      </w:pPr>
    </w:p>
    <w:p>
      <w:pPr>
        <w:rPr>
          <w:rFonts w:ascii="Arial" w:hAnsi="Arial" w:cs="Arial"/>
          <w:b/>
          <w:sz w:val="22"/>
          <w:szCs w:val="22"/>
        </w:rPr>
      </w:pPr>
      <w:r>
        <w:rPr>
          <w:rFonts w:ascii="Arial" w:hAnsi="Arial" w:cs="Arial"/>
          <w:b/>
          <w:sz w:val="22"/>
          <w:szCs w:val="22"/>
        </w:rPr>
        <w:t>SECTION H: Anticipated Risks</w:t>
      </w:r>
    </w:p>
    <w:p>
      <w:pPr>
        <w:rPr>
          <w:rFonts w:ascii="Arial" w:hAnsi="Arial" w:cs="Arial"/>
          <w:b/>
          <w:sz w:val="22"/>
          <w:szCs w:val="22"/>
        </w:rPr>
      </w:pPr>
    </w:p>
    <w:tbl>
      <w:tblPr>
        <w:tblStyle w:val="11"/>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4991"/>
        <w:gridCol w:w="3402"/>
        <w:gridCol w:w="850"/>
        <w:gridCol w:w="680"/>
      </w:tblGrid>
      <w:tr>
        <w:tc>
          <w:tcPr>
            <w:tcW w:w="596" w:type="dxa"/>
            <w:tcBorders>
              <w:bottom w:val="single" w:color="auto" w:sz="4" w:space="0"/>
            </w:tcBorders>
            <w:shd w:val="clear" w:color="auto" w:fill="F1F1F1" w:themeFill="background1" w:themeFillShade="F2"/>
          </w:tcPr>
          <w:p>
            <w:pPr>
              <w:pStyle w:val="2"/>
              <w:jc w:val="left"/>
              <w:rPr>
                <w:rFonts w:ascii="Arial" w:hAnsi="Arial" w:cs="Arial"/>
                <w:b w:val="0"/>
                <w:bCs w:val="0"/>
              </w:rPr>
            </w:pPr>
          </w:p>
        </w:tc>
        <w:tc>
          <w:tcPr>
            <w:tcW w:w="9923" w:type="dxa"/>
            <w:gridSpan w:val="4"/>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宋体"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pPr>
              <w:rPr>
                <w:rFonts w:ascii="Arial" w:hAnsi="Arial" w:cs="Arial"/>
              </w:rPr>
            </w:pPr>
          </w:p>
          <w:p>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tc>
          <w:tcPr>
            <w:tcW w:w="596" w:type="dxa"/>
            <w:vMerge w:val="restart"/>
            <w:shd w:val="clear" w:color="auto" w:fill="F1F1F1" w:themeFill="background1" w:themeFillShade="F2"/>
            <w:vAlign w:val="center"/>
          </w:tcPr>
          <w:p>
            <w:pPr>
              <w:pStyle w:val="2"/>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1F1F1" w:themeFill="background1" w:themeFillShade="F2"/>
            <w:vAlign w:val="center"/>
          </w:tcPr>
          <w:p>
            <w:pPr>
              <w:pStyle w:val="2"/>
              <w:jc w:val="left"/>
              <w:rPr>
                <w:rFonts w:ascii="Arial" w:hAnsi="Arial" w:cs="Arial"/>
                <w:sz w:val="20"/>
                <w:szCs w:val="16"/>
              </w:rPr>
            </w:pPr>
            <w:r>
              <w:rPr>
                <w:rFonts w:ascii="Arial" w:hAnsi="Arial" w:cs="Arial"/>
                <w:sz w:val="20"/>
                <w:szCs w:val="16"/>
              </w:rPr>
              <w:t xml:space="preserve">Full risk assessment completed and appended? </w:t>
            </w: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 xml:space="preserve">Yes </w:t>
            </w:r>
          </w:p>
        </w:tc>
        <w:tc>
          <w:tcPr>
            <w:tcW w:w="680" w:type="dxa"/>
            <w:tcBorders>
              <w:bottom w:val="single" w:color="auto" w:sz="4" w:space="0"/>
            </w:tcBorders>
            <w:shd w:val="clear" w:color="auto" w:fill="BEBEBE" w:themeFill="background1" w:themeFillShade="BF"/>
          </w:tcPr>
          <w:p>
            <w:pPr>
              <w:pStyle w:val="2"/>
              <w:rPr>
                <w:rFonts w:ascii="Arial" w:hAnsi="Arial" w:cs="Arial"/>
                <w:sz w:val="20"/>
                <w:szCs w:val="16"/>
              </w:rPr>
            </w:pPr>
            <w:sdt>
              <w:sdtPr>
                <w:rPr>
                  <w:rFonts w:ascii="Arial" w:hAnsi="Arial" w:cs="Arial"/>
                  <w:b w:val="0"/>
                  <w:bCs w:val="0"/>
                </w:rPr>
                <w:id w:val="-1"/>
                <w14:checkbox>
                  <w14:checked w14:val="0"/>
                  <w14:checkedState w14:val="2612" w14:font="MS Gothic"/>
                  <w14:uncheckedState w14:val="2610" w14:font="MS Gothic"/>
                </w14:checkbox>
              </w:sdtPr>
              <w:sdtEndPr>
                <w:rPr>
                  <w:rFonts w:ascii="Arial" w:hAnsi="Arial" w:cs="Arial"/>
                  <w:b w:val="0"/>
                  <w:bCs w:val="0"/>
                </w:rPr>
              </w:sdtEndPr>
              <w:sdtContent>
                <w:r>
                  <w:rPr>
                    <w:rFonts w:ascii="MS Gothic" w:hAnsi="MS Gothic" w:eastAsia="MS Gothic" w:cs="Segoe UI Symbol"/>
                    <w:b w:val="0"/>
                    <w:bCs w:val="0"/>
                    <w:sz w:val="22"/>
                    <w:szCs w:val="22"/>
                    <w:lang w:val="en-GB" w:eastAsia="en-US" w:bidi="ar-SA"/>
                  </w:rPr>
                  <w:t>☐</w:t>
                </w:r>
              </w:sdtContent>
            </w:sdt>
          </w:p>
        </w:tc>
      </w:tr>
      <w:tr>
        <w:tc>
          <w:tcPr>
            <w:tcW w:w="596" w:type="dxa"/>
            <w:vMerge w:val="continue"/>
            <w:tcBorders>
              <w:bottom w:val="single" w:color="auto" w:sz="4" w:space="0"/>
            </w:tcBorders>
            <w:shd w:val="clear" w:color="auto" w:fill="F1F1F1" w:themeFill="background1" w:themeFillShade="F2"/>
            <w:vAlign w:val="center"/>
          </w:tcPr>
          <w:p>
            <w:pPr>
              <w:pStyle w:val="2"/>
              <w:rPr>
                <w:rFonts w:ascii="Arial" w:hAnsi="Arial" w:cs="Arial"/>
                <w:b w:val="0"/>
                <w:bCs w:val="0"/>
                <w:sz w:val="20"/>
                <w:szCs w:val="16"/>
              </w:rPr>
            </w:pPr>
          </w:p>
        </w:tc>
        <w:tc>
          <w:tcPr>
            <w:tcW w:w="8393" w:type="dxa"/>
            <w:gridSpan w:val="2"/>
            <w:vMerge w:val="continue"/>
            <w:tcBorders>
              <w:bottom w:val="single" w:color="auto" w:sz="4" w:space="0"/>
            </w:tcBorders>
            <w:shd w:val="clear" w:color="auto" w:fill="F1F1F1" w:themeFill="background1" w:themeFillShade="F2"/>
          </w:tcPr>
          <w:p>
            <w:pPr>
              <w:pStyle w:val="2"/>
              <w:jc w:val="left"/>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No</w:t>
            </w:r>
          </w:p>
        </w:tc>
        <w:tc>
          <w:tcPr>
            <w:tcW w:w="680" w:type="dxa"/>
            <w:tcBorders>
              <w:bottom w:val="single" w:color="auto" w:sz="4" w:space="0"/>
            </w:tcBorders>
            <w:shd w:val="clear" w:color="auto" w:fill="BEBEBE" w:themeFill="background1" w:themeFillShade="BF"/>
          </w:tcPr>
          <w:p>
            <w:pPr>
              <w:pStyle w:val="2"/>
              <w:rPr>
                <w:rFonts w:ascii="Arial" w:hAnsi="Arial" w:cs="Arial"/>
                <w:b w:val="0"/>
                <w:bCs w:val="0"/>
              </w:rPr>
            </w:pPr>
            <w:sdt>
              <w:sdtPr>
                <w:rPr>
                  <w:rFonts w:ascii="Arial" w:hAnsi="Arial" w:cs="Arial"/>
                  <w:b w:val="0"/>
                  <w:bCs w:val="0"/>
                </w:rPr>
                <w:id w:val="-1"/>
                <w14:checkbox>
                  <w14:checked w14:val="1"/>
                  <w14:checkedState w14:val="2612" w14:font="MS Gothic"/>
                  <w14:uncheckedState w14:val="2610" w14:font="MS Gothic"/>
                </w14:checkbox>
              </w:sdtPr>
              <w:sdtEndPr>
                <w:rPr>
                  <w:rFonts w:ascii="Arial" w:hAnsi="Arial" w:cs="Arial"/>
                  <w:b w:val="0"/>
                  <w:bCs w:val="0"/>
                </w:rPr>
              </w:sdtEndPr>
              <w:sdtContent>
                <w:r>
                  <w:rPr>
                    <w:rFonts w:ascii="MS Gothic" w:hAnsi="MS Gothic" w:eastAsia="MS Gothic" w:cs="Segoe UI Symbol"/>
                    <w:b w:val="0"/>
                    <w:bCs w:val="0"/>
                    <w:sz w:val="22"/>
                    <w:szCs w:val="22"/>
                    <w:lang w:val="en-GB" w:eastAsia="en-US" w:bidi="ar-SA"/>
                  </w:rPr>
                  <w:t>☒</w:t>
                </w:r>
              </w:sdtContent>
            </w:sdt>
          </w:p>
        </w:tc>
      </w:tr>
      <w:tr>
        <w:tc>
          <w:tcPr>
            <w:tcW w:w="596" w:type="dxa"/>
            <w:tcBorders>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2</w:t>
            </w:r>
          </w:p>
        </w:tc>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participants</w:t>
            </w:r>
          </w:p>
          <w:p>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w:t>
            </w:r>
          </w:p>
        </w:tc>
      </w:tr>
      <w:tr>
        <w:tc>
          <w:tcPr>
            <w:tcW w:w="596" w:type="dxa"/>
            <w:tcBorders>
              <w:top w:val="single" w:color="auto" w:sz="4" w:space="0"/>
              <w:bottom w:val="single" w:color="auto" w:sz="4" w:space="0"/>
            </w:tcBorders>
            <w:vAlign w:val="center"/>
          </w:tcPr>
          <w:p>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participants:</w:t>
            </w:r>
          </w:p>
          <w:p>
            <w:pPr>
              <w:autoSpaceDE w:val="0"/>
              <w:autoSpaceDN w:val="0"/>
              <w:adjustRightInd w:val="0"/>
              <w:rPr>
                <w:rFonts w:hint="eastAsia" w:ascii="Arial" w:hAnsi="Arial" w:cs="Arial"/>
                <w:sz w:val="22"/>
                <w:szCs w:val="22"/>
              </w:rPr>
            </w:pPr>
          </w:p>
          <w:p>
            <w:pPr>
              <w:autoSpaceDE w:val="0"/>
              <w:autoSpaceDN w:val="0"/>
              <w:adjustRightInd w:val="0"/>
              <w:rPr>
                <w:rFonts w:hint="eastAsia" w:ascii="Arial" w:hAnsi="Arial" w:cs="Arial"/>
                <w:sz w:val="22"/>
                <w:szCs w:val="22"/>
              </w:rPr>
            </w:pPr>
            <w:r>
              <w:rPr>
                <w:rFonts w:hint="eastAsia" w:ascii="Arial" w:hAnsi="Arial" w:cs="Arial"/>
                <w:sz w:val="22"/>
                <w:szCs w:val="22"/>
              </w:rPr>
              <w:t>Risk to participants: Potential emotional distress due to the sensitive nature of discussing language policies and educational experiences.</w:t>
            </w:r>
          </w:p>
          <w:p>
            <w:pPr>
              <w:autoSpaceDE w:val="0"/>
              <w:autoSpaceDN w:val="0"/>
              <w:adjustRightInd w:val="0"/>
              <w:rPr>
                <w:rFonts w:hint="eastAsia"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you will mitigate the risk to participants:</w:t>
            </w:r>
          </w:p>
          <w:p>
            <w:pPr>
              <w:rPr>
                <w:rFonts w:hint="eastAsia" w:ascii="Arial" w:hAnsi="Arial" w:cs="Arial"/>
                <w:sz w:val="22"/>
                <w:szCs w:val="22"/>
              </w:rPr>
            </w:pPr>
          </w:p>
          <w:p>
            <w:pPr>
              <w:rPr>
                <w:rFonts w:hint="eastAsia" w:ascii="Arial" w:hAnsi="Arial" w:cs="Arial"/>
                <w:sz w:val="22"/>
                <w:szCs w:val="22"/>
              </w:rPr>
            </w:pPr>
            <w:r>
              <w:rPr>
                <w:rFonts w:hint="eastAsia" w:ascii="Arial" w:hAnsi="Arial" w:cs="Arial"/>
                <w:sz w:val="22"/>
                <w:szCs w:val="22"/>
              </w:rPr>
              <w:t>Ensure anonymity and confidentiality of responses, provide clear information about the study’s purpose, and offer access to counseling services if needed.</w:t>
            </w:r>
          </w:p>
          <w:p>
            <w:pPr>
              <w:rPr>
                <w:rFonts w:hint="eastAsia" w:ascii="Arial" w:hAnsi="Arial" w:cs="Arial"/>
                <w:sz w:val="22"/>
                <w:szCs w:val="22"/>
              </w:rPr>
            </w:pPr>
          </w:p>
          <w:p>
            <w:pPr>
              <w:autoSpaceDE w:val="0"/>
              <w:autoSpaceDN w:val="0"/>
              <w:adjustRightInd w:val="0"/>
              <w:rPr>
                <w:rFonts w:ascii="Arial" w:hAnsi="Arial" w:cs="Arial"/>
                <w:i/>
              </w:rPr>
            </w:pPr>
            <w:r>
              <w:rPr>
                <w:rFonts w:ascii="Arial" w:hAnsi="Arial" w:cs="Arial"/>
                <w:i/>
                <w:color w:val="808080"/>
                <w:sz w:val="18"/>
                <w:szCs w:val="18"/>
              </w:rPr>
              <w:t>(this box should expand as you type)</w:t>
            </w:r>
          </w:p>
        </w:tc>
      </w:tr>
      <w:tr>
        <w:tc>
          <w:tcPr>
            <w:tcW w:w="596" w:type="dxa"/>
            <w:tcBorders>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3</w:t>
            </w:r>
          </w:p>
        </w:tc>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tc>
          <w:tcPr>
            <w:tcW w:w="596" w:type="dxa"/>
            <w:tcBorders>
              <w:top w:val="single" w:color="auto" w:sz="4" w:space="0"/>
              <w:bottom w:val="single" w:color="auto" w:sz="4" w:space="0"/>
            </w:tcBorders>
            <w:vAlign w:val="center"/>
          </w:tcPr>
          <w:p>
            <w:pPr>
              <w:jc w:val="center"/>
              <w:rPr>
                <w:rFonts w:ascii="Arial" w:hAnsi="Arial" w:cs="Arial"/>
                <w:sz w:val="22"/>
                <w:szCs w:val="22"/>
              </w:rPr>
            </w:pPr>
          </w:p>
        </w:tc>
        <w:tc>
          <w:tcPr>
            <w:tcW w:w="9923" w:type="dxa"/>
            <w:gridSpan w:val="4"/>
            <w:tcBorders>
              <w:top w:val="single" w:color="auto" w:sz="4" w:space="0"/>
              <w:bottom w:val="single" w:color="auto" w:sz="4" w:space="0"/>
            </w:tcBorders>
          </w:tcPr>
          <w:p>
            <w:pPr>
              <w:rPr>
                <w:rFonts w:hint="eastAsia" w:ascii="Arial" w:hAnsi="Arial" w:cs="Arial"/>
                <w:sz w:val="22"/>
                <w:szCs w:val="22"/>
              </w:rPr>
            </w:pPr>
          </w:p>
          <w:p>
            <w:pPr>
              <w:rPr>
                <w:rFonts w:hint="eastAsia" w:ascii="Arial" w:hAnsi="Arial" w:cs="Arial"/>
                <w:sz w:val="22"/>
                <w:szCs w:val="22"/>
              </w:rPr>
            </w:pPr>
            <w:r>
              <w:rPr>
                <w:rFonts w:hint="eastAsia" w:ascii="Arial" w:hAnsi="Arial" w:cs="Arial"/>
                <w:sz w:val="22"/>
                <w:szCs w:val="22"/>
              </w:rPr>
              <w:t>•  If the research involves sensitive topics, provide details of the procedures to handle such issues, including support or advice to be offered to participants.</w:t>
            </w:r>
          </w:p>
          <w:p>
            <w:pPr>
              <w:rPr>
                <w:rFonts w:hint="eastAsia" w:ascii="Arial" w:hAnsi="Arial" w:cs="Arial"/>
                <w:sz w:val="22"/>
                <w:szCs w:val="22"/>
              </w:rPr>
            </w:pPr>
            <w:r>
              <w:rPr>
                <w:rFonts w:hint="eastAsia" w:ascii="Arial" w:hAnsi="Arial" w:cs="Arial"/>
                <w:sz w:val="22"/>
                <w:szCs w:val="22"/>
              </w:rPr>
              <w:t>•  Establish protocols for handling sensitive information, offer participants clear guidelines on confidentiality, and ensure that any illegal activities disclosed will be reported to the appropriate authorities.</w:t>
            </w:r>
          </w:p>
          <w:p>
            <w:pPr>
              <w:rPr>
                <w:rFonts w:hint="eastAsia" w:ascii="Arial" w:hAnsi="Arial" w:cs="Arial"/>
                <w:sz w:val="22"/>
                <w:szCs w:val="22"/>
              </w:rPr>
            </w:pPr>
          </w:p>
          <w:p>
            <w:pPr>
              <w:autoSpaceDE w:val="0"/>
              <w:autoSpaceDN w:val="0"/>
              <w:adjustRightInd w:val="0"/>
              <w:rPr>
                <w:rFonts w:ascii="Arial" w:hAnsi="Arial" w:cs="Arial"/>
              </w:rPr>
            </w:pPr>
            <w:r>
              <w:rPr>
                <w:rFonts w:ascii="Arial" w:hAnsi="Arial" w:cs="Arial"/>
                <w:i/>
                <w:color w:val="808080"/>
                <w:sz w:val="18"/>
                <w:szCs w:val="18"/>
              </w:rPr>
              <w:t>(this box should expand as you type)</w:t>
            </w:r>
          </w:p>
        </w:tc>
      </w:tr>
      <w:tr>
        <w:tc>
          <w:tcPr>
            <w:tcW w:w="596" w:type="dxa"/>
            <w:tcBorders>
              <w:top w:val="single" w:color="auto" w:sz="4" w:space="0"/>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4</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the investigator</w:t>
            </w:r>
          </w:p>
          <w:p>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tc>
          <w:tcPr>
            <w:tcW w:w="596" w:type="dxa"/>
            <w:tcBorders>
              <w:top w:val="single" w:color="auto" w:sz="4" w:space="0"/>
              <w:bottom w:val="single" w:color="auto" w:sz="4" w:space="0"/>
            </w:tcBorders>
            <w:vAlign w:val="center"/>
          </w:tcPr>
          <w:p>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the investigator:</w:t>
            </w:r>
          </w:p>
          <w:p>
            <w:pPr>
              <w:rPr>
                <w:rFonts w:ascii="Arial" w:hAnsi="Arial" w:cs="Arial"/>
                <w:sz w:val="22"/>
                <w:szCs w:val="22"/>
              </w:rPr>
            </w:pPr>
          </w:p>
          <w:p>
            <w:pPr>
              <w:rPr>
                <w:rFonts w:ascii="Arial" w:hAnsi="Arial" w:cs="Arial"/>
                <w:sz w:val="22"/>
                <w:szCs w:val="22"/>
              </w:rPr>
            </w:pPr>
            <w:r>
              <w:rPr>
                <w:rFonts w:hint="eastAsia" w:ascii="Arial" w:hAnsi="Arial" w:cs="Arial"/>
                <w:sz w:val="22"/>
                <w:szCs w:val="22"/>
              </w:rPr>
              <w:t>Possible emotional distress from engaging with participants’ challenging experiences.</w:t>
            </w: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you will mitigate the risk to the investigator:</w:t>
            </w:r>
          </w:p>
          <w:p>
            <w:pPr>
              <w:rPr>
                <w:rFonts w:ascii="Arial" w:hAnsi="Arial" w:cs="Arial"/>
                <w:sz w:val="22"/>
                <w:szCs w:val="22"/>
              </w:rPr>
            </w:pPr>
          </w:p>
          <w:p>
            <w:pPr>
              <w:rPr>
                <w:rFonts w:ascii="Arial" w:hAnsi="Arial" w:cs="Arial"/>
                <w:sz w:val="22"/>
                <w:szCs w:val="22"/>
              </w:rPr>
            </w:pPr>
            <w:r>
              <w:rPr>
                <w:rFonts w:hint="eastAsia" w:ascii="Arial" w:hAnsi="Arial" w:cs="Arial"/>
                <w:sz w:val="22"/>
                <w:szCs w:val="22"/>
              </w:rPr>
              <w:t>Provide the researcher with access to debriefing sessions and mental health support, and ensure they are trained in ethical research conduct.</w:t>
            </w:r>
          </w:p>
          <w:p>
            <w:pPr>
              <w:rPr>
                <w:rFonts w:ascii="Arial" w:hAnsi="Arial" w:cs="Arial"/>
                <w:sz w:val="22"/>
                <w:szCs w:val="22"/>
              </w:rPr>
            </w:pPr>
          </w:p>
          <w:p>
            <w:pPr>
              <w:autoSpaceDE w:val="0"/>
              <w:autoSpaceDN w:val="0"/>
              <w:adjustRightInd w:val="0"/>
              <w:rPr>
                <w:rFonts w:ascii="Arial" w:hAnsi="Arial" w:cs="Arial"/>
              </w:rPr>
            </w:pPr>
            <w:r>
              <w:rPr>
                <w:rFonts w:ascii="Arial" w:hAnsi="Arial" w:cs="Arial"/>
                <w:i/>
                <w:color w:val="808080"/>
                <w:sz w:val="18"/>
                <w:szCs w:val="18"/>
              </w:rPr>
              <w:t>(this box should expand as you type)</w:t>
            </w:r>
          </w:p>
        </w:tc>
      </w:tr>
      <w:tr>
        <w:tc>
          <w:tcPr>
            <w:tcW w:w="596" w:type="dxa"/>
            <w:tcBorders>
              <w:top w:val="single" w:color="auto" w:sz="4" w:space="0"/>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5</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University/institutional risks</w:t>
            </w:r>
          </w:p>
          <w:p>
            <w:pPr>
              <w:rPr>
                <w:rFonts w:ascii="Arial" w:hAnsi="Arial" w:cs="Arial"/>
                <w:sz w:val="22"/>
                <w:szCs w:val="22"/>
              </w:rPr>
            </w:pPr>
            <w:r>
              <w:rPr>
                <w:rFonts w:ascii="Arial" w:hAnsi="Arial" w:cs="Arial"/>
                <w:sz w:val="22"/>
                <w:szCs w:val="22"/>
              </w:rPr>
              <w:t>For example: adverse publicity, financial loss, data protection</w:t>
            </w:r>
          </w:p>
        </w:tc>
      </w:tr>
      <w:tr>
        <w:tc>
          <w:tcPr>
            <w:tcW w:w="596" w:type="dxa"/>
            <w:tcBorders>
              <w:top w:val="single" w:color="auto" w:sz="4" w:space="0"/>
              <w:bottom w:val="single" w:color="auto" w:sz="4" w:space="0"/>
            </w:tcBorders>
            <w:vAlign w:val="center"/>
          </w:tcPr>
          <w:p>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the University:</w:t>
            </w:r>
          </w:p>
          <w:p>
            <w:pPr>
              <w:rPr>
                <w:rFonts w:ascii="Arial" w:hAnsi="Arial" w:cs="Arial"/>
                <w:sz w:val="22"/>
                <w:szCs w:val="22"/>
              </w:rPr>
            </w:pPr>
          </w:p>
          <w:p>
            <w:pPr>
              <w:rPr>
                <w:rFonts w:ascii="Arial" w:hAnsi="Arial" w:cs="Arial"/>
                <w:sz w:val="22"/>
                <w:szCs w:val="22"/>
              </w:rPr>
            </w:pPr>
            <w:r>
              <w:rPr>
                <w:rFonts w:hint="eastAsia" w:ascii="Arial" w:hAnsi="Arial" w:cs="Arial"/>
                <w:sz w:val="22"/>
                <w:szCs w:val="22"/>
              </w:rPr>
              <w:t>Potential adverse publicity if the findings are controversial.</w:t>
            </w: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you will mitigate the risk to the University:</w:t>
            </w:r>
          </w:p>
          <w:p>
            <w:pPr>
              <w:rPr>
                <w:rFonts w:ascii="Arial" w:hAnsi="Arial" w:cs="Arial"/>
                <w:sz w:val="22"/>
                <w:szCs w:val="22"/>
              </w:rPr>
            </w:pPr>
          </w:p>
          <w:p>
            <w:pPr>
              <w:rPr>
                <w:rFonts w:ascii="Arial" w:hAnsi="Arial" w:cs="Arial"/>
                <w:sz w:val="22"/>
                <w:szCs w:val="22"/>
              </w:rPr>
            </w:pPr>
            <w:r>
              <w:rPr>
                <w:rFonts w:hint="eastAsia" w:ascii="Arial" w:hAnsi="Arial" w:cs="Arial"/>
                <w:sz w:val="22"/>
                <w:szCs w:val="22"/>
              </w:rPr>
              <w:t>Implement a communication plan to manage the release of findings, and ensure all research is conducted in accordance with the university’s ethical guidelines.</w:t>
            </w:r>
          </w:p>
          <w:p>
            <w:pPr>
              <w:rPr>
                <w:rFonts w:ascii="Arial" w:hAnsi="Arial" w:cs="Arial"/>
                <w:sz w:val="22"/>
                <w:szCs w:val="22"/>
              </w:rPr>
            </w:pPr>
          </w:p>
          <w:p>
            <w:pPr>
              <w:autoSpaceDE w:val="0"/>
              <w:autoSpaceDN w:val="0"/>
              <w:adjustRightInd w:val="0"/>
              <w:rPr>
                <w:rFonts w:ascii="Arial" w:hAnsi="Arial" w:cs="Arial"/>
              </w:rPr>
            </w:pPr>
            <w:r>
              <w:rPr>
                <w:rFonts w:ascii="Arial" w:hAnsi="Arial" w:cs="Arial"/>
                <w:i/>
                <w:color w:val="808080"/>
                <w:sz w:val="18"/>
                <w:szCs w:val="18"/>
              </w:rPr>
              <w:t>(this box should expand as you type)</w:t>
            </w:r>
          </w:p>
        </w:tc>
      </w:tr>
      <w:tr>
        <w:tc>
          <w:tcPr>
            <w:tcW w:w="596" w:type="dxa"/>
            <w:tcBorders>
              <w:top w:val="single" w:color="auto" w:sz="4" w:space="0"/>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6</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Environmental risks</w:t>
            </w:r>
          </w:p>
          <w:p>
            <w:pPr>
              <w:rPr>
                <w:rFonts w:ascii="Arial" w:hAnsi="Arial" w:cs="Arial"/>
                <w:sz w:val="22"/>
                <w:szCs w:val="22"/>
              </w:rPr>
            </w:pPr>
            <w:r>
              <w:rPr>
                <w:rFonts w:ascii="Arial" w:hAnsi="Arial" w:cs="Arial"/>
                <w:sz w:val="22"/>
                <w:szCs w:val="22"/>
              </w:rPr>
              <w:t>For example: accidental spillage of pollutants, damage to local ecosystems</w:t>
            </w:r>
          </w:p>
        </w:tc>
      </w:tr>
      <w:tr>
        <w:tc>
          <w:tcPr>
            <w:tcW w:w="596" w:type="dxa"/>
            <w:tcBorders>
              <w:top w:val="single" w:color="auto" w:sz="4" w:space="0"/>
              <w:bottom w:val="single" w:color="auto" w:sz="4" w:space="0"/>
            </w:tcBorders>
            <w:vAlign w:val="center"/>
          </w:tcPr>
          <w:p>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the environment:</w:t>
            </w:r>
          </w:p>
          <w:p>
            <w:pPr>
              <w:rPr>
                <w:rFonts w:ascii="Arial" w:hAnsi="Arial" w:cs="Arial"/>
                <w:sz w:val="22"/>
                <w:szCs w:val="22"/>
              </w:rPr>
            </w:pPr>
          </w:p>
          <w:p>
            <w:pPr>
              <w:rPr>
                <w:rFonts w:ascii="Arial" w:hAnsi="Arial" w:cs="Arial"/>
                <w:sz w:val="22"/>
                <w:szCs w:val="22"/>
              </w:rPr>
            </w:pPr>
            <w:r>
              <w:rPr>
                <w:rFonts w:hint="eastAsia" w:ascii="Arial" w:hAnsi="Arial" w:cs="Arial"/>
                <w:sz w:val="22"/>
                <w:szCs w:val="22"/>
              </w:rPr>
              <w:t>Minimal risk as this study involves qualitative data collection through interviews.</w:t>
            </w: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you will mitigate the risk to environment:</w:t>
            </w:r>
          </w:p>
          <w:p>
            <w:pPr>
              <w:rPr>
                <w:rFonts w:ascii="Arial" w:hAnsi="Arial" w:cs="Arial"/>
                <w:sz w:val="22"/>
                <w:szCs w:val="22"/>
              </w:rPr>
            </w:pPr>
          </w:p>
          <w:p>
            <w:pPr>
              <w:rPr>
                <w:rFonts w:ascii="Arial" w:hAnsi="Arial" w:cs="Arial"/>
                <w:sz w:val="22"/>
                <w:szCs w:val="22"/>
              </w:rPr>
            </w:pPr>
            <w:r>
              <w:rPr>
                <w:rFonts w:hint="eastAsia" w:ascii="Arial" w:hAnsi="Arial" w:cs="Arial"/>
                <w:sz w:val="22"/>
                <w:szCs w:val="22"/>
              </w:rPr>
              <w:t>Use digital tools for data collection and storage to reduce paper usage, and ensure all electronic waste is disposed of responsibly.</w:t>
            </w:r>
          </w:p>
          <w:p>
            <w:pPr>
              <w:rPr>
                <w:rFonts w:ascii="Arial" w:hAnsi="Arial" w:cs="Arial"/>
                <w:sz w:val="22"/>
                <w:szCs w:val="22"/>
              </w:rPr>
            </w:pPr>
          </w:p>
          <w:p>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pPr>
        <w:rPr>
          <w:rFonts w:ascii="Arial" w:hAnsi="Arial" w:cs="Arial"/>
        </w:rPr>
      </w:pPr>
    </w:p>
    <w:p>
      <w:pPr>
        <w:autoSpaceDE w:val="0"/>
        <w:autoSpaceDN w:val="0"/>
        <w:adjustRightInd w:val="0"/>
        <w:spacing w:after="240"/>
        <w:jc w:val="both"/>
        <w:rPr>
          <w:rFonts w:ascii="Arial" w:hAnsi="Arial" w:cs="Arial"/>
          <w:b/>
          <w:sz w:val="22"/>
          <w:szCs w:val="22"/>
        </w:rPr>
      </w:pPr>
    </w:p>
    <w:p>
      <w:pPr>
        <w:autoSpaceDE w:val="0"/>
        <w:autoSpaceDN w:val="0"/>
        <w:adjustRightInd w:val="0"/>
        <w:spacing w:after="240"/>
        <w:jc w:val="both"/>
        <w:rPr>
          <w:rFonts w:ascii="Arial" w:hAnsi="Arial" w:cs="Arial"/>
          <w:b/>
          <w:sz w:val="22"/>
          <w:szCs w:val="22"/>
        </w:rPr>
      </w:pPr>
    </w:p>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br w:type="page"/>
      </w:r>
    </w:p>
    <w:p>
      <w:pPr>
        <w:rPr>
          <w:rFonts w:ascii="Arial" w:hAnsi="Arial" w:cs="Arial"/>
          <w:b/>
          <w:sz w:val="22"/>
          <w:szCs w:val="22"/>
        </w:rPr>
      </w:pPr>
    </w:p>
    <w:p>
      <w:pPr>
        <w:rPr>
          <w:rFonts w:ascii="Arial" w:hAnsi="Arial" w:cs="Arial"/>
          <w:b/>
          <w:sz w:val="22"/>
          <w:szCs w:val="22"/>
        </w:rPr>
      </w:pPr>
    </w:p>
    <w:p>
      <w:pPr>
        <w:rPr>
          <w:rFonts w:ascii="Arial" w:hAnsi="Arial" w:cs="Arial"/>
          <w:b/>
          <w:sz w:val="22"/>
          <w:szCs w:val="22"/>
        </w:rPr>
      </w:pPr>
      <w:r>
        <w:rPr>
          <w:rFonts w:ascii="Arial" w:hAnsi="Arial" w:cs="Arial"/>
          <w:b/>
          <w:sz w:val="22"/>
          <w:szCs w:val="22"/>
        </w:rPr>
        <w:t>SECTION I: Feedback, Consent and Confidentiality</w:t>
      </w:r>
    </w:p>
    <w:p>
      <w:pPr>
        <w:rPr>
          <w:rFonts w:ascii="Arial" w:hAnsi="Arial" w:cs="Arial"/>
          <w:b/>
          <w:sz w:val="22"/>
          <w:szCs w:val="22"/>
        </w:rPr>
      </w:pPr>
    </w:p>
    <w:tbl>
      <w:tblPr>
        <w:tblStyle w:val="11"/>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9923"/>
      </w:tblGrid>
      <w:tr>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1</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Feedback</w:t>
            </w:r>
          </w:p>
          <w:p>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rPr>
            </w:pPr>
          </w:p>
          <w:p>
            <w:pPr>
              <w:ind w:firstLine="220" w:firstLineChars="100"/>
              <w:rPr>
                <w:rFonts w:ascii="Arial" w:hAnsi="Arial" w:cs="Arial"/>
                <w:sz w:val="22"/>
                <w:szCs w:val="22"/>
              </w:rPr>
            </w:pPr>
            <w:r>
              <w:rPr>
                <w:rFonts w:hint="eastAsia" w:ascii="Arial" w:hAnsi="Arial" w:cs="Arial"/>
                <w:sz w:val="22"/>
                <w:szCs w:val="22"/>
              </w:rPr>
              <w:t>Participants will receive a thorough de-briefing at the conclusion of their interview, which will include a detailed summary of the topics discussed and an explanation of how their input will contribute to the study’s objectives. Additionally, participants will be offered the opportunity to receive a detailed feedback report of the study’s findings, including recommendations for policy improvements in English language education. This feedback will be provided in a written format, either digitally or in print, depending on the participant’s preference, and will be disseminated approximately six months post the completion of data collection.</w:t>
            </w: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rPr>
            </w:pPr>
            <w:r>
              <w:rPr>
                <w:rFonts w:ascii="Arial" w:hAnsi="Arial" w:cs="Arial"/>
                <w:i/>
                <w:color w:val="808080"/>
                <w:sz w:val="18"/>
                <w:szCs w:val="18"/>
              </w:rPr>
              <w:t>(this box should expand as you type)</w:t>
            </w:r>
          </w:p>
        </w:tc>
      </w:tr>
      <w:tr>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2</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Informed consent</w:t>
            </w:r>
          </w:p>
          <w:p>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rPr>
            </w:pPr>
          </w:p>
          <w:p>
            <w:pPr>
              <w:ind w:firstLine="220" w:firstLineChars="100"/>
              <w:rPr>
                <w:rFonts w:ascii="Arial" w:hAnsi="Arial" w:cs="Arial"/>
                <w:sz w:val="22"/>
                <w:szCs w:val="22"/>
              </w:rPr>
            </w:pPr>
            <w:r>
              <w:rPr>
                <w:rFonts w:hint="eastAsia" w:ascii="Arial" w:hAnsi="Arial" w:cs="Arial"/>
                <w:sz w:val="22"/>
                <w:szCs w:val="22"/>
              </w:rPr>
              <w:t>Potential participants will be provided with comprehensive information about the study through an informational brochure and a consent form. This information will cover the study’s aims, methods, potential risks and benefits, and the voluntary nature of participation. Participants will be made aware that they have the right to withdraw from the study at any time without any negative consequences. Informed consent will be obtained during a pre-interview meeting, where the researcher will be available to answer questions and address any concerns. The consent form will be signed by the participant, or, in the case of illiteracy, a witness will sign on their behalf, with a record of verbal consent made in the research log. The study will comply with all relevant data protection legislation, including the GDPR.</w:t>
            </w: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rPr>
            </w:pPr>
            <w:r>
              <w:rPr>
                <w:rFonts w:ascii="Arial" w:hAnsi="Arial" w:cs="Arial"/>
                <w:i/>
                <w:color w:val="808080"/>
                <w:sz w:val="18"/>
                <w:szCs w:val="18"/>
              </w:rPr>
              <w:t>(this box should expand as you type)</w:t>
            </w:r>
          </w:p>
        </w:tc>
      </w:tr>
      <w:tr>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b/>
                <w:sz w:val="22"/>
                <w:szCs w:val="22"/>
              </w:rPr>
            </w:pPr>
            <w:r>
              <w:rPr>
                <w:rFonts w:ascii="Arial" w:hAnsi="Arial" w:cs="Arial"/>
                <w:b/>
                <w:sz w:val="22"/>
                <w:szCs w:val="22"/>
              </w:rPr>
              <w:t>Confidentiality / Anonymity</w:t>
            </w:r>
          </w:p>
          <w:p>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rPr>
            </w:pPr>
          </w:p>
          <w:p>
            <w:pPr>
              <w:ind w:firstLine="220" w:firstLineChars="100"/>
              <w:rPr>
                <w:rFonts w:hint="eastAsia" w:ascii="Arial" w:hAnsi="Arial" w:cs="Arial"/>
                <w:sz w:val="22"/>
                <w:szCs w:val="22"/>
              </w:rPr>
            </w:pPr>
            <w:r>
              <w:rPr>
                <w:rFonts w:hint="eastAsia" w:ascii="Arial" w:hAnsi="Arial" w:cs="Arial"/>
                <w:sz w:val="22"/>
                <w:szCs w:val="22"/>
              </w:rPr>
              <w:t>To ensure the anonymity of participants, all personal identifiers will be stripped from the data, and participants will be assigned unique identifiers that are not linked to their personal information. Confidentiality will be maintained throughout the research process and in all outputs by not disclosing any personally identifiable information. Data will be stored securely, with access restricted to the research team only, and will be encrypted to prevent unauthorized access. If anonymity cannot be guaranteed, such as in a small community study, this will be clearly communicated to participants during the consent process, and their express consent will be sought to participate with the understanding that their contributions may be identifiable to some extent. In such cases, additional measures will be taken to protect their identity, such as using pseudonyms or aggregating data to prevent identification.</w:t>
            </w:r>
          </w:p>
          <w:p>
            <w:pPr>
              <w:rPr>
                <w:rFonts w:ascii="Arial" w:hAnsi="Arial" w:cs="Arial"/>
                <w:sz w:val="22"/>
                <w:szCs w:val="22"/>
              </w:rPr>
            </w:pPr>
            <w:r>
              <w:rPr>
                <w:rFonts w:hint="eastAsia" w:ascii="Arial" w:hAnsi="Arial" w:cs="Arial"/>
                <w:sz w:val="22"/>
                <w:szCs w:val="22"/>
              </w:rPr>
              <w:t>These detailed descriptions provide a comprehensive overview of the feedback process, informed consent procedures, and confidentiality/anonymity measures that will be implemented in the study. They ensure that participants are well-informed about their involvement and that their rights are protected throughout the research process, in line with the ethical standards of research conduct.</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pPr>
        <w:rPr>
          <w:rFonts w:ascii="Arial" w:hAnsi="Arial" w:cs="Arial"/>
          <w:sz w:val="22"/>
          <w:szCs w:val="22"/>
        </w:rPr>
      </w:pPr>
    </w:p>
    <w:p>
      <w:pPr>
        <w:rPr>
          <w:rFonts w:ascii="Arial" w:hAnsi="Arial" w:cs="Arial"/>
          <w:b/>
          <w:sz w:val="22"/>
          <w:szCs w:val="22"/>
        </w:rPr>
      </w:pPr>
      <w:r>
        <w:rPr>
          <w:rFonts w:ascii="Arial" w:hAnsi="Arial" w:cs="Arial"/>
          <w:b/>
          <w:sz w:val="22"/>
          <w:szCs w:val="22"/>
        </w:rPr>
        <w:br w:type="page"/>
      </w:r>
    </w:p>
    <w:p>
      <w:pPr>
        <w:rPr>
          <w:rFonts w:ascii="Arial" w:hAnsi="Arial" w:cs="Arial"/>
          <w:b/>
          <w:sz w:val="22"/>
          <w:szCs w:val="22"/>
        </w:rPr>
      </w:pPr>
    </w:p>
    <w:p>
      <w:pPr>
        <w:rPr>
          <w:rFonts w:ascii="Arial" w:hAnsi="Arial" w:cs="Arial"/>
          <w:b/>
          <w:sz w:val="22"/>
          <w:szCs w:val="22"/>
        </w:rPr>
      </w:pPr>
    </w:p>
    <w:p>
      <w:pPr>
        <w:rPr>
          <w:rFonts w:ascii="Arial" w:hAnsi="Arial" w:cs="Arial"/>
          <w:b/>
          <w:sz w:val="22"/>
          <w:szCs w:val="22"/>
        </w:rPr>
      </w:pPr>
      <w:r>
        <w:rPr>
          <w:rFonts w:ascii="Arial" w:hAnsi="Arial" w:cs="Arial"/>
          <w:b/>
          <w:sz w:val="22"/>
          <w:szCs w:val="22"/>
        </w:rPr>
        <w:t>SECTION J: Data Protection and Storage</w:t>
      </w:r>
    </w:p>
    <w:p>
      <w:pPr>
        <w:rPr>
          <w:rFonts w:ascii="Arial" w:hAnsi="Arial" w:cs="Arial"/>
          <w:b/>
          <w:sz w:val="22"/>
          <w:szCs w:val="22"/>
        </w:rPr>
      </w:pPr>
    </w:p>
    <w:tbl>
      <w:tblPr>
        <w:tblStyle w:val="11"/>
        <w:tblW w:w="10490"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567"/>
        <w:gridCol w:w="7905"/>
        <w:gridCol w:w="992"/>
        <w:gridCol w:w="1026"/>
      </w:tblGrid>
      <w:tr>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NO</w:t>
            </w:r>
          </w:p>
        </w:tc>
      </w:tr>
      <w:tr>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sdt>
            <w:sdtPr>
              <w:rPr>
                <w:rFonts w:ascii="Arial" w:hAnsi="Arial" w:cs="Arial"/>
                <w:sz w:val="22"/>
                <w:szCs w:val="22"/>
              </w:rPr>
              <w:id w:val="124512450"/>
              <w14:checkbox>
                <w14:checked w14:val="1"/>
                <w14:checkedState w14:val="2612" w14:font="MS Gothic"/>
                <w14:uncheckedState w14:val="2610" w14:font="MS Gothic"/>
              </w14:checkbox>
            </w:sdtPr>
            <w:sdtEndPr>
              <w:rPr>
                <w:rFonts w:ascii="Arial" w:hAnsi="Arial" w:cs="Arial"/>
                <w:sz w:val="22"/>
                <w:szCs w:val="22"/>
              </w:rPr>
            </w:sdtEndPr>
            <w:sdtContent>
              <w:p>
                <w:pPr>
                  <w:pStyle w:val="9"/>
                  <w:autoSpaceDE w:val="0"/>
                  <w:autoSpaceDN w:val="0"/>
                  <w:adjustRightInd w:val="0"/>
                  <w:jc w:val="center"/>
                  <w:rPr>
                    <w:rFonts w:ascii="Arial" w:hAnsi="Arial" w:cs="Arial"/>
                    <w:sz w:val="22"/>
                    <w:szCs w:val="22"/>
                    <w:lang w:val="en-US"/>
                  </w:rPr>
                </w:pPr>
                <w:r>
                  <w:rPr>
                    <w:rFonts w:ascii="MS Gothic" w:hAnsi="MS Gothic" w:eastAsia="MS Gothic" w:cs="Segoe UI Symbol"/>
                    <w:sz w:val="22"/>
                    <w:szCs w:val="22"/>
                    <w:lang w:val="en-GB" w:eastAsia="en-US" w:bidi="ar-SA"/>
                  </w:rPr>
                  <w:t>☒</w:t>
                </w:r>
              </w:p>
            </w:sdtContent>
          </w:sdt>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Arial" w:hAnsi="Arial" w:eastAsia="MS Gothic" w:cs="Arial"/>
                <w:sz w:val="22"/>
                <w:szCs w:val="22"/>
                <w:lang w:val="en-US"/>
              </w:rPr>
            </w:pPr>
            <w:r>
              <w:rPr>
                <w:rFonts w:ascii="Segoe UI Symbol" w:hAnsi="Segoe UI Symbol" w:eastAsia="MS Gothic" w:cs="Segoe UI Symbol"/>
                <w:sz w:val="22"/>
                <w:szCs w:val="22"/>
                <w:lang w:val="en-US"/>
              </w:rPr>
              <w:t>☐</w:t>
            </w:r>
          </w:p>
        </w:tc>
      </w:tr>
      <w:tr>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r>
              <w:rPr>
                <w:rFonts w:hint="eastAsia" w:ascii="Arial" w:hAnsi="Arial" w:cs="Arial"/>
                <w:sz w:val="22"/>
                <w:szCs w:val="22"/>
              </w:rPr>
              <w:t>The research involves collecting personal data such as participants’ names, identification numbers, and online identifiers. This data is necessary to track and attribute responses to individual participants accurately. Additionally, video or audio recordings of interviews will be used to capture the nuances of participants’ experiences and perspectives on public English policies in Chinese universities.</w:t>
            </w:r>
          </w:p>
          <w:p>
            <w:pPr>
              <w:rPr>
                <w:rFonts w:ascii="Arial" w:hAnsi="Arial" w:cs="Arial"/>
                <w:sz w:val="22"/>
                <w:szCs w:val="22"/>
              </w:rPr>
            </w:pPr>
          </w:p>
          <w:p>
            <w:pPr>
              <w:autoSpaceDE w:val="0"/>
              <w:autoSpaceDN w:val="0"/>
              <w:adjustRightInd w:val="0"/>
              <w:rPr>
                <w:rFonts w:ascii="Arial" w:hAnsi="Arial" w:cs="Arial"/>
                <w:i/>
              </w:rPr>
            </w:pPr>
            <w:r>
              <w:rPr>
                <w:rFonts w:ascii="Arial" w:hAnsi="Arial" w:cs="Arial"/>
                <w:i/>
                <w:color w:val="808080"/>
                <w:sz w:val="18"/>
                <w:szCs w:val="18"/>
              </w:rPr>
              <w:t>(this box should expand as you type)</w:t>
            </w:r>
          </w:p>
        </w:tc>
      </w:tr>
      <w:tr>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rPr>
                <w:rFonts w:ascii="Arial" w:hAnsi="Arial" w:cs="Arial"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NO</w:t>
            </w:r>
          </w:p>
        </w:tc>
      </w:tr>
      <w:tr>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spacing w:before="0" w:beforeAutospacing="0" w:after="0" w:afterAutospacing="0"/>
              <w:jc w:val="center"/>
              <w:rPr>
                <w:rStyle w:val="14"/>
                <w:rFonts w:ascii="Arial" w:hAnsi="Arial" w:cs="Arial"/>
                <w:b w:val="0"/>
                <w:iCs/>
                <w:color w:val="000000"/>
                <w:sz w:val="20"/>
                <w:szCs w:val="23"/>
              </w:rPr>
            </w:pPr>
            <w:r>
              <w:rPr>
                <w:rStyle w:val="14"/>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spacing w:before="0" w:beforeAutospacing="0" w:after="0" w:afterAutospacing="0"/>
              <w:rPr>
                <w:rFonts w:ascii="Arial" w:hAnsi="Arial" w:cs="Arial"/>
              </w:rPr>
            </w:pPr>
            <w:r>
              <w:rPr>
                <w:rStyle w:val="14"/>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pPr>
              <w:pStyle w:val="9"/>
              <w:spacing w:before="0" w:beforeAutospacing="0" w:after="0" w:afterAutospacing="0"/>
              <w:rPr>
                <w:rFonts w:ascii="Arial" w:hAnsi="Arial" w:cs="Arial"/>
              </w:rPr>
            </w:pPr>
            <w:r>
              <w:rPr>
                <w:rFonts w:ascii="Arial" w:hAnsi="Arial" w:cs="Arial"/>
                <w:i/>
                <w:iCs/>
                <w:color w:val="000000"/>
                <w:sz w:val="20"/>
                <w:szCs w:val="23"/>
              </w:rPr>
              <w:t>(a) racial or ethnic origin,</w:t>
            </w:r>
          </w:p>
          <w:p>
            <w:pPr>
              <w:pStyle w:val="9"/>
              <w:spacing w:before="0" w:beforeAutospacing="0" w:after="0" w:afterAutospacing="0"/>
              <w:rPr>
                <w:rFonts w:ascii="Arial" w:hAnsi="Arial" w:cs="Arial"/>
              </w:rPr>
            </w:pPr>
            <w:r>
              <w:rPr>
                <w:rFonts w:ascii="Arial" w:hAnsi="Arial" w:cs="Arial"/>
                <w:i/>
                <w:iCs/>
                <w:color w:val="000000"/>
                <w:sz w:val="20"/>
                <w:szCs w:val="23"/>
              </w:rPr>
              <w:t>(b) political opinions,</w:t>
            </w:r>
          </w:p>
          <w:p>
            <w:pPr>
              <w:pStyle w:val="9"/>
              <w:spacing w:before="0" w:beforeAutospacing="0" w:after="0" w:afterAutospacing="0"/>
              <w:rPr>
                <w:rFonts w:ascii="Arial" w:hAnsi="Arial" w:cs="Arial"/>
              </w:rPr>
            </w:pPr>
            <w:r>
              <w:rPr>
                <w:rFonts w:ascii="Arial" w:hAnsi="Arial" w:cs="Arial"/>
                <w:i/>
                <w:iCs/>
                <w:color w:val="000000"/>
                <w:sz w:val="20"/>
                <w:szCs w:val="23"/>
              </w:rPr>
              <w:t>(c ) religious beliefs or other beliefs of a similar nature,</w:t>
            </w:r>
          </w:p>
          <w:p>
            <w:pPr>
              <w:pStyle w:val="9"/>
              <w:spacing w:before="0" w:beforeAutospacing="0" w:after="0" w:afterAutospacing="0"/>
              <w:rPr>
                <w:rFonts w:ascii="Arial" w:hAnsi="Arial" w:cs="Arial"/>
              </w:rPr>
            </w:pPr>
            <w:r>
              <w:rPr>
                <w:rFonts w:ascii="Arial" w:hAnsi="Arial" w:cs="Arial"/>
                <w:i/>
                <w:iCs/>
                <w:color w:val="000000"/>
                <w:sz w:val="20"/>
                <w:szCs w:val="23"/>
              </w:rPr>
              <w:t>(d) membership of a trade union (within the meaning of the Trade Union and Labour Relations (Consolidation) Act 1992),</w:t>
            </w:r>
          </w:p>
          <w:p>
            <w:pPr>
              <w:pStyle w:val="9"/>
              <w:spacing w:before="0" w:beforeAutospacing="0" w:after="0" w:afterAutospacing="0"/>
              <w:rPr>
                <w:rFonts w:ascii="Arial" w:hAnsi="Arial" w:cs="Arial"/>
              </w:rPr>
            </w:pPr>
            <w:r>
              <w:rPr>
                <w:rFonts w:ascii="Arial" w:hAnsi="Arial" w:cs="Arial"/>
                <w:i/>
                <w:iCs/>
                <w:color w:val="000000"/>
                <w:sz w:val="20"/>
                <w:szCs w:val="23"/>
              </w:rPr>
              <w:t>(e) physical or mental health or condition,</w:t>
            </w:r>
          </w:p>
          <w:p>
            <w:pPr>
              <w:pStyle w:val="9"/>
              <w:spacing w:before="0" w:beforeAutospacing="0" w:after="0" w:afterAutospacing="0"/>
              <w:rPr>
                <w:rFonts w:ascii="Arial" w:hAnsi="Arial" w:cs="Arial"/>
              </w:rPr>
            </w:pPr>
            <w:r>
              <w:rPr>
                <w:rFonts w:ascii="Arial" w:hAnsi="Arial" w:cs="Arial"/>
                <w:i/>
                <w:iCs/>
                <w:color w:val="000000"/>
                <w:sz w:val="20"/>
                <w:szCs w:val="23"/>
              </w:rPr>
              <w:t>(f) sexual life,</w:t>
            </w:r>
          </w:p>
          <w:p>
            <w:pPr>
              <w:pStyle w:val="9"/>
              <w:spacing w:before="0" w:beforeAutospacing="0" w:after="0" w:afterAutospacing="0"/>
              <w:rPr>
                <w:rFonts w:ascii="Arial" w:hAnsi="Arial" w:cs="Arial"/>
              </w:rPr>
            </w:pPr>
            <w:r>
              <w:rPr>
                <w:rFonts w:ascii="Arial" w:hAnsi="Arial" w:cs="Arial"/>
                <w:i/>
                <w:iCs/>
                <w:color w:val="000000"/>
                <w:sz w:val="20"/>
                <w:szCs w:val="23"/>
              </w:rPr>
              <w:t>(g) genetics,</w:t>
            </w:r>
          </w:p>
          <w:p>
            <w:pPr>
              <w:pStyle w:val="9"/>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Arial" w:hAnsi="Arial" w:cs="Arial"/>
              </w:rPr>
            </w:pPr>
            <w:r>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sdt>
            <w:sdtPr>
              <w:rPr>
                <w:rFonts w:ascii="Arial" w:hAnsi="Arial" w:cs="Arial"/>
                <w:sz w:val="22"/>
                <w:szCs w:val="22"/>
              </w:rPr>
              <w:id w:val="124512450"/>
              <w14:checkbox>
                <w14:checked w14:val="1"/>
                <w14:checkedState w14:val="2612" w14:font="MS Gothic"/>
                <w14:uncheckedState w14:val="2610" w14:font="MS Gothic"/>
              </w14:checkbox>
            </w:sdtPr>
            <w:sdtEndPr>
              <w:rPr>
                <w:rFonts w:ascii="Arial" w:hAnsi="Arial" w:cs="Arial"/>
                <w:sz w:val="22"/>
                <w:szCs w:val="22"/>
              </w:rPr>
            </w:sdtEndPr>
            <w:sdtContent>
              <w:p>
                <w:pPr>
                  <w:pStyle w:val="9"/>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pPr>
        <w:rPr>
          <w:rFonts w:ascii="Arial" w:hAnsi="Arial" w:cs="Arial"/>
        </w:rPr>
      </w:pPr>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p>
        </w:tc>
        <w:tc>
          <w:tcPr>
            <w:tcW w:w="7905" w:type="dxa"/>
            <w:shd w:val="clear" w:color="auto" w:fill="F1F1F1" w:themeFill="background1" w:themeFillShade="F2"/>
          </w:tcPr>
          <w:p>
            <w:pPr>
              <w:autoSpaceDE w:val="0"/>
              <w:autoSpaceDN w:val="0"/>
              <w:adjustRightInd w:val="0"/>
              <w:rPr>
                <w:rFonts w:ascii="Arial" w:hAnsi="Arial" w:cs="Arial"/>
                <w:b/>
                <w:bCs/>
                <w:sz w:val="22"/>
                <w:szCs w:val="22"/>
              </w:rPr>
            </w:pPr>
            <w:r>
              <w:rPr>
                <w:rFonts w:ascii="Arial" w:hAnsi="Arial" w:cs="Arial"/>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EBEBE" w:themeFill="background1" w:themeFillShade="BF"/>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EBEBE" w:themeFill="background1" w:themeFillShade="BF"/>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EBEBE"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EBEBE"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EBEBE"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EBEBE" w:themeFill="background1" w:themeFillShade="BF"/>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Other – specify:</w:t>
            </w:r>
          </w:p>
          <w:p>
            <w:pPr>
              <w:autoSpaceDE w:val="0"/>
              <w:autoSpaceDN w:val="0"/>
              <w:adjustRightInd w:val="0"/>
              <w:rPr>
                <w:rFonts w:ascii="Arial" w:hAnsi="Arial" w:cs="Arial"/>
                <w:sz w:val="22"/>
                <w:szCs w:val="22"/>
              </w:rPr>
            </w:pPr>
          </w:p>
        </w:tc>
        <w:tc>
          <w:tcPr>
            <w:tcW w:w="992"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1F1F1" w:themeFill="background1" w:themeFillShade="F2"/>
          </w:tcPr>
          <w:p>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1F1F1"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trPr>
          <w:trHeight w:val="403" w:hRule="atLeast"/>
        </w:trPr>
        <w:tc>
          <w:tcPr>
            <w:tcW w:w="562" w:type="dxa"/>
            <w:vAlign w:val="center"/>
          </w:tcPr>
          <w:p>
            <w:pPr>
              <w:jc w:val="center"/>
              <w:rPr>
                <w:rFonts w:ascii="Arial" w:hAnsi="Arial" w:cs="Arial"/>
                <w:sz w:val="22"/>
                <w:szCs w:val="22"/>
              </w:rPr>
            </w:pPr>
          </w:p>
        </w:tc>
        <w:tc>
          <w:tcPr>
            <w:tcW w:w="9923" w:type="dxa"/>
            <w:gridSpan w:val="3"/>
          </w:tcPr>
          <w:p>
            <w:pPr>
              <w:rPr>
                <w:rFonts w:hint="eastAsia" w:ascii="Arial" w:hAnsi="Arial" w:cs="Arial"/>
                <w:sz w:val="22"/>
                <w:szCs w:val="22"/>
              </w:rPr>
            </w:pPr>
          </w:p>
          <w:p>
            <w:pPr>
              <w:rPr>
                <w:rFonts w:hint="eastAsia" w:ascii="Arial" w:hAnsi="Arial" w:cs="Arial"/>
                <w:sz w:val="22"/>
                <w:szCs w:val="22"/>
              </w:rPr>
            </w:pPr>
            <w:r>
              <w:rPr>
                <w:rFonts w:hint="eastAsia" w:ascii="Arial" w:hAnsi="Arial" w:cs="Arial"/>
                <w:sz w:val="22"/>
                <w:szCs w:val="22"/>
              </w:rPr>
              <w:t>•  Data stored on university computers will be protected by the university’s IT security policies, which include firewalls, antivirus software, and restricted access based on user roles.</w:t>
            </w:r>
          </w:p>
          <w:p>
            <w:pPr>
              <w:rPr>
                <w:rFonts w:hint="eastAsia" w:ascii="Arial" w:hAnsi="Arial" w:cs="Arial"/>
                <w:sz w:val="22"/>
                <w:szCs w:val="22"/>
              </w:rPr>
            </w:pPr>
            <w:r>
              <w:rPr>
                <w:rFonts w:hint="eastAsia" w:ascii="Arial" w:hAnsi="Arial" w:cs="Arial"/>
                <w:sz w:val="22"/>
                <w:szCs w:val="22"/>
              </w:rPr>
              <w:t>•  Cloud storage will be used for backup and additional security. The chosen cloud service provider adheres to strict data protection standards and offers encryption at rest and in transit.</w:t>
            </w:r>
          </w:p>
          <w:p>
            <w:pPr>
              <w:rPr>
                <w:rFonts w:hint="eastAsia" w:ascii="Arial" w:hAnsi="Arial" w:cs="Arial"/>
                <w:sz w:val="22"/>
                <w:szCs w:val="22"/>
              </w:rPr>
            </w:pPr>
            <w:r>
              <w:rPr>
                <w:rFonts w:hint="eastAsia" w:ascii="Arial" w:hAnsi="Arial" w:cs="Arial"/>
                <w:sz w:val="22"/>
                <w:szCs w:val="22"/>
              </w:rPr>
              <w:t>•  All personal data will be anonymized before storage, ensuring that participants cannot be identified from the data set.</w:t>
            </w:r>
          </w:p>
          <w:p>
            <w:pPr>
              <w:rPr>
                <w:rFonts w:hint="eastAsia" w:ascii="Arial" w:hAnsi="Arial" w:cs="Arial"/>
                <w:sz w:val="22"/>
                <w:szCs w:val="22"/>
              </w:rPr>
            </w:pPr>
            <w:r>
              <w:rPr>
                <w:rFonts w:hint="eastAsia" w:ascii="Arial" w:hAnsi="Arial" w:cs="Arial"/>
                <w:sz w:val="22"/>
                <w:szCs w:val="22"/>
              </w:rPr>
              <w:t>•  Password protection will be enforced for all accounts with access to the data.</w:t>
            </w:r>
          </w:p>
          <w:p>
            <w:pPr>
              <w:rPr>
                <w:rFonts w:hint="eastAsia" w:ascii="Arial" w:hAnsi="Arial" w:cs="Arial"/>
                <w:sz w:val="22"/>
                <w:szCs w:val="22"/>
              </w:rPr>
            </w:pPr>
            <w:r>
              <w:rPr>
                <w:rFonts w:hint="eastAsia" w:ascii="Arial" w:hAnsi="Arial" w:cs="Arial"/>
                <w:sz w:val="22"/>
                <w:szCs w:val="22"/>
              </w:rPr>
              <w:t>•  Regular backups will be performed to prevent data loss.</w:t>
            </w:r>
          </w:p>
          <w:p>
            <w:pPr>
              <w:rPr>
                <w:rFonts w:hint="eastAsia" w:ascii="Arial" w:hAnsi="Arial" w:cs="Arial"/>
                <w:sz w:val="22"/>
                <w:szCs w:val="22"/>
              </w:rPr>
            </w:pPr>
            <w:r>
              <w:rPr>
                <w:rFonts w:hint="eastAsia" w:ascii="Arial" w:hAnsi="Arial" w:cs="Arial"/>
                <w:sz w:val="22"/>
                <w:szCs w:val="22"/>
              </w:rPr>
              <w:t>•  Encryption will be used for data at rest and during transfer.</w:t>
            </w:r>
          </w:p>
          <w:p>
            <w:pPr>
              <w:rPr>
                <w:rFonts w:ascii="Arial" w:hAnsi="Arial" w:cs="Arial"/>
                <w:sz w:val="22"/>
                <w:szCs w:val="22"/>
              </w:rPr>
            </w:pPr>
            <w:r>
              <w:rPr>
                <w:rFonts w:hint="eastAsia" w:ascii="Arial" w:hAnsi="Arial" w:cs="Arial"/>
                <w:sz w:val="22"/>
                <w:szCs w:val="22"/>
              </w:rPr>
              <w:t>•  Anonymization and pseudonymization will be applied to any data used in publications or presentations to protect participants’ identities.</w:t>
            </w:r>
          </w:p>
          <w:p>
            <w:pPr>
              <w:rPr>
                <w:rFonts w:ascii="Arial" w:hAnsi="Arial" w:cs="Arial"/>
                <w:sz w:val="22"/>
                <w:szCs w:val="22"/>
              </w:rPr>
            </w:pPr>
          </w:p>
          <w:p>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bl>
    <w:p>
      <w:pPr>
        <w:rPr>
          <w:rFonts w:ascii="Arial" w:hAnsi="Arial" w:cs="Arial"/>
        </w:rPr>
      </w:pPr>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p>
        </w:tc>
        <w:tc>
          <w:tcPr>
            <w:tcW w:w="9923" w:type="dxa"/>
            <w:gridSpan w:val="3"/>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b/>
                <w:bCs/>
                <w:sz w:val="22"/>
                <w:szCs w:val="22"/>
              </w:rPr>
              <w:t>Data Protection</w:t>
            </w:r>
          </w:p>
        </w:tc>
      </w:tr>
      <w:tr>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p>
        </w:tc>
        <w:tc>
          <w:tcPr>
            <w:tcW w:w="7905"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c>
          <w:tcPr>
            <w:tcW w:w="1026" w:type="dxa"/>
            <w:shd w:val="clear" w:color="auto" w:fill="BEBEBE"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EBEBE"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EBEBE" w:themeFill="background1" w:themeFillShade="BF"/>
            <w:vAlign w:val="center"/>
          </w:tcPr>
          <w:sdt>
            <w:sdtPr>
              <w:rPr>
                <w:rFonts w:ascii="Arial" w:hAnsi="Arial" w:cs="Arial"/>
                <w:sz w:val="22"/>
                <w:szCs w:val="22"/>
              </w:rPr>
              <w:id w:val="580263657"/>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EBEBE"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20</w:t>
            </w:r>
          </w:p>
        </w:tc>
        <w:tc>
          <w:tcPr>
            <w:tcW w:w="7905"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EBEBE"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1F1F1" w:themeFill="background1" w:themeFillShade="F2"/>
            <w:vAlign w:val="center"/>
          </w:tcPr>
          <w:p>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 any international equivalents, where appropriate):</w:t>
            </w:r>
          </w:p>
        </w:tc>
      </w:tr>
      <w:tr>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vAlign w:val="center"/>
          </w:tcPr>
          <w:p>
            <w:pPr>
              <w:autoSpaceDE w:val="0"/>
              <w:autoSpaceDN w:val="0"/>
              <w:adjustRightInd w:val="0"/>
              <w:rPr>
                <w:rFonts w:hint="eastAsia" w:ascii="Arial" w:hAnsi="Arial" w:cs="Arial"/>
                <w:sz w:val="22"/>
                <w:szCs w:val="22"/>
              </w:rPr>
            </w:pPr>
          </w:p>
          <w:p>
            <w:pPr>
              <w:autoSpaceDE w:val="0"/>
              <w:autoSpaceDN w:val="0"/>
              <w:adjustRightInd w:val="0"/>
              <w:rPr>
                <w:rFonts w:hint="eastAsia" w:ascii="Arial" w:hAnsi="Arial" w:cs="Arial"/>
                <w:sz w:val="22"/>
                <w:szCs w:val="22"/>
              </w:rPr>
            </w:pPr>
            <w:r>
              <w:rPr>
                <w:rFonts w:hint="eastAsia" w:ascii="Arial" w:hAnsi="Arial" w:cs="Arial"/>
                <w:sz w:val="22"/>
                <w:szCs w:val="22"/>
              </w:rPr>
              <w:t>•  Electronic data transfers will be conducted using encrypted email services and secure cloud storage providers that comply with GDPR standards.</w:t>
            </w:r>
          </w:p>
          <w:p>
            <w:pPr>
              <w:autoSpaceDE w:val="0"/>
              <w:autoSpaceDN w:val="0"/>
              <w:adjustRightInd w:val="0"/>
              <w:rPr>
                <w:rFonts w:hint="eastAsia" w:ascii="Arial" w:hAnsi="Arial" w:cs="Arial"/>
                <w:sz w:val="22"/>
                <w:szCs w:val="22"/>
              </w:rPr>
            </w:pPr>
            <w:r>
              <w:rPr>
                <w:rFonts w:hint="eastAsia" w:ascii="Arial" w:hAnsi="Arial" w:cs="Arial"/>
                <w:sz w:val="22"/>
                <w:szCs w:val="22"/>
              </w:rPr>
              <w:t>•  Personal identifiers will be used in accordance with GDPR, ensuring that data is anonymized and used only for research purposes.</w:t>
            </w:r>
          </w:p>
          <w:p>
            <w:pPr>
              <w:autoSpaceDE w:val="0"/>
              <w:autoSpaceDN w:val="0"/>
              <w:adjustRightInd w:val="0"/>
              <w:rPr>
                <w:rFonts w:hint="eastAsia" w:ascii="Arial" w:hAnsi="Arial" w:cs="Arial"/>
                <w:sz w:val="22"/>
                <w:szCs w:val="22"/>
              </w:rPr>
            </w:pPr>
            <w:r>
              <w:rPr>
                <w:rFonts w:hint="eastAsia" w:ascii="Arial" w:hAnsi="Arial" w:cs="Arial"/>
                <w:sz w:val="22"/>
                <w:szCs w:val="22"/>
              </w:rPr>
              <w:t>•  Data management systems will have strict access controls and will be regularly audited to ensure compliance with data protection regulations.</w:t>
            </w:r>
          </w:p>
          <w:p>
            <w:pPr>
              <w:autoSpaceDE w:val="0"/>
              <w:autoSpaceDN w:val="0"/>
              <w:adjustRightInd w:val="0"/>
              <w:rPr>
                <w:rFonts w:ascii="Arial" w:hAnsi="Arial" w:cs="Arial"/>
                <w:sz w:val="22"/>
                <w:szCs w:val="22"/>
              </w:rPr>
            </w:pPr>
            <w:r>
              <w:rPr>
                <w:rFonts w:hint="eastAsia" w:ascii="Arial" w:hAnsi="Arial" w:cs="Arial"/>
                <w:sz w:val="22"/>
                <w:szCs w:val="22"/>
              </w:rPr>
              <w:t>•  Archived data will be stored in a secure, off-site facility with restricted access, and will be destroyed after the 10-year period in a manner that ensures the data cannot be reconstructed.</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rPr>
            </w:pPr>
            <w:r>
              <w:rPr>
                <w:rFonts w:ascii="Arial" w:hAnsi="Arial" w:cs="Arial"/>
                <w:i/>
                <w:color w:val="808080"/>
                <w:sz w:val="18"/>
                <w:szCs w:val="18"/>
              </w:rPr>
              <w:t>(this box should expand as you type)</w:t>
            </w:r>
          </w:p>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vAlign w:val="center"/>
          </w:tcPr>
          <w:p>
            <w:pPr>
              <w:autoSpaceDE w:val="0"/>
              <w:autoSpaceDN w:val="0"/>
              <w:adjustRightInd w:val="0"/>
              <w:rPr>
                <w:rFonts w:hint="eastAsia" w:ascii="Arial" w:hAnsi="Arial" w:cs="Arial"/>
                <w:sz w:val="22"/>
                <w:szCs w:val="22"/>
              </w:rPr>
            </w:pPr>
          </w:p>
          <w:p>
            <w:pPr>
              <w:autoSpaceDE w:val="0"/>
              <w:autoSpaceDN w:val="0"/>
              <w:adjustRightInd w:val="0"/>
              <w:rPr>
                <w:rFonts w:ascii="Arial" w:hAnsi="Arial" w:cs="Arial"/>
                <w:sz w:val="22"/>
                <w:szCs w:val="22"/>
              </w:rPr>
            </w:pPr>
            <w:r>
              <w:rPr>
                <w:rFonts w:hint="eastAsia" w:ascii="Arial" w:hAnsi="Arial" w:cs="Arial"/>
                <w:sz w:val="22"/>
                <w:szCs w:val="22"/>
              </w:rPr>
              <w:t>The research team, including the principal investigator, research assistants, and any contracted data analysts.</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hint="eastAsia" w:ascii="Arial" w:hAnsi="Arial" w:cs="Arial"/>
                <w:sz w:val="22"/>
                <w:szCs w:val="22"/>
              </w:rPr>
              <w:t>The principal investigator will have control and act as the custodian for the data.</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rPr>
                <w:rFonts w:hint="eastAsia" w:ascii="Arial" w:hAnsi="Arial" w:cs="Arial"/>
                <w:sz w:val="22"/>
                <w:szCs w:val="22"/>
              </w:rPr>
            </w:pPr>
            <w:r>
              <w:rPr>
                <w:rFonts w:hint="eastAsia" w:ascii="Arial" w:hAnsi="Arial" w:cs="Arial"/>
                <w:sz w:val="22"/>
                <w:szCs w:val="22"/>
              </w:rPr>
              <w:t>•  Data will be stored on university-provided secure servers with restricted access.</w:t>
            </w:r>
          </w:p>
          <w:p>
            <w:pPr>
              <w:autoSpaceDE w:val="0"/>
              <w:autoSpaceDN w:val="0"/>
              <w:adjustRightInd w:val="0"/>
              <w:rPr>
                <w:rFonts w:hint="eastAsia" w:ascii="Arial" w:hAnsi="Arial" w:cs="Arial"/>
                <w:sz w:val="22"/>
                <w:szCs w:val="22"/>
              </w:rPr>
            </w:pPr>
            <w:r>
              <w:rPr>
                <w:rFonts w:hint="eastAsia" w:ascii="Arial" w:hAnsi="Arial" w:cs="Arial"/>
                <w:sz w:val="22"/>
                <w:szCs w:val="22"/>
              </w:rPr>
              <w:t>•  Security measures include firewalls, regular software updates, and encryption of data at rest and in transit.</w:t>
            </w:r>
          </w:p>
          <w:p>
            <w:pPr>
              <w:autoSpaceDE w:val="0"/>
              <w:autoSpaceDN w:val="0"/>
              <w:adjustRightInd w:val="0"/>
              <w:rPr>
                <w:rFonts w:hint="eastAsia" w:ascii="Arial" w:hAnsi="Arial" w:cs="Arial"/>
                <w:sz w:val="22"/>
                <w:szCs w:val="22"/>
              </w:rPr>
            </w:pPr>
            <w:r>
              <w:rPr>
                <w:rFonts w:hint="eastAsia" w:ascii="Arial" w:hAnsi="Arial" w:cs="Arial"/>
                <w:sz w:val="22"/>
                <w:szCs w:val="22"/>
              </w:rPr>
              <w:t>•  Data will be stored in digital form, with backups performed weekly and stored off-site.</w:t>
            </w:r>
          </w:p>
          <w:p>
            <w:pPr>
              <w:autoSpaceDE w:val="0"/>
              <w:autoSpaceDN w:val="0"/>
              <w:adjustRightInd w:val="0"/>
              <w:rPr>
                <w:rFonts w:ascii="Arial" w:hAnsi="Arial" w:cs="Arial"/>
                <w:sz w:val="22"/>
                <w:szCs w:val="22"/>
              </w:rPr>
            </w:pPr>
            <w:r>
              <w:rPr>
                <w:rFonts w:hint="eastAsia" w:ascii="Arial" w:hAnsi="Arial" w:cs="Arial"/>
                <w:sz w:val="22"/>
                <w:szCs w:val="22"/>
              </w:rPr>
              <w:t>•  Data will not be archived after the 10-year period due to the sensitive nature of the information; instead, it will be securely deleted.</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r>
              <w:fldChar w:fldCharType="begin"/>
            </w:r>
            <w: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fldChar w:fldCharType="separate"/>
            </w:r>
            <w:r>
              <w:rPr>
                <w:rStyle w:val="17"/>
                <w:rFonts w:ascii="Arial" w:hAnsi="Arial" w:cs="Arial"/>
                <w:color w:val="000000"/>
                <w:sz w:val="22"/>
                <w:szCs w:val="22"/>
              </w:rPr>
              <w:t>https://researchdata.uwtsd.ac.uk/</w:t>
            </w:r>
            <w:r>
              <w:rPr>
                <w:rStyle w:val="17"/>
                <w:rFonts w:ascii="Arial" w:hAnsi="Arial" w:cs="Arial"/>
                <w:color w:val="000000"/>
                <w:sz w:val="22"/>
                <w:szCs w:val="22"/>
              </w:rPr>
              <w:fldChar w:fldCharType="end"/>
            </w:r>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rFonts w:ascii="Arial" w:hAnsi="Arial" w:cs="Arial"/>
                <w:color w:val="000000"/>
              </w:rPr>
              <w:t xml:space="preserve"> </w:t>
            </w:r>
          </w:p>
        </w:tc>
      </w:tr>
      <w:tr>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tcPr>
          <w:p>
            <w:pPr>
              <w:autoSpaceDE w:val="0"/>
              <w:autoSpaceDN w:val="0"/>
              <w:adjustRightInd w:val="0"/>
              <w:rPr>
                <w:rFonts w:hint="eastAsia" w:ascii="Arial" w:hAnsi="Arial" w:cs="Arial"/>
                <w:sz w:val="22"/>
                <w:szCs w:val="22"/>
              </w:rPr>
            </w:pPr>
          </w:p>
          <w:p>
            <w:pPr>
              <w:autoSpaceDE w:val="0"/>
              <w:autoSpaceDN w:val="0"/>
              <w:adjustRightInd w:val="0"/>
              <w:rPr>
                <w:rFonts w:hint="eastAsia" w:ascii="Arial" w:hAnsi="Arial" w:cs="Arial"/>
                <w:sz w:val="22"/>
                <w:szCs w:val="22"/>
              </w:rPr>
            </w:pPr>
            <w:r>
              <w:rPr>
                <w:rFonts w:hint="eastAsia" w:ascii="Arial" w:hAnsi="Arial" w:cs="Arial"/>
                <w:sz w:val="22"/>
                <w:szCs w:val="22"/>
              </w:rPr>
              <w:t>•  The research data, following the completion of the study and initial analysis, will be stored in the UWTSD Research Data Repository. This repository is a platform that supports Open Access Initiative 2.0 (OAI 2.0) and provides a base URL for data accessibility.</w:t>
            </w:r>
          </w:p>
          <w:p>
            <w:pPr>
              <w:autoSpaceDE w:val="0"/>
              <w:autoSpaceDN w:val="0"/>
              <w:adjustRightInd w:val="0"/>
              <w:rPr>
                <w:rFonts w:hint="eastAsia" w:ascii="Arial" w:hAnsi="Arial" w:cs="Arial"/>
                <w:sz w:val="22"/>
                <w:szCs w:val="22"/>
              </w:rPr>
            </w:pPr>
            <w:r>
              <w:rPr>
                <w:rFonts w:hint="eastAsia" w:ascii="Arial" w:hAnsi="Arial" w:cs="Arial"/>
                <w:sz w:val="22"/>
                <w:szCs w:val="22"/>
              </w:rPr>
              <w:t>•  Explanation:</w:t>
            </w:r>
          </w:p>
          <w:p>
            <w:pPr>
              <w:autoSpaceDE w:val="0"/>
              <w:autoSpaceDN w:val="0"/>
              <w:adjustRightInd w:val="0"/>
              <w:rPr>
                <w:rFonts w:hint="eastAsia" w:ascii="Arial" w:hAnsi="Arial" w:cs="Arial"/>
                <w:sz w:val="22"/>
                <w:szCs w:val="22"/>
              </w:rPr>
            </w:pPr>
            <w:r>
              <w:rPr>
                <w:rFonts w:hint="eastAsia" w:ascii="Arial" w:hAnsi="Arial" w:cs="Arial"/>
                <w:sz w:val="22"/>
                <w:szCs w:val="22"/>
              </w:rPr>
              <w:t>•  Storing data in the UWTSD Research Data Repository aligns with the university’s policy, which encourages researchers to make their work available online, free to the reader, as soon as possible after publication. This is subject to proper attribution and any conditions set by the publisher.</w:t>
            </w:r>
          </w:p>
          <w:p>
            <w:pPr>
              <w:autoSpaceDE w:val="0"/>
              <w:autoSpaceDN w:val="0"/>
              <w:adjustRightInd w:val="0"/>
              <w:rPr>
                <w:rFonts w:hint="eastAsia" w:ascii="Arial" w:hAnsi="Arial" w:cs="Arial"/>
                <w:sz w:val="22"/>
                <w:szCs w:val="22"/>
              </w:rPr>
            </w:pPr>
            <w:r>
              <w:rPr>
                <w:rFonts w:hint="eastAsia" w:ascii="Arial" w:hAnsi="Arial" w:cs="Arial"/>
                <w:sz w:val="22"/>
                <w:szCs w:val="22"/>
              </w:rPr>
              <w:t>•  By depositing research data in the repository, it will be accessible to a wider academic community and the public, promoting transparency and reproducibility of research findings. This aligns with the principles of open science and can enhance the impact of the research.</w:t>
            </w:r>
          </w:p>
          <w:p>
            <w:pPr>
              <w:autoSpaceDE w:val="0"/>
              <w:autoSpaceDN w:val="0"/>
              <w:adjustRightInd w:val="0"/>
              <w:rPr>
                <w:rFonts w:hint="eastAsia" w:ascii="Arial" w:hAnsi="Arial" w:cs="Arial"/>
                <w:sz w:val="22"/>
                <w:szCs w:val="22"/>
              </w:rPr>
            </w:pPr>
            <w:r>
              <w:rPr>
                <w:rFonts w:hint="eastAsia" w:ascii="Arial" w:hAnsi="Arial" w:cs="Arial"/>
                <w:sz w:val="22"/>
                <w:szCs w:val="22"/>
              </w:rPr>
              <w:t>•  The data will be prepared in accordance with the repository’s guidelines, ensuring it is well-documented and easy to understand for end-users. Any sensitive or personally identifiable information will be removed or anonymized to protect the privacy of research participants.</w:t>
            </w:r>
          </w:p>
          <w:p>
            <w:pPr>
              <w:autoSpaceDE w:val="0"/>
              <w:autoSpaceDN w:val="0"/>
              <w:adjustRightInd w:val="0"/>
              <w:rPr>
                <w:rFonts w:ascii="Arial" w:hAnsi="Arial" w:cs="Arial"/>
                <w:sz w:val="22"/>
                <w:szCs w:val="22"/>
              </w:rPr>
            </w:pPr>
            <w:r>
              <w:rPr>
                <w:rFonts w:hint="eastAsia" w:ascii="Arial" w:hAnsi="Arial" w:cs="Arial"/>
                <w:sz w:val="22"/>
                <w:szCs w:val="22"/>
              </w:rPr>
              <w:t>•  The repository offers a secure and stable storage solution, ensuring the longevity and integrity of the research data. It also provides a mechanism for citing and linking to the stored data, which is beneficial for academic recognition and collaboration.</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rPr>
          <w:trHeight w:val="606"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Cs/>
                <w:sz w:val="22"/>
                <w:szCs w:val="22"/>
              </w:rPr>
              <w:t>26</w:t>
            </w:r>
          </w:p>
        </w:tc>
        <w:tc>
          <w:tcPr>
            <w:tcW w:w="7905" w:type="dxa"/>
            <w:shd w:val="clear" w:color="auto" w:fill="F1F1F1" w:themeFill="background1" w:themeFillShade="F2"/>
          </w:tcPr>
          <w:p>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17"/>
                <w:rFonts w:ascii="Arial" w:hAnsi="Arial" w:cs="Arial"/>
                <w:color w:val="000000"/>
                <w:sz w:val="22"/>
                <w:szCs w:val="22"/>
              </w:rPr>
              <w:t>https://www.uwtsd.ac.uk/library/research-data-management/</w:t>
            </w:r>
            <w:r>
              <w:rPr>
                <w:rStyle w:val="17"/>
                <w:rFonts w:ascii="Arial" w:hAnsi="Arial" w:cs="Arial"/>
                <w:color w:val="000000"/>
                <w:sz w:val="22"/>
                <w:szCs w:val="22"/>
              </w:rPr>
              <w:fldChar w:fldCharType="end"/>
            </w:r>
            <w:r>
              <w:rPr>
                <w:rFonts w:ascii="Arial" w:hAnsi="Arial" w:cs="Arial"/>
                <w:color w:val="000000"/>
                <w:sz w:val="22"/>
                <w:szCs w:val="22"/>
              </w:rPr>
              <w:t>)</w:t>
            </w:r>
          </w:p>
        </w:tc>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vAlign w:val="center"/>
          </w:tcPr>
          <w:p>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rPr>
                  <w:rFonts w:ascii="Arial" w:hAnsi="Arial" w:cs="Arial"/>
                </w:rPr>
              </w:sdtEndPr>
              <w:sdtContent>
                <w:r>
                  <w:rPr>
                    <w:rFonts w:ascii="MS Gothic" w:hAnsi="MS Gothic" w:eastAsia="MS Gothic" w:cs="Segoe UI Symbol"/>
                    <w:lang w:val="en-GB" w:eastAsia="en-US" w:bidi="ar-SA"/>
                  </w:rPr>
                  <w:t>☒</w:t>
                </w:r>
              </w:sdtContent>
            </w:sdt>
          </w:p>
        </w:tc>
      </w:tr>
      <w:tr>
        <w:trPr>
          <w:trHeight w:val="632"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vAlign w:val="center"/>
          </w:tcPr>
          <w:p>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rPr>
                  <w:rFonts w:ascii="Arial" w:hAnsi="Arial" w:cs="Arial"/>
                </w:rPr>
              </w:sdtEndPr>
              <w:sdtContent>
                <w:r>
                  <w:rPr>
                    <w:rFonts w:ascii="MS Gothic" w:hAnsi="MS Gothic" w:eastAsia="MS Gothic" w:cs="Segoe UI Symbol"/>
                    <w:lang w:val="en-GB" w:eastAsia="en-US" w:bidi="ar-SA"/>
                  </w:rPr>
                  <w:t>☒</w:t>
                </w:r>
              </w:sdtContent>
            </w:sdt>
          </w:p>
        </w:tc>
      </w:tr>
    </w:tbl>
    <w:p>
      <w:pPr>
        <w:rPr>
          <w:rFonts w:ascii="Arial" w:hAnsi="Arial" w:cs="Arial"/>
          <w:b/>
          <w:bCs/>
          <w:sz w:val="22"/>
          <w:szCs w:val="22"/>
        </w:rPr>
      </w:pPr>
    </w:p>
    <w:p>
      <w:pPr>
        <w:rPr>
          <w:rFonts w:ascii="Arial" w:hAnsi="Arial" w:cs="Arial"/>
          <w:b/>
          <w:bCs/>
          <w:sz w:val="22"/>
          <w:szCs w:val="22"/>
        </w:rPr>
      </w:pPr>
    </w:p>
    <w:sectPr>
      <w:headerReference r:id="rId3" w:type="default"/>
      <w:footerReference r:id="rId4" w:type="default"/>
      <w:pgSz w:w="11906" w:h="16838"/>
      <w:pgMar w:top="1418" w:right="707" w:bottom="567" w:left="709" w:header="720" w:footer="284"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auto"/>
    <w:pitch w:val="default"/>
    <w:sig w:usb0="E0000AFF" w:usb1="00007843" w:usb2="00000001" w:usb3="00000000" w:csb0="400001BF" w:csb1="DFF7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Cambria">
    <w:altName w:val="苹方-简"/>
    <w:panose1 w:val="02040503050406030204"/>
    <w:charset w:val="00"/>
    <w:family w:val="roman"/>
    <w:pitch w:val="default"/>
    <w:sig w:usb0="00000000" w:usb1="00000000" w:usb2="02000000" w:usb3="00000000" w:csb0="0000019F" w:csb1="00000000"/>
  </w:font>
  <w:font w:name="Tahoma">
    <w:panose1 w:val="020B0604030504040204"/>
    <w:charset w:val="00"/>
    <w:family w:val="swiss"/>
    <w:pitch w:val="default"/>
    <w:sig w:usb0="E1002AFF" w:usb1="C000605B" w:usb2="00000029" w:usb3="00000000" w:csb0="200101FF" w:csb1="20280000"/>
  </w:font>
  <w:font w:name="Arial">
    <w:panose1 w:val="020B0604020202090204"/>
    <w:charset w:val="00"/>
    <w:family w:val="swiss"/>
    <w:pitch w:val="default"/>
    <w:sig w:usb0="E0000AFF" w:usb1="00007843" w:usb2="00000001" w:usb3="00000000" w:csb0="400001BF" w:csb1="DFF70000"/>
  </w:font>
  <w:font w:name="Segoe UI Symbol">
    <w:altName w:val="苹方-简"/>
    <w:panose1 w:val="020B0502040204020203"/>
    <w:charset w:val="00"/>
    <w:family w:val="swiss"/>
    <w:pitch w:val="default"/>
    <w:sig w:usb0="00000000" w:usb1="00000000" w:usb2="00040000" w:usb3="00000000" w:csb0="00000001" w:csb1="00000000"/>
  </w:font>
  <w:font w:name="MS Gothic">
    <w:altName w:val="Hiragino Sans"/>
    <w:panose1 w:val="020B0609070205080204"/>
    <w:charset w:val="80"/>
    <w:family w:val="modern"/>
    <w:pitch w:val="default"/>
    <w:sig w:usb0="00000000" w:usb1="00000000" w:usb2="08000012" w:usb3="00000000" w:csb0="0002009F" w:csb1="00000000"/>
  </w:font>
  <w:font w:name="Helvetica Neue">
    <w:panose1 w:val="02000503000000020004"/>
    <w:charset w:val="00"/>
    <w:family w:val="auto"/>
    <w:pitch w:val="default"/>
    <w:sig w:usb0="E50002FF" w:usb1="500079DB" w:usb2="00000010" w:usb3="00000000" w:csb0="00000000" w:csb1="00000000"/>
  </w:font>
  <w:font w:name="苹方-简">
    <w:panose1 w:val="020B0400000000000000"/>
    <w:charset w:val="86"/>
    <w:family w:val="auto"/>
    <w:pitch w:val="default"/>
    <w:sig w:usb0="A00002FF" w:usb1="7ACFFDFB" w:usb2="00000017" w:usb3="00000000" w:csb0="00040001" w:csb1="00000000"/>
  </w:font>
  <w:font w:name="Arial Unicode MS">
    <w:panose1 w:val="020B0604020202020204"/>
    <w:charset w:val="86"/>
    <w:family w:val="auto"/>
    <w:pitch w:val="default"/>
    <w:sig w:usb0="FFFFFFFF" w:usb1="E9FFFFFF" w:usb2="0000003F" w:usb3="00000000" w:csb0="603F01FF" w:csb1="FFFF0000"/>
  </w:font>
  <w:font w:name="冬青黑体简体中文">
    <w:panose1 w:val="020B0300000000000000"/>
    <w:charset w:val="86"/>
    <w:family w:val="auto"/>
    <w:pitch w:val="default"/>
    <w:sig w:usb0="A00002BF" w:usb1="1ACF7CFA" w:usb2="00000016" w:usb3="00000000" w:csb0="00060007" w:csb1="00000000"/>
  </w:font>
  <w:font w:name="Hiragino Sans">
    <w:panose1 w:val="020B0300000000000000"/>
    <w:charset w:val="80"/>
    <w:family w:val="auto"/>
    <w:pitch w:val="default"/>
    <w:sig w:usb0="E00002FF" w:usb1="7AE7FFFF" w:usb2="00000012" w:usb3="00000000" w:csb0="0002000D"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宋体-简">
    <w:panose1 w:val="02010800040101010101"/>
    <w:charset w:val="86"/>
    <w:family w:val="auto"/>
    <w:pitch w:val="default"/>
    <w:sig w:usb0="00000001" w:usb1="080F0000" w:usb2="00000000" w:usb3="00000000" w:csb0="00040000" w:csb1="00000000"/>
  </w:font>
  <w:font w:name="MS Gothic">
    <w:altName w:val="苹方-简"/>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rFonts w:ascii="Arial" w:hAnsi="Arial" w:cs="Arial"/>
      </w:rPr>
      <w:t>`</w:t>
    </w:r>
    <w:r>
      <w:rPr>
        <w:rFonts w:ascii="Arial" w:hAnsi="Arial" w:cs="Arial"/>
      </w:rPr>
      <w:ptab w:relativeTo="margin" w:alignment="center" w:leader="none"/>
    </w:r>
    <w:r>
      <w:rPr>
        <w:rStyle w:val="15"/>
        <w:rFonts w:ascii="Arial" w:hAnsi="Arial" w:cs="Arial"/>
      </w:rPr>
      <w:fldChar w:fldCharType="begin"/>
    </w:r>
    <w:r>
      <w:rPr>
        <w:rStyle w:val="15"/>
        <w:rFonts w:ascii="Arial" w:hAnsi="Arial" w:cs="Arial"/>
      </w:rPr>
      <w:instrText xml:space="preserve"> PAGE </w:instrText>
    </w:r>
    <w:r>
      <w:rPr>
        <w:rStyle w:val="15"/>
        <w:rFonts w:ascii="Arial" w:hAnsi="Arial" w:cs="Arial"/>
      </w:rPr>
      <w:fldChar w:fldCharType="separate"/>
    </w:r>
    <w:r>
      <w:rPr>
        <w:rStyle w:val="15"/>
        <w:rFonts w:ascii="Arial" w:hAnsi="Arial" w:cs="Arial"/>
      </w:rPr>
      <w:t>1</w:t>
    </w:r>
    <w:r>
      <w:rPr>
        <w:rStyle w:val="15"/>
        <w:rFonts w:ascii="Arial" w:hAnsi="Arial" w:cs="Arial"/>
      </w:rPr>
      <w:fldChar w:fldCharType="end"/>
    </w:r>
    <w:r>
      <w:rPr>
        <w:rStyle w:val="15"/>
        <w:rFonts w:ascii="Arial" w:hAnsi="Arial" w:cs="Arial"/>
      </w:rPr>
      <w:ptab w:relativeTo="margin" w:alignment="right" w:leader="none"/>
    </w:r>
    <w:r>
      <w:rPr>
        <w:rStyle w:val="15"/>
        <w:rFonts w:ascii="Arial" w:hAnsi="Arial" w:cs="Arial"/>
      </w:rPr>
      <w:t>ECDE7018 Ethical Approval Form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right"/>
      <w:rPr>
        <w:rFonts w:asciiTheme="minorHAnsi" w:hAnsiTheme="minorHAnsi" w:cstheme="minorHAnsi"/>
        <w:b/>
        <w:bCs/>
        <w:sz w:val="22"/>
        <w:szCs w:val="22"/>
      </w:rPr>
    </w:pPr>
    <w:r>
      <w:rPr>
        <w:rFonts w:asciiTheme="minorHAnsi" w:hAnsiTheme="minorHAnsi" w:cstheme="minorHAnsi"/>
        <w:lang w:eastAsia="en-GB"/>
      </w:rPr>
      <w:drawing>
        <wp:anchor distT="0" distB="0" distL="114300" distR="114300" simplePos="0" relativeHeight="251659264" behindDoc="0" locked="0" layoutInCell="1" allowOverlap="1">
          <wp:simplePos x="0" y="0"/>
          <wp:positionH relativeFrom="margin">
            <wp:posOffset>0</wp:posOffset>
          </wp:positionH>
          <wp:positionV relativeFrom="page">
            <wp:posOffset>180340</wp:posOffset>
          </wp:positionV>
          <wp:extent cx="1792605" cy="601345"/>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Theme="minorHAnsi" w:hAnsiTheme="minorHAnsi" w:cstheme="minorHAnsi"/>
        <w:lang w:eastAsia="en-GB"/>
      </w:rPr>
      <w:t>ECDE7018 Ethical Approval Form</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4"/>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rawingGridHorizontalSpacing w:val="100"/>
  <w:displayHorizontalDrawingGridEvery w:val="1"/>
  <w:displayVerticalDrawingGridEvery w:val="1"/>
  <w:noPunctuationKerning w:val="1"/>
  <w:characterSpacingControl w:val="doNotCompress"/>
  <w:doNotValidateAgainstSchema/>
  <w:doNotDemarcateInvalidXml/>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3705"/>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3355E"/>
    <w:rsid w:val="003408DD"/>
    <w:rsid w:val="003505BC"/>
    <w:rsid w:val="00354F34"/>
    <w:rsid w:val="00361382"/>
    <w:rsid w:val="003656A9"/>
    <w:rsid w:val="00382031"/>
    <w:rsid w:val="00384BA8"/>
    <w:rsid w:val="00390251"/>
    <w:rsid w:val="00392C8E"/>
    <w:rsid w:val="00392D9A"/>
    <w:rsid w:val="00397B49"/>
    <w:rsid w:val="003A09CB"/>
    <w:rsid w:val="003A5C91"/>
    <w:rsid w:val="003A712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889"/>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3D7E"/>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C0E"/>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A3C"/>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B773C"/>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45F6"/>
    <w:rsid w:val="00F96C3F"/>
    <w:rsid w:val="00FA17A2"/>
    <w:rsid w:val="00FA1C94"/>
    <w:rsid w:val="00FB4F7A"/>
    <w:rsid w:val="00FB58A3"/>
    <w:rsid w:val="00FB6B35"/>
    <w:rsid w:val="00FD436F"/>
    <w:rsid w:val="00FD5A26"/>
    <w:rsid w:val="00FE3EC4"/>
    <w:rsid w:val="00FF25C7"/>
    <w:rsid w:val="00FF3E46"/>
    <w:rsid w:val="00FF5A58"/>
    <w:rsid w:val="19FDA4A8"/>
    <w:rsid w:val="57DEFFF0"/>
    <w:rsid w:val="77AEA737"/>
    <w:rsid w:val="E35F1D63"/>
    <w:rsid w:val="F3FC7547"/>
    <w:rsid w:val="FEB60525"/>
  </w:rsids>
  <m:mathPr>
    <m:mathFont m:val="Cambria Math"/>
    <m:brkBin m:val="before"/>
    <m:brkBinSub m:val="--"/>
    <m:smallFrac m:val="0"/>
    <m:dispDef/>
    <m:lMargin m:val="0"/>
    <m:rMargin m:val="0"/>
    <m:defJc m:val="centerGroup"/>
    <m:wrapIndent m:val="1440"/>
    <m:intLim m:val="subSup"/>
    <m:naryLim m:val="undOvr"/>
  </m:mathPr>
  <w:doNotAutoCompressPictures/>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99" w:semiHidden="0" w:name="Body Text 2"/>
    <w:lsdException w:uiPriority="99" w:name="Body Text 3"/>
    <w:lsdException w:uiPriority="99" w:name="Body Text Indent 2"/>
    <w:lsdException w:uiPriority="99" w:name="Body Text Indent 3"/>
    <w:lsdException w:uiPriority="99" w:name="Block Text"/>
    <w:lsdException w:unhideWhenUsed="0" w:uiPriority="0" w:semiHidden="0" w:name="Hyperlink"/>
    <w:lsdException w:unhideWhenUsed="0"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lang w:val="en-GB" w:eastAsia="en-US" w:bidi="ar-SA"/>
    </w:rPr>
  </w:style>
  <w:style w:type="paragraph" w:styleId="2">
    <w:name w:val="heading 1"/>
    <w:basedOn w:val="1"/>
    <w:next w:val="1"/>
    <w:link w:val="19"/>
    <w:qFormat/>
    <w:uiPriority w:val="99"/>
    <w:pPr>
      <w:keepNext/>
      <w:tabs>
        <w:tab w:val="left" w:pos="5103"/>
      </w:tabs>
      <w:jc w:val="center"/>
      <w:outlineLvl w:val="0"/>
    </w:pPr>
    <w:rPr>
      <w:b/>
      <w:bCs/>
      <w:sz w:val="22"/>
      <w:szCs w:val="22"/>
    </w:rPr>
  </w:style>
  <w:style w:type="paragraph" w:styleId="3">
    <w:name w:val="heading 4"/>
    <w:basedOn w:val="1"/>
    <w:next w:val="1"/>
    <w:link w:val="20"/>
    <w:qFormat/>
    <w:uiPriority w:val="99"/>
    <w:pPr>
      <w:keepNext/>
      <w:spacing w:before="240" w:after="60"/>
      <w:outlineLvl w:val="3"/>
    </w:pPr>
    <w:rPr>
      <w:b/>
      <w:bCs/>
      <w:sz w:val="28"/>
      <w:szCs w:val="28"/>
    </w:rPr>
  </w:style>
  <w:style w:type="character" w:default="1" w:styleId="13">
    <w:name w:val="Default Paragraph Font"/>
    <w:semiHidden/>
    <w:unhideWhenUsed/>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28"/>
    <w:semiHidden/>
    <w:unhideWhenUsed/>
    <w:uiPriority w:val="99"/>
  </w:style>
  <w:style w:type="paragraph" w:styleId="5">
    <w:name w:val="Balloon Text"/>
    <w:basedOn w:val="1"/>
    <w:link w:val="23"/>
    <w:semiHidden/>
    <w:uiPriority w:val="99"/>
    <w:rPr>
      <w:rFonts w:ascii="Tahoma" w:hAnsi="Tahoma" w:cs="Tahoma"/>
      <w:sz w:val="16"/>
      <w:szCs w:val="16"/>
    </w:rPr>
  </w:style>
  <w:style w:type="paragraph" w:styleId="6">
    <w:name w:val="footer"/>
    <w:basedOn w:val="1"/>
    <w:link w:val="25"/>
    <w:uiPriority w:val="99"/>
    <w:pPr>
      <w:tabs>
        <w:tab w:val="center" w:pos="4513"/>
        <w:tab w:val="right" w:pos="9026"/>
      </w:tabs>
    </w:pPr>
  </w:style>
  <w:style w:type="paragraph" w:styleId="7">
    <w:name w:val="header"/>
    <w:basedOn w:val="1"/>
    <w:link w:val="24"/>
    <w:semiHidden/>
    <w:uiPriority w:val="99"/>
    <w:pPr>
      <w:tabs>
        <w:tab w:val="center" w:pos="4513"/>
        <w:tab w:val="right" w:pos="9026"/>
      </w:tabs>
    </w:pPr>
  </w:style>
  <w:style w:type="paragraph" w:styleId="8">
    <w:name w:val="Body Text 2"/>
    <w:basedOn w:val="1"/>
    <w:link w:val="21"/>
    <w:uiPriority w:val="99"/>
    <w:pPr>
      <w:ind w:left="720" w:hanging="720"/>
    </w:pPr>
    <w:rPr>
      <w:b/>
      <w:bCs/>
      <w:sz w:val="22"/>
      <w:szCs w:val="22"/>
    </w:rPr>
  </w:style>
  <w:style w:type="paragraph" w:styleId="9">
    <w:name w:val="Normal (Web)"/>
    <w:basedOn w:val="1"/>
    <w:uiPriority w:val="99"/>
    <w:pPr>
      <w:spacing w:before="100" w:beforeAutospacing="1" w:after="100" w:afterAutospacing="1"/>
    </w:pPr>
    <w:rPr>
      <w:sz w:val="24"/>
      <w:szCs w:val="24"/>
      <w:lang w:eastAsia="en-GB"/>
    </w:rPr>
  </w:style>
  <w:style w:type="paragraph" w:styleId="10">
    <w:name w:val="annotation subject"/>
    <w:basedOn w:val="4"/>
    <w:next w:val="4"/>
    <w:link w:val="29"/>
    <w:semiHidden/>
    <w:unhideWhenUsed/>
    <w:uiPriority w:val="99"/>
    <w:rPr>
      <w:b/>
      <w:bCs/>
    </w:rPr>
  </w:style>
  <w:style w:type="table" w:styleId="12">
    <w:name w:val="Table Grid"/>
    <w:basedOn w:val="11"/>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qFormat/>
    <w:uiPriority w:val="22"/>
    <w:rPr>
      <w:b/>
      <w:bCs/>
    </w:rPr>
  </w:style>
  <w:style w:type="character" w:styleId="15">
    <w:name w:val="page number"/>
    <w:basedOn w:val="13"/>
    <w:uiPriority w:val="99"/>
  </w:style>
  <w:style w:type="character" w:styleId="16">
    <w:name w:val="FollowedHyperlink"/>
    <w:semiHidden/>
    <w:uiPriority w:val="99"/>
    <w:rPr>
      <w:color w:val="800080"/>
      <w:u w:val="single"/>
    </w:rPr>
  </w:style>
  <w:style w:type="character" w:styleId="17">
    <w:name w:val="Hyperlink"/>
    <w:uiPriority w:val="0"/>
    <w:rPr>
      <w:color w:val="0000FF"/>
      <w:u w:val="single"/>
    </w:rPr>
  </w:style>
  <w:style w:type="character" w:styleId="18">
    <w:name w:val="annotation reference"/>
    <w:semiHidden/>
    <w:unhideWhenUsed/>
    <w:uiPriority w:val="99"/>
    <w:rPr>
      <w:sz w:val="16"/>
      <w:szCs w:val="16"/>
    </w:rPr>
  </w:style>
  <w:style w:type="character" w:customStyle="1" w:styleId="19">
    <w:name w:val="Heading 1 Char"/>
    <w:link w:val="2"/>
    <w:uiPriority w:val="99"/>
    <w:rPr>
      <w:rFonts w:ascii="Cambria" w:hAnsi="Cambria" w:cs="Cambria"/>
      <w:b/>
      <w:bCs/>
      <w:kern w:val="32"/>
      <w:sz w:val="32"/>
      <w:szCs w:val="32"/>
      <w:lang w:eastAsia="en-US"/>
    </w:rPr>
  </w:style>
  <w:style w:type="character" w:customStyle="1" w:styleId="20">
    <w:name w:val="Heading 4 Char"/>
    <w:link w:val="3"/>
    <w:semiHidden/>
    <w:uiPriority w:val="99"/>
    <w:rPr>
      <w:rFonts w:ascii="Calibri" w:hAnsi="Calibri" w:cs="Calibri"/>
      <w:b/>
      <w:bCs/>
      <w:sz w:val="28"/>
      <w:szCs w:val="28"/>
      <w:lang w:eastAsia="en-US"/>
    </w:rPr>
  </w:style>
  <w:style w:type="character" w:customStyle="1" w:styleId="21">
    <w:name w:val="Body Text 2 Char"/>
    <w:link w:val="8"/>
    <w:semiHidden/>
    <w:uiPriority w:val="99"/>
    <w:rPr>
      <w:sz w:val="20"/>
      <w:szCs w:val="20"/>
      <w:lang w:eastAsia="en-US"/>
    </w:rPr>
  </w:style>
  <w:style w:type="paragraph" w:customStyle="1" w:styleId="22">
    <w:name w:val="deannah1"/>
    <w:basedOn w:val="1"/>
    <w:uiPriority w:val="99"/>
    <w:pPr>
      <w:keepNext/>
      <w:spacing w:after="240"/>
    </w:pPr>
    <w:rPr>
      <w:b/>
      <w:bCs/>
      <w:sz w:val="24"/>
      <w:szCs w:val="24"/>
    </w:rPr>
  </w:style>
  <w:style w:type="character" w:customStyle="1" w:styleId="23">
    <w:name w:val="Balloon Text Char"/>
    <w:link w:val="5"/>
    <w:semiHidden/>
    <w:uiPriority w:val="99"/>
    <w:rPr>
      <w:sz w:val="2"/>
      <w:szCs w:val="2"/>
      <w:lang w:eastAsia="en-US"/>
    </w:rPr>
  </w:style>
  <w:style w:type="character" w:customStyle="1" w:styleId="24">
    <w:name w:val="Header Char"/>
    <w:link w:val="7"/>
    <w:semiHidden/>
    <w:uiPriority w:val="99"/>
    <w:rPr>
      <w:lang w:eastAsia="en-US"/>
    </w:rPr>
  </w:style>
  <w:style w:type="character" w:customStyle="1" w:styleId="25">
    <w:name w:val="Footer Char"/>
    <w:link w:val="6"/>
    <w:uiPriority w:val="99"/>
    <w:rPr>
      <w:lang w:eastAsia="en-US"/>
    </w:rPr>
  </w:style>
  <w:style w:type="character" w:customStyle="1" w:styleId="26">
    <w:name w:val="Hyperlink1"/>
    <w:uiPriority w:val="99"/>
    <w:rPr>
      <w:color w:val="535353"/>
      <w:u w:val="single"/>
    </w:rPr>
  </w:style>
  <w:style w:type="paragraph" w:customStyle="1" w:styleId="27">
    <w:name w:val="Normal (Web)1"/>
    <w:basedOn w:val="1"/>
    <w:uiPriority w:val="99"/>
    <w:pPr>
      <w:spacing w:before="100" w:beforeAutospacing="1" w:after="300"/>
    </w:pPr>
    <w:rPr>
      <w:sz w:val="24"/>
      <w:szCs w:val="24"/>
      <w:lang w:eastAsia="en-GB"/>
    </w:rPr>
  </w:style>
  <w:style w:type="character" w:customStyle="1" w:styleId="28">
    <w:name w:val="Comment Text Char"/>
    <w:link w:val="4"/>
    <w:semiHidden/>
    <w:uiPriority w:val="99"/>
    <w:rPr>
      <w:lang w:eastAsia="en-US"/>
    </w:rPr>
  </w:style>
  <w:style w:type="character" w:customStyle="1" w:styleId="29">
    <w:name w:val="Comment Subject Char"/>
    <w:link w:val="10"/>
    <w:semiHidden/>
    <w:uiPriority w:val="99"/>
    <w:rPr>
      <w:b/>
      <w:bCs/>
      <w:lang w:eastAsia="en-US"/>
    </w:rPr>
  </w:style>
  <w:style w:type="paragraph" w:styleId="30">
    <w:name w:val="List Paragraph"/>
    <w:basedOn w:val="1"/>
    <w:qFormat/>
    <w:uiPriority w:val="34"/>
    <w:pPr>
      <w:ind w:left="720"/>
      <w:contextualSpacing/>
    </w:pPr>
    <w:rPr>
      <w:rFonts w:ascii="Calibri" w:hAnsi="Calibri" w:eastAsia="Calibri"/>
      <w:sz w:val="22"/>
      <w:szCs w:val="22"/>
    </w:rPr>
  </w:style>
  <w:style w:type="character" w:customStyle="1" w:styleId="31">
    <w:name w:val="Unresolved Mention"/>
    <w:basedOn w:val="13"/>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UoW Trinity Saint David</Company>
  <Pages>5</Pages>
  <Words>1449</Words>
  <Characters>8265</Characters>
  <Lines>68</Lines>
  <Paragraphs>19</Paragraphs>
  <TotalTime>3</TotalTime>
  <ScaleCrop>false</ScaleCrop>
  <LinksUpToDate>false</LinksUpToDate>
  <CharactersWithSpaces>9695</CharactersWithSpaces>
  <Application>WPS Office_6.4.0.8550_F1E327BC-269C-435d-A152-05C5408002CA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2024-10-30T22:43:00Z</dcterms:created>
  <dc:creator>Kevin Brice</dc:creator>
  <cp:lastModifiedBy>FUdudu</cp:lastModifiedBy>
  <cp:lastPrinted>2016-10-24T20:21:00Z</cp:lastPrinted>
  <dcterms:modified xsi:type="dcterms:W3CDTF">2025-01-07T07:24:00Z</dcterms:modified>
  <dc:title>PG2-E1</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KSOProductBuildVer">
    <vt:lpwstr>2052-6.4.0.8550</vt:lpwstr>
  </property>
  <property fmtid="{D5CDD505-2E9C-101B-9397-08002B2CF9AE}" pid="5" name="ICV">
    <vt:lpwstr>A65806122E3B694810667C672FFE9FAC_43</vt:lpwstr>
  </property>
</Properties>
</file>