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D26C9E">
      <w:pPr>
        <w:pStyle w:val="2"/>
        <w:keepNext w:val="0"/>
        <w:keepLines w:val="0"/>
        <w:widowControl/>
        <w:suppressLineNumbers w:val="0"/>
        <w:jc w:val="center"/>
      </w:pPr>
      <w:bookmarkStart w:id="0" w:name="_GoBack"/>
      <w:r>
        <w:rPr>
          <w:rStyle w:val="8"/>
          <w:b/>
          <w:bCs/>
        </w:rPr>
        <w:t>PESTEL Analysis for Blue-Collar Recruitment Agency Startup</w:t>
      </w:r>
    </w:p>
    <w:bookmarkEnd w:id="0"/>
    <w:p w14:paraId="18E971A1">
      <w:pPr>
        <w:keepNext w:val="0"/>
        <w:keepLines w:val="0"/>
        <w:widowControl/>
        <w:suppressLineNumbers w:val="0"/>
      </w:pPr>
      <w: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1264E8C">
      <w:pPr>
        <w:pStyle w:val="3"/>
        <w:keepNext w:val="0"/>
        <w:keepLines w:val="0"/>
        <w:widowControl/>
        <w:suppressLineNumbers w:val="0"/>
      </w:pPr>
      <w:r>
        <w:rPr>
          <w:rStyle w:val="8"/>
          <w:b/>
          <w:bCs/>
        </w:rPr>
        <w:t>1. Political Factors</w:t>
      </w:r>
    </w:p>
    <w:p w14:paraId="477F6E5B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Analysis:</w:t>
      </w:r>
    </w:p>
    <w:p w14:paraId="4C3DFA19">
      <w:pPr>
        <w:pStyle w:val="7"/>
        <w:keepNext w:val="0"/>
        <w:keepLines w:val="0"/>
        <w:widowControl/>
        <w:suppressLineNumbers w:val="0"/>
        <w:ind w:firstLine="120" w:firstLineChars="50"/>
      </w:pPr>
      <w:r>
        <w:rPr>
          <w:rStyle w:val="8"/>
          <w:rFonts w:hint="default"/>
          <w:lang w:val="en-GB"/>
        </w:rPr>
        <w:t xml:space="preserve">- </w:t>
      </w:r>
      <w:r>
        <w:rPr>
          <w:rStyle w:val="8"/>
        </w:rPr>
        <w:t>Labour laws</w:t>
      </w:r>
      <w:r>
        <w:t xml:space="preserve">, </w:t>
      </w:r>
      <w:r>
        <w:rPr>
          <w:rStyle w:val="8"/>
        </w:rPr>
        <w:t>immigration policy</w:t>
      </w:r>
      <w:r>
        <w:t xml:space="preserve">, and </w:t>
      </w:r>
      <w:r>
        <w:rPr>
          <w:rStyle w:val="8"/>
        </w:rPr>
        <w:t>employment regulations</w:t>
      </w:r>
      <w:r>
        <w:t xml:space="preserve"> directly impact access to workers and how you operate.</w:t>
      </w:r>
    </w:p>
    <w:p w14:paraId="144EFFC0">
      <w:pPr>
        <w:pStyle w:val="7"/>
        <w:keepNext w:val="0"/>
        <w:keepLines w:val="0"/>
        <w:widowControl/>
        <w:suppressLineNumbers w:val="0"/>
        <w:ind w:firstLine="120" w:firstLineChars="50"/>
      </w:pPr>
      <w:r>
        <w:rPr>
          <w:rFonts w:hint="default"/>
          <w:lang w:val="en-GB"/>
        </w:rPr>
        <w:t xml:space="preserve">- </w:t>
      </w:r>
      <w:r>
        <w:t>Brexit has influenced the availability of foreign labor, reducing EU worker supply.</w:t>
      </w:r>
    </w:p>
    <w:p w14:paraId="0113983E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Government incentives for job creation or apprenticeships may support the sector.</w:t>
      </w:r>
    </w:p>
    <w:p w14:paraId="6D55BDF0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Opportunities:</w:t>
      </w:r>
    </w:p>
    <w:p w14:paraId="4D146564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Government support for employment and skills training.</w:t>
      </w:r>
    </w:p>
    <w:p w14:paraId="1BF22306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Contracts with local authorities for staffing public projects.</w:t>
      </w:r>
    </w:p>
    <w:p w14:paraId="724BABDA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Threats:</w:t>
      </w:r>
    </w:p>
    <w:p w14:paraId="6B4A18F4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Stricter immigration laws reduce blue-collar labor pool.</w:t>
      </w:r>
    </w:p>
    <w:p w14:paraId="1BD38676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Changing employment laws may increase compliance costs.</w:t>
      </w:r>
    </w:p>
    <w:p w14:paraId="0543167B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Impact:</w:t>
      </w:r>
    </w:p>
    <w:p w14:paraId="1CF6D74D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High: Recruitment is deeply intertwined with labour regulations and immigration.</w:t>
      </w:r>
    </w:p>
    <w:p w14:paraId="19F95402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Strategic Action:</w:t>
      </w:r>
    </w:p>
    <w:p w14:paraId="72084730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Stay up-to-date with labour law.</w:t>
      </w:r>
    </w:p>
    <w:p w14:paraId="5F8F7DB7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Build partnerships with local training providers.</w:t>
      </w:r>
    </w:p>
    <w:p w14:paraId="7B4CD146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Diversify sourcing beyond EU nationals.</w:t>
      </w:r>
    </w:p>
    <w:p w14:paraId="701E9A0B">
      <w:pPr>
        <w:keepNext w:val="0"/>
        <w:keepLines w:val="0"/>
        <w:widowControl/>
        <w:suppressLineNumbers w:val="0"/>
      </w:pPr>
      <w:r>
        <w:pict>
          <v:rect id="_x0000_i102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57488B7">
      <w:pPr>
        <w:pStyle w:val="3"/>
        <w:keepNext w:val="0"/>
        <w:keepLines w:val="0"/>
        <w:widowControl/>
        <w:suppressLineNumbers w:val="0"/>
      </w:pPr>
      <w:r>
        <w:rPr>
          <w:rStyle w:val="8"/>
          <w:b/>
          <w:bCs/>
        </w:rPr>
        <w:t>2. Economic Factors</w:t>
      </w:r>
    </w:p>
    <w:p w14:paraId="288FC5F8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Analysis:</w:t>
      </w:r>
    </w:p>
    <w:p w14:paraId="2F6F2888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 xml:space="preserve">UK blue-collar sectors are affected by </w:t>
      </w:r>
      <w:r>
        <w:rPr>
          <w:rStyle w:val="8"/>
        </w:rPr>
        <w:t>economic cycles</w:t>
      </w:r>
      <w:r>
        <w:t>: booms boost demand; recessions slow hiring.</w:t>
      </w:r>
    </w:p>
    <w:p w14:paraId="6668CE4A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Rising inflation affects wage expectations and business costs.</w:t>
      </w:r>
    </w:p>
    <w:p w14:paraId="3EF7D3CE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Minimum wage increases may affect employer hiring appetite.</w:t>
      </w:r>
    </w:p>
    <w:p w14:paraId="4BA58F94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Opportunities:</w:t>
      </w:r>
    </w:p>
    <w:p w14:paraId="05070275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High demand for delivery, warehouse, and tradespeople due to e-commerce and housing needs.</w:t>
      </w:r>
    </w:p>
    <w:p w14:paraId="236584B3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Labour shortages can raise agency value.</w:t>
      </w:r>
    </w:p>
    <w:p w14:paraId="4476C6D2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Threats:</w:t>
      </w:r>
    </w:p>
    <w:p w14:paraId="4CB2CAFD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Economic downturn could reduce demand for temp workers.</w:t>
      </w:r>
    </w:p>
    <w:p w14:paraId="4C3E4969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Cost-of-living crisis may drive up wage demands.</w:t>
      </w:r>
    </w:p>
    <w:p w14:paraId="381E382D">
      <w:pPr>
        <w:pStyle w:val="7"/>
        <w:keepNext w:val="0"/>
        <w:keepLines w:val="0"/>
        <w:widowControl/>
        <w:suppressLineNumbers w:val="0"/>
        <w:rPr>
          <w:rStyle w:val="8"/>
        </w:rPr>
      </w:pPr>
      <w:r>
        <w:rPr>
          <w:rStyle w:val="8"/>
        </w:rPr>
        <w:t>Impact:</w:t>
      </w:r>
    </w:p>
    <w:p w14:paraId="7704FB0F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Very High: Economic trends directly affect hiring volumes and agency revenues.</w:t>
      </w:r>
    </w:p>
    <w:p w14:paraId="7FAC57B4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Strategic Action:</w:t>
      </w:r>
    </w:p>
    <w:p w14:paraId="6E447B00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Focus on recession-resistant sectors (e.g., logistics, repairs).</w:t>
      </w:r>
    </w:p>
    <w:p w14:paraId="6556E087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Offer flexible, affordable hiring options to clients.</w:t>
      </w:r>
    </w:p>
    <w:p w14:paraId="48A12661">
      <w:pPr>
        <w:keepNext w:val="0"/>
        <w:keepLines w:val="0"/>
        <w:widowControl/>
        <w:suppressLineNumbers w:val="0"/>
      </w:pPr>
      <w: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EACB216">
      <w:pPr>
        <w:pStyle w:val="3"/>
        <w:keepNext w:val="0"/>
        <w:keepLines w:val="0"/>
        <w:widowControl/>
        <w:suppressLineNumbers w:val="0"/>
      </w:pPr>
      <w:r>
        <w:rPr>
          <w:rStyle w:val="8"/>
          <w:b/>
          <w:bCs/>
        </w:rPr>
        <w:t>3. Social Factors</w:t>
      </w:r>
    </w:p>
    <w:p w14:paraId="79A62254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Analysis:</w:t>
      </w:r>
    </w:p>
    <w:p w14:paraId="03B2F077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Ageing workforce in construction and manufacturing creates demand for recruitment solutions.</w:t>
      </w:r>
    </w:p>
    <w:p w14:paraId="20128714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Changing attitudes towards temp/agency work — more acceptance, especially among younger workers.</w:t>
      </w:r>
    </w:p>
    <w:p w14:paraId="4417C682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Diversity and inclusion expectations are rising.</w:t>
      </w:r>
    </w:p>
    <w:p w14:paraId="62752538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Opportunities:</w:t>
      </w:r>
    </w:p>
    <w:p w14:paraId="3B8D486E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Promote workforce diversity (gender, ethnicity).</w:t>
      </w:r>
    </w:p>
    <w:p w14:paraId="3B67EE1D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Offer flexible work schedules to appeal to young or part-time workers.</w:t>
      </w:r>
    </w:p>
    <w:p w14:paraId="1570E39D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Threats:</w:t>
      </w:r>
    </w:p>
    <w:p w14:paraId="7830C04A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Skills gap: younger generations may not enter trades without targeted campaigns.</w:t>
      </w:r>
    </w:p>
    <w:p w14:paraId="5E0868A6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Negative perception of "temp work" in some sectors.</w:t>
      </w:r>
    </w:p>
    <w:p w14:paraId="518509F2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Impact:</w:t>
      </w:r>
    </w:p>
    <w:p w14:paraId="628102CF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Medium to High: Worker attitudes affect supply; client values affect recruitment strategy.</w:t>
      </w:r>
    </w:p>
    <w:p w14:paraId="0FBD237C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Strategic Action:</w:t>
      </w:r>
    </w:p>
    <w:p w14:paraId="78FC9F45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Build strong employer branding for clients.</w:t>
      </w:r>
    </w:p>
    <w:p w14:paraId="451F8B9D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>- Up-skill</w:t>
      </w:r>
      <w:r>
        <w:t xml:space="preserve"> candidates or partner with training providers.</w:t>
      </w:r>
    </w:p>
    <w:p w14:paraId="69DAC3C5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Promote positive worker success stories.</w:t>
      </w:r>
    </w:p>
    <w:p w14:paraId="3D14EB9A">
      <w:pPr>
        <w:keepNext w:val="0"/>
        <w:keepLines w:val="0"/>
        <w:widowControl/>
        <w:suppressLineNumbers w:val="0"/>
      </w:pPr>
      <w:r>
        <w:pict>
          <v:rect id="_x0000_i102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D5880A7">
      <w:pPr>
        <w:pStyle w:val="3"/>
        <w:keepNext w:val="0"/>
        <w:keepLines w:val="0"/>
        <w:widowControl/>
        <w:suppressLineNumbers w:val="0"/>
      </w:pPr>
      <w:r>
        <w:rPr>
          <w:rStyle w:val="8"/>
          <w:b/>
          <w:bCs/>
        </w:rPr>
        <w:t>4. Technological Factors</w:t>
      </w:r>
    </w:p>
    <w:p w14:paraId="4AB7287D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Analysis:</w:t>
      </w:r>
    </w:p>
    <w:p w14:paraId="071450AD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Job matching platforms and AI-driven recruitment tools are disrupting the industry.</w:t>
      </w:r>
    </w:p>
    <w:p w14:paraId="2FA8A7D9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Use of mobile apps for job alerts and timesheets is standard in modern blue-collar staffing.</w:t>
      </w:r>
    </w:p>
    <w:p w14:paraId="13173577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Automation threatens some blue-collar jobs (e.g., warehousing).</w:t>
      </w:r>
    </w:p>
    <w:p w14:paraId="58563652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Opportunities:</w:t>
      </w:r>
    </w:p>
    <w:p w14:paraId="1A50723E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Leverage tech (CRM, applicant tracking, AI screening) to improve efficiency.</w:t>
      </w:r>
    </w:p>
    <w:p w14:paraId="1228D0A9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Use mobile-first platforms for onboarding and engagement.</w:t>
      </w:r>
    </w:p>
    <w:p w14:paraId="37AEF108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Threats:</w:t>
      </w:r>
    </w:p>
    <w:p w14:paraId="5358D67B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Large job platforms (e.g., Indeed, LinkedIn) offer direct-to-employer tools.</w:t>
      </w:r>
    </w:p>
    <w:p w14:paraId="753A749B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Automation may reduce demand for certain low-skilled roles.</w:t>
      </w:r>
    </w:p>
    <w:p w14:paraId="70DFF556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Impact:</w:t>
      </w:r>
    </w:p>
    <w:p w14:paraId="28B459F4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High: Technology is a key differentiator in speed, cost, and candidate experience.</w:t>
      </w:r>
    </w:p>
    <w:p w14:paraId="23C50EEF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Strategic Action:</w:t>
      </w:r>
    </w:p>
    <w:p w14:paraId="3A5D81BF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Invest in scalable tech early (cloud-based ATS, automation tools).</w:t>
      </w:r>
    </w:p>
    <w:p w14:paraId="1968B9B2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Differentiate with personalised service + tech combo.</w:t>
      </w:r>
    </w:p>
    <w:p w14:paraId="6DD738BC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Offer digital onboarding, timesheets, and job matching.</w:t>
      </w:r>
    </w:p>
    <w:p w14:paraId="0E25D9E1">
      <w:pPr>
        <w:keepNext w:val="0"/>
        <w:keepLines w:val="0"/>
        <w:widowControl/>
        <w:suppressLineNumbers w:val="0"/>
      </w:pPr>
      <w:r>
        <w:pict>
          <v:rect id="_x0000_i1029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FC4E67A">
      <w:pPr>
        <w:pStyle w:val="3"/>
        <w:keepNext w:val="0"/>
        <w:keepLines w:val="0"/>
        <w:widowControl/>
        <w:suppressLineNumbers w:val="0"/>
      </w:pPr>
      <w:r>
        <w:rPr>
          <w:rStyle w:val="8"/>
          <w:b/>
          <w:bCs/>
        </w:rPr>
        <w:t>5. Environmental Factors</w:t>
      </w:r>
    </w:p>
    <w:p w14:paraId="7F402A9C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Analysis:</w:t>
      </w:r>
    </w:p>
    <w:p w14:paraId="2246DA0C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 xml:space="preserve">More firms are seeking </w:t>
      </w:r>
      <w:r>
        <w:rPr>
          <w:rStyle w:val="8"/>
        </w:rPr>
        <w:t>eco-conscious partners</w:t>
      </w:r>
      <w:r>
        <w:t xml:space="preserve"> — including their hiring practices.</w:t>
      </w:r>
    </w:p>
    <w:p w14:paraId="4096A0B4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Blue-collar sectors (construction, logistics) face sustainability scrutiny.</w:t>
      </w:r>
    </w:p>
    <w:p w14:paraId="6688F6DD">
      <w:pPr>
        <w:pStyle w:val="7"/>
        <w:keepNext w:val="0"/>
        <w:keepLines w:val="0"/>
        <w:widowControl/>
        <w:suppressLineNumbers w:val="0"/>
        <w:rPr>
          <w:rStyle w:val="8"/>
        </w:rPr>
      </w:pPr>
      <w:r>
        <w:rPr>
          <w:rStyle w:val="8"/>
        </w:rPr>
        <w:t>Opportunities:</w:t>
      </w:r>
    </w:p>
    <w:p w14:paraId="794132C8">
      <w:pPr>
        <w:pStyle w:val="7"/>
        <w:keepNext w:val="0"/>
        <w:keepLines w:val="0"/>
        <w:widowControl/>
        <w:suppressLineNumbers w:val="0"/>
      </w:pPr>
      <w:r>
        <w:rPr>
          <w:rStyle w:val="8"/>
          <w:rFonts w:hint="default"/>
          <w:lang w:val="en-GB"/>
        </w:rPr>
        <w:t xml:space="preserve">- </w:t>
      </w:r>
      <w:r>
        <w:t>Market yourself as an environmentally responsible agency (paperless, remote onboarding).</w:t>
      </w:r>
    </w:p>
    <w:p w14:paraId="73995BED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Supply workers to green infrastructure projects (renewable energy, sustainable housing).</w:t>
      </w:r>
    </w:p>
    <w:p w14:paraId="76046BA3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Threats:</w:t>
      </w:r>
    </w:p>
    <w:p w14:paraId="2F69C9F2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Companies may favour agencies that help them meet ESG goals.</w:t>
      </w:r>
    </w:p>
    <w:p w14:paraId="0742A748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Transport and delivery jobs may be impacted by emissions regulations.</w:t>
      </w:r>
    </w:p>
    <w:p w14:paraId="02FCD96C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Impact:</w:t>
      </w:r>
    </w:p>
    <w:p w14:paraId="72CDA9E7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Low to Medium: Not a core issue, but increasingly relevant for client selection.</w:t>
      </w:r>
    </w:p>
    <w:p w14:paraId="3A04A27C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Strategic Action:</w:t>
      </w:r>
    </w:p>
    <w:p w14:paraId="103F5665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Use digital documentation and communication.</w:t>
      </w:r>
    </w:p>
    <w:p w14:paraId="3301E1CB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Promote green jobs and sustainable practices.</w:t>
      </w:r>
    </w:p>
    <w:p w14:paraId="4C78ABA6">
      <w:pPr>
        <w:keepNext w:val="0"/>
        <w:keepLines w:val="0"/>
        <w:widowControl/>
        <w:suppressLineNumbers w:val="0"/>
      </w:pPr>
      <w:r>
        <w:pict>
          <v:rect id="_x0000_i1030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A786D94">
      <w:pPr>
        <w:pStyle w:val="3"/>
        <w:keepNext w:val="0"/>
        <w:keepLines w:val="0"/>
        <w:widowControl/>
        <w:suppressLineNumbers w:val="0"/>
      </w:pPr>
      <w:r>
        <w:rPr>
          <w:rStyle w:val="8"/>
          <w:b/>
          <w:bCs/>
        </w:rPr>
        <w:t>6. Legal Factors</w:t>
      </w:r>
    </w:p>
    <w:p w14:paraId="310D1171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Analysis:</w:t>
      </w:r>
    </w:p>
    <w:p w14:paraId="3F5B34E7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 xml:space="preserve">Must comply with </w:t>
      </w:r>
      <w:r>
        <w:rPr>
          <w:rStyle w:val="8"/>
        </w:rPr>
        <w:t>agency worker regulations</w:t>
      </w:r>
      <w:r>
        <w:t xml:space="preserve">, </w:t>
      </w:r>
      <w:r>
        <w:rPr>
          <w:rStyle w:val="8"/>
        </w:rPr>
        <w:t>employment contracts</w:t>
      </w:r>
      <w:r>
        <w:t xml:space="preserve">, </w:t>
      </w:r>
      <w:r>
        <w:rPr>
          <w:rStyle w:val="8"/>
        </w:rPr>
        <w:t>health &amp; safety</w:t>
      </w:r>
      <w:r>
        <w:t xml:space="preserve"> requirements.</w:t>
      </w:r>
    </w:p>
    <w:p w14:paraId="646493D4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GDPR compliance critical for handling candidate data.</w:t>
      </w:r>
    </w:p>
    <w:p w14:paraId="5A4D89CB">
      <w:pPr>
        <w:pStyle w:val="7"/>
        <w:keepNext w:val="0"/>
        <w:keepLines w:val="0"/>
        <w:widowControl/>
        <w:suppressLineNumbers w:val="0"/>
        <w:rPr>
          <w:rStyle w:val="8"/>
        </w:rPr>
      </w:pPr>
      <w:r>
        <w:rPr>
          <w:rStyle w:val="8"/>
        </w:rPr>
        <w:t>Opportunities:</w:t>
      </w:r>
    </w:p>
    <w:p w14:paraId="129E3827">
      <w:pPr>
        <w:pStyle w:val="7"/>
        <w:keepNext w:val="0"/>
        <w:keepLines w:val="0"/>
        <w:widowControl/>
        <w:suppressLineNumbers w:val="0"/>
      </w:pPr>
      <w:r>
        <w:rPr>
          <w:rStyle w:val="8"/>
          <w:rFonts w:hint="default"/>
          <w:lang w:val="en-GB"/>
        </w:rPr>
        <w:t xml:space="preserve">- </w:t>
      </w:r>
      <w:r>
        <w:t>Expertise in compliance can be a unique selling point.</w:t>
      </w:r>
    </w:p>
    <w:p w14:paraId="5468A6E4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Offer clients peace of mind with audit-ready records and H&amp;S vetted candidates.</w:t>
      </w:r>
    </w:p>
    <w:p w14:paraId="1CD7DC0E">
      <w:pPr>
        <w:pStyle w:val="7"/>
        <w:keepNext w:val="0"/>
        <w:keepLines w:val="0"/>
        <w:widowControl/>
        <w:suppressLineNumbers w:val="0"/>
        <w:rPr>
          <w:rStyle w:val="8"/>
        </w:rPr>
      </w:pPr>
      <w:r>
        <w:rPr>
          <w:rStyle w:val="8"/>
        </w:rPr>
        <w:t>Threats:</w:t>
      </w:r>
    </w:p>
    <w:p w14:paraId="6182650F">
      <w:pPr>
        <w:pStyle w:val="7"/>
        <w:keepNext w:val="0"/>
        <w:keepLines w:val="0"/>
        <w:widowControl/>
        <w:suppressLineNumbers w:val="0"/>
      </w:pPr>
      <w:r>
        <w:rPr>
          <w:rStyle w:val="8"/>
          <w:rFonts w:hint="default"/>
          <w:lang w:val="en-GB"/>
        </w:rPr>
        <w:t xml:space="preserve">- </w:t>
      </w:r>
      <w:r>
        <w:t>Legal non-compliance can result in fines or blacklisting.</w:t>
      </w:r>
    </w:p>
    <w:p w14:paraId="0E260344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Workers' rights are increasingly enforced (e.g., holiday pay, equal treatment).</w:t>
      </w:r>
    </w:p>
    <w:p w14:paraId="18FE0235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Impact:</w:t>
      </w:r>
    </w:p>
    <w:p w14:paraId="3A5F4C4F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High: Recruitment is highly regulated; mistakes are costly.</w:t>
      </w:r>
    </w:p>
    <w:p w14:paraId="5398DE86">
      <w:pPr>
        <w:pStyle w:val="7"/>
        <w:keepNext w:val="0"/>
        <w:keepLines w:val="0"/>
        <w:widowControl/>
        <w:suppressLineNumbers w:val="0"/>
      </w:pPr>
      <w:r>
        <w:rPr>
          <w:rStyle w:val="8"/>
        </w:rPr>
        <w:t>Strategic Action:</w:t>
      </w:r>
    </w:p>
    <w:p w14:paraId="788B1868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Use legal advisors or compliance tools from the outset.</w:t>
      </w:r>
    </w:p>
    <w:p w14:paraId="35703FB1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Train staff regularly on labour law and data protection.</w:t>
      </w:r>
    </w:p>
    <w:p w14:paraId="72EF1172">
      <w:pPr>
        <w:pStyle w:val="7"/>
        <w:keepNext w:val="0"/>
        <w:keepLines w:val="0"/>
        <w:widowControl/>
        <w:suppressLineNumbers w:val="0"/>
      </w:pPr>
      <w:r>
        <w:rPr>
          <w:rFonts w:hint="default"/>
          <w:lang w:val="en-GB"/>
        </w:rPr>
        <w:t xml:space="preserve">- </w:t>
      </w:r>
      <w:r>
        <w:t>Provide clear contracts and policies to candidates and clients.</w:t>
      </w:r>
    </w:p>
    <w:p w14:paraId="0A118B33">
      <w:pPr>
        <w:keepNext w:val="0"/>
        <w:keepLines w:val="0"/>
        <w:widowControl/>
        <w:suppressLineNumbers w:val="0"/>
      </w:pPr>
      <w:r>
        <w:pict>
          <v:rect id="_x0000_i1031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0CA0CE8">
      <w:pPr>
        <w:pStyle w:val="2"/>
        <w:keepNext w:val="0"/>
        <w:keepLines w:val="0"/>
        <w:widowControl/>
        <w:suppressLineNumbers w:val="0"/>
      </w:pPr>
      <w:r>
        <w:t>🧠 Strategic Summary</w:t>
      </w:r>
    </w:p>
    <w:tbl>
      <w:tblPr>
        <w:tblW w:w="10740" w:type="dxa"/>
        <w:tblCellSpacing w:w="15" w:type="dxa"/>
        <w:tblInd w:w="-123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2"/>
        <w:gridCol w:w="2880"/>
        <w:gridCol w:w="1913"/>
        <w:gridCol w:w="1028"/>
        <w:gridCol w:w="3107"/>
      </w:tblGrid>
      <w:tr w14:paraId="436FB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1767" w:type="dxa"/>
            <w:shd w:val="clear"/>
            <w:vAlign w:val="center"/>
          </w:tcPr>
          <w:p w14:paraId="6AD5F42F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SimSun" w:hAnsi="SimSun" w:eastAsia="SimSun" w:cs="SimSun"/>
                <w:b/>
                <w:bCs/>
                <w:kern w:val="0"/>
                <w:sz w:val="24"/>
                <w:szCs w:val="24"/>
                <w:lang w:val="en-US" w:eastAsia="zh-CN" w:bidi="ar"/>
              </w:rPr>
              <w:t>Factor</w:t>
            </w:r>
          </w:p>
        </w:tc>
        <w:tc>
          <w:tcPr>
            <w:tcW w:w="2850" w:type="dxa"/>
            <w:shd w:val="clear"/>
            <w:vAlign w:val="center"/>
          </w:tcPr>
          <w:p w14:paraId="79393163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SimSun" w:hAnsi="SimSun" w:eastAsia="SimSun" w:cs="SimSun"/>
                <w:b/>
                <w:bCs/>
                <w:kern w:val="0"/>
                <w:sz w:val="24"/>
                <w:szCs w:val="24"/>
                <w:lang w:val="en-US" w:eastAsia="zh-CN" w:bidi="ar"/>
              </w:rPr>
              <w:t>Key Opportunity</w:t>
            </w:r>
          </w:p>
        </w:tc>
        <w:tc>
          <w:tcPr>
            <w:tcW w:w="1883" w:type="dxa"/>
            <w:shd w:val="clear"/>
            <w:vAlign w:val="center"/>
          </w:tcPr>
          <w:p w14:paraId="7B368B7F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SimSun" w:hAnsi="SimSun" w:eastAsia="SimSun" w:cs="SimSun"/>
                <w:b/>
                <w:bCs/>
                <w:kern w:val="0"/>
                <w:sz w:val="24"/>
                <w:szCs w:val="24"/>
                <w:lang w:val="en-US" w:eastAsia="zh-CN" w:bidi="ar"/>
              </w:rPr>
              <w:t>Key Threat</w:t>
            </w:r>
          </w:p>
        </w:tc>
        <w:tc>
          <w:tcPr>
            <w:tcW w:w="0" w:type="auto"/>
            <w:shd w:val="clear"/>
            <w:vAlign w:val="center"/>
          </w:tcPr>
          <w:p w14:paraId="44F807DB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SimSun" w:hAnsi="SimSun" w:eastAsia="SimSun" w:cs="SimSun"/>
                <w:b/>
                <w:bCs/>
                <w:kern w:val="0"/>
                <w:sz w:val="24"/>
                <w:szCs w:val="24"/>
                <w:lang w:val="en-US" w:eastAsia="zh-CN" w:bidi="ar"/>
              </w:rPr>
              <w:t>Priority</w:t>
            </w:r>
          </w:p>
        </w:tc>
        <w:tc>
          <w:tcPr>
            <w:tcW w:w="3062" w:type="dxa"/>
            <w:shd w:val="clear"/>
            <w:vAlign w:val="center"/>
          </w:tcPr>
          <w:p w14:paraId="7DEBD92E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SimSun" w:hAnsi="SimSun" w:eastAsia="SimSun" w:cs="SimSun"/>
                <w:b/>
                <w:bCs/>
                <w:kern w:val="0"/>
                <w:sz w:val="24"/>
                <w:szCs w:val="24"/>
                <w:lang w:val="en-US" w:eastAsia="zh-CN" w:bidi="ar"/>
              </w:rPr>
              <w:t>Action Needed</w:t>
            </w:r>
          </w:p>
        </w:tc>
      </w:tr>
      <w:tr w14:paraId="6A678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767" w:type="dxa"/>
            <w:shd w:val="clear"/>
            <w:vAlign w:val="center"/>
          </w:tcPr>
          <w:p w14:paraId="7B866B4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Political</w:t>
            </w:r>
          </w:p>
        </w:tc>
        <w:tc>
          <w:tcPr>
            <w:tcW w:w="2850" w:type="dxa"/>
            <w:shd w:val="clear"/>
            <w:vAlign w:val="center"/>
          </w:tcPr>
          <w:p w14:paraId="1CBBFBC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Local job schemes, apprenticeships</w:t>
            </w:r>
          </w:p>
        </w:tc>
        <w:tc>
          <w:tcPr>
            <w:tcW w:w="1883" w:type="dxa"/>
            <w:shd w:val="clear"/>
            <w:vAlign w:val="center"/>
          </w:tcPr>
          <w:p w14:paraId="231B067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Immigration restrictions</w:t>
            </w:r>
          </w:p>
        </w:tc>
        <w:tc>
          <w:tcPr>
            <w:tcW w:w="0" w:type="auto"/>
            <w:shd w:val="clear"/>
            <w:vAlign w:val="center"/>
          </w:tcPr>
          <w:p w14:paraId="2A596C7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High</w:t>
            </w:r>
          </w:p>
        </w:tc>
        <w:tc>
          <w:tcPr>
            <w:tcW w:w="3062" w:type="dxa"/>
            <w:shd w:val="clear"/>
            <w:vAlign w:val="center"/>
          </w:tcPr>
          <w:p w14:paraId="6BF8496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Monitor policy, build local talent pool</w:t>
            </w:r>
          </w:p>
        </w:tc>
      </w:tr>
      <w:tr w14:paraId="2671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767" w:type="dxa"/>
            <w:shd w:val="clear"/>
            <w:vAlign w:val="center"/>
          </w:tcPr>
          <w:p w14:paraId="3C8B783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Economic</w:t>
            </w:r>
          </w:p>
        </w:tc>
        <w:tc>
          <w:tcPr>
            <w:tcW w:w="2850" w:type="dxa"/>
            <w:shd w:val="clear"/>
            <w:vAlign w:val="center"/>
          </w:tcPr>
          <w:p w14:paraId="24AEC6C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High demand in logistics/construction</w:t>
            </w:r>
          </w:p>
        </w:tc>
        <w:tc>
          <w:tcPr>
            <w:tcW w:w="1883" w:type="dxa"/>
            <w:shd w:val="clear"/>
            <w:vAlign w:val="center"/>
          </w:tcPr>
          <w:p w14:paraId="503875B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Economic downturns, rising wages</w:t>
            </w:r>
          </w:p>
        </w:tc>
        <w:tc>
          <w:tcPr>
            <w:tcW w:w="0" w:type="auto"/>
            <w:shd w:val="clear"/>
            <w:vAlign w:val="center"/>
          </w:tcPr>
          <w:p w14:paraId="234F0D1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Very High</w:t>
            </w:r>
          </w:p>
        </w:tc>
        <w:tc>
          <w:tcPr>
            <w:tcW w:w="3062" w:type="dxa"/>
            <w:shd w:val="clear"/>
            <w:vAlign w:val="center"/>
          </w:tcPr>
          <w:p w14:paraId="12B2829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Focus on recession-proof sectors</w:t>
            </w:r>
          </w:p>
        </w:tc>
      </w:tr>
      <w:tr w14:paraId="4FC84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767" w:type="dxa"/>
            <w:shd w:val="clear"/>
            <w:vAlign w:val="center"/>
          </w:tcPr>
          <w:p w14:paraId="4365A81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Social</w:t>
            </w:r>
          </w:p>
        </w:tc>
        <w:tc>
          <w:tcPr>
            <w:tcW w:w="2850" w:type="dxa"/>
            <w:shd w:val="clear"/>
            <w:vAlign w:val="center"/>
          </w:tcPr>
          <w:p w14:paraId="0CE1DFA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Younger flexible workforce, DEI priorities</w:t>
            </w:r>
          </w:p>
        </w:tc>
        <w:tc>
          <w:tcPr>
            <w:tcW w:w="1883" w:type="dxa"/>
            <w:shd w:val="clear"/>
            <w:vAlign w:val="center"/>
          </w:tcPr>
          <w:p w14:paraId="45E42C6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Skills gaps, temp stigma</w:t>
            </w:r>
          </w:p>
        </w:tc>
        <w:tc>
          <w:tcPr>
            <w:tcW w:w="0" w:type="auto"/>
            <w:shd w:val="clear"/>
            <w:vAlign w:val="center"/>
          </w:tcPr>
          <w:p w14:paraId="37A7D32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Medium</w:t>
            </w:r>
          </w:p>
        </w:tc>
        <w:tc>
          <w:tcPr>
            <w:tcW w:w="3062" w:type="dxa"/>
            <w:shd w:val="clear"/>
            <w:vAlign w:val="center"/>
          </w:tcPr>
          <w:p w14:paraId="3197A1B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Promote training, build candidate brand</w:t>
            </w:r>
          </w:p>
        </w:tc>
      </w:tr>
      <w:tr w14:paraId="0B1C5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767" w:type="dxa"/>
            <w:shd w:val="clear"/>
            <w:vAlign w:val="center"/>
          </w:tcPr>
          <w:p w14:paraId="4D2C917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Technological</w:t>
            </w:r>
          </w:p>
        </w:tc>
        <w:tc>
          <w:tcPr>
            <w:tcW w:w="2850" w:type="dxa"/>
            <w:shd w:val="clear"/>
            <w:vAlign w:val="center"/>
          </w:tcPr>
          <w:p w14:paraId="784D9B8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Efficiency, candidate experience via automation</w:t>
            </w:r>
          </w:p>
        </w:tc>
        <w:tc>
          <w:tcPr>
            <w:tcW w:w="1883" w:type="dxa"/>
            <w:shd w:val="clear"/>
            <w:vAlign w:val="center"/>
          </w:tcPr>
          <w:p w14:paraId="3572969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Competition from big platforms</w:t>
            </w:r>
          </w:p>
        </w:tc>
        <w:tc>
          <w:tcPr>
            <w:tcW w:w="0" w:type="auto"/>
            <w:shd w:val="clear"/>
            <w:vAlign w:val="center"/>
          </w:tcPr>
          <w:p w14:paraId="3D7DC86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High</w:t>
            </w:r>
          </w:p>
        </w:tc>
        <w:tc>
          <w:tcPr>
            <w:tcW w:w="3062" w:type="dxa"/>
            <w:shd w:val="clear"/>
            <w:vAlign w:val="center"/>
          </w:tcPr>
          <w:p w14:paraId="2FF5057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Invest in tech early</w:t>
            </w:r>
          </w:p>
        </w:tc>
      </w:tr>
      <w:tr w14:paraId="564C2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767" w:type="dxa"/>
            <w:shd w:val="clear"/>
            <w:vAlign w:val="center"/>
          </w:tcPr>
          <w:p w14:paraId="6D51E6A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Environmental</w:t>
            </w:r>
          </w:p>
        </w:tc>
        <w:tc>
          <w:tcPr>
            <w:tcW w:w="2850" w:type="dxa"/>
            <w:shd w:val="clear"/>
            <w:vAlign w:val="center"/>
          </w:tcPr>
          <w:p w14:paraId="60996D3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Paperless ops, green-sector recruitment</w:t>
            </w:r>
          </w:p>
        </w:tc>
        <w:tc>
          <w:tcPr>
            <w:tcW w:w="1883" w:type="dxa"/>
            <w:shd w:val="clear"/>
            <w:vAlign w:val="center"/>
          </w:tcPr>
          <w:p w14:paraId="5D4C2EC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Rising eco expectations</w:t>
            </w:r>
          </w:p>
        </w:tc>
        <w:tc>
          <w:tcPr>
            <w:tcW w:w="0" w:type="auto"/>
            <w:shd w:val="clear"/>
            <w:vAlign w:val="center"/>
          </w:tcPr>
          <w:p w14:paraId="6FB5E29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Medium</w:t>
            </w:r>
          </w:p>
        </w:tc>
        <w:tc>
          <w:tcPr>
            <w:tcW w:w="3062" w:type="dxa"/>
            <w:shd w:val="clear"/>
            <w:vAlign w:val="center"/>
          </w:tcPr>
          <w:p w14:paraId="40D0BA7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Go digital, promote sustainability</w:t>
            </w:r>
          </w:p>
        </w:tc>
      </w:tr>
      <w:tr w14:paraId="12222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767" w:type="dxa"/>
            <w:shd w:val="clear"/>
            <w:vAlign w:val="center"/>
          </w:tcPr>
          <w:p w14:paraId="7964D1C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Legal</w:t>
            </w:r>
          </w:p>
        </w:tc>
        <w:tc>
          <w:tcPr>
            <w:tcW w:w="2850" w:type="dxa"/>
            <w:shd w:val="clear"/>
            <w:vAlign w:val="center"/>
          </w:tcPr>
          <w:p w14:paraId="4B82382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Compliance = trust + advantage</w:t>
            </w:r>
          </w:p>
        </w:tc>
        <w:tc>
          <w:tcPr>
            <w:tcW w:w="1883" w:type="dxa"/>
            <w:shd w:val="clear"/>
            <w:vAlign w:val="center"/>
          </w:tcPr>
          <w:p w14:paraId="62652EC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GDPR, labour law breaches</w:t>
            </w:r>
          </w:p>
        </w:tc>
        <w:tc>
          <w:tcPr>
            <w:tcW w:w="0" w:type="auto"/>
            <w:shd w:val="clear"/>
            <w:vAlign w:val="center"/>
          </w:tcPr>
          <w:p w14:paraId="5385974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High</w:t>
            </w:r>
          </w:p>
        </w:tc>
        <w:tc>
          <w:tcPr>
            <w:tcW w:w="3062" w:type="dxa"/>
            <w:shd w:val="clear"/>
            <w:vAlign w:val="center"/>
          </w:tcPr>
          <w:p w14:paraId="37FDB21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SimSun" w:hAnsi="SimSun" w:eastAsia="SimSun" w:cs="SimSun"/>
                <w:kern w:val="0"/>
                <w:sz w:val="24"/>
                <w:szCs w:val="24"/>
                <w:lang w:val="en-US" w:eastAsia="zh-CN" w:bidi="ar"/>
              </w:rPr>
              <w:t>Build strong legal/compliance systems</w:t>
            </w:r>
          </w:p>
        </w:tc>
      </w:tr>
    </w:tbl>
    <w:p w14:paraId="1C2B3D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86950"/>
    <w:rsid w:val="4A9B1393"/>
    <w:rsid w:val="5BD56BF6"/>
    <w:rsid w:val="76B0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8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2025-06-28T10:48:00Z</dcterms:created>
  <dc:creator>Naaliia</dc:creator>
  <cp:lastModifiedBy>Nataliia Shevchenko</cp:lastModifiedBy>
  <dcterms:modified xsi:type="dcterms:W3CDTF">2025-07-11T21:19:05Z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2057-12.2.0.21546</vt:lpwstr>
  </property>
  <property fmtid="{D5CDD505-2E9C-101B-9397-08002B2CF9AE}" pid="3" name="ICV">
    <vt:lpwstr>C4998F07C32B4205A0D5B2CC321521FD_12</vt:lpwstr>
  </property>
</Properties>
</file>