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80B19AE" w14:textId="31604E9C" w:rsidR="002A79A5" w:rsidRDefault="002A79A5">
      <w:pPr>
        <w:rPr>
          <w:rFonts w:ascii="Arial" w:hAnsi="Arial" w:cs="Arial"/>
          <w:sz w:val="22"/>
          <w:szCs w:val="22"/>
        </w:rPr>
      </w:pPr>
      <w:r>
        <w:rPr>
          <w:rFonts w:ascii="Arial" w:hAnsi="Arial" w:cs="Arial"/>
          <w:sz w:val="22"/>
          <w:szCs w:val="22"/>
        </w:rPr>
        <w:t>INTRODUCTION</w:t>
      </w:r>
    </w:p>
    <w:p w14:paraId="691F7129" w14:textId="325E55B7" w:rsidR="00B82A80" w:rsidRDefault="00B82A80">
      <w:r w:rsidRPr="00B82A80">
        <w:rPr>
          <w:rFonts w:ascii="Arial" w:hAnsi="Arial" w:cs="Arial"/>
          <w:sz w:val="22"/>
          <w:szCs w:val="22"/>
        </w:rPr>
        <w:t xml:space="preserve">Adolescents today are growing up in a digital ecosystem where social media is woven into nearly every aspect of their daily lives, with recent surveys showing that </w:t>
      </w:r>
      <w:r w:rsidRPr="00B82A80">
        <w:rPr>
          <w:rFonts w:ascii="Arial" w:hAnsi="Arial" w:cs="Arial"/>
          <w:b/>
          <w:bCs/>
          <w:sz w:val="22"/>
          <w:szCs w:val="22"/>
        </w:rPr>
        <w:t>95% of teenagers use social platforms and around 46% report being online almost constantly</w:t>
      </w:r>
      <w:r w:rsidRPr="00B82A80">
        <w:rPr>
          <w:rFonts w:ascii="Arial" w:hAnsi="Arial" w:cs="Arial"/>
          <w:sz w:val="22"/>
          <w:szCs w:val="22"/>
        </w:rPr>
        <w:t xml:space="preserve">. This unprecedented level of connectivity has reshaped how young people form relationships, explore identity, and navigate the challenges of growing up. At the same time, concerns about the impact of heavy social media use on </w:t>
      </w:r>
      <w:r w:rsidRPr="00B82A80">
        <w:rPr>
          <w:rFonts w:ascii="Arial" w:hAnsi="Arial" w:cs="Arial"/>
          <w:b/>
          <w:bCs/>
          <w:sz w:val="22"/>
          <w:szCs w:val="22"/>
        </w:rPr>
        <w:t>mental health</w:t>
      </w:r>
      <w:r w:rsidRPr="00B82A80">
        <w:rPr>
          <w:rFonts w:ascii="Arial" w:hAnsi="Arial" w:cs="Arial"/>
          <w:sz w:val="22"/>
          <w:szCs w:val="22"/>
        </w:rPr>
        <w:t xml:space="preserve"> have intensified, as rising rates of anxiety, depression, and loneliness among adolescents appear to coincide with increased screen time and online engagement. Understanding this relationship requires more than simply blaming technology; it demands a deeper look at the developmental processes and psychological mechanisms that shape adolescent behaviour. In this essay, I will explore how </w:t>
      </w:r>
      <w:r w:rsidRPr="00B82A80">
        <w:rPr>
          <w:rFonts w:ascii="Arial" w:hAnsi="Arial" w:cs="Arial"/>
          <w:b/>
          <w:bCs/>
          <w:sz w:val="22"/>
          <w:szCs w:val="22"/>
        </w:rPr>
        <w:t>Erikson’s psychosocial theory</w:t>
      </w:r>
      <w:r w:rsidRPr="00B82A80">
        <w:rPr>
          <w:rFonts w:ascii="Arial" w:hAnsi="Arial" w:cs="Arial"/>
          <w:sz w:val="22"/>
          <w:szCs w:val="22"/>
        </w:rPr>
        <w:t xml:space="preserve">, particularly the stage of identity versus role confusion, helps explain why adolescents may be especially vulnerable to the pressures and rewards of social media. I will also examine how the </w:t>
      </w:r>
      <w:r w:rsidRPr="00B82A80">
        <w:rPr>
          <w:rFonts w:ascii="Arial" w:hAnsi="Arial" w:cs="Arial"/>
          <w:b/>
          <w:bCs/>
          <w:sz w:val="22"/>
          <w:szCs w:val="22"/>
        </w:rPr>
        <w:t>Theory of Planned Behaviour</w:t>
      </w:r>
      <w:r w:rsidRPr="00B82A80">
        <w:rPr>
          <w:rFonts w:ascii="Arial" w:hAnsi="Arial" w:cs="Arial"/>
          <w:sz w:val="22"/>
          <w:szCs w:val="22"/>
        </w:rPr>
        <w:t xml:space="preserve"> offers insight into the intentions, social norms, and perceived control that drive young people’s online actions. Together, these frameworks provide a richer understanding of how social media interacts with adolescent development and mental wellbeing, highlighting both the risks and the motivations behind their digital habits</w:t>
      </w:r>
      <w:r w:rsidRPr="00B82A80">
        <w:t>.</w:t>
      </w:r>
    </w:p>
    <w:p w14:paraId="01FFFF1A" w14:textId="77777777" w:rsidR="00256DAA" w:rsidRDefault="00256DAA">
      <w:pPr>
        <w:rPr>
          <w:rFonts w:ascii="Arial" w:hAnsi="Arial" w:cs="Arial"/>
          <w:sz w:val="22"/>
          <w:szCs w:val="22"/>
        </w:rPr>
      </w:pPr>
    </w:p>
    <w:p w14:paraId="2D5D6072" w14:textId="1A7244DC" w:rsidR="00256DAA" w:rsidRDefault="00256DAA">
      <w:pPr>
        <w:rPr>
          <w:rFonts w:ascii="Arial" w:hAnsi="Arial" w:cs="Arial"/>
          <w:sz w:val="22"/>
          <w:szCs w:val="22"/>
        </w:rPr>
      </w:pPr>
      <w:r>
        <w:rPr>
          <w:rFonts w:ascii="Arial" w:hAnsi="Arial" w:cs="Arial"/>
          <w:sz w:val="22"/>
          <w:szCs w:val="22"/>
        </w:rPr>
        <w:t>THEORY 1: Eriksons psychosocial theory</w:t>
      </w:r>
      <w:r w:rsidR="00C127F4">
        <w:rPr>
          <w:rFonts w:ascii="Arial" w:hAnsi="Arial" w:cs="Arial"/>
          <w:sz w:val="22"/>
          <w:szCs w:val="22"/>
        </w:rPr>
        <w:t xml:space="preserve"> (Week 2)</w:t>
      </w:r>
    </w:p>
    <w:p w14:paraId="749A8647" w14:textId="3D604127" w:rsidR="00256DAA" w:rsidRDefault="00256DAA">
      <w:pPr>
        <w:rPr>
          <w:rFonts w:ascii="Arial" w:hAnsi="Arial" w:cs="Arial"/>
          <w:sz w:val="22"/>
          <w:szCs w:val="22"/>
        </w:rPr>
      </w:pPr>
      <w:r w:rsidRPr="00256DAA">
        <w:rPr>
          <w:rFonts w:ascii="Arial" w:hAnsi="Arial" w:cs="Arial"/>
          <w:sz w:val="22"/>
          <w:szCs w:val="22"/>
        </w:rPr>
        <w:t xml:space="preserve">Erikson’s psychosocial theory is a lifespan developmental framework proposing that individuals progress through eight stages, each defined by a central psychological conflict that must be resolved for healthy development. These conflicts—such as trust versus mistrust, autonomy versus shame, and identity versus role confusion—represent key turning points shaped by social interaction and personal experience. The theory emphasises that development is not purely biological but deeply influenced by cultural, relational, and societal factors. For adolescents, the most critical stage is </w:t>
      </w:r>
      <w:r w:rsidRPr="00256DAA">
        <w:rPr>
          <w:rFonts w:ascii="Arial" w:hAnsi="Arial" w:cs="Arial"/>
          <w:b/>
          <w:bCs/>
          <w:sz w:val="22"/>
          <w:szCs w:val="22"/>
        </w:rPr>
        <w:t>identity versus role confusion</w:t>
      </w:r>
      <w:r w:rsidRPr="00256DAA">
        <w:rPr>
          <w:rFonts w:ascii="Arial" w:hAnsi="Arial" w:cs="Arial"/>
          <w:sz w:val="22"/>
          <w:szCs w:val="22"/>
        </w:rPr>
        <w:t xml:space="preserve">, where young people work to establish a coherent sense of self, exploring values, beliefs, and social roles. Successful resolution leads to fidelity and a stable identity, while failure may result in confusion, insecurity, and difficulty committing to future goals. Erikson also highlights the importance of the social environment, suggesting that peers, family, and broader cultural expectations play a significant role in shaping identity formation. His theory remains influential because it captures the complexity of human development, recognising that </w:t>
      </w:r>
      <w:r w:rsidRPr="00256DAA">
        <w:rPr>
          <w:rFonts w:ascii="Arial" w:hAnsi="Arial" w:cs="Arial"/>
          <w:sz w:val="22"/>
          <w:szCs w:val="22"/>
        </w:rPr>
        <w:lastRenderedPageBreak/>
        <w:t>psychological growth is continuous, socially embedded, and shaped by the challenges individuals face at different points in life.</w:t>
      </w:r>
    </w:p>
    <w:p w14:paraId="7788E93F" w14:textId="60B23574" w:rsidR="00256DAA" w:rsidRDefault="00256DAA">
      <w:pPr>
        <w:rPr>
          <w:rFonts w:ascii="Arial" w:hAnsi="Arial" w:cs="Arial"/>
          <w:sz w:val="22"/>
          <w:szCs w:val="22"/>
        </w:rPr>
      </w:pPr>
      <w:r w:rsidRPr="00256DAA">
        <w:rPr>
          <w:rFonts w:ascii="Arial" w:hAnsi="Arial" w:cs="Arial"/>
          <w:sz w:val="22"/>
          <w:szCs w:val="22"/>
        </w:rPr>
        <w:t>Erikson’s stage of identity versus role confusion is particularly relevant to understanding adolescent social media use and its impact on mental health. Social media platforms provide a space where teenagers actively experiment with identity, presenting curated versions of themselves and seeking validation through likes, comments, and follower counts. This digital environment amplifies the developmental task Erikson describes: adolescents are not only exploring who they are but doing so under constant public scrutiny. The pressure to conform to online norms—beauty standards, popularity metrics, or lifestyle trends—can intensify feelings of inadequacy or confusion when teens struggle to align their real selves with their digital personas. Additionally, social comparison, a common behaviour on social media, can disrupt healthy identity formation by reinforcing unrealistic expectations and heightening self-doubt. When adolescents face negative feedback, cyberbullying, or exclusion online, the psychological conflict of this stage becomes harder to resolve, increasing vulnerability to anxiety, depression, and low self-esteem. However, social media can also support identity development by offering communities where teens explore interests, connect with peers, and find belonging. Erikson’s theory helps explain why these platforms feel so significant during adolescence: they function as modern arenas for identity exploration, shaping mental health outcomes depending on the quality of interactions and the stability of the adolescent’s developing sense of self.</w:t>
      </w:r>
    </w:p>
    <w:p w14:paraId="5A746DD6" w14:textId="6D6850C7" w:rsidR="00256DAA" w:rsidRDefault="00256DAA">
      <w:pPr>
        <w:rPr>
          <w:rFonts w:ascii="Arial" w:hAnsi="Arial" w:cs="Arial"/>
          <w:sz w:val="22"/>
          <w:szCs w:val="22"/>
        </w:rPr>
      </w:pPr>
      <w:r w:rsidRPr="00256DAA">
        <w:rPr>
          <w:rFonts w:ascii="Arial" w:hAnsi="Arial" w:cs="Arial"/>
          <w:sz w:val="22"/>
          <w:szCs w:val="22"/>
        </w:rPr>
        <w:t>Erikson’s psychosocial theory is especially useful for explaining adolescent social media use because it directly addresses the developmental need for identity formation. Its strength lies in recognising that identity is shaped through social interaction, making it highly relevant in a digital age where much of adolescents’ social lives occur online. The theory provides a clear framework for understanding why teenagers are drawn to social media: it offers opportunities for exploration, feedback, and belonging. It also helps explain why negative online experiences can be so damaging, as they interfere with a critical developmental task. Erikson’s model is flexible and holistic, allowing researchers and educators to consider cultural, relational, and emotional factors together. By linking social media behaviour to a broader developmental process, the theory offers meaningful insight into both the risks and the psychological motivations behind adolescent online engagement</w:t>
      </w:r>
    </w:p>
    <w:p w14:paraId="71FD82F4" w14:textId="77777777" w:rsidR="00C742D2" w:rsidRDefault="00C742D2" w:rsidP="00256DAA">
      <w:pPr>
        <w:tabs>
          <w:tab w:val="left" w:pos="3708"/>
        </w:tabs>
        <w:rPr>
          <w:rFonts w:ascii="Arial" w:hAnsi="Arial" w:cs="Arial"/>
          <w:sz w:val="22"/>
          <w:szCs w:val="22"/>
        </w:rPr>
      </w:pPr>
    </w:p>
    <w:p w14:paraId="1B846B28" w14:textId="0D5ADDD9" w:rsidR="00256DAA" w:rsidRDefault="00256DAA" w:rsidP="00256DAA">
      <w:pPr>
        <w:tabs>
          <w:tab w:val="left" w:pos="3708"/>
        </w:tabs>
        <w:rPr>
          <w:rFonts w:ascii="Arial" w:hAnsi="Arial" w:cs="Arial"/>
          <w:sz w:val="22"/>
          <w:szCs w:val="22"/>
        </w:rPr>
      </w:pPr>
      <w:r>
        <w:rPr>
          <w:rFonts w:ascii="Arial" w:hAnsi="Arial" w:cs="Arial"/>
          <w:sz w:val="22"/>
          <w:szCs w:val="22"/>
        </w:rPr>
        <w:tab/>
      </w:r>
    </w:p>
    <w:p w14:paraId="6CAD6F34" w14:textId="4F0CD69D" w:rsidR="00256DAA" w:rsidRDefault="00256DAA">
      <w:pPr>
        <w:rPr>
          <w:rFonts w:ascii="Arial" w:hAnsi="Arial" w:cs="Arial"/>
          <w:sz w:val="22"/>
          <w:szCs w:val="22"/>
        </w:rPr>
      </w:pPr>
      <w:r>
        <w:rPr>
          <w:rFonts w:ascii="Arial" w:hAnsi="Arial" w:cs="Arial"/>
          <w:sz w:val="22"/>
          <w:szCs w:val="22"/>
        </w:rPr>
        <w:lastRenderedPageBreak/>
        <w:t xml:space="preserve">THEORY 2: The theory of planned behaviour </w:t>
      </w:r>
      <w:r w:rsidR="009819E7">
        <w:rPr>
          <w:rFonts w:ascii="Arial" w:hAnsi="Arial" w:cs="Arial"/>
          <w:sz w:val="22"/>
          <w:szCs w:val="22"/>
        </w:rPr>
        <w:t>(week 8)</w:t>
      </w:r>
    </w:p>
    <w:p w14:paraId="0CBF7E21" w14:textId="6D1B4D97" w:rsidR="00256DAA" w:rsidRDefault="00B402AC">
      <w:pPr>
        <w:rPr>
          <w:rFonts w:ascii="Arial" w:hAnsi="Arial" w:cs="Arial"/>
          <w:sz w:val="22"/>
          <w:szCs w:val="22"/>
        </w:rPr>
      </w:pPr>
      <w:r w:rsidRPr="00B402AC">
        <w:rPr>
          <w:rFonts w:ascii="Arial" w:hAnsi="Arial" w:cs="Arial"/>
          <w:sz w:val="22"/>
          <w:szCs w:val="22"/>
        </w:rPr>
        <w:t xml:space="preserve">The Theory of Planned Behaviour (TPB), developed by Icek Ajzen, is a psychological framework used to explain how human behaviour is shaped by intention. According to the theory, </w:t>
      </w:r>
      <w:r w:rsidRPr="00B402AC">
        <w:rPr>
          <w:rFonts w:ascii="Arial" w:hAnsi="Arial" w:cs="Arial"/>
          <w:b/>
          <w:bCs/>
          <w:sz w:val="22"/>
          <w:szCs w:val="22"/>
        </w:rPr>
        <w:t>behavioural intention</w:t>
      </w:r>
      <w:r w:rsidRPr="00B402AC">
        <w:rPr>
          <w:rFonts w:ascii="Arial" w:hAnsi="Arial" w:cs="Arial"/>
          <w:sz w:val="22"/>
          <w:szCs w:val="22"/>
        </w:rPr>
        <w:t xml:space="preserve"> is the strongest predictor of whether a person will perform a behaviour, and this intention is influenced by three key concepts: </w:t>
      </w:r>
      <w:r w:rsidRPr="00B402AC">
        <w:rPr>
          <w:rFonts w:ascii="Arial" w:hAnsi="Arial" w:cs="Arial"/>
          <w:b/>
          <w:bCs/>
          <w:sz w:val="22"/>
          <w:szCs w:val="22"/>
        </w:rPr>
        <w:t>attitudes</w:t>
      </w:r>
      <w:r w:rsidRPr="00B402AC">
        <w:rPr>
          <w:rFonts w:ascii="Arial" w:hAnsi="Arial" w:cs="Arial"/>
          <w:sz w:val="22"/>
          <w:szCs w:val="22"/>
        </w:rPr>
        <w:t xml:space="preserve">, </w:t>
      </w:r>
      <w:r w:rsidRPr="00B402AC">
        <w:rPr>
          <w:rFonts w:ascii="Arial" w:hAnsi="Arial" w:cs="Arial"/>
          <w:b/>
          <w:bCs/>
          <w:sz w:val="22"/>
          <w:szCs w:val="22"/>
        </w:rPr>
        <w:t>subjective norms</w:t>
      </w:r>
      <w:r w:rsidRPr="00B402AC">
        <w:rPr>
          <w:rFonts w:ascii="Arial" w:hAnsi="Arial" w:cs="Arial"/>
          <w:sz w:val="22"/>
          <w:szCs w:val="22"/>
        </w:rPr>
        <w:t xml:space="preserve">, and </w:t>
      </w:r>
      <w:r w:rsidRPr="00B402AC">
        <w:rPr>
          <w:rFonts w:ascii="Arial" w:hAnsi="Arial" w:cs="Arial"/>
          <w:b/>
          <w:bCs/>
          <w:sz w:val="22"/>
          <w:szCs w:val="22"/>
        </w:rPr>
        <w:t>perceived behavioural control</w:t>
      </w:r>
      <w:r w:rsidRPr="00B402AC">
        <w:rPr>
          <w:rFonts w:ascii="Arial" w:hAnsi="Arial" w:cs="Arial"/>
          <w:sz w:val="22"/>
          <w:szCs w:val="22"/>
        </w:rPr>
        <w:t xml:space="preserve">. </w:t>
      </w:r>
      <w:r w:rsidRPr="00B402AC">
        <w:rPr>
          <w:rFonts w:ascii="Arial" w:hAnsi="Arial" w:cs="Arial"/>
          <w:i/>
          <w:iCs/>
          <w:sz w:val="22"/>
          <w:szCs w:val="22"/>
        </w:rPr>
        <w:t>Attitudes</w:t>
      </w:r>
      <w:r w:rsidRPr="00B402AC">
        <w:rPr>
          <w:rFonts w:ascii="Arial" w:hAnsi="Arial" w:cs="Arial"/>
          <w:sz w:val="22"/>
          <w:szCs w:val="22"/>
        </w:rPr>
        <w:t xml:space="preserve"> refer to an individual’s personal evaluation of a behaviour—whether they see it as positive or negative. </w:t>
      </w:r>
      <w:r w:rsidRPr="00B402AC">
        <w:rPr>
          <w:rFonts w:ascii="Arial" w:hAnsi="Arial" w:cs="Arial"/>
          <w:i/>
          <w:iCs/>
          <w:sz w:val="22"/>
          <w:szCs w:val="22"/>
        </w:rPr>
        <w:t>Subjective norms</w:t>
      </w:r>
      <w:r w:rsidRPr="00B402AC">
        <w:rPr>
          <w:rFonts w:ascii="Arial" w:hAnsi="Arial" w:cs="Arial"/>
          <w:sz w:val="22"/>
          <w:szCs w:val="22"/>
        </w:rPr>
        <w:t xml:space="preserve"> involve perceived social pressure from peers, family, or society to engage or not engage in a behaviour. </w:t>
      </w:r>
      <w:r w:rsidRPr="00B402AC">
        <w:rPr>
          <w:rFonts w:ascii="Arial" w:hAnsi="Arial" w:cs="Arial"/>
          <w:i/>
          <w:iCs/>
          <w:sz w:val="22"/>
          <w:szCs w:val="22"/>
        </w:rPr>
        <w:t>Perceived behavioural control</w:t>
      </w:r>
      <w:r w:rsidRPr="00B402AC">
        <w:rPr>
          <w:rFonts w:ascii="Arial" w:hAnsi="Arial" w:cs="Arial"/>
          <w:sz w:val="22"/>
          <w:szCs w:val="22"/>
        </w:rPr>
        <w:t xml:space="preserve"> reflects how much control or capability a person feels they have over performing the behaviour. For adolescents, these components are particularly influential because their decision-making is strongly shaped by peer approval, developing autonomy, and fluctuating confidence in their ability to manage situations. TPB is especially useful for understanding adolescence because it recognises that young people’s choices are not random; they are shaped by social expectations, personal beliefs, and their sense of control. This makes the theory highly relevant for exploring behaviours that emerge during adolescence, including digital engagement, risk-taking, and identity-driven actions.</w:t>
      </w:r>
    </w:p>
    <w:p w14:paraId="3F47F597" w14:textId="308F82BD" w:rsidR="00B402AC" w:rsidRDefault="00B402AC">
      <w:pPr>
        <w:rPr>
          <w:rFonts w:ascii="Arial" w:hAnsi="Arial" w:cs="Arial"/>
          <w:sz w:val="22"/>
          <w:szCs w:val="22"/>
        </w:rPr>
      </w:pPr>
      <w:r w:rsidRPr="00B402AC">
        <w:rPr>
          <w:rFonts w:ascii="Arial" w:hAnsi="Arial" w:cs="Arial"/>
          <w:sz w:val="22"/>
          <w:szCs w:val="22"/>
        </w:rPr>
        <w:t xml:space="preserve">The Theory of Planned Behaviour offers a valuable lens for understanding why adolescents engage with social media and how this behaviour affects their mental health. Teenagers often develop strong </w:t>
      </w:r>
      <w:r w:rsidRPr="00B402AC">
        <w:rPr>
          <w:rFonts w:ascii="Arial" w:hAnsi="Arial" w:cs="Arial"/>
          <w:b/>
          <w:bCs/>
          <w:sz w:val="22"/>
          <w:szCs w:val="22"/>
        </w:rPr>
        <w:t>attitudes</w:t>
      </w:r>
      <w:r w:rsidRPr="00B402AC">
        <w:rPr>
          <w:rFonts w:ascii="Arial" w:hAnsi="Arial" w:cs="Arial"/>
          <w:sz w:val="22"/>
          <w:szCs w:val="22"/>
        </w:rPr>
        <w:t xml:space="preserve"> toward social media, viewing it as essential for connection, entertainment, and self-expression. If they believe social media enhances their social life or boosts their mood, their intention to use it increases. </w:t>
      </w:r>
      <w:r w:rsidRPr="00B402AC">
        <w:rPr>
          <w:rFonts w:ascii="Arial" w:hAnsi="Arial" w:cs="Arial"/>
          <w:b/>
          <w:bCs/>
          <w:sz w:val="22"/>
          <w:szCs w:val="22"/>
        </w:rPr>
        <w:t>Subjective norms</w:t>
      </w:r>
      <w:r w:rsidRPr="00B402AC">
        <w:rPr>
          <w:rFonts w:ascii="Arial" w:hAnsi="Arial" w:cs="Arial"/>
          <w:sz w:val="22"/>
          <w:szCs w:val="22"/>
        </w:rPr>
        <w:t xml:space="preserve"> play an even larger role: adolescents frequently feel pressure to stay active online because peers expect constant communication, participation in trends, or visibility through posts and stories. This pressure can intensify feelings of anxiety or fear of missing out (FOMO), especially when social comparison becomes frequent. </w:t>
      </w:r>
      <w:r w:rsidRPr="00B402AC">
        <w:rPr>
          <w:rFonts w:ascii="Arial" w:hAnsi="Arial" w:cs="Arial"/>
          <w:b/>
          <w:bCs/>
          <w:sz w:val="22"/>
          <w:szCs w:val="22"/>
        </w:rPr>
        <w:t>Perceived behavioural control</w:t>
      </w:r>
      <w:r w:rsidRPr="00B402AC">
        <w:rPr>
          <w:rFonts w:ascii="Arial" w:hAnsi="Arial" w:cs="Arial"/>
          <w:sz w:val="22"/>
          <w:szCs w:val="22"/>
        </w:rPr>
        <w:t xml:space="preserve"> also shapes mental health outcomes. Teens who feel confident managing privacy settings, controlling screen time, or navigating negative interactions may experience fewer harmful effects. In contrast, those who feel overwhelmed by online conflict, cyberbullying, or the need to maintain a perfect image may struggle with stress, low self-esteem, or depressive symptoms. TPB helps explain why some adolescents use social media in healthier ways while others become vulnerable to its psychological risks. By focusing on intention and perceived control, the theory highlights how beliefs, peer influence, and digital competence interact to shape both behaviour and mental wellbeing.</w:t>
      </w:r>
    </w:p>
    <w:p w14:paraId="0FE4565F" w14:textId="40DCEE12" w:rsidR="00B402AC" w:rsidRDefault="00B402AC">
      <w:pPr>
        <w:rPr>
          <w:rFonts w:ascii="Arial" w:hAnsi="Arial" w:cs="Arial"/>
          <w:sz w:val="22"/>
          <w:szCs w:val="22"/>
        </w:rPr>
      </w:pPr>
      <w:r w:rsidRPr="00B402AC">
        <w:rPr>
          <w:rFonts w:ascii="Arial" w:hAnsi="Arial" w:cs="Arial"/>
          <w:sz w:val="22"/>
          <w:szCs w:val="22"/>
        </w:rPr>
        <w:lastRenderedPageBreak/>
        <w:t xml:space="preserve">The Theory of Planned Behaviour is particularly beneficial for explaining adolescent social media use because it captures the social, cognitive, and motivational factors driving their online behaviour. One major strength is its emphasis on </w:t>
      </w:r>
      <w:r w:rsidRPr="00B402AC">
        <w:rPr>
          <w:rFonts w:ascii="Arial" w:hAnsi="Arial" w:cs="Arial"/>
          <w:b/>
          <w:bCs/>
          <w:sz w:val="22"/>
          <w:szCs w:val="22"/>
        </w:rPr>
        <w:t>subjective norms</w:t>
      </w:r>
      <w:r w:rsidRPr="00B402AC">
        <w:rPr>
          <w:rFonts w:ascii="Arial" w:hAnsi="Arial" w:cs="Arial"/>
          <w:sz w:val="22"/>
          <w:szCs w:val="22"/>
        </w:rPr>
        <w:t xml:space="preserve">, which are central to teenage life; peer influence is often the strongest predictor of digital engagement. TPB also accounts for </w:t>
      </w:r>
      <w:r w:rsidRPr="00B402AC">
        <w:rPr>
          <w:rFonts w:ascii="Arial" w:hAnsi="Arial" w:cs="Arial"/>
          <w:b/>
          <w:bCs/>
          <w:sz w:val="22"/>
          <w:szCs w:val="22"/>
        </w:rPr>
        <w:t>individual differences</w:t>
      </w:r>
      <w:r w:rsidRPr="00B402AC">
        <w:rPr>
          <w:rFonts w:ascii="Arial" w:hAnsi="Arial" w:cs="Arial"/>
          <w:sz w:val="22"/>
          <w:szCs w:val="22"/>
        </w:rPr>
        <w:t xml:space="preserve">, recognising that attitudes and perceived control vary widely among adolescents, helping explain why social media affects teens differently. Its focus on </w:t>
      </w:r>
      <w:r w:rsidRPr="00B402AC">
        <w:rPr>
          <w:rFonts w:ascii="Arial" w:hAnsi="Arial" w:cs="Arial"/>
          <w:b/>
          <w:bCs/>
          <w:sz w:val="22"/>
          <w:szCs w:val="22"/>
        </w:rPr>
        <w:t>intention</w:t>
      </w:r>
      <w:r w:rsidRPr="00B402AC">
        <w:rPr>
          <w:rFonts w:ascii="Arial" w:hAnsi="Arial" w:cs="Arial"/>
          <w:sz w:val="22"/>
          <w:szCs w:val="22"/>
        </w:rPr>
        <w:t xml:space="preserve"> makes the theory practical for understanding both healthy and harmful patterns of use, offering insight into why teens may persist in behaviours that negatively impact mental health. Additionally, TPB is flexible and evidence-based, making it useful for designing interventions that strengthen digital literacy, improve self-regulation, and reduce peer pressure. Overall, the theory provides a structured, psychologically grounded explanation for the motivations behind adolescent social media behaviour.</w:t>
      </w:r>
    </w:p>
    <w:p w14:paraId="4C2FFE2C" w14:textId="77777777" w:rsidR="00B402AC" w:rsidRDefault="00B402AC">
      <w:pPr>
        <w:rPr>
          <w:rFonts w:ascii="Arial" w:hAnsi="Arial" w:cs="Arial"/>
          <w:sz w:val="22"/>
          <w:szCs w:val="22"/>
        </w:rPr>
      </w:pPr>
    </w:p>
    <w:p w14:paraId="174AF5EA" w14:textId="449BF095" w:rsidR="00B402AC" w:rsidRDefault="00B402AC">
      <w:pPr>
        <w:rPr>
          <w:rFonts w:ascii="Arial" w:hAnsi="Arial" w:cs="Arial"/>
          <w:sz w:val="22"/>
          <w:szCs w:val="22"/>
        </w:rPr>
      </w:pPr>
      <w:r>
        <w:rPr>
          <w:rFonts w:ascii="Arial" w:hAnsi="Arial" w:cs="Arial"/>
          <w:sz w:val="22"/>
          <w:szCs w:val="22"/>
        </w:rPr>
        <w:t xml:space="preserve">CONCLUSION </w:t>
      </w:r>
    </w:p>
    <w:p w14:paraId="2B242F61" w14:textId="0947C11D" w:rsidR="00B402AC" w:rsidRDefault="008A585B">
      <w:pPr>
        <w:rPr>
          <w:rFonts w:ascii="Arial" w:hAnsi="Arial" w:cs="Arial"/>
          <w:sz w:val="22"/>
          <w:szCs w:val="22"/>
        </w:rPr>
      </w:pPr>
      <w:r w:rsidRPr="008A585B">
        <w:rPr>
          <w:rFonts w:ascii="Arial" w:hAnsi="Arial" w:cs="Arial"/>
          <w:sz w:val="22"/>
          <w:szCs w:val="22"/>
        </w:rPr>
        <w:t>The essay has examined how Erikson’s psychosocial theory and the Theory of Planned Behaviour each contribute to our understanding of adolescent social media use and its impact on mental health. By exploring Erikson’s focus on identity formation, the essay highlighted how social media functions as a powerful space for self</w:t>
      </w:r>
      <w:r w:rsidRPr="008A585B">
        <w:rPr>
          <w:rFonts w:ascii="Arial" w:hAnsi="Arial" w:cs="Arial"/>
          <w:sz w:val="22"/>
          <w:szCs w:val="22"/>
        </w:rPr>
        <w:noBreakHyphen/>
        <w:t>expression, comparison, and validation during a stage when young people are highly sensitive to social feedback. The Theory of Planned Behaviour added a complementary perspective, showing how attitudes, peer norms, and perceived control shape adolescents’ intentions to engage online and influence whether their experiences support or undermine wellbeing. Although both theories offer valuable insights, Erikson’s psychosocial theory emerges as the most useful for explaining this issue. It directly addresses the developmental vulnerabilities that make social media so influential during adolescence, capturing the emotional intensity, identity exploration, and social dependence that define this life stage. By linking digital behaviour to core developmental needs, Erikson’s theory provides a deeper and more holistic understanding of why social media can have such profound effects on young people’s mental health.</w:t>
      </w:r>
    </w:p>
    <w:p w14:paraId="21BFBE0A" w14:textId="77777777" w:rsidR="008A585B" w:rsidRDefault="008A585B">
      <w:pPr>
        <w:rPr>
          <w:rFonts w:ascii="Arial" w:hAnsi="Arial" w:cs="Arial"/>
          <w:sz w:val="22"/>
          <w:szCs w:val="22"/>
        </w:rPr>
      </w:pPr>
    </w:p>
    <w:p w14:paraId="6040E36E" w14:textId="77777777" w:rsidR="008A585B" w:rsidRDefault="008A585B">
      <w:pPr>
        <w:rPr>
          <w:rFonts w:ascii="Arial" w:hAnsi="Arial" w:cs="Arial"/>
          <w:sz w:val="22"/>
          <w:szCs w:val="22"/>
        </w:rPr>
      </w:pPr>
    </w:p>
    <w:p w14:paraId="2A8F9CE4" w14:textId="77777777" w:rsidR="008A585B" w:rsidRDefault="008A585B">
      <w:pPr>
        <w:rPr>
          <w:rFonts w:ascii="Arial" w:hAnsi="Arial" w:cs="Arial"/>
          <w:sz w:val="22"/>
          <w:szCs w:val="22"/>
        </w:rPr>
      </w:pPr>
    </w:p>
    <w:p w14:paraId="28F96FA9" w14:textId="1D6076D5" w:rsidR="00B402AC" w:rsidRDefault="003963FB">
      <w:pPr>
        <w:rPr>
          <w:rFonts w:ascii="Arial" w:hAnsi="Arial" w:cs="Arial"/>
          <w:sz w:val="22"/>
          <w:szCs w:val="22"/>
        </w:rPr>
      </w:pPr>
      <w:r>
        <w:rPr>
          <w:rFonts w:ascii="Arial" w:hAnsi="Arial" w:cs="Arial"/>
          <w:sz w:val="22"/>
          <w:szCs w:val="22"/>
        </w:rPr>
        <w:lastRenderedPageBreak/>
        <w:t>6 REFERENCES LIST</w:t>
      </w:r>
    </w:p>
    <w:p w14:paraId="49255449" w14:textId="77777777" w:rsidR="008A585B" w:rsidRDefault="008A585B">
      <w:pPr>
        <w:rPr>
          <w:rFonts w:ascii="Arial" w:hAnsi="Arial" w:cs="Arial"/>
          <w:sz w:val="22"/>
          <w:szCs w:val="22"/>
        </w:rPr>
      </w:pPr>
    </w:p>
    <w:p w14:paraId="44BA210E" w14:textId="381F5BC6" w:rsidR="00B402AC" w:rsidRDefault="00B402AC">
      <w:pPr>
        <w:rPr>
          <w:rFonts w:ascii="Arial" w:hAnsi="Arial" w:cs="Arial"/>
          <w:sz w:val="22"/>
          <w:szCs w:val="22"/>
        </w:rPr>
      </w:pPr>
      <w:r w:rsidRPr="00B402AC">
        <w:rPr>
          <w:rFonts w:ascii="Arial" w:hAnsi="Arial" w:cs="Arial"/>
          <w:sz w:val="22"/>
          <w:szCs w:val="22"/>
        </w:rPr>
        <w:t>Ajzen, I. (1991)</w:t>
      </w:r>
    </w:p>
    <w:p w14:paraId="6AF7D3C5" w14:textId="32B24C57" w:rsidR="00B402AC" w:rsidRDefault="00B402AC">
      <w:pPr>
        <w:rPr>
          <w:rFonts w:ascii="Arial" w:hAnsi="Arial" w:cs="Arial"/>
          <w:sz w:val="22"/>
          <w:szCs w:val="22"/>
        </w:rPr>
      </w:pPr>
      <w:r w:rsidRPr="00B402AC">
        <w:rPr>
          <w:rFonts w:ascii="Arial" w:hAnsi="Arial" w:cs="Arial"/>
          <w:sz w:val="22"/>
          <w:szCs w:val="22"/>
        </w:rPr>
        <w:t>Erikson, E.H. (1968)</w:t>
      </w:r>
    </w:p>
    <w:p w14:paraId="72460F14" w14:textId="52A619A4" w:rsidR="00B402AC" w:rsidRDefault="00B402AC">
      <w:pPr>
        <w:rPr>
          <w:rFonts w:ascii="Arial" w:hAnsi="Arial" w:cs="Arial"/>
          <w:sz w:val="22"/>
          <w:szCs w:val="22"/>
        </w:rPr>
      </w:pPr>
      <w:r w:rsidRPr="00B402AC">
        <w:rPr>
          <w:rFonts w:ascii="Arial" w:hAnsi="Arial" w:cs="Arial"/>
          <w:sz w:val="22"/>
          <w:szCs w:val="22"/>
        </w:rPr>
        <w:t>Valkenburg, P.M. and Peter, J.</w:t>
      </w:r>
    </w:p>
    <w:p w14:paraId="4E63516C" w14:textId="0F8A4607" w:rsidR="00B402AC" w:rsidRDefault="00B402AC">
      <w:pPr>
        <w:rPr>
          <w:rFonts w:ascii="Arial" w:hAnsi="Arial" w:cs="Arial"/>
          <w:sz w:val="22"/>
          <w:szCs w:val="22"/>
        </w:rPr>
      </w:pPr>
      <w:r w:rsidRPr="00B402AC">
        <w:rPr>
          <w:rFonts w:ascii="Arial" w:hAnsi="Arial" w:cs="Arial"/>
          <w:sz w:val="22"/>
          <w:szCs w:val="22"/>
        </w:rPr>
        <w:t>Twenge, J.M. and Campbell, W.K</w:t>
      </w:r>
    </w:p>
    <w:p w14:paraId="277B8505" w14:textId="0D63D2CB" w:rsidR="00B402AC" w:rsidRDefault="00B402AC">
      <w:pPr>
        <w:rPr>
          <w:rFonts w:ascii="Arial" w:hAnsi="Arial" w:cs="Arial"/>
          <w:sz w:val="22"/>
          <w:szCs w:val="22"/>
        </w:rPr>
      </w:pPr>
      <w:r w:rsidRPr="00B402AC">
        <w:rPr>
          <w:rFonts w:ascii="Arial" w:hAnsi="Arial" w:cs="Arial"/>
          <w:sz w:val="22"/>
          <w:szCs w:val="22"/>
        </w:rPr>
        <w:t>O’Keeffe, G.S. and Clarke-Pearson, K.</w:t>
      </w:r>
    </w:p>
    <w:p w14:paraId="40DFA815" w14:textId="730B442F" w:rsidR="00B402AC" w:rsidRPr="00256DAA" w:rsidRDefault="00B402AC">
      <w:pPr>
        <w:rPr>
          <w:rFonts w:ascii="Arial" w:hAnsi="Arial" w:cs="Arial"/>
          <w:sz w:val="22"/>
          <w:szCs w:val="22"/>
        </w:rPr>
      </w:pPr>
      <w:r w:rsidRPr="00B402AC">
        <w:rPr>
          <w:rFonts w:ascii="Arial" w:hAnsi="Arial" w:cs="Arial"/>
          <w:sz w:val="22"/>
          <w:szCs w:val="22"/>
        </w:rPr>
        <w:t>Salmela-Aro, K. (2017)</w:t>
      </w:r>
    </w:p>
    <w:sectPr w:rsidR="00B402AC" w:rsidRPr="00256DA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B7B85" w14:textId="77777777" w:rsidR="00BE4481" w:rsidRDefault="00BE4481" w:rsidP="00667203">
      <w:pPr>
        <w:spacing w:after="0" w:line="240" w:lineRule="auto"/>
      </w:pPr>
      <w:r>
        <w:separator/>
      </w:r>
    </w:p>
  </w:endnote>
  <w:endnote w:type="continuationSeparator" w:id="0">
    <w:p w14:paraId="65ABBE6A" w14:textId="77777777" w:rsidR="00BE4481" w:rsidRDefault="00BE4481" w:rsidP="0066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0D92E22" w14:paraId="2996A513" w14:textId="77777777" w:rsidTr="10D92E22">
      <w:trPr>
        <w:trHeight w:val="300"/>
      </w:trPr>
      <w:tc>
        <w:tcPr>
          <w:tcW w:w="3005" w:type="dxa"/>
        </w:tcPr>
        <w:p w14:paraId="61F51D87" w14:textId="6F14A714" w:rsidR="10D92E22" w:rsidRDefault="10D92E22" w:rsidP="10D92E22">
          <w:pPr>
            <w:pStyle w:val="Header"/>
            <w:ind w:left="-115"/>
          </w:pPr>
        </w:p>
      </w:tc>
      <w:tc>
        <w:tcPr>
          <w:tcW w:w="3005" w:type="dxa"/>
        </w:tcPr>
        <w:p w14:paraId="5AB1A111" w14:textId="47BB3B07" w:rsidR="10D92E22" w:rsidRDefault="10D92E22" w:rsidP="10D92E22">
          <w:pPr>
            <w:pStyle w:val="Header"/>
            <w:jc w:val="center"/>
          </w:pPr>
        </w:p>
      </w:tc>
      <w:tc>
        <w:tcPr>
          <w:tcW w:w="3005" w:type="dxa"/>
        </w:tcPr>
        <w:p w14:paraId="2FF06417" w14:textId="48B2B5CA" w:rsidR="10D92E22" w:rsidRDefault="10D92E22" w:rsidP="10D92E22">
          <w:pPr>
            <w:pStyle w:val="Header"/>
            <w:ind w:right="-115"/>
            <w:jc w:val="right"/>
          </w:pPr>
        </w:p>
      </w:tc>
    </w:tr>
  </w:tbl>
  <w:p w14:paraId="60E11529" w14:textId="3EB71BDE" w:rsidR="00667203" w:rsidRDefault="00667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9283C" w14:textId="77777777" w:rsidR="00BE4481" w:rsidRDefault="00BE4481" w:rsidP="00667203">
      <w:pPr>
        <w:spacing w:after="0" w:line="240" w:lineRule="auto"/>
      </w:pPr>
      <w:r>
        <w:separator/>
      </w:r>
    </w:p>
  </w:footnote>
  <w:footnote w:type="continuationSeparator" w:id="0">
    <w:p w14:paraId="4EA0BBAE" w14:textId="77777777" w:rsidR="00BE4481" w:rsidRDefault="00BE4481" w:rsidP="00667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D1B23" w14:textId="4C1633C6" w:rsidR="00404214" w:rsidRDefault="00404214">
    <w:r>
      <w:t>NAZIA BE</w:t>
    </w:r>
    <w:r w:rsidR="00515E3B">
      <w:t>GUM 25063</w:t>
    </w:r>
    <w:r w:rsidR="00CA6F30">
      <w:t>73</w:t>
    </w:r>
  </w:p>
  <w:p w14:paraId="7938BEAC" w14:textId="2D85517F" w:rsidR="00CA6F30" w:rsidRDefault="00CA6F30">
    <w:r>
      <w:t>MODULE</w:t>
    </w:r>
    <w:r w:rsidR="006D5F73">
      <w:t>: L</w:t>
    </w:r>
    <w:r w:rsidR="005D205B">
      <w:t>CHS</w:t>
    </w:r>
    <w:r w:rsidR="002149B2">
      <w:t>4010 COMPONENT 2</w:t>
    </w:r>
  </w:p>
  <w:p w14:paraId="4AE5DBA6" w14:textId="0FD4867D" w:rsidR="002149B2" w:rsidRDefault="002149B2">
    <w:r>
      <w:t>ESSAY (1500 WORDS APPROX)</w:t>
    </w:r>
  </w:p>
  <w:p w14:paraId="0173935E" w14:textId="6BC2D6A9" w:rsidR="003F51C7" w:rsidRDefault="003F51C7">
    <w:r>
      <w:t>IMPACT OF SOCIAL MEDIA ON MENTAL HEALTH</w:t>
    </w:r>
  </w:p>
  <w:p w14:paraId="5A623099" w14:textId="77777777" w:rsidR="008E2A55" w:rsidRDefault="008E2A55"/>
  <w:tbl>
    <w:tblPr>
      <w:tblW w:w="0" w:type="auto"/>
      <w:tblLook w:val="06A0" w:firstRow="1" w:lastRow="0" w:firstColumn="1" w:lastColumn="0" w:noHBand="1" w:noVBand="1"/>
    </w:tblPr>
    <w:tblGrid>
      <w:gridCol w:w="3005"/>
      <w:gridCol w:w="3005"/>
      <w:gridCol w:w="3005"/>
    </w:tblGrid>
    <w:tr w:rsidR="10D92E22" w14:paraId="29F906A9" w14:textId="77777777" w:rsidTr="10D92E22">
      <w:trPr>
        <w:trHeight w:val="300"/>
      </w:trPr>
      <w:tc>
        <w:tcPr>
          <w:tcW w:w="3005" w:type="dxa"/>
        </w:tcPr>
        <w:p w14:paraId="55C2D9FC" w14:textId="6BEE13F9" w:rsidR="10D92E22" w:rsidRDefault="10D92E22" w:rsidP="10D92E22">
          <w:pPr>
            <w:pStyle w:val="Header"/>
            <w:ind w:left="-115"/>
          </w:pPr>
        </w:p>
      </w:tc>
      <w:tc>
        <w:tcPr>
          <w:tcW w:w="3005" w:type="dxa"/>
        </w:tcPr>
        <w:p w14:paraId="5DAE831E" w14:textId="17674ADB" w:rsidR="10D92E22" w:rsidRDefault="10D92E22" w:rsidP="10D92E22">
          <w:pPr>
            <w:pStyle w:val="Header"/>
            <w:jc w:val="center"/>
          </w:pPr>
        </w:p>
      </w:tc>
      <w:tc>
        <w:tcPr>
          <w:tcW w:w="3005" w:type="dxa"/>
        </w:tcPr>
        <w:p w14:paraId="07AC80F2" w14:textId="2B51CFE7" w:rsidR="10D92E22" w:rsidRDefault="10D92E22" w:rsidP="10D92E22">
          <w:pPr>
            <w:pStyle w:val="Header"/>
            <w:ind w:right="-115"/>
            <w:jc w:val="right"/>
          </w:pPr>
        </w:p>
      </w:tc>
    </w:tr>
  </w:tbl>
  <w:p w14:paraId="1C2B2CC8" w14:textId="03296BF7" w:rsidR="10D92E22" w:rsidRDefault="10D92E22" w:rsidP="10D92E22">
    <w:pPr>
      <w:pStyle w:val="Header"/>
    </w:pPr>
  </w:p>
  <w:p w14:paraId="4C9B6232" w14:textId="730F6D7A" w:rsidR="10D92E22" w:rsidRDefault="10D92E22" w:rsidP="10D92E22">
    <w:pPr>
      <w:pStyle w:val="Header"/>
    </w:pPr>
  </w:p>
  <w:p w14:paraId="6B422C42" w14:textId="03AD62B3" w:rsidR="00667203" w:rsidRDefault="00667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A80"/>
    <w:rsid w:val="0003504A"/>
    <w:rsid w:val="002149B2"/>
    <w:rsid w:val="00256DAA"/>
    <w:rsid w:val="002A79A5"/>
    <w:rsid w:val="002E1FD3"/>
    <w:rsid w:val="003963FB"/>
    <w:rsid w:val="003F51C7"/>
    <w:rsid w:val="00404214"/>
    <w:rsid w:val="00515E3B"/>
    <w:rsid w:val="005657A6"/>
    <w:rsid w:val="005D205B"/>
    <w:rsid w:val="00667203"/>
    <w:rsid w:val="006D5F73"/>
    <w:rsid w:val="006F3BEB"/>
    <w:rsid w:val="00752140"/>
    <w:rsid w:val="008029F3"/>
    <w:rsid w:val="008A585B"/>
    <w:rsid w:val="008E2A55"/>
    <w:rsid w:val="0091706F"/>
    <w:rsid w:val="009819E7"/>
    <w:rsid w:val="00987729"/>
    <w:rsid w:val="00B402AC"/>
    <w:rsid w:val="00B82A80"/>
    <w:rsid w:val="00BE4481"/>
    <w:rsid w:val="00C127F4"/>
    <w:rsid w:val="00C742D2"/>
    <w:rsid w:val="00CA6F30"/>
    <w:rsid w:val="00D33F47"/>
    <w:rsid w:val="016EAB33"/>
    <w:rsid w:val="10D92E22"/>
    <w:rsid w:val="121ECB58"/>
    <w:rsid w:val="1BC3B045"/>
    <w:rsid w:val="289B19BE"/>
    <w:rsid w:val="292416C8"/>
    <w:rsid w:val="445A82FB"/>
    <w:rsid w:val="44BB37E8"/>
    <w:rsid w:val="44FB972D"/>
    <w:rsid w:val="471F4C8C"/>
    <w:rsid w:val="62A67AA9"/>
    <w:rsid w:val="6765450E"/>
    <w:rsid w:val="68CC9996"/>
    <w:rsid w:val="7B39275B"/>
    <w:rsid w:val="7BD41948"/>
    <w:rsid w:val="7D42B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43E92"/>
  <w15:chartTrackingRefBased/>
  <w15:docId w15:val="{3D4B293E-4851-4A7C-9BBC-8CF8873AF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A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A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A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A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A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A80"/>
    <w:rPr>
      <w:rFonts w:eastAsiaTheme="majorEastAsia" w:cstheme="majorBidi"/>
      <w:color w:val="272727" w:themeColor="text1" w:themeTint="D8"/>
    </w:rPr>
  </w:style>
  <w:style w:type="paragraph" w:styleId="Title">
    <w:name w:val="Title"/>
    <w:basedOn w:val="Normal"/>
    <w:next w:val="Normal"/>
    <w:link w:val="TitleChar"/>
    <w:uiPriority w:val="10"/>
    <w:qFormat/>
    <w:rsid w:val="00B82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A80"/>
    <w:pPr>
      <w:spacing w:before="160"/>
      <w:jc w:val="center"/>
    </w:pPr>
    <w:rPr>
      <w:i/>
      <w:iCs/>
      <w:color w:val="404040" w:themeColor="text1" w:themeTint="BF"/>
    </w:rPr>
  </w:style>
  <w:style w:type="character" w:customStyle="1" w:styleId="QuoteChar">
    <w:name w:val="Quote Char"/>
    <w:basedOn w:val="DefaultParagraphFont"/>
    <w:link w:val="Quote"/>
    <w:uiPriority w:val="29"/>
    <w:rsid w:val="00B82A80"/>
    <w:rPr>
      <w:i/>
      <w:iCs/>
      <w:color w:val="404040" w:themeColor="text1" w:themeTint="BF"/>
    </w:rPr>
  </w:style>
  <w:style w:type="paragraph" w:styleId="ListParagraph">
    <w:name w:val="List Paragraph"/>
    <w:basedOn w:val="Normal"/>
    <w:uiPriority w:val="34"/>
    <w:qFormat/>
    <w:rsid w:val="00B82A80"/>
    <w:pPr>
      <w:ind w:left="720"/>
      <w:contextualSpacing/>
    </w:pPr>
  </w:style>
  <w:style w:type="character" w:styleId="IntenseEmphasis">
    <w:name w:val="Intense Emphasis"/>
    <w:basedOn w:val="DefaultParagraphFont"/>
    <w:uiPriority w:val="21"/>
    <w:qFormat/>
    <w:rsid w:val="00B82A80"/>
    <w:rPr>
      <w:i/>
      <w:iCs/>
      <w:color w:val="0F4761" w:themeColor="accent1" w:themeShade="BF"/>
    </w:rPr>
  </w:style>
  <w:style w:type="paragraph" w:styleId="IntenseQuote">
    <w:name w:val="Intense Quote"/>
    <w:basedOn w:val="Normal"/>
    <w:next w:val="Normal"/>
    <w:link w:val="IntenseQuoteChar"/>
    <w:uiPriority w:val="30"/>
    <w:qFormat/>
    <w:rsid w:val="00B82A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A80"/>
    <w:rPr>
      <w:i/>
      <w:iCs/>
      <w:color w:val="0F4761" w:themeColor="accent1" w:themeShade="BF"/>
    </w:rPr>
  </w:style>
  <w:style w:type="character" w:styleId="IntenseReference">
    <w:name w:val="Intense Reference"/>
    <w:basedOn w:val="DefaultParagraphFont"/>
    <w:uiPriority w:val="32"/>
    <w:qFormat/>
    <w:rsid w:val="00B82A80"/>
    <w:rPr>
      <w:b/>
      <w:bCs/>
      <w:smallCaps/>
      <w:color w:val="0F4761" w:themeColor="accent1" w:themeShade="BF"/>
      <w:spacing w:val="5"/>
    </w:rPr>
  </w:style>
  <w:style w:type="paragraph" w:styleId="Header">
    <w:name w:val="header"/>
    <w:basedOn w:val="Normal"/>
    <w:link w:val="HeaderChar"/>
    <w:uiPriority w:val="99"/>
    <w:unhideWhenUsed/>
    <w:rsid w:val="004042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214"/>
  </w:style>
  <w:style w:type="paragraph" w:styleId="Footer">
    <w:name w:val="footer"/>
    <w:basedOn w:val="Normal"/>
    <w:link w:val="FooterChar"/>
    <w:uiPriority w:val="99"/>
    <w:unhideWhenUsed/>
    <w:rsid w:val="004042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214"/>
  </w:style>
  <w:style w:type="table" w:styleId="TableGrid">
    <w:name w:val="Table Grid"/>
    <w:basedOn w:val="TableNormal"/>
    <w:uiPriority w:val="59"/>
    <w:rsid w:val="0066720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360bfa8ee50f629a4a805c955e40927">
  <xsd:schema xmlns:xsd="http://www.w3.org/2001/XMLSchema" xmlns:xs="http://www.w3.org/2001/XMLSchema" xmlns:p="http://schemas.microsoft.com/office/2006/metadata/properties" xmlns:ns3="3ef5847a-e696-4fee-a2c0-6c3f87568321" targetNamespace="http://schemas.microsoft.com/office/2006/metadata/properties" ma:root="true" ma:fieldsID="e873d1e9160538f17e63a5259c3b74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876E71-826C-4611-82D8-153BF5752FC3}">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6F1684BA-5B51-4F39-B04B-01244FF1FFED}">
  <ds:schemaRefs>
    <ds:schemaRef ds:uri="http://schemas.microsoft.com/sharepoint/v3/contenttype/forms"/>
  </ds:schemaRefs>
</ds:datastoreItem>
</file>

<file path=customXml/itemProps3.xml><?xml version="1.0" encoding="utf-8"?>
<ds:datastoreItem xmlns:ds="http://schemas.openxmlformats.org/officeDocument/2006/customXml" ds:itemID="{5719E83F-AE71-44C3-8DA6-394B2CABCC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5</Pages>
  <Words>1609</Words>
  <Characters>9174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Begum (2506373)</dc:creator>
  <cp:keywords/>
  <dc:description/>
  <cp:lastModifiedBy>Nazia Begum (2506373)</cp:lastModifiedBy>
  <cp:revision>19</cp:revision>
  <dcterms:created xsi:type="dcterms:W3CDTF">2026-07-14T09:08:00Z</dcterms:created>
  <dcterms:modified xsi:type="dcterms:W3CDTF">2026-07-20T22:31:00Z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