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xmlns:wp14="http://schemas.microsoft.com/office/word/2010/wordml" w:rsidP="3364043F" wp14:paraId="5BC305C5" wp14:textId="16B85E23">
      <w:pPr>
        <w:pStyle w:val="Normal"/>
      </w:pPr>
      <w:r w:rsidR="7C93F82E">
        <w:drawing>
          <wp:inline xmlns:wp14="http://schemas.microsoft.com/office/word/2010/wordprocessingDrawing" wp14:editId="77B81C47" wp14:anchorId="634A350F">
            <wp:extent cx="5434528" cy="1258719"/>
            <wp:effectExtent l="0" t="0" r="0" b="0"/>
            <wp:docPr id="1562439957"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562439957" name="Picture 1562439957"/>
                    <pic:cNvPicPr/>
                  </pic:nvPicPr>
                  <pic:blipFill>
                    <a:blip xmlns:r="http://schemas.openxmlformats.org/officeDocument/2006/relationships" r:embed="rId318481411">
                      <a:extLst>
                        <a:ext uri="{28A0092B-C50C-407E-A947-70E740481C1C}">
                          <a14:useLocalDpi xmlns:a14="http://schemas.microsoft.com/office/drawing/2010/main"/>
                        </a:ext>
                      </a:extLst>
                    </a:blip>
                    <a:stretch>
                      <a:fillRect/>
                    </a:stretch>
                  </pic:blipFill>
                  <pic:spPr>
                    <a:xfrm rot="0">
                      <a:off x="0" y="0"/>
                      <a:ext cx="5434528" cy="1258719"/>
                    </a:xfrm>
                    <a:prstGeom prst="rect">
                      <a:avLst/>
                    </a:prstGeom>
                  </pic:spPr>
                </pic:pic>
              </a:graphicData>
            </a:graphic>
          </wp:inline>
        </w:drawing>
      </w:r>
    </w:p>
    <w:p xmlns:wp14="http://schemas.microsoft.com/office/word/2010/wordml" w:rsidP="3364043F" wp14:paraId="3FEE7B81" wp14:textId="5B024E5E">
      <w:pPr>
        <w:pStyle w:val="Normal"/>
      </w:pPr>
      <w:r w:rsidRPr="3364043F" w:rsidR="00BB9C6A">
        <w:rPr>
          <w:rFonts w:ascii="Aptos" w:hAnsi="Aptos" w:eastAsia="Aptos" w:cs="Aptos"/>
          <w:b w:val="1"/>
          <w:bCs w:val="1"/>
          <w:i w:val="0"/>
          <w:iCs w:val="0"/>
          <w:strike w:val="0"/>
          <w:dstrike w:val="0"/>
          <w:noProof w:val="0"/>
          <w:color w:val="000000" w:themeColor="text1" w:themeTint="FF" w:themeShade="FF"/>
          <w:sz w:val="38"/>
          <w:szCs w:val="38"/>
          <w:u w:val="none"/>
          <w:lang w:val="en-US"/>
        </w:rPr>
        <w:t xml:space="preserve">Master of Business Administration International </w:t>
      </w:r>
    </w:p>
    <w:p xmlns:wp14="http://schemas.microsoft.com/office/word/2010/wordml" w:rsidP="3364043F" wp14:paraId="394E95C5" wp14:textId="54ABA768">
      <w:pPr>
        <w:pStyle w:val="Normal"/>
        <w:rPr>
          <w:rFonts w:ascii="Aptos" w:hAnsi="Aptos" w:eastAsia="Aptos" w:cs="Aptos"/>
          <w:b w:val="1"/>
          <w:bCs w:val="1"/>
          <w:i w:val="0"/>
          <w:iCs w:val="0"/>
          <w:strike w:val="0"/>
          <w:dstrike w:val="0"/>
          <w:noProof w:val="0"/>
          <w:color w:val="000000" w:themeColor="text1" w:themeTint="FF" w:themeShade="FF"/>
          <w:sz w:val="38"/>
          <w:szCs w:val="38"/>
          <w:u w:val="none"/>
          <w:lang w:val="en-US"/>
        </w:rPr>
      </w:pPr>
    </w:p>
    <w:p xmlns:wp14="http://schemas.microsoft.com/office/word/2010/wordml" w:rsidP="3364043F" wp14:paraId="1EE835EB" wp14:textId="51A44D6B">
      <w:pPr>
        <w:spacing w:before="0" w:beforeAutospacing="off" w:after="160" w:afterAutospacing="off"/>
      </w:pPr>
      <w:r w:rsidRPr="3364043F" w:rsidR="00BB9C6A">
        <w:rPr>
          <w:rFonts w:ascii="Aptos" w:hAnsi="Aptos" w:eastAsia="Aptos" w:cs="Aptos"/>
          <w:b w:val="1"/>
          <w:bCs w:val="1"/>
          <w:i w:val="0"/>
          <w:iCs w:val="0"/>
          <w:strike w:val="0"/>
          <w:dstrike w:val="0"/>
          <w:noProof w:val="0"/>
          <w:color w:val="000000" w:themeColor="text1" w:themeTint="FF" w:themeShade="FF"/>
          <w:sz w:val="36"/>
          <w:szCs w:val="36"/>
          <w:u w:val="none"/>
          <w:lang w:val="en-US"/>
        </w:rPr>
        <w:t>Module name:</w:t>
      </w:r>
      <w:r w:rsidRPr="3364043F" w:rsidR="0376B81B">
        <w:rPr>
          <w:rFonts w:ascii="Aptos" w:hAnsi="Aptos" w:eastAsia="Aptos" w:cs="Aptos"/>
          <w:b w:val="1"/>
          <w:bCs w:val="1"/>
          <w:i w:val="0"/>
          <w:iCs w:val="0"/>
          <w:strike w:val="0"/>
          <w:dstrike w:val="0"/>
          <w:noProof w:val="0"/>
          <w:color w:val="000000" w:themeColor="text1" w:themeTint="FF" w:themeShade="FF"/>
          <w:sz w:val="36"/>
          <w:szCs w:val="36"/>
          <w:u w:val="none"/>
          <w:lang w:val="en-US"/>
        </w:rPr>
        <w:t xml:space="preserve"> Marketing Management</w:t>
      </w:r>
    </w:p>
    <w:p xmlns:wp14="http://schemas.microsoft.com/office/word/2010/wordml" w:rsidP="3364043F" wp14:paraId="2EC305D2" wp14:textId="47E648B5">
      <w:pPr>
        <w:spacing w:before="0" w:beforeAutospacing="off" w:after="160" w:afterAutospacing="off"/>
        <w:rPr>
          <w:rFonts w:ascii="Aptos" w:hAnsi="Aptos" w:eastAsia="Aptos" w:cs="Aptos"/>
          <w:b w:val="1"/>
          <w:bCs w:val="1"/>
          <w:i w:val="0"/>
          <w:iCs w:val="0"/>
          <w:strike w:val="0"/>
          <w:dstrike w:val="0"/>
          <w:noProof w:val="0"/>
          <w:color w:val="000000" w:themeColor="text1" w:themeTint="FF" w:themeShade="FF"/>
          <w:sz w:val="36"/>
          <w:szCs w:val="36"/>
          <w:u w:val="none"/>
          <w:lang w:val="en-US"/>
        </w:rPr>
      </w:pPr>
      <w:r w:rsidRPr="3364043F" w:rsidR="00BB9C6A">
        <w:rPr>
          <w:rFonts w:ascii="Aptos" w:hAnsi="Aptos" w:eastAsia="Aptos" w:cs="Aptos"/>
          <w:b w:val="1"/>
          <w:bCs w:val="1"/>
          <w:i w:val="0"/>
          <w:iCs w:val="0"/>
          <w:strike w:val="0"/>
          <w:dstrike w:val="0"/>
          <w:noProof w:val="0"/>
          <w:color w:val="000000" w:themeColor="text1" w:themeTint="FF" w:themeShade="FF"/>
          <w:sz w:val="36"/>
          <w:szCs w:val="36"/>
          <w:u w:val="none"/>
          <w:lang w:val="en-US"/>
        </w:rPr>
        <w:t>Module code</w:t>
      </w:r>
      <w:r w:rsidRPr="3364043F" w:rsidR="00BB9C6A">
        <w:rPr>
          <w:rFonts w:ascii="Aptos" w:hAnsi="Aptos" w:eastAsia="Aptos" w:cs="Aptos"/>
          <w:b w:val="1"/>
          <w:bCs w:val="1"/>
          <w:i w:val="0"/>
          <w:iCs w:val="0"/>
          <w:strike w:val="0"/>
          <w:dstrike w:val="0"/>
          <w:noProof w:val="0"/>
          <w:color w:val="000000" w:themeColor="text1" w:themeTint="FF" w:themeShade="FF"/>
          <w:sz w:val="36"/>
          <w:szCs w:val="36"/>
          <w:u w:val="none"/>
          <w:lang w:val="en-US"/>
        </w:rPr>
        <w:t>:</w:t>
      </w:r>
      <w:r w:rsidRPr="3364043F" w:rsidR="28A28E56">
        <w:rPr>
          <w:rFonts w:ascii="Aptos" w:hAnsi="Aptos" w:eastAsia="Aptos" w:cs="Aptos"/>
          <w:b w:val="1"/>
          <w:bCs w:val="1"/>
          <w:i w:val="0"/>
          <w:iCs w:val="0"/>
          <w:strike w:val="0"/>
          <w:dstrike w:val="0"/>
          <w:noProof w:val="0"/>
          <w:color w:val="000000" w:themeColor="text1" w:themeTint="FF" w:themeShade="FF"/>
          <w:sz w:val="36"/>
          <w:szCs w:val="36"/>
          <w:u w:val="none"/>
          <w:lang w:val="en-US"/>
        </w:rPr>
        <w:t>(</w:t>
      </w:r>
      <w:r w:rsidRPr="3364043F" w:rsidR="28A28E56">
        <w:rPr>
          <w:rFonts w:ascii="Aptos" w:hAnsi="Aptos" w:eastAsia="Aptos" w:cs="Aptos"/>
          <w:b w:val="1"/>
          <w:bCs w:val="1"/>
          <w:i w:val="0"/>
          <w:iCs w:val="0"/>
          <w:strike w:val="0"/>
          <w:dstrike w:val="0"/>
          <w:noProof w:val="0"/>
          <w:color w:val="000000" w:themeColor="text1" w:themeTint="FF" w:themeShade="FF"/>
          <w:sz w:val="36"/>
          <w:szCs w:val="36"/>
          <w:u w:val="none"/>
          <w:lang w:val="en-US"/>
        </w:rPr>
        <w:t>LCM7024_LON)</w:t>
      </w:r>
    </w:p>
    <w:p xmlns:wp14="http://schemas.microsoft.com/office/word/2010/wordml" w:rsidP="3364043F" wp14:paraId="02DF169C" wp14:textId="54114D54">
      <w:pPr>
        <w:spacing w:before="0" w:beforeAutospacing="off" w:after="160" w:afterAutospacing="off"/>
        <w:rPr>
          <w:rFonts w:ascii="Aptos" w:hAnsi="Aptos" w:eastAsia="Aptos" w:cs="Aptos"/>
          <w:b w:val="1"/>
          <w:bCs w:val="1"/>
          <w:i w:val="0"/>
          <w:iCs w:val="0"/>
          <w:strike w:val="0"/>
          <w:dstrike w:val="0"/>
          <w:noProof w:val="0"/>
          <w:color w:val="000000" w:themeColor="text1" w:themeTint="FF" w:themeShade="FF"/>
          <w:sz w:val="36"/>
          <w:szCs w:val="36"/>
          <w:u w:val="none"/>
          <w:lang w:val="en-US"/>
        </w:rPr>
      </w:pPr>
      <w:r w:rsidRPr="3364043F" w:rsidR="00BB9C6A">
        <w:rPr>
          <w:rFonts w:ascii="Aptos" w:hAnsi="Aptos" w:eastAsia="Aptos" w:cs="Aptos"/>
          <w:b w:val="1"/>
          <w:bCs w:val="1"/>
          <w:i w:val="0"/>
          <w:iCs w:val="0"/>
          <w:strike w:val="0"/>
          <w:dstrike w:val="0"/>
          <w:noProof w:val="0"/>
          <w:color w:val="000000" w:themeColor="text1" w:themeTint="FF" w:themeShade="FF"/>
          <w:sz w:val="36"/>
          <w:szCs w:val="36"/>
          <w:u w:val="none"/>
          <w:lang w:val="en-US"/>
        </w:rPr>
        <w:t>Lecturer name</w:t>
      </w:r>
      <w:r w:rsidRPr="3364043F" w:rsidR="00BB9C6A">
        <w:rPr>
          <w:rFonts w:ascii="Aptos" w:hAnsi="Aptos" w:eastAsia="Aptos" w:cs="Aptos"/>
          <w:b w:val="0"/>
          <w:bCs w:val="0"/>
          <w:i w:val="0"/>
          <w:iCs w:val="0"/>
          <w:strike w:val="0"/>
          <w:dstrike w:val="0"/>
          <w:noProof w:val="0"/>
          <w:color w:val="000000" w:themeColor="text1" w:themeTint="FF" w:themeShade="FF"/>
          <w:sz w:val="36"/>
          <w:szCs w:val="36"/>
          <w:u w:val="none"/>
          <w:lang w:val="en-US"/>
        </w:rPr>
        <w:t>:</w:t>
      </w:r>
      <w:r w:rsidRPr="3364043F" w:rsidR="6BE0F5C5">
        <w:rPr>
          <w:rFonts w:ascii="Aptos" w:hAnsi="Aptos" w:eastAsia="Aptos" w:cs="Aptos"/>
          <w:b w:val="0"/>
          <w:bCs w:val="0"/>
          <w:i w:val="0"/>
          <w:iCs w:val="0"/>
          <w:strike w:val="0"/>
          <w:dstrike w:val="0"/>
          <w:noProof w:val="0"/>
          <w:color w:val="000000" w:themeColor="text1" w:themeTint="FF" w:themeShade="FF"/>
          <w:sz w:val="36"/>
          <w:szCs w:val="36"/>
          <w:u w:val="none"/>
          <w:lang w:val="en-US"/>
        </w:rPr>
        <w:t xml:space="preserve"> </w:t>
      </w:r>
      <w:r w:rsidRPr="3364043F" w:rsidR="6BE0F5C5">
        <w:rPr>
          <w:rFonts w:ascii="Aptos" w:hAnsi="Aptos" w:eastAsia="Aptos" w:cs="Aptos"/>
          <w:b w:val="1"/>
          <w:bCs w:val="1"/>
          <w:i w:val="0"/>
          <w:iCs w:val="0"/>
          <w:strike w:val="0"/>
          <w:dstrike w:val="0"/>
          <w:noProof w:val="0"/>
          <w:color w:val="000000" w:themeColor="text1" w:themeTint="FF" w:themeShade="FF"/>
          <w:sz w:val="36"/>
          <w:szCs w:val="36"/>
          <w:u w:val="none"/>
          <w:lang w:val="en-US"/>
        </w:rPr>
        <w:t>Sinan Hei</w:t>
      </w:r>
      <w:r w:rsidRPr="3364043F" w:rsidR="00BB9C6A">
        <w:rPr>
          <w:rFonts w:ascii="Aptos" w:hAnsi="Aptos" w:eastAsia="Aptos" w:cs="Aptos"/>
          <w:b w:val="1"/>
          <w:bCs w:val="1"/>
          <w:i w:val="0"/>
          <w:iCs w:val="0"/>
          <w:strike w:val="0"/>
          <w:dstrike w:val="0"/>
          <w:noProof w:val="0"/>
          <w:color w:val="000000" w:themeColor="text1" w:themeTint="FF" w:themeShade="FF"/>
          <w:sz w:val="36"/>
          <w:szCs w:val="36"/>
          <w:u w:val="none"/>
          <w:lang w:val="en-US"/>
        </w:rPr>
        <w:t xml:space="preserve"> </w:t>
      </w:r>
    </w:p>
    <w:p xmlns:wp14="http://schemas.microsoft.com/office/word/2010/wordml" w:rsidP="3364043F" wp14:paraId="2236C6DF" wp14:textId="34473F41">
      <w:pPr>
        <w:rPr>
          <w:sz w:val="36"/>
          <w:szCs w:val="36"/>
        </w:rPr>
      </w:pPr>
    </w:p>
    <w:p xmlns:wp14="http://schemas.microsoft.com/office/word/2010/wordml" w:rsidP="3364043F" wp14:paraId="2CB1D2C0" wp14:textId="0A6EBFB8">
      <w:pPr>
        <w:spacing w:before="0" w:beforeAutospacing="off" w:after="160" w:afterAutospacing="off"/>
        <w:rPr>
          <w:rFonts w:ascii="Aptos" w:hAnsi="Aptos" w:eastAsia="Aptos" w:cs="Aptos"/>
          <w:b w:val="1"/>
          <w:bCs w:val="1"/>
          <w:i w:val="0"/>
          <w:iCs w:val="0"/>
          <w:strike w:val="0"/>
          <w:dstrike w:val="0"/>
          <w:noProof w:val="0"/>
          <w:color w:val="000000" w:themeColor="text1" w:themeTint="FF" w:themeShade="FF"/>
          <w:sz w:val="36"/>
          <w:szCs w:val="36"/>
          <w:u w:val="none"/>
          <w:lang w:val="en-US"/>
        </w:rPr>
      </w:pPr>
      <w:r w:rsidRPr="3364043F" w:rsidR="00BB9C6A">
        <w:rPr>
          <w:rFonts w:ascii="Aptos" w:hAnsi="Aptos" w:eastAsia="Aptos" w:cs="Aptos"/>
          <w:b w:val="1"/>
          <w:bCs w:val="1"/>
          <w:i w:val="0"/>
          <w:iCs w:val="0"/>
          <w:strike w:val="0"/>
          <w:dstrike w:val="0"/>
          <w:noProof w:val="0"/>
          <w:color w:val="000000" w:themeColor="text1" w:themeTint="FF" w:themeShade="FF"/>
          <w:sz w:val="36"/>
          <w:szCs w:val="36"/>
          <w:u w:val="none"/>
          <w:lang w:val="en-US"/>
        </w:rPr>
        <w:t>Student name</w:t>
      </w:r>
      <w:r w:rsidRPr="3364043F" w:rsidR="00BB9C6A">
        <w:rPr>
          <w:rFonts w:ascii="Aptos" w:hAnsi="Aptos" w:eastAsia="Aptos" w:cs="Aptos"/>
          <w:b w:val="0"/>
          <w:bCs w:val="0"/>
          <w:i w:val="0"/>
          <w:iCs w:val="0"/>
          <w:strike w:val="0"/>
          <w:dstrike w:val="0"/>
          <w:noProof w:val="0"/>
          <w:color w:val="000000" w:themeColor="text1" w:themeTint="FF" w:themeShade="FF"/>
          <w:sz w:val="36"/>
          <w:szCs w:val="36"/>
          <w:u w:val="none"/>
          <w:lang w:val="en-US"/>
        </w:rPr>
        <w:t xml:space="preserve">: </w:t>
      </w:r>
      <w:r w:rsidRPr="3364043F" w:rsidR="00BB9C6A">
        <w:rPr>
          <w:rFonts w:ascii="Aptos" w:hAnsi="Aptos" w:eastAsia="Aptos" w:cs="Aptos"/>
          <w:b w:val="1"/>
          <w:bCs w:val="1"/>
          <w:i w:val="0"/>
          <w:iCs w:val="0"/>
          <w:strike w:val="0"/>
          <w:dstrike w:val="0"/>
          <w:noProof w:val="0"/>
          <w:color w:val="000000" w:themeColor="text1" w:themeTint="FF" w:themeShade="FF"/>
          <w:sz w:val="36"/>
          <w:szCs w:val="36"/>
          <w:u w:val="none"/>
          <w:lang w:val="en-US"/>
        </w:rPr>
        <w:t xml:space="preserve">Nehal Chekhalia </w:t>
      </w:r>
    </w:p>
    <w:p xmlns:wp14="http://schemas.microsoft.com/office/word/2010/wordml" w:rsidP="3364043F" wp14:paraId="4C6B5C42" wp14:textId="58A4B632">
      <w:pPr>
        <w:spacing w:before="0" w:beforeAutospacing="off" w:after="160" w:afterAutospacing="off"/>
        <w:rPr>
          <w:rFonts w:ascii="Aptos" w:hAnsi="Aptos" w:eastAsia="Aptos" w:cs="Aptos"/>
          <w:b w:val="1"/>
          <w:bCs w:val="1"/>
          <w:i w:val="0"/>
          <w:iCs w:val="0"/>
          <w:strike w:val="0"/>
          <w:dstrike w:val="0"/>
          <w:noProof w:val="0"/>
          <w:color w:val="000000" w:themeColor="text1" w:themeTint="FF" w:themeShade="FF"/>
          <w:sz w:val="36"/>
          <w:szCs w:val="36"/>
          <w:u w:val="none"/>
          <w:lang w:val="en-US"/>
        </w:rPr>
      </w:pPr>
      <w:r w:rsidRPr="3364043F" w:rsidR="00BB9C6A">
        <w:rPr>
          <w:rFonts w:ascii="Aptos" w:hAnsi="Aptos" w:eastAsia="Aptos" w:cs="Aptos"/>
          <w:b w:val="1"/>
          <w:bCs w:val="1"/>
          <w:i w:val="0"/>
          <w:iCs w:val="0"/>
          <w:strike w:val="0"/>
          <w:dstrike w:val="0"/>
          <w:noProof w:val="0"/>
          <w:color w:val="000000" w:themeColor="text1" w:themeTint="FF" w:themeShade="FF"/>
          <w:sz w:val="36"/>
          <w:szCs w:val="36"/>
          <w:u w:val="none"/>
          <w:lang w:val="en-US"/>
        </w:rPr>
        <w:t>Student ID</w:t>
      </w:r>
      <w:r w:rsidRPr="3364043F" w:rsidR="00BB9C6A">
        <w:rPr>
          <w:rFonts w:ascii="Aptos" w:hAnsi="Aptos" w:eastAsia="Aptos" w:cs="Aptos"/>
          <w:b w:val="0"/>
          <w:bCs w:val="0"/>
          <w:i w:val="0"/>
          <w:iCs w:val="0"/>
          <w:strike w:val="0"/>
          <w:dstrike w:val="0"/>
          <w:noProof w:val="0"/>
          <w:color w:val="000000" w:themeColor="text1" w:themeTint="FF" w:themeShade="FF"/>
          <w:sz w:val="36"/>
          <w:szCs w:val="36"/>
          <w:u w:val="none"/>
          <w:lang w:val="en-US"/>
        </w:rPr>
        <w:t>:</w:t>
      </w:r>
      <w:r w:rsidRPr="3364043F" w:rsidR="00BB9C6A">
        <w:rPr>
          <w:rFonts w:ascii="Aptos" w:hAnsi="Aptos" w:eastAsia="Aptos" w:cs="Aptos"/>
          <w:b w:val="1"/>
          <w:bCs w:val="1"/>
          <w:i w:val="0"/>
          <w:iCs w:val="0"/>
          <w:strike w:val="0"/>
          <w:dstrike w:val="0"/>
          <w:noProof w:val="0"/>
          <w:color w:val="000000" w:themeColor="text1" w:themeTint="FF" w:themeShade="FF"/>
          <w:sz w:val="36"/>
          <w:szCs w:val="36"/>
          <w:u w:val="none"/>
          <w:lang w:val="en-US"/>
        </w:rPr>
        <w:t>2545212</w:t>
      </w:r>
    </w:p>
    <w:p xmlns:wp14="http://schemas.microsoft.com/office/word/2010/wordml" w:rsidP="3364043F" wp14:paraId="2709AA89" wp14:textId="30BA7377">
      <w:pPr>
        <w:rPr>
          <w:sz w:val="36"/>
          <w:szCs w:val="36"/>
        </w:rPr>
      </w:pPr>
    </w:p>
    <w:p xmlns:wp14="http://schemas.microsoft.com/office/word/2010/wordml" w:rsidP="3364043F" wp14:paraId="4A11E8E8" wp14:textId="4C0F1009">
      <w:pPr>
        <w:spacing w:before="0" w:beforeAutospacing="off" w:after="160" w:afterAutospacing="off"/>
        <w:rPr>
          <w:rFonts w:ascii="Aptos" w:hAnsi="Aptos" w:eastAsia="Aptos" w:cs="Aptos"/>
          <w:b w:val="1"/>
          <w:bCs w:val="1"/>
          <w:i w:val="0"/>
          <w:iCs w:val="0"/>
          <w:strike w:val="0"/>
          <w:dstrike w:val="0"/>
          <w:noProof w:val="0"/>
          <w:color w:val="000000" w:themeColor="text1" w:themeTint="FF" w:themeShade="FF"/>
          <w:sz w:val="36"/>
          <w:szCs w:val="36"/>
          <w:u w:val="none"/>
          <w:lang w:val="en-US"/>
        </w:rPr>
      </w:pPr>
      <w:r w:rsidRPr="3364043F" w:rsidR="00BB9C6A">
        <w:rPr>
          <w:rFonts w:ascii="Aptos" w:hAnsi="Aptos" w:eastAsia="Aptos" w:cs="Aptos"/>
          <w:b w:val="1"/>
          <w:bCs w:val="1"/>
          <w:i w:val="0"/>
          <w:iCs w:val="0"/>
          <w:strike w:val="0"/>
          <w:dstrike w:val="0"/>
          <w:noProof w:val="0"/>
          <w:color w:val="000000" w:themeColor="text1" w:themeTint="FF" w:themeShade="FF"/>
          <w:sz w:val="36"/>
          <w:szCs w:val="36"/>
          <w:u w:val="none"/>
          <w:lang w:val="en-US"/>
        </w:rPr>
        <w:t>Word count</w:t>
      </w:r>
      <w:r w:rsidRPr="3364043F" w:rsidR="00BB9C6A">
        <w:rPr>
          <w:rFonts w:ascii="Aptos" w:hAnsi="Aptos" w:eastAsia="Aptos" w:cs="Aptos"/>
          <w:b w:val="0"/>
          <w:bCs w:val="0"/>
          <w:i w:val="0"/>
          <w:iCs w:val="0"/>
          <w:strike w:val="0"/>
          <w:dstrike w:val="0"/>
          <w:noProof w:val="0"/>
          <w:color w:val="000000" w:themeColor="text1" w:themeTint="FF" w:themeShade="FF"/>
          <w:sz w:val="36"/>
          <w:szCs w:val="36"/>
          <w:u w:val="none"/>
          <w:lang w:val="en-US"/>
        </w:rPr>
        <w:t xml:space="preserve">: </w:t>
      </w:r>
      <w:r w:rsidRPr="3364043F" w:rsidR="00BB9C6A">
        <w:rPr>
          <w:rFonts w:ascii="Aptos" w:hAnsi="Aptos" w:eastAsia="Aptos" w:cs="Aptos"/>
          <w:b w:val="1"/>
          <w:bCs w:val="1"/>
          <w:i w:val="0"/>
          <w:iCs w:val="0"/>
          <w:strike w:val="0"/>
          <w:dstrike w:val="0"/>
          <w:noProof w:val="0"/>
          <w:color w:val="000000" w:themeColor="text1" w:themeTint="FF" w:themeShade="FF"/>
          <w:sz w:val="36"/>
          <w:szCs w:val="36"/>
          <w:u w:val="none"/>
          <w:lang w:val="en-US"/>
        </w:rPr>
        <w:t>2500</w:t>
      </w:r>
    </w:p>
    <w:p xmlns:wp14="http://schemas.microsoft.com/office/word/2010/wordml" w:rsidP="22ED13E1" wp14:paraId="286BC188" wp14:textId="30D7D6A7">
      <w:pPr>
        <w:spacing w:before="0" w:beforeAutospacing="off" w:after="160" w:afterAutospacing="off"/>
        <w:rPr>
          <w:rFonts w:ascii="Aptos" w:hAnsi="Aptos" w:eastAsia="Aptos" w:cs="Aptos"/>
          <w:b w:val="1"/>
          <w:bCs w:val="1"/>
          <w:i w:val="0"/>
          <w:iCs w:val="0"/>
          <w:strike w:val="0"/>
          <w:dstrike w:val="0"/>
          <w:noProof w:val="0"/>
          <w:color w:val="000000" w:themeColor="text1" w:themeTint="FF" w:themeShade="FF"/>
          <w:sz w:val="36"/>
          <w:szCs w:val="36"/>
          <w:u w:val="none"/>
          <w:lang w:val="en-US"/>
        </w:rPr>
      </w:pPr>
      <w:r w:rsidRPr="22ED13E1" w:rsidR="2E05855D">
        <w:rPr>
          <w:rFonts w:ascii="Aptos" w:hAnsi="Aptos" w:eastAsia="Aptos" w:cs="Aptos"/>
          <w:b w:val="1"/>
          <w:bCs w:val="1"/>
          <w:i w:val="0"/>
          <w:iCs w:val="0"/>
          <w:strike w:val="0"/>
          <w:dstrike w:val="0"/>
          <w:noProof w:val="0"/>
          <w:color w:val="000000" w:themeColor="text1" w:themeTint="FF" w:themeShade="FF"/>
          <w:sz w:val="36"/>
          <w:szCs w:val="36"/>
          <w:u w:val="none"/>
          <w:lang w:val="en-US"/>
        </w:rPr>
        <w:t>Submission date</w:t>
      </w:r>
      <w:r w:rsidRPr="22ED13E1" w:rsidR="2E05855D">
        <w:rPr>
          <w:rFonts w:ascii="Aptos" w:hAnsi="Aptos" w:eastAsia="Aptos" w:cs="Aptos"/>
          <w:b w:val="0"/>
          <w:bCs w:val="0"/>
          <w:i w:val="0"/>
          <w:iCs w:val="0"/>
          <w:strike w:val="0"/>
          <w:dstrike w:val="0"/>
          <w:noProof w:val="0"/>
          <w:color w:val="000000" w:themeColor="text1" w:themeTint="FF" w:themeShade="FF"/>
          <w:sz w:val="36"/>
          <w:szCs w:val="36"/>
          <w:u w:val="none"/>
          <w:lang w:val="en-US"/>
        </w:rPr>
        <w:t xml:space="preserve">: </w:t>
      </w:r>
      <w:r w:rsidRPr="22ED13E1" w:rsidR="2E05855D">
        <w:rPr>
          <w:rFonts w:ascii="Aptos" w:hAnsi="Aptos" w:eastAsia="Aptos" w:cs="Aptos"/>
          <w:b w:val="1"/>
          <w:bCs w:val="1"/>
          <w:i w:val="0"/>
          <w:iCs w:val="0"/>
          <w:strike w:val="0"/>
          <w:dstrike w:val="0"/>
          <w:noProof w:val="0"/>
          <w:color w:val="000000" w:themeColor="text1" w:themeTint="FF" w:themeShade="FF"/>
          <w:sz w:val="36"/>
          <w:szCs w:val="36"/>
          <w:u w:val="none"/>
          <w:lang w:val="en-US"/>
        </w:rPr>
        <w:t>1</w:t>
      </w:r>
      <w:r w:rsidRPr="22ED13E1" w:rsidR="2ED832F6">
        <w:rPr>
          <w:rFonts w:ascii="Aptos" w:hAnsi="Aptos" w:eastAsia="Aptos" w:cs="Aptos"/>
          <w:b w:val="1"/>
          <w:bCs w:val="1"/>
          <w:i w:val="0"/>
          <w:iCs w:val="0"/>
          <w:strike w:val="0"/>
          <w:dstrike w:val="0"/>
          <w:noProof w:val="0"/>
          <w:color w:val="000000" w:themeColor="text1" w:themeTint="FF" w:themeShade="FF"/>
          <w:sz w:val="36"/>
          <w:szCs w:val="36"/>
          <w:u w:val="none"/>
          <w:lang w:val="en-US"/>
        </w:rPr>
        <w:t xml:space="preserve">4 </w:t>
      </w:r>
      <w:r w:rsidRPr="22ED13E1" w:rsidR="2E05855D">
        <w:rPr>
          <w:rFonts w:ascii="Aptos" w:hAnsi="Aptos" w:eastAsia="Aptos" w:cs="Aptos"/>
          <w:b w:val="1"/>
          <w:bCs w:val="1"/>
          <w:i w:val="0"/>
          <w:iCs w:val="0"/>
          <w:strike w:val="0"/>
          <w:dstrike w:val="0"/>
          <w:noProof w:val="0"/>
          <w:color w:val="000000" w:themeColor="text1" w:themeTint="FF" w:themeShade="FF"/>
          <w:sz w:val="36"/>
          <w:szCs w:val="36"/>
          <w:u w:val="none"/>
          <w:lang w:val="en-US"/>
        </w:rPr>
        <w:t>-Aug -2026</w:t>
      </w:r>
    </w:p>
    <w:p xmlns:wp14="http://schemas.microsoft.com/office/word/2010/wordml" w:rsidP="3364043F" wp14:paraId="605A34C9" wp14:textId="617F43D2">
      <w:pPr>
        <w:rPr>
          <w:sz w:val="36"/>
          <w:szCs w:val="36"/>
        </w:rPr>
      </w:pPr>
    </w:p>
    <w:p xmlns:wp14="http://schemas.microsoft.com/office/word/2010/wordml" w:rsidP="3364043F" wp14:paraId="368F2C1F" wp14:textId="79791C1C">
      <w:pPr>
        <w:pStyle w:val="Normal"/>
        <w:rPr>
          <w:rFonts w:ascii="Aptos" w:hAnsi="Aptos" w:eastAsia="Aptos" w:cs="Aptos"/>
          <w:b w:val="1"/>
          <w:bCs w:val="1"/>
          <w:i w:val="0"/>
          <w:iCs w:val="0"/>
          <w:strike w:val="0"/>
          <w:dstrike w:val="0"/>
          <w:noProof w:val="0"/>
          <w:color w:val="000000" w:themeColor="text1" w:themeTint="FF" w:themeShade="FF"/>
          <w:sz w:val="36"/>
          <w:szCs w:val="36"/>
          <w:u w:val="none"/>
          <w:lang w:val="en-US"/>
        </w:rPr>
      </w:pPr>
    </w:p>
    <w:p xmlns:wp14="http://schemas.microsoft.com/office/word/2010/wordml" wp14:paraId="0B98C24A" wp14:textId="46550479">
      <w:r>
        <w:br w:type="page"/>
      </w:r>
    </w:p>
    <w:p xmlns:wp14="http://schemas.microsoft.com/office/word/2010/wordml" w:rsidP="3364043F" wp14:paraId="3B1A314B" wp14:textId="758879D0">
      <w:pPr>
        <w:pStyle w:val="Normal"/>
        <w:jc w:val="both"/>
      </w:pPr>
      <w:r w:rsidR="4641A9C0">
        <w:drawing>
          <wp:inline xmlns:wp14="http://schemas.microsoft.com/office/word/2010/wordprocessingDrawing" wp14:editId="05C549F7" wp14:anchorId="7674BAFA">
            <wp:extent cx="6102350" cy="7916953"/>
            <wp:effectExtent l="0" t="0" r="0" b="0"/>
            <wp:docPr id="541903456"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541903456" name="Picture 541903456"/>
                    <pic:cNvPicPr/>
                  </pic:nvPicPr>
                  <pic:blipFill>
                    <a:blip xmlns:r="http://schemas.openxmlformats.org/officeDocument/2006/relationships" r:embed="rId2124240244">
                      <a:extLst>
                        <a:ext uri="{28A0092B-C50C-407E-A947-70E740481C1C}">
                          <a14:useLocalDpi xmlns:a14="http://schemas.microsoft.com/office/drawing/2010/main"/>
                        </a:ext>
                      </a:extLst>
                    </a:blip>
                    <a:stretch>
                      <a:fillRect/>
                    </a:stretch>
                  </pic:blipFill>
                  <pic:spPr>
                    <a:xfrm rot="0">
                      <a:off x="0" y="0"/>
                      <a:ext cx="6102350" cy="7916953"/>
                    </a:xfrm>
                    <a:prstGeom prst="rect">
                      <a:avLst/>
                    </a:prstGeom>
                  </pic:spPr>
                </pic:pic>
              </a:graphicData>
            </a:graphic>
          </wp:inline>
        </w:drawing>
      </w:r>
    </w:p>
    <w:p xmlns:wp14="http://schemas.microsoft.com/office/word/2010/wordml" wp14:paraId="6E5253D4" wp14:textId="0134ADAD">
      <w:r>
        <w:br w:type="page"/>
      </w:r>
    </w:p>
    <w:p xmlns:wp14="http://schemas.microsoft.com/office/word/2010/wordml" w:rsidP="3364043F" wp14:paraId="054F7A1F" wp14:textId="12EF9C7C">
      <w:pPr>
        <w:pStyle w:val="Heading1"/>
        <w:spacing w:before="320" w:beforeAutospacing="off" w:after="160" w:afterAutospacing="off"/>
      </w:pPr>
      <w:r w:rsidRPr="3364043F" w:rsidR="221AF0E9">
        <w:rPr>
          <w:rFonts w:ascii="Times New Roman" w:hAnsi="Times New Roman" w:eastAsia="Times New Roman" w:cs="Times New Roman"/>
          <w:b w:val="0"/>
          <w:bCs w:val="0"/>
          <w:i w:val="0"/>
          <w:iCs w:val="0"/>
          <w:strike w:val="0"/>
          <w:dstrike w:val="0"/>
          <w:noProof w:val="0"/>
          <w:color w:val="2E74B5"/>
          <w:sz w:val="32"/>
          <w:szCs w:val="32"/>
          <w:u w:val="none"/>
          <w:lang w:val="en-US"/>
        </w:rPr>
        <w:t>Brand Extension Context: Samsung in the Mobile Phone Market</w:t>
      </w:r>
    </w:p>
    <w:p xmlns:wp14="http://schemas.microsoft.com/office/word/2010/wordml" w:rsidP="3364043F" wp14:paraId="07366602" wp14:textId="30778DA3">
      <w:pPr>
        <w:spacing w:before="0" w:beforeAutospacing="off" w:after="200" w:afterAutospacing="off"/>
        <w:jc w:val="both"/>
      </w:pPr>
      <w:r w:rsidRPr="3364043F" w:rsidR="221AF0E9">
        <w:rPr>
          <w:rFonts w:ascii="Calibri" w:hAnsi="Calibri" w:eastAsia="Calibri" w:cs="Calibri"/>
          <w:b w:val="0"/>
          <w:bCs w:val="0"/>
          <w:i w:val="0"/>
          <w:iCs w:val="0"/>
          <w:strike w:val="0"/>
          <w:dstrike w:val="0"/>
          <w:noProof w:val="0"/>
          <w:color w:val="000000" w:themeColor="text1" w:themeTint="FF" w:themeShade="FF"/>
          <w:sz w:val="22"/>
          <w:szCs w:val="22"/>
          <w:u w:val="none"/>
          <w:lang w:val="en-US"/>
        </w:rPr>
        <w:t>Samsung Electronics, an internationally diversified South Korean conglomerate with an established reputation across semiconductors, appliances and consumer electronics, extended its brand into mobile telephony by leveraging the parent brand's existing associations with reliability, innovation and manufacturing scale into a new but related product category (Aaker and Keller, 1990). Since the launch of the Galaxy S series in 2010, Samsung has repeatedly used category and line extensions to grow the Galaxy franchise: from standard smartphones into the Galaxy Note (stylus-enabled devices), Galaxy Tab (tablets), Galaxy Watch and Buds (wearables), and, more recently, the Galaxy Z Fold and Flip (foldable form factors). Each of these extensions has depended on a perceived “fit” between the parent brand and the extension category, and on the successful transfer of positive associations — principally innovation, quality and design leadership — from the core Samsung brand to the new product line (Keller and Aaker, 1992; Völckner and Sattler, 2006).</w:t>
      </w:r>
    </w:p>
    <w:p xmlns:wp14="http://schemas.microsoft.com/office/word/2010/wordml" w:rsidP="3364043F" wp14:paraId="792878FF" wp14:textId="1517916D">
      <w:pPr>
        <w:spacing w:before="0" w:beforeAutospacing="off" w:after="200" w:afterAutospacing="off"/>
        <w:jc w:val="both"/>
      </w:pPr>
      <w:r w:rsidRPr="3364043F" w:rsidR="221AF0E9">
        <w:rPr>
          <w:rFonts w:ascii="Calibri" w:hAnsi="Calibri" w:eastAsia="Calibri" w:cs="Calibri"/>
          <w:b w:val="0"/>
          <w:bCs w:val="0"/>
          <w:i w:val="0"/>
          <w:iCs w:val="0"/>
          <w:strike w:val="0"/>
          <w:dstrike w:val="0"/>
          <w:noProof w:val="0"/>
          <w:color w:val="000000" w:themeColor="text1" w:themeTint="FF" w:themeShade="FF"/>
          <w:sz w:val="22"/>
          <w:szCs w:val="22"/>
          <w:u w:val="none"/>
          <w:lang w:val="en-US"/>
        </w:rPr>
        <w:t>This report proposes a further brand extension within Samsung's mobile portfolio: Galaxy EcoLine, a dedicated sustainable sub-brand that consolidates and formalises the environmental commitments Samsung has already begun to make through its existing Galaxy for the Planet platform, including the use of recycled plastics, ocean-bound fishing nets, and recycled cobalt, steel and rare-earth elements in recent Galaxy S24 and S25 devices, alongside a shift to paper-based, plastic-free packaging (Samsung Newsroom, 2021; Samsung Mobile Press, 2024). Rather than a single flagship gesture, Galaxy EcoLine is conceived as an ongoing product line extension that markets sustainability as a core, verifiable value proposition — modular and repairable design, majority-recycled-material construction, an extended device-longevity and software-update promise, and a transparent, per-device carbon and material disclosure — targeted specifically at the growing segment of environmentally conscious smartphone buyers. The sections below set out the STDP strategy, the marketing mix, and a reflection on the process of developing this strategy.</w:t>
      </w:r>
    </w:p>
    <w:p xmlns:wp14="http://schemas.microsoft.com/office/word/2010/wordml" w:rsidP="3364043F" wp14:paraId="5EA9134E" wp14:textId="4BBF3E2D">
      <w:pPr>
        <w:pStyle w:val="Heading1"/>
        <w:spacing w:before="320" w:beforeAutospacing="off" w:after="160" w:afterAutospacing="off"/>
      </w:pPr>
      <w:r w:rsidRPr="3364043F" w:rsidR="221AF0E9">
        <w:rPr>
          <w:rFonts w:ascii="Times New Roman" w:hAnsi="Times New Roman" w:eastAsia="Times New Roman" w:cs="Times New Roman"/>
          <w:b w:val="0"/>
          <w:bCs w:val="0"/>
          <w:i w:val="0"/>
          <w:iCs w:val="0"/>
          <w:strike w:val="0"/>
          <w:dstrike w:val="0"/>
          <w:noProof w:val="0"/>
          <w:color w:val="2E74B5"/>
          <w:sz w:val="32"/>
          <w:szCs w:val="32"/>
          <w:u w:val="none"/>
          <w:lang w:val="en-US"/>
        </w:rPr>
        <w:t>Element 2: Segmentation, Targeting, Differentiation and Positioning (STDP) Analysis</w:t>
      </w:r>
    </w:p>
    <w:p xmlns:wp14="http://schemas.microsoft.com/office/word/2010/wordml" w:rsidP="3364043F" wp14:paraId="2269B648" wp14:textId="37A0AA86">
      <w:pPr>
        <w:pStyle w:val="Heading2"/>
        <w:spacing w:before="240" w:beforeAutospacing="off" w:after="120" w:afterAutospacing="off"/>
      </w:pPr>
      <w:r w:rsidRPr="3364043F" w:rsidR="221AF0E9">
        <w:rPr>
          <w:rFonts w:ascii="Times New Roman" w:hAnsi="Times New Roman" w:eastAsia="Times New Roman" w:cs="Times New Roman"/>
          <w:b w:val="0"/>
          <w:bCs w:val="0"/>
          <w:i w:val="0"/>
          <w:iCs w:val="0"/>
          <w:strike w:val="0"/>
          <w:dstrike w:val="0"/>
          <w:noProof w:val="0"/>
          <w:color w:val="2E74B5"/>
          <w:sz w:val="26"/>
          <w:szCs w:val="26"/>
          <w:u w:val="none"/>
          <w:lang w:val="en-US"/>
        </w:rPr>
        <w:t>Segmentation</w:t>
      </w:r>
    </w:p>
    <w:p xmlns:wp14="http://schemas.microsoft.com/office/word/2010/wordml" w:rsidP="3364043F" wp14:paraId="6DF801E6" wp14:textId="322586C3">
      <w:pPr>
        <w:spacing w:before="0" w:beforeAutospacing="off" w:after="200" w:afterAutospacing="off"/>
        <w:jc w:val="both"/>
      </w:pPr>
      <w:r w:rsidRPr="3364043F" w:rsidR="221AF0E9">
        <w:rPr>
          <w:rFonts w:ascii="Calibri" w:hAnsi="Calibri" w:eastAsia="Calibri" w:cs="Calibri"/>
          <w:b w:val="0"/>
          <w:bCs w:val="0"/>
          <w:i w:val="0"/>
          <w:iCs w:val="0"/>
          <w:strike w:val="0"/>
          <w:dstrike w:val="0"/>
          <w:noProof w:val="0"/>
          <w:color w:val="000000" w:themeColor="text1" w:themeTint="FF" w:themeShade="FF"/>
          <w:sz w:val="22"/>
          <w:szCs w:val="22"/>
          <w:u w:val="none"/>
          <w:lang w:val="en-US"/>
        </w:rPr>
        <w:t>Effective segmentation divides a heterogeneous market into smaller, more homogeneous groups that respond similarly to a given marketing strategy (Smith, 1956; Kotler and Armstrong, 2021). For Galaxy EcoLine, four bases of segmentation are applied.</w:t>
      </w:r>
    </w:p>
    <w:p xmlns:wp14="http://schemas.microsoft.com/office/word/2010/wordml" w:rsidP="3364043F" wp14:paraId="5928F177" wp14:textId="17C43611">
      <w:pPr>
        <w:pStyle w:val="ListParagraph"/>
        <w:numPr>
          <w:ilvl w:val="0"/>
          <w:numId w:val="1"/>
        </w:numPr>
        <w:spacing w:before="0" w:beforeAutospacing="off" w:after="100" w:afterAutospacing="off"/>
        <w:rPr>
          <w:rFonts w:ascii="Calibri" w:hAnsi="Calibri" w:eastAsia="Calibri" w:cs="Calibri"/>
          <w:b w:val="0"/>
          <w:bCs w:val="0"/>
          <w:i w:val="0"/>
          <w:iCs w:val="0"/>
          <w:strike w:val="0"/>
          <w:dstrike w:val="0"/>
          <w:noProof w:val="0"/>
          <w:color w:val="000000" w:themeColor="text1" w:themeTint="FF" w:themeShade="FF"/>
          <w:sz w:val="22"/>
          <w:szCs w:val="22"/>
          <w:u w:val="none"/>
          <w:lang w:val="en-US"/>
        </w:rPr>
      </w:pPr>
      <w:r w:rsidRPr="3364043F" w:rsidR="221AF0E9">
        <w:rPr>
          <w:rFonts w:ascii="Calibri" w:hAnsi="Calibri" w:eastAsia="Calibri" w:cs="Calibri"/>
          <w:b w:val="0"/>
          <w:bCs w:val="0"/>
          <w:i w:val="0"/>
          <w:iCs w:val="0"/>
          <w:strike w:val="0"/>
          <w:dstrike w:val="0"/>
          <w:noProof w:val="0"/>
          <w:color w:val="000000" w:themeColor="text1" w:themeTint="FF" w:themeShade="FF"/>
          <w:sz w:val="22"/>
          <w:szCs w:val="22"/>
          <w:u w:val="none"/>
          <w:lang w:val="en-US"/>
        </w:rPr>
        <w:t>Geographic: priority given to mature, high-smartphone-penetration markets with strong environmental regulation and consumer awareness — Western Europe (the UK, Germany, the Nordics), South Korea, and urban North America — where right-to-repair and eco-design legislation, together with established recycling infrastructure, already reward demonstrable sustainability credentials.</w:t>
      </w:r>
    </w:p>
    <w:p xmlns:wp14="http://schemas.microsoft.com/office/word/2010/wordml" w:rsidP="3364043F" wp14:paraId="463F93F7" wp14:textId="7561DAEE">
      <w:pPr>
        <w:pStyle w:val="ListParagraph"/>
        <w:numPr>
          <w:ilvl w:val="0"/>
          <w:numId w:val="1"/>
        </w:numPr>
        <w:spacing w:before="0" w:beforeAutospacing="off" w:after="100" w:afterAutospacing="off"/>
        <w:rPr>
          <w:rFonts w:ascii="Calibri" w:hAnsi="Calibri" w:eastAsia="Calibri" w:cs="Calibri"/>
          <w:b w:val="0"/>
          <w:bCs w:val="0"/>
          <w:i w:val="0"/>
          <w:iCs w:val="0"/>
          <w:strike w:val="0"/>
          <w:dstrike w:val="0"/>
          <w:noProof w:val="0"/>
          <w:color w:val="000000" w:themeColor="text1" w:themeTint="FF" w:themeShade="FF"/>
          <w:sz w:val="22"/>
          <w:szCs w:val="22"/>
          <w:u w:val="none"/>
          <w:lang w:val="en-US"/>
        </w:rPr>
      </w:pPr>
      <w:r w:rsidRPr="3364043F" w:rsidR="221AF0E9">
        <w:rPr>
          <w:rFonts w:ascii="Calibri" w:hAnsi="Calibri" w:eastAsia="Calibri" w:cs="Calibri"/>
          <w:b w:val="0"/>
          <w:bCs w:val="0"/>
          <w:i w:val="0"/>
          <w:iCs w:val="0"/>
          <w:strike w:val="0"/>
          <w:dstrike w:val="0"/>
          <w:noProof w:val="0"/>
          <w:color w:val="000000" w:themeColor="text1" w:themeTint="FF" w:themeShade="FF"/>
          <w:sz w:val="22"/>
          <w:szCs w:val="22"/>
          <w:u w:val="none"/>
          <w:lang w:val="en-US"/>
        </w:rPr>
        <w:t>Demographic: adults aged approximately 25–45, with above-median disposable income, higher education, and employment in professional or knowledge-economy occupations — a group with both the purchasing power to absorb a modest price premium and the inclination to evaluate total cost of ownership rather than headline price alone (Kotler and Armstrong, 2021).</w:t>
      </w:r>
    </w:p>
    <w:p xmlns:wp14="http://schemas.microsoft.com/office/word/2010/wordml" w:rsidP="3364043F" wp14:paraId="61B1835C" wp14:textId="6266F058">
      <w:pPr>
        <w:pStyle w:val="ListParagraph"/>
        <w:numPr>
          <w:ilvl w:val="0"/>
          <w:numId w:val="1"/>
        </w:numPr>
        <w:spacing w:before="0" w:beforeAutospacing="off" w:after="100" w:afterAutospacing="off"/>
        <w:rPr>
          <w:rFonts w:ascii="Calibri" w:hAnsi="Calibri" w:eastAsia="Calibri" w:cs="Calibri"/>
          <w:b w:val="0"/>
          <w:bCs w:val="0"/>
          <w:i w:val="0"/>
          <w:iCs w:val="0"/>
          <w:strike w:val="0"/>
          <w:dstrike w:val="0"/>
          <w:noProof w:val="0"/>
          <w:color w:val="000000" w:themeColor="text1" w:themeTint="FF" w:themeShade="FF"/>
          <w:sz w:val="22"/>
          <w:szCs w:val="22"/>
          <w:u w:val="none"/>
          <w:lang w:val="en-US"/>
        </w:rPr>
      </w:pPr>
      <w:r w:rsidRPr="3364043F" w:rsidR="221AF0E9">
        <w:rPr>
          <w:rFonts w:ascii="Calibri" w:hAnsi="Calibri" w:eastAsia="Calibri" w:cs="Calibri"/>
          <w:b w:val="0"/>
          <w:bCs w:val="0"/>
          <w:i w:val="0"/>
          <w:iCs w:val="0"/>
          <w:strike w:val="0"/>
          <w:dstrike w:val="0"/>
          <w:noProof w:val="0"/>
          <w:color w:val="000000" w:themeColor="text1" w:themeTint="FF" w:themeShade="FF"/>
          <w:sz w:val="22"/>
          <w:szCs w:val="22"/>
          <w:u w:val="none"/>
          <w:lang w:val="en-US"/>
        </w:rPr>
        <w:t>Psychographic: consumers who see themselves as informed, values-driven purchasers — sometimes labelled “LOHAS” (lifestyles of health and sustainability) segments in the green-marketing literature — who are willing to research a brand's supply chain, reward authenticity, and are simultaneously alert to greenwashing (Peattie, 2001; Rahman et al., 2023).</w:t>
      </w:r>
    </w:p>
    <w:p xmlns:wp14="http://schemas.microsoft.com/office/word/2010/wordml" w:rsidP="3364043F" wp14:paraId="2604DB7C" wp14:textId="74A5212E">
      <w:pPr>
        <w:pStyle w:val="ListParagraph"/>
        <w:numPr>
          <w:ilvl w:val="0"/>
          <w:numId w:val="1"/>
        </w:numPr>
        <w:spacing w:before="0" w:beforeAutospacing="off" w:after="100" w:afterAutospacing="off"/>
        <w:rPr>
          <w:rFonts w:ascii="Calibri" w:hAnsi="Calibri" w:eastAsia="Calibri" w:cs="Calibri"/>
          <w:b w:val="0"/>
          <w:bCs w:val="0"/>
          <w:i w:val="0"/>
          <w:iCs w:val="0"/>
          <w:strike w:val="0"/>
          <w:dstrike w:val="0"/>
          <w:noProof w:val="0"/>
          <w:color w:val="000000" w:themeColor="text1" w:themeTint="FF" w:themeShade="FF"/>
          <w:sz w:val="22"/>
          <w:szCs w:val="22"/>
          <w:u w:val="none"/>
          <w:lang w:val="en-US"/>
        </w:rPr>
      </w:pPr>
      <w:r w:rsidRPr="3364043F" w:rsidR="221AF0E9">
        <w:rPr>
          <w:rFonts w:ascii="Calibri" w:hAnsi="Calibri" w:eastAsia="Calibri" w:cs="Calibri"/>
          <w:b w:val="0"/>
          <w:bCs w:val="0"/>
          <w:i w:val="0"/>
          <w:iCs w:val="0"/>
          <w:strike w:val="0"/>
          <w:dstrike w:val="0"/>
          <w:noProof w:val="0"/>
          <w:color w:val="000000" w:themeColor="text1" w:themeTint="FF" w:themeShade="FF"/>
          <w:sz w:val="22"/>
          <w:szCs w:val="22"/>
          <w:u w:val="none"/>
          <w:lang w:val="en-US"/>
        </w:rPr>
        <w:t>Behavioural: existing Samsung and Galaxy owners approaching a replacement-cycle window (loyalty and usage-rate segmentation), design-conscious early adopters attentive to modularity and foldable innovation, and benefit-sought segmentation around durability, repairability and resale value rather than specification alone.</w:t>
      </w:r>
    </w:p>
    <w:p xmlns:wp14="http://schemas.microsoft.com/office/word/2010/wordml" w:rsidP="3364043F" wp14:paraId="06BAB355" wp14:textId="3115EC3C">
      <w:pPr>
        <w:pStyle w:val="Heading2"/>
        <w:spacing w:before="240" w:beforeAutospacing="off" w:after="120" w:afterAutospacing="off"/>
      </w:pPr>
      <w:r w:rsidRPr="3364043F" w:rsidR="221AF0E9">
        <w:rPr>
          <w:rFonts w:ascii="Times New Roman" w:hAnsi="Times New Roman" w:eastAsia="Times New Roman" w:cs="Times New Roman"/>
          <w:b w:val="0"/>
          <w:bCs w:val="0"/>
          <w:i w:val="0"/>
          <w:iCs w:val="0"/>
          <w:strike w:val="0"/>
          <w:dstrike w:val="0"/>
          <w:noProof w:val="0"/>
          <w:color w:val="2E74B5"/>
          <w:sz w:val="26"/>
          <w:szCs w:val="26"/>
          <w:u w:val="none"/>
          <w:lang w:val="en-US"/>
        </w:rPr>
        <w:t>Target Audience</w:t>
      </w:r>
    </w:p>
    <w:p xmlns:wp14="http://schemas.microsoft.com/office/word/2010/wordml" w:rsidP="3364043F" wp14:paraId="7578663A" wp14:textId="43EC5968">
      <w:pPr>
        <w:spacing w:before="0" w:beforeAutospacing="off" w:after="200" w:afterAutospacing="off"/>
        <w:jc w:val="both"/>
      </w:pPr>
      <w:r w:rsidRPr="3364043F" w:rsidR="221AF0E9">
        <w:rPr>
          <w:rFonts w:ascii="Calibri" w:hAnsi="Calibri" w:eastAsia="Calibri" w:cs="Calibri"/>
          <w:b w:val="0"/>
          <w:bCs w:val="0"/>
          <w:i w:val="0"/>
          <w:iCs w:val="0"/>
          <w:strike w:val="0"/>
          <w:dstrike w:val="0"/>
          <w:noProof w:val="0"/>
          <w:color w:val="000000" w:themeColor="text1" w:themeTint="FF" w:themeShade="FF"/>
          <w:sz w:val="22"/>
          <w:szCs w:val="22"/>
          <w:u w:val="none"/>
          <w:lang w:val="en-US"/>
        </w:rPr>
        <w:t>Combining these bases, Galaxy EcoLine's primary target audience is the “conscious upgrader”: urban professionals aged approximately 28–40 in the UK, EU and South Korea, existing or lapsed Samsung and Android users, with above-average income and education, who research purchases carefully and already factor sustainability into other categories of spending such as clothing, food and transport. This segment is commercially attractive because survey-based industry evidence consistently shows a meaningful and growing minority of smartphone buyers in mature markets citing sustainability as an active purchase criterion; it is reachable through Samsung's existing customer relationship management systems, retail estate and digital channels; and it is differentiated enough in its decision criteria — valuing longevity, repairability and material provenance over incremental camera or chipset improvements — to justify a distinct sub-brand rather than folding sustainability messaging into general Galaxy S marketing. A secondary target is environmentally engaged Gen Z entrants to the smartphone market, who tend to be more price-sensitive but are strongly influenced by peer and social-media sustainability narratives; this group is addressed principally through a lower-cost Galaxy EcoLine A-series variant and trade-in incentives.</w:t>
      </w:r>
    </w:p>
    <w:p xmlns:wp14="http://schemas.microsoft.com/office/word/2010/wordml" w:rsidP="3364043F" wp14:paraId="3CC990DE" wp14:textId="225DA050">
      <w:pPr>
        <w:pStyle w:val="Heading2"/>
        <w:spacing w:before="240" w:beforeAutospacing="off" w:after="120" w:afterAutospacing="off"/>
      </w:pPr>
      <w:r w:rsidRPr="3364043F" w:rsidR="221AF0E9">
        <w:rPr>
          <w:rFonts w:ascii="Times New Roman" w:hAnsi="Times New Roman" w:eastAsia="Times New Roman" w:cs="Times New Roman"/>
          <w:b w:val="0"/>
          <w:bCs w:val="0"/>
          <w:i w:val="0"/>
          <w:iCs w:val="0"/>
          <w:strike w:val="0"/>
          <w:dstrike w:val="0"/>
          <w:noProof w:val="0"/>
          <w:color w:val="2E74B5"/>
          <w:sz w:val="26"/>
          <w:szCs w:val="26"/>
          <w:u w:val="none"/>
          <w:lang w:val="en-US"/>
        </w:rPr>
        <w:t>Differentiation</w:t>
      </w:r>
    </w:p>
    <w:p xmlns:wp14="http://schemas.microsoft.com/office/word/2010/wordml" w:rsidP="3364043F" wp14:paraId="66ADD8E2" wp14:textId="7C458ED5">
      <w:pPr>
        <w:spacing w:before="0" w:beforeAutospacing="off" w:after="200" w:afterAutospacing="off"/>
        <w:jc w:val="both"/>
      </w:pPr>
      <w:r w:rsidRPr="3364043F" w:rsidR="221AF0E9">
        <w:rPr>
          <w:rFonts w:ascii="Calibri" w:hAnsi="Calibri" w:eastAsia="Calibri" w:cs="Calibri"/>
          <w:b w:val="0"/>
          <w:bCs w:val="0"/>
          <w:i w:val="0"/>
          <w:iCs w:val="0"/>
          <w:strike w:val="0"/>
          <w:dstrike w:val="0"/>
          <w:noProof w:val="0"/>
          <w:color w:val="000000" w:themeColor="text1" w:themeTint="FF" w:themeShade="FF"/>
          <w:sz w:val="22"/>
          <w:szCs w:val="22"/>
          <w:u w:val="none"/>
          <w:lang w:val="en-US"/>
        </w:rPr>
        <w:t>Samsung's principal competitors in this space include Apple, which has pursued its own recycled-materials and carbon-neutral narrative; Google Pixel; and specialist ethical entrants such as Fairphone, whose modular, repairable design has built strong credibility with a small but vocal sustainability-focused segment. Aaker and Keller's (1990) brand-extension model holds that success depends on the perceived fit between the parent brand and the extension, and on the transfer of credible associations that do not dilute the core brand. Galaxy EcoLine's differentiation strategy therefore rests on combining two assets that few competitors hold simultaneously: first, Samsung's vertically integrated manufacturing scale, which allows genuine, auditable use of recycled and reclaimed materials — batteries, cobalt, rare-earth elements and ocean-bound plastics — at a volume that a niche manufacturer such as Fairphone cannot match (Samsung Mobile Press, 2024); and second, Samsung's existing premium design and technology reputation, which neither Apple's narrower sustainability messaging nor Fairphone's comparatively modest specifications can combine with performance leadership. Galaxy EcoLine is differentiated on three concrete attributes: material transparency, through a per-device digital “material passport” disclosing recycled content; design longevity, through an extended multi-year software-update commitment and modular, user-replaceable batteries and screens; and closed-loop trade-in, through a guaranteed buy-back and refurbishment scheme. This shifts Samsung's differentiation from image-based green claims towards attribute-based, verifiable differentiation, which the sustainability-marketing literature identifies as more resistant to consumer scepticism about greenwashing and more defensible against imitation (Pujari, Wright and Peattie, 2003; Rahman et al., 2023).</w:t>
      </w:r>
    </w:p>
    <w:p xmlns:wp14="http://schemas.microsoft.com/office/word/2010/wordml" w:rsidP="3364043F" wp14:paraId="6D87B094" wp14:textId="709A0267">
      <w:pPr>
        <w:pStyle w:val="Heading2"/>
        <w:spacing w:before="240" w:beforeAutospacing="off" w:after="120" w:afterAutospacing="off"/>
      </w:pPr>
      <w:r w:rsidRPr="3364043F" w:rsidR="221AF0E9">
        <w:rPr>
          <w:rFonts w:ascii="Times New Roman" w:hAnsi="Times New Roman" w:eastAsia="Times New Roman" w:cs="Times New Roman"/>
          <w:b w:val="0"/>
          <w:bCs w:val="0"/>
          <w:i w:val="0"/>
          <w:iCs w:val="0"/>
          <w:strike w:val="0"/>
          <w:dstrike w:val="0"/>
          <w:noProof w:val="0"/>
          <w:color w:val="2E74B5"/>
          <w:sz w:val="26"/>
          <w:szCs w:val="26"/>
          <w:u w:val="none"/>
          <w:lang w:val="en-US"/>
        </w:rPr>
        <w:t>Positioning</w:t>
      </w:r>
    </w:p>
    <w:p xmlns:wp14="http://schemas.microsoft.com/office/word/2010/wordml" w:rsidP="3364043F" wp14:paraId="488B86DF" wp14:textId="65915E7C">
      <w:pPr>
        <w:spacing w:before="0" w:beforeAutospacing="off" w:after="200" w:afterAutospacing="off"/>
        <w:jc w:val="both"/>
      </w:pPr>
      <w:r w:rsidRPr="3364043F" w:rsidR="221AF0E9">
        <w:rPr>
          <w:rFonts w:ascii="Calibri" w:hAnsi="Calibri" w:eastAsia="Calibri" w:cs="Calibri"/>
          <w:b w:val="0"/>
          <w:bCs w:val="0"/>
          <w:i w:val="0"/>
          <w:iCs w:val="0"/>
          <w:strike w:val="0"/>
          <w:dstrike w:val="0"/>
          <w:noProof w:val="0"/>
          <w:color w:val="000000" w:themeColor="text1" w:themeTint="FF" w:themeShade="FF"/>
          <w:sz w:val="22"/>
          <w:szCs w:val="22"/>
          <w:u w:val="none"/>
          <w:lang w:val="en-US"/>
        </w:rPr>
        <w:t>Positioning is the deliberate design of a brand's image so that it occupies a distinct, valued place in the target consumer's mind relative to competing offers (Ries and Trout, 1981; Kotler and Armstrong, 2021). Galaxy EcoLine is positioned as the responsibly engineered smartphone that does not require a trade-off between performance and principle. On a simple perceptual map defined by sustainability credibility on one axis and performance and design credibility on the other, Galaxy EcoLine is positioned above Fairphone on performance and design, and above standard Galaxy S and iPhone models on verified sustainability — avoiding direct low-price competition while using Samsung's existing brand equity in innovation to make the sustainability claim credible rather than a compromise. The proposed positioning statement is: “For environmentally conscious professionals who refuse to trade performance for principle, Galaxy EcoLine is the Samsung smartphone built from reclaimed materials and engineered to last, because sustainability should be measurable, not marketed.” This statement anchors every subsequent marketing-mix decision discussed below.</w:t>
      </w:r>
    </w:p>
    <w:p xmlns:wp14="http://schemas.microsoft.com/office/word/2010/wordml" w:rsidP="3364043F" wp14:paraId="72081205" wp14:textId="4FFC4A16">
      <w:pPr>
        <w:pStyle w:val="Heading1"/>
        <w:spacing w:before="320" w:beforeAutospacing="off" w:after="160" w:afterAutospacing="off"/>
      </w:pPr>
      <w:r w:rsidRPr="3364043F" w:rsidR="221AF0E9">
        <w:rPr>
          <w:rFonts w:ascii="Times New Roman" w:hAnsi="Times New Roman" w:eastAsia="Times New Roman" w:cs="Times New Roman"/>
          <w:b w:val="0"/>
          <w:bCs w:val="0"/>
          <w:i w:val="0"/>
          <w:iCs w:val="0"/>
          <w:strike w:val="0"/>
          <w:dstrike w:val="0"/>
          <w:noProof w:val="0"/>
          <w:color w:val="2E74B5"/>
          <w:sz w:val="32"/>
          <w:szCs w:val="32"/>
          <w:u w:val="none"/>
          <w:lang w:val="en-US"/>
        </w:rPr>
        <w:t>Element 3: Marketing Mix (7Ps)</w:t>
      </w:r>
    </w:p>
    <w:p xmlns:wp14="http://schemas.microsoft.com/office/word/2010/wordml" w:rsidP="3364043F" wp14:paraId="400E50BA" wp14:textId="0FE34712">
      <w:pPr>
        <w:spacing w:before="0" w:beforeAutospacing="off" w:after="200" w:afterAutospacing="off"/>
        <w:jc w:val="both"/>
      </w:pPr>
      <w:r w:rsidRPr="3364043F" w:rsidR="221AF0E9">
        <w:rPr>
          <w:rFonts w:ascii="Calibri" w:hAnsi="Calibri" w:eastAsia="Calibri" w:cs="Calibri"/>
          <w:b w:val="0"/>
          <w:bCs w:val="0"/>
          <w:i w:val="0"/>
          <w:iCs w:val="0"/>
          <w:strike w:val="0"/>
          <w:dstrike w:val="0"/>
          <w:noProof w:val="0"/>
          <w:color w:val="000000" w:themeColor="text1" w:themeTint="FF" w:themeShade="FF"/>
          <w:sz w:val="22"/>
          <w:szCs w:val="22"/>
          <w:u w:val="none"/>
          <w:lang w:val="en-US"/>
        </w:rPr>
        <w:t>The extended marketing mix of product, price, place, promotion, people, process and physical evidence (Booms and Bitner, 1981) provides a framework for translating the STDP strategy into an operational plan. Because Galaxy EcoLine sells an experience and a set of verifiable commitments alongside a physical device, the three service-oriented Ps are treated as being as important as the traditional four (Pomering, Noble and Johnson, 2011).</w:t>
      </w:r>
    </w:p>
    <w:p xmlns:wp14="http://schemas.microsoft.com/office/word/2010/wordml" w:rsidP="3364043F" wp14:paraId="340AC5EB" wp14:textId="5A884CC4">
      <w:pPr>
        <w:pStyle w:val="Heading2"/>
        <w:spacing w:before="240" w:beforeAutospacing="off" w:after="120" w:afterAutospacing="off"/>
      </w:pPr>
      <w:r w:rsidRPr="3364043F" w:rsidR="221AF0E9">
        <w:rPr>
          <w:rFonts w:ascii="Times New Roman" w:hAnsi="Times New Roman" w:eastAsia="Times New Roman" w:cs="Times New Roman"/>
          <w:b w:val="0"/>
          <w:bCs w:val="0"/>
          <w:i w:val="0"/>
          <w:iCs w:val="0"/>
          <w:strike w:val="0"/>
          <w:dstrike w:val="0"/>
          <w:noProof w:val="0"/>
          <w:color w:val="2E74B5"/>
          <w:sz w:val="26"/>
          <w:szCs w:val="26"/>
          <w:u w:val="none"/>
          <w:lang w:val="en-US"/>
        </w:rPr>
        <w:t>Product</w:t>
      </w:r>
    </w:p>
    <w:p xmlns:wp14="http://schemas.microsoft.com/office/word/2010/wordml" w:rsidP="3364043F" wp14:paraId="3C58CFB2" wp14:textId="617BC206">
      <w:pPr>
        <w:spacing w:before="0" w:beforeAutospacing="off" w:after="200" w:afterAutospacing="off"/>
        <w:jc w:val="both"/>
      </w:pPr>
      <w:r w:rsidRPr="3364043F" w:rsidR="221AF0E9">
        <w:rPr>
          <w:rFonts w:ascii="Calibri" w:hAnsi="Calibri" w:eastAsia="Calibri" w:cs="Calibri"/>
          <w:b w:val="0"/>
          <w:bCs w:val="0"/>
          <w:i w:val="0"/>
          <w:iCs w:val="0"/>
          <w:strike w:val="0"/>
          <w:dstrike w:val="0"/>
          <w:noProof w:val="0"/>
          <w:color w:val="000000" w:themeColor="text1" w:themeTint="FF" w:themeShade="FF"/>
          <w:sz w:val="22"/>
          <w:szCs w:val="22"/>
          <w:u w:val="none"/>
          <w:lang w:val="en-US"/>
        </w:rPr>
        <w:t>The core product decision is to embed sustainability into the device itself rather than treating it as an add-on communications theme (Pujari, Wright and Peattie, 2003; Pomering, Noble and Johnson, 2011). Galaxy EcoLine devices use a high proportion of recycled and reclaimed materials in structural and functional components — recycled cobalt and rare-earth elements in batteries, recycled steel in speaker assemblies, and plastics reclaimed from ocean-bound, discarded fishing nets — building directly on material innovations Samsung has already validated in the Galaxy S24 series (Samsung Mobile Press, 2024). The design is modular, allowing the battery and screen to be replaced by the user or an authorised technician rather than requiring full device replacement, and Samsung commits to an extended multi-year cycle of security and software updates so that device usefulness, not just hardware durability, is extended. Every unit carries a scannable material passport disclosing the recycled content and expected environmental footprint of that specific device, and packaging uses 100 per cent recycled paper with no single-use plastics, consistent with Samsung's existing packaging commitments (Samsung, 2024).</w:t>
      </w:r>
    </w:p>
    <w:p xmlns:wp14="http://schemas.microsoft.com/office/word/2010/wordml" w:rsidP="3364043F" wp14:paraId="5CE7474A" wp14:textId="055F0162">
      <w:pPr>
        <w:pStyle w:val="Heading2"/>
        <w:spacing w:before="240" w:beforeAutospacing="off" w:after="120" w:afterAutospacing="off"/>
      </w:pPr>
      <w:r w:rsidRPr="3364043F" w:rsidR="221AF0E9">
        <w:rPr>
          <w:rFonts w:ascii="Times New Roman" w:hAnsi="Times New Roman" w:eastAsia="Times New Roman" w:cs="Times New Roman"/>
          <w:b w:val="0"/>
          <w:bCs w:val="0"/>
          <w:i w:val="0"/>
          <w:iCs w:val="0"/>
          <w:strike w:val="0"/>
          <w:dstrike w:val="0"/>
          <w:noProof w:val="0"/>
          <w:color w:val="2E74B5"/>
          <w:sz w:val="26"/>
          <w:szCs w:val="26"/>
          <w:u w:val="none"/>
          <w:lang w:val="en-US"/>
        </w:rPr>
        <w:t>Price</w:t>
      </w:r>
    </w:p>
    <w:p xmlns:wp14="http://schemas.microsoft.com/office/word/2010/wordml" w:rsidP="3364043F" wp14:paraId="213F650A" wp14:textId="43AE721E">
      <w:pPr>
        <w:spacing w:before="0" w:beforeAutospacing="off" w:after="200" w:afterAutospacing="off"/>
        <w:jc w:val="both"/>
      </w:pPr>
      <w:r w:rsidRPr="3364043F" w:rsidR="221AF0E9">
        <w:rPr>
          <w:rFonts w:ascii="Calibri" w:hAnsi="Calibri" w:eastAsia="Calibri" w:cs="Calibri"/>
          <w:b w:val="0"/>
          <w:bCs w:val="0"/>
          <w:i w:val="0"/>
          <w:iCs w:val="0"/>
          <w:strike w:val="0"/>
          <w:dstrike w:val="0"/>
          <w:noProof w:val="0"/>
          <w:color w:val="000000" w:themeColor="text1" w:themeTint="FF" w:themeShade="FF"/>
          <w:sz w:val="22"/>
          <w:szCs w:val="22"/>
          <w:u w:val="none"/>
          <w:lang w:val="en-US"/>
        </w:rPr>
        <w:t>Galaxy EcoLine adopts a premium but proportionate pricing strategy, positioned approximately five to eight per cent above the equivalent standard Galaxy S model. This premium is justified to consumers through total-cost-of-ownership messaging — a longer usable lifespan, higher guaranteed trade-in value, and lower repair costs — rather than through price alone, reflecting evidence that sustainability premiums must be transparently justified or they risk excluding all but the most committed buyers (Pomering, Noble and Johnson, 2011). To widen access beyond the primary target segment, pricing is tiered: a flagship Galaxy EcoLine model, a lower-cost Galaxy EcoLine A-series variant for price-sensitive and younger buyers, and an optional device-as-a-service subscription that lowers the upfront cost while supporting the take-back scheme that underpins the product's circularity.</w:t>
      </w:r>
    </w:p>
    <w:p xmlns:wp14="http://schemas.microsoft.com/office/word/2010/wordml" w:rsidP="3364043F" wp14:paraId="61C3623E" wp14:textId="26841C5C">
      <w:pPr>
        <w:pStyle w:val="Heading2"/>
        <w:spacing w:before="240" w:beforeAutospacing="off" w:after="120" w:afterAutospacing="off"/>
      </w:pPr>
      <w:r w:rsidRPr="3364043F" w:rsidR="221AF0E9">
        <w:rPr>
          <w:rFonts w:ascii="Times New Roman" w:hAnsi="Times New Roman" w:eastAsia="Times New Roman" w:cs="Times New Roman"/>
          <w:b w:val="0"/>
          <w:bCs w:val="0"/>
          <w:i w:val="0"/>
          <w:iCs w:val="0"/>
          <w:strike w:val="0"/>
          <w:dstrike w:val="0"/>
          <w:noProof w:val="0"/>
          <w:color w:val="2E74B5"/>
          <w:sz w:val="26"/>
          <w:szCs w:val="26"/>
          <w:u w:val="none"/>
          <w:lang w:val="en-US"/>
        </w:rPr>
        <w:t>Place</w:t>
      </w:r>
    </w:p>
    <w:p xmlns:wp14="http://schemas.microsoft.com/office/word/2010/wordml" w:rsidP="3364043F" wp14:paraId="145B09FC" wp14:textId="031EB9BE">
      <w:pPr>
        <w:spacing w:before="0" w:beforeAutospacing="off" w:after="200" w:afterAutospacing="off"/>
        <w:jc w:val="both"/>
      </w:pPr>
      <w:r w:rsidRPr="3364043F" w:rsidR="221AF0E9">
        <w:rPr>
          <w:rFonts w:ascii="Calibri" w:hAnsi="Calibri" w:eastAsia="Calibri" w:cs="Calibri"/>
          <w:b w:val="0"/>
          <w:bCs w:val="0"/>
          <w:i w:val="0"/>
          <w:iCs w:val="0"/>
          <w:strike w:val="0"/>
          <w:dstrike w:val="0"/>
          <w:noProof w:val="0"/>
          <w:color w:val="000000" w:themeColor="text1" w:themeTint="FF" w:themeShade="FF"/>
          <w:sz w:val="22"/>
          <w:szCs w:val="22"/>
          <w:u w:val="none"/>
          <w:lang w:val="en-US"/>
        </w:rPr>
        <w:t>Distribution is concentrated in Samsung's own flagship and branded retail environments, and its direct-to-consumer online store, as the primary channels through which the sustainability narrative and material passport can be communicated in full and controlled detail. Selective distribution continues through network-carrier partners who commit to supporting the trade-in and take-back infrastructure, ensuring the reverse-logistics loop — collection, refurbishment and material recovery — that underpins the circular-economy positioning is not lost at the point of sale (Pomering, Noble and Johnson, 2011). Presence in independent “green retail” concept spaces and certified refurbishment partners extends reach into the values-driven segment without diluting the premium retail experience.</w:t>
      </w:r>
    </w:p>
    <w:p xmlns:wp14="http://schemas.microsoft.com/office/word/2010/wordml" w:rsidP="3364043F" wp14:paraId="6CDAF011" wp14:textId="7674D74B">
      <w:pPr>
        <w:pStyle w:val="Heading2"/>
        <w:spacing w:before="240" w:beforeAutospacing="off" w:after="120" w:afterAutospacing="off"/>
      </w:pPr>
      <w:r w:rsidRPr="3364043F" w:rsidR="221AF0E9">
        <w:rPr>
          <w:rFonts w:ascii="Times New Roman" w:hAnsi="Times New Roman" w:eastAsia="Times New Roman" w:cs="Times New Roman"/>
          <w:b w:val="0"/>
          <w:bCs w:val="0"/>
          <w:i w:val="0"/>
          <w:iCs w:val="0"/>
          <w:strike w:val="0"/>
          <w:dstrike w:val="0"/>
          <w:noProof w:val="0"/>
          <w:color w:val="2E74B5"/>
          <w:sz w:val="26"/>
          <w:szCs w:val="26"/>
          <w:u w:val="none"/>
          <w:lang w:val="en-US"/>
        </w:rPr>
        <w:t>Promotion</w:t>
      </w:r>
    </w:p>
    <w:p xmlns:wp14="http://schemas.microsoft.com/office/word/2010/wordml" w:rsidP="3364043F" wp14:paraId="5224ED8D" wp14:textId="33331679">
      <w:pPr>
        <w:spacing w:before="0" w:beforeAutospacing="off" w:after="200" w:afterAutospacing="off"/>
        <w:jc w:val="both"/>
      </w:pPr>
      <w:r w:rsidRPr="3364043F" w:rsidR="221AF0E9">
        <w:rPr>
          <w:rFonts w:ascii="Calibri" w:hAnsi="Calibri" w:eastAsia="Calibri" w:cs="Calibri"/>
          <w:b w:val="0"/>
          <w:bCs w:val="0"/>
          <w:i w:val="0"/>
          <w:iCs w:val="0"/>
          <w:strike w:val="0"/>
          <w:dstrike w:val="0"/>
          <w:noProof w:val="0"/>
          <w:color w:val="000000" w:themeColor="text1" w:themeTint="FF" w:themeShade="FF"/>
          <w:sz w:val="22"/>
          <w:szCs w:val="22"/>
          <w:u w:val="none"/>
          <w:lang w:val="en-US"/>
        </w:rPr>
        <w:t>Promotion is built around verifiable storytelling rather than broad environmental claims, reflecting evidence that credibility, not volume of messaging, is what protects green brands from being perceived as greenwashing (Peattie, 2001; Rahman et al., 2023). Content foregrounds the material passport and traceable supply chain, building on Samsung's existing collaboration with the United Nations Development Programme on sustainability communication (Samsung Mobile Press, 2024). Partnerships prioritise credible sustainability voices and independent auditors over pure technology reviewers, and all environmental claims are supported by third-party verification before publication, consistent with best practice identified in the green-marketing literature (Rahman et al., 2023).</w:t>
      </w:r>
    </w:p>
    <w:p xmlns:wp14="http://schemas.microsoft.com/office/word/2010/wordml" w:rsidP="3364043F" wp14:paraId="655DD91B" wp14:textId="40EC0E2B">
      <w:pPr>
        <w:pStyle w:val="Heading2"/>
        <w:spacing w:before="240" w:beforeAutospacing="off" w:after="120" w:afterAutospacing="off"/>
      </w:pPr>
      <w:r w:rsidRPr="3364043F" w:rsidR="221AF0E9">
        <w:rPr>
          <w:rFonts w:ascii="Times New Roman" w:hAnsi="Times New Roman" w:eastAsia="Times New Roman" w:cs="Times New Roman"/>
          <w:b w:val="0"/>
          <w:bCs w:val="0"/>
          <w:i w:val="0"/>
          <w:iCs w:val="0"/>
          <w:strike w:val="0"/>
          <w:dstrike w:val="0"/>
          <w:noProof w:val="0"/>
          <w:color w:val="2E74B5"/>
          <w:sz w:val="26"/>
          <w:szCs w:val="26"/>
          <w:u w:val="none"/>
          <w:lang w:val="en-US"/>
        </w:rPr>
        <w:t>People</w:t>
      </w:r>
    </w:p>
    <w:p xmlns:wp14="http://schemas.microsoft.com/office/word/2010/wordml" w:rsidP="3364043F" wp14:paraId="1DCBA631" wp14:textId="10B120AA">
      <w:pPr>
        <w:spacing w:before="0" w:beforeAutospacing="off" w:after="200" w:afterAutospacing="off"/>
        <w:jc w:val="both"/>
      </w:pPr>
      <w:r w:rsidRPr="3364043F" w:rsidR="221AF0E9">
        <w:rPr>
          <w:rFonts w:ascii="Calibri" w:hAnsi="Calibri" w:eastAsia="Calibri" w:cs="Calibri"/>
          <w:b w:val="0"/>
          <w:bCs w:val="0"/>
          <w:i w:val="0"/>
          <w:iCs w:val="0"/>
          <w:strike w:val="0"/>
          <w:dstrike w:val="0"/>
          <w:noProof w:val="0"/>
          <w:color w:val="000000" w:themeColor="text1" w:themeTint="FF" w:themeShade="FF"/>
          <w:sz w:val="22"/>
          <w:szCs w:val="22"/>
          <w:u w:val="none"/>
          <w:lang w:val="en-US"/>
        </w:rPr>
        <w:t>Retail and customer-service staff receive dedicated training on the sustainability narrative, the material passport, and the repair and trade-in process, so that they can answer credibility questions directly rather than deferring to marketing material. A dedicated “Samsung Care+ Eco” technician track is trained in a repair-first service culture, reflecting the central role that people play in delivering the intangible, trust-dependent elements of a sustainability-led marketing mix (Booms and Bitner, 1981).</w:t>
      </w:r>
    </w:p>
    <w:p xmlns:wp14="http://schemas.microsoft.com/office/word/2010/wordml" w:rsidP="3364043F" wp14:paraId="17678D6A" wp14:textId="4FC41C3F">
      <w:pPr>
        <w:pStyle w:val="Heading2"/>
        <w:spacing w:before="240" w:beforeAutospacing="off" w:after="120" w:afterAutospacing="off"/>
      </w:pPr>
      <w:r w:rsidRPr="3364043F" w:rsidR="221AF0E9">
        <w:rPr>
          <w:rFonts w:ascii="Times New Roman" w:hAnsi="Times New Roman" w:eastAsia="Times New Roman" w:cs="Times New Roman"/>
          <w:b w:val="0"/>
          <w:bCs w:val="0"/>
          <w:i w:val="0"/>
          <w:iCs w:val="0"/>
          <w:strike w:val="0"/>
          <w:dstrike w:val="0"/>
          <w:noProof w:val="0"/>
          <w:color w:val="2E74B5"/>
          <w:sz w:val="26"/>
          <w:szCs w:val="26"/>
          <w:u w:val="none"/>
          <w:lang w:val="en-US"/>
        </w:rPr>
        <w:t>Process</w:t>
      </w:r>
    </w:p>
    <w:p xmlns:wp14="http://schemas.microsoft.com/office/word/2010/wordml" w:rsidP="3364043F" wp14:paraId="14248AE7" wp14:textId="2C13B671">
      <w:pPr>
        <w:spacing w:before="0" w:beforeAutospacing="off" w:after="200" w:afterAutospacing="off"/>
        <w:jc w:val="both"/>
      </w:pPr>
      <w:r w:rsidRPr="3364043F" w:rsidR="221AF0E9">
        <w:rPr>
          <w:rFonts w:ascii="Calibri" w:hAnsi="Calibri" w:eastAsia="Calibri" w:cs="Calibri"/>
          <w:b w:val="0"/>
          <w:bCs w:val="0"/>
          <w:i w:val="0"/>
          <w:iCs w:val="0"/>
          <w:strike w:val="0"/>
          <w:dstrike w:val="0"/>
          <w:noProof w:val="0"/>
          <w:color w:val="000000" w:themeColor="text1" w:themeTint="FF" w:themeShade="FF"/>
          <w:sz w:val="22"/>
          <w:szCs w:val="22"/>
          <w:u w:val="none"/>
          <w:lang w:val="en-US"/>
        </w:rPr>
        <w:t>The processes of buying, using, repairing and eventually returning a Galaxy EcoLine device are designed as visible parts of the sustainability proposition rather than back-office logistics. Trade-in and repair workflows are streamlined for both in-store and mail-in customers, with digital tracking that lets the consumer see what happens to their reclaimed materials, and warranty and return processes are integrated with the take-back scheme so that end-of-life is planned into the customer journey from the point of purchase (Booms and Bitner, 1981; Pomering, Noble and Johnson, 2011).</w:t>
      </w:r>
    </w:p>
    <w:p xmlns:wp14="http://schemas.microsoft.com/office/word/2010/wordml" w:rsidP="3364043F" wp14:paraId="7DF9F9C9" wp14:textId="2272DC09">
      <w:pPr>
        <w:pStyle w:val="Heading2"/>
        <w:spacing w:before="240" w:beforeAutospacing="off" w:after="120" w:afterAutospacing="off"/>
      </w:pPr>
      <w:r w:rsidRPr="3364043F" w:rsidR="221AF0E9">
        <w:rPr>
          <w:rFonts w:ascii="Times New Roman" w:hAnsi="Times New Roman" w:eastAsia="Times New Roman" w:cs="Times New Roman"/>
          <w:b w:val="0"/>
          <w:bCs w:val="0"/>
          <w:i w:val="0"/>
          <w:iCs w:val="0"/>
          <w:strike w:val="0"/>
          <w:dstrike w:val="0"/>
          <w:noProof w:val="0"/>
          <w:color w:val="2E74B5"/>
          <w:sz w:val="26"/>
          <w:szCs w:val="26"/>
          <w:u w:val="none"/>
          <w:lang w:val="en-US"/>
        </w:rPr>
        <w:t>Physical Evidence</w:t>
      </w:r>
    </w:p>
    <w:p xmlns:wp14="http://schemas.microsoft.com/office/word/2010/wordml" w:rsidP="3364043F" wp14:paraId="4069210B" wp14:textId="564BFF60">
      <w:pPr>
        <w:spacing w:before="0" w:beforeAutospacing="off" w:after="200" w:afterAutospacing="off"/>
        <w:jc w:val="both"/>
      </w:pPr>
      <w:r w:rsidRPr="3364043F" w:rsidR="221AF0E9">
        <w:rPr>
          <w:rFonts w:ascii="Calibri" w:hAnsi="Calibri" w:eastAsia="Calibri" w:cs="Calibri"/>
          <w:b w:val="0"/>
          <w:bCs w:val="0"/>
          <w:i w:val="0"/>
          <w:iCs w:val="0"/>
          <w:strike w:val="0"/>
          <w:dstrike w:val="0"/>
          <w:noProof w:val="0"/>
          <w:color w:val="000000" w:themeColor="text1" w:themeTint="FF" w:themeShade="FF"/>
          <w:sz w:val="22"/>
          <w:szCs w:val="22"/>
          <w:u w:val="none"/>
          <w:lang w:val="en-US"/>
        </w:rPr>
        <w:t>Because sustainability claims are inherently intangible, physical evidence is used to make them credible. This includes minimalist, recycled packaging; a laser-etched, on-device indicator of recycled-material content; in-store displays and QR-linked material passports at the point of sale; and visible, independently issued sustainability certifications. Together, these tangible cues provide the proof points that substantiate the brand's environmental claims and build the trust on which the premium pricing strategy depends (Booms and Bitner, 1981; Pujari, Wright and Peattie, 2003).</w:t>
      </w:r>
    </w:p>
    <w:p xmlns:wp14="http://schemas.microsoft.com/office/word/2010/wordml" w:rsidP="3364043F" wp14:paraId="08C51133" wp14:textId="7510AA76">
      <w:pPr>
        <w:spacing w:before="0" w:beforeAutospacing="off" w:after="200" w:afterAutospacing="off"/>
        <w:jc w:val="both"/>
      </w:pPr>
      <w:r w:rsidRPr="3364043F" w:rsidR="221AF0E9">
        <w:rPr>
          <w:rFonts w:ascii="Calibri" w:hAnsi="Calibri" w:eastAsia="Calibri" w:cs="Calibri"/>
          <w:b w:val="0"/>
          <w:bCs w:val="0"/>
          <w:i w:val="0"/>
          <w:iCs w:val="0"/>
          <w:strike w:val="0"/>
          <w:dstrike w:val="0"/>
          <w:noProof w:val="0"/>
          <w:color w:val="000000" w:themeColor="text1" w:themeTint="FF" w:themeShade="FF"/>
          <w:sz w:val="22"/>
          <w:szCs w:val="22"/>
          <w:u w:val="none"/>
          <w:lang w:val="en-US"/>
        </w:rPr>
        <w:t>Taken together, the seven elements of the marketing mix operationalise the STDP strategy set out in Element 2: the product and pricing decisions make the target segment's stated priorities (longevity, provenance, repairability) tangible and affordable; place and process decisions protect the closed-loop, trust-dependent nature of the offer; and promotion, people and physical evidence collectively defend the positioning statement against scepticism about greenwashing, ensuring that Galaxy EcoLine is judged on verifiable attributes rather than communications alone.</w:t>
      </w:r>
    </w:p>
    <w:p xmlns:wp14="http://schemas.microsoft.com/office/word/2010/wordml" w:rsidP="3364043F" wp14:paraId="60B1EB41" wp14:textId="5BD0BCE5">
      <w:pPr>
        <w:pStyle w:val="Heading1"/>
        <w:spacing w:before="320" w:beforeAutospacing="off" w:after="160" w:afterAutospacing="off"/>
      </w:pPr>
      <w:r w:rsidRPr="3364043F" w:rsidR="221AF0E9">
        <w:rPr>
          <w:rFonts w:ascii="Times New Roman" w:hAnsi="Times New Roman" w:eastAsia="Times New Roman" w:cs="Times New Roman"/>
          <w:b w:val="0"/>
          <w:bCs w:val="0"/>
          <w:i w:val="0"/>
          <w:iCs w:val="0"/>
          <w:strike w:val="0"/>
          <w:dstrike w:val="0"/>
          <w:noProof w:val="0"/>
          <w:color w:val="2E74B5"/>
          <w:sz w:val="32"/>
          <w:szCs w:val="32"/>
          <w:u w:val="none"/>
          <w:lang w:val="en-US"/>
        </w:rPr>
        <w:t>Element 4: Reflection</w:t>
      </w:r>
    </w:p>
    <w:p xmlns:wp14="http://schemas.microsoft.com/office/word/2010/wordml" w:rsidP="3364043F" wp14:paraId="29EC51CC" wp14:textId="5AE808E4">
      <w:pPr>
        <w:spacing w:before="0" w:beforeAutospacing="off" w:after="200" w:afterAutospacing="off"/>
        <w:jc w:val="both"/>
      </w:pPr>
      <w:r w:rsidRPr="3364043F" w:rsidR="221AF0E9">
        <w:rPr>
          <w:rFonts w:ascii="Calibri" w:hAnsi="Calibri" w:eastAsia="Calibri" w:cs="Calibri"/>
          <w:b w:val="0"/>
          <w:bCs w:val="0"/>
          <w:i w:val="0"/>
          <w:iCs w:val="0"/>
          <w:strike w:val="0"/>
          <w:dstrike w:val="0"/>
          <w:noProof w:val="0"/>
          <w:color w:val="000000" w:themeColor="text1" w:themeTint="FF" w:themeShade="FF"/>
          <w:sz w:val="22"/>
          <w:szCs w:val="22"/>
          <w:u w:val="none"/>
          <w:lang w:val="en-US"/>
        </w:rPr>
        <w:t>Developing a sustainable brand extension strategy for Samsung's mobile division was a genuinely useful test of how marketing theory translates into a coherent, defensible commercial proposal. The most valuable early lesson was the importance of grounding a brand extension in genuine “fit”, in the sense described by Aaker and Keller (1990): it would have been easy to attach a sustainability message to any Samsung product, but the strategy only became credible once it was anchored in capabilities Samsung already possesses, such as its existing recycled-material supply chain and its Galaxy for the Planet commitments. Working through the STDP framework in detail, rather than treating it as a formality before the marketing mix, also clarified how much of the later 7Ps analysis depends on decisions made at the segmentation and positioning stage; when the target segment and positioning statement were revised partway through the process, several elements of the marketing mix, particularly pricing and promotion, had to be reconsidered to remain consistent.</w:t>
      </w:r>
    </w:p>
    <w:p xmlns:wp14="http://schemas.microsoft.com/office/word/2010/wordml" w:rsidP="3364043F" wp14:paraId="7289DC0D" wp14:textId="290C3D29">
      <w:pPr>
        <w:spacing w:before="0" w:beforeAutospacing="off" w:after="200" w:afterAutospacing="off"/>
        <w:jc w:val="both"/>
      </w:pPr>
      <w:r w:rsidRPr="3364043F" w:rsidR="221AF0E9">
        <w:rPr>
          <w:rFonts w:ascii="Calibri" w:hAnsi="Calibri" w:eastAsia="Calibri" w:cs="Calibri"/>
          <w:b w:val="0"/>
          <w:bCs w:val="0"/>
          <w:i w:val="0"/>
          <w:iCs w:val="0"/>
          <w:strike w:val="0"/>
          <w:dstrike w:val="0"/>
          <w:noProof w:val="0"/>
          <w:color w:val="000000" w:themeColor="text1" w:themeTint="FF" w:themeShade="FF"/>
          <w:sz w:val="22"/>
          <w:szCs w:val="22"/>
          <w:u w:val="none"/>
          <w:lang w:val="en-US"/>
        </w:rPr>
        <w:t>Preparing and delivering the accompanying poster presentation reinforced a different set of skills. Condensing an evidence-based strategy into a single visual format required much sharper prioritisation than the written report, and forced a clearer articulation of the strategy's central argument — that verifiable, attribute-based sustainability is more defensible than image-based green marketing — rather than an exhaustive list of every marketing-mix decision. Presenting the work also highlighted gaps in my own understanding that were not obvious while writing, particularly around how competitors such as Fairphone might respond to a large incumbent entering their positioning space, and I found that answering questions in real time was a more demanding test of my grasp of the material than the writing process itself.</w:t>
      </w:r>
    </w:p>
    <w:p xmlns:wp14="http://schemas.microsoft.com/office/word/2010/wordml" w:rsidP="3364043F" wp14:paraId="4FDFE774" wp14:textId="0D96BB1F">
      <w:pPr>
        <w:spacing w:before="0" w:beforeAutospacing="off" w:after="200" w:afterAutospacing="off"/>
        <w:jc w:val="both"/>
      </w:pPr>
      <w:r w:rsidRPr="3364043F" w:rsidR="221AF0E9">
        <w:rPr>
          <w:rFonts w:ascii="Calibri" w:hAnsi="Calibri" w:eastAsia="Calibri" w:cs="Calibri"/>
          <w:b w:val="0"/>
          <w:bCs w:val="0"/>
          <w:i w:val="0"/>
          <w:iCs w:val="0"/>
          <w:strike w:val="0"/>
          <w:dstrike w:val="0"/>
          <w:noProof w:val="0"/>
          <w:color w:val="000000" w:themeColor="text1" w:themeTint="FF" w:themeShade="FF"/>
          <w:sz w:val="22"/>
          <w:szCs w:val="22"/>
          <w:u w:val="none"/>
          <w:lang w:val="en-US"/>
        </w:rPr>
        <w:t>In terms of professional development, this project strengthened my ability to apply academic frameworks, including brand-extension theory, STP and the extended marketing mix, to a live, recognisable company rather than an abstract case, and improved my confidence in using academic sources critically rather than descriptively, for example by weighing the greenwashing risk identified in the green-marketing literature against Samsung's own sustainability claims. It also improved my research discipline, since claims about Samsung's actual sustainability practices needed to be checked against primary company sources rather than assumed. Looking ahead, I would strengthen future projects of this kind by incorporating primary consumer research, such as a short survey or interviews with the target segment, to test assumptions about willingness to pay a sustainability premium rather than relying solely on secondary literature, and by rehearsing the poster presentation earlier so that gaps in reasoning are identified before the delivery itself rather than during it. Structured reflection on this experience, following the type of cycle proposed by Gibbs (1988), has been useful in turning what could otherwise be a one-off assignment into a set of transferable lessons for future strategic marketing work.</w:t>
      </w:r>
    </w:p>
    <w:p xmlns:wp14="http://schemas.microsoft.com/office/word/2010/wordml" w:rsidP="3364043F" wp14:paraId="099FE2E6" wp14:textId="168CC583">
      <w:pPr>
        <w:pStyle w:val="Heading1"/>
        <w:spacing w:before="320" w:beforeAutospacing="off" w:after="160" w:afterAutospacing="off"/>
      </w:pPr>
      <w:r w:rsidRPr="3364043F" w:rsidR="221AF0E9">
        <w:rPr>
          <w:rFonts w:ascii="Times New Roman" w:hAnsi="Times New Roman" w:eastAsia="Times New Roman" w:cs="Times New Roman"/>
          <w:b w:val="0"/>
          <w:bCs w:val="0"/>
          <w:i w:val="0"/>
          <w:iCs w:val="0"/>
          <w:strike w:val="0"/>
          <w:dstrike w:val="0"/>
          <w:noProof w:val="0"/>
          <w:color w:val="2E74B5"/>
          <w:sz w:val="32"/>
          <w:szCs w:val="32"/>
          <w:u w:val="none"/>
          <w:lang w:val="en-US"/>
        </w:rPr>
        <w:t>References</w:t>
      </w:r>
    </w:p>
    <w:p xmlns:wp14="http://schemas.microsoft.com/office/word/2010/wordml" w:rsidP="3364043F" wp14:paraId="56145A8E" wp14:textId="6C13D08A">
      <w:pPr>
        <w:spacing w:before="0" w:beforeAutospacing="off" w:after="160" w:afterAutospacing="off"/>
        <w:ind w:left="720" w:hanging="720"/>
      </w:pPr>
      <w:r w:rsidRPr="3364043F" w:rsidR="221AF0E9">
        <w:rPr>
          <w:rFonts w:ascii="Calibri" w:hAnsi="Calibri" w:eastAsia="Calibri" w:cs="Calibri"/>
          <w:b w:val="0"/>
          <w:bCs w:val="0"/>
          <w:i w:val="0"/>
          <w:iCs w:val="0"/>
          <w:strike w:val="0"/>
          <w:dstrike w:val="0"/>
          <w:noProof w:val="0"/>
          <w:color w:val="000000" w:themeColor="text1" w:themeTint="FF" w:themeShade="FF"/>
          <w:sz w:val="22"/>
          <w:szCs w:val="22"/>
          <w:u w:val="none"/>
          <w:lang w:val="en-US"/>
        </w:rPr>
        <w:t>Aaker, D.A. and Keller, K.L. (1990) 'Consumer evaluations of brand extensions', Journal of Marketing, 54(1), pp. 27–41.</w:t>
      </w:r>
    </w:p>
    <w:p xmlns:wp14="http://schemas.microsoft.com/office/word/2010/wordml" w:rsidP="3364043F" wp14:paraId="2ED97B8B" wp14:textId="75C8693E">
      <w:pPr>
        <w:spacing w:before="0" w:beforeAutospacing="off" w:after="160" w:afterAutospacing="off"/>
        <w:ind w:left="720" w:hanging="720"/>
      </w:pPr>
      <w:r w:rsidRPr="3364043F" w:rsidR="221AF0E9">
        <w:rPr>
          <w:rFonts w:ascii="Calibri" w:hAnsi="Calibri" w:eastAsia="Calibri" w:cs="Calibri"/>
          <w:b w:val="0"/>
          <w:bCs w:val="0"/>
          <w:i w:val="0"/>
          <w:iCs w:val="0"/>
          <w:strike w:val="0"/>
          <w:dstrike w:val="0"/>
          <w:noProof w:val="0"/>
          <w:color w:val="000000" w:themeColor="text1" w:themeTint="FF" w:themeShade="FF"/>
          <w:sz w:val="22"/>
          <w:szCs w:val="22"/>
          <w:u w:val="none"/>
          <w:lang w:val="en-US"/>
        </w:rPr>
        <w:t>Booms, B.H. and Bitner, M.J. (1981) 'Marketing strategies and organization structures for service firms', in Donnelly, J. and George, W.R. (eds) Marketing of Services. Chicago: American Marketing Association, pp. 47–51.</w:t>
      </w:r>
    </w:p>
    <w:p xmlns:wp14="http://schemas.microsoft.com/office/word/2010/wordml" w:rsidP="3364043F" wp14:paraId="5FCF03BE" wp14:textId="7C2CA912">
      <w:pPr>
        <w:spacing w:before="0" w:beforeAutospacing="off" w:after="160" w:afterAutospacing="off"/>
        <w:ind w:left="720" w:hanging="720"/>
      </w:pPr>
      <w:r w:rsidRPr="3364043F" w:rsidR="221AF0E9">
        <w:rPr>
          <w:rFonts w:ascii="Calibri" w:hAnsi="Calibri" w:eastAsia="Calibri" w:cs="Calibri"/>
          <w:b w:val="0"/>
          <w:bCs w:val="0"/>
          <w:i w:val="0"/>
          <w:iCs w:val="0"/>
          <w:strike w:val="0"/>
          <w:dstrike w:val="0"/>
          <w:noProof w:val="0"/>
          <w:color w:val="000000" w:themeColor="text1" w:themeTint="FF" w:themeShade="FF"/>
          <w:sz w:val="22"/>
          <w:szCs w:val="22"/>
          <w:u w:val="none"/>
          <w:lang w:val="en-US"/>
        </w:rPr>
        <w:t>Gibbs, G. (1988) Learning by Doing: A Guide to Teaching and Learning Methods. Oxford: Further Education Unit, Oxford Polytechnic.</w:t>
      </w:r>
    </w:p>
    <w:p xmlns:wp14="http://schemas.microsoft.com/office/word/2010/wordml" w:rsidP="3364043F" wp14:paraId="04DCCAB3" wp14:textId="0FFD638E">
      <w:pPr>
        <w:spacing w:before="0" w:beforeAutospacing="off" w:after="160" w:afterAutospacing="off"/>
        <w:ind w:left="720" w:hanging="720"/>
      </w:pPr>
      <w:r w:rsidRPr="3364043F" w:rsidR="221AF0E9">
        <w:rPr>
          <w:rFonts w:ascii="Calibri" w:hAnsi="Calibri" w:eastAsia="Calibri" w:cs="Calibri"/>
          <w:b w:val="0"/>
          <w:bCs w:val="0"/>
          <w:i w:val="0"/>
          <w:iCs w:val="0"/>
          <w:strike w:val="0"/>
          <w:dstrike w:val="0"/>
          <w:noProof w:val="0"/>
          <w:color w:val="000000" w:themeColor="text1" w:themeTint="FF" w:themeShade="FF"/>
          <w:sz w:val="22"/>
          <w:szCs w:val="22"/>
          <w:u w:val="none"/>
          <w:lang w:val="en-US"/>
        </w:rPr>
        <w:t>Keller, K.L. and Aaker, D.A. (1992) 'The effects of sequential introduction of brand extensions', Journal of Marketing Research, 29(1), pp. 35–50.</w:t>
      </w:r>
    </w:p>
    <w:p xmlns:wp14="http://schemas.microsoft.com/office/word/2010/wordml" w:rsidP="3364043F" wp14:paraId="47F48F5B" wp14:textId="16F54B37">
      <w:pPr>
        <w:spacing w:before="0" w:beforeAutospacing="off" w:after="160" w:afterAutospacing="off"/>
        <w:ind w:left="720" w:hanging="720"/>
      </w:pPr>
      <w:r w:rsidRPr="3364043F" w:rsidR="221AF0E9">
        <w:rPr>
          <w:rFonts w:ascii="Calibri" w:hAnsi="Calibri" w:eastAsia="Calibri" w:cs="Calibri"/>
          <w:b w:val="0"/>
          <w:bCs w:val="0"/>
          <w:i w:val="0"/>
          <w:iCs w:val="0"/>
          <w:strike w:val="0"/>
          <w:dstrike w:val="0"/>
          <w:noProof w:val="0"/>
          <w:color w:val="000000" w:themeColor="text1" w:themeTint="FF" w:themeShade="FF"/>
          <w:sz w:val="22"/>
          <w:szCs w:val="22"/>
          <w:u w:val="none"/>
          <w:lang w:val="en-US"/>
        </w:rPr>
        <w:t>Kotler, P. and Armstrong, G. (2021) Principles of Marketing. 18th edn. Harlow: Pearson.</w:t>
      </w:r>
    </w:p>
    <w:p xmlns:wp14="http://schemas.microsoft.com/office/word/2010/wordml" w:rsidP="3364043F" wp14:paraId="585FD7C2" wp14:textId="00294C7B">
      <w:pPr>
        <w:spacing w:before="0" w:beforeAutospacing="off" w:after="160" w:afterAutospacing="off"/>
        <w:ind w:left="720" w:hanging="720"/>
      </w:pPr>
      <w:r w:rsidRPr="3364043F" w:rsidR="221AF0E9">
        <w:rPr>
          <w:rFonts w:ascii="Calibri" w:hAnsi="Calibri" w:eastAsia="Calibri" w:cs="Calibri"/>
          <w:b w:val="0"/>
          <w:bCs w:val="0"/>
          <w:i w:val="0"/>
          <w:iCs w:val="0"/>
          <w:strike w:val="0"/>
          <w:dstrike w:val="0"/>
          <w:noProof w:val="0"/>
          <w:color w:val="000000" w:themeColor="text1" w:themeTint="FF" w:themeShade="FF"/>
          <w:sz w:val="22"/>
          <w:szCs w:val="22"/>
          <w:u w:val="none"/>
          <w:lang w:val="en-US"/>
        </w:rPr>
        <w:t>Peattie, K. (2001) 'Towards sustainability: the third age of green marketing', The Marketing Review, 2(2), pp. 129–146.</w:t>
      </w:r>
    </w:p>
    <w:p xmlns:wp14="http://schemas.microsoft.com/office/word/2010/wordml" w:rsidP="3364043F" wp14:paraId="613544E0" wp14:textId="52160C6F">
      <w:pPr>
        <w:spacing w:before="0" w:beforeAutospacing="off" w:after="160" w:afterAutospacing="off"/>
        <w:ind w:left="720" w:hanging="720"/>
      </w:pPr>
      <w:r w:rsidRPr="3364043F" w:rsidR="221AF0E9">
        <w:rPr>
          <w:rFonts w:ascii="Calibri" w:hAnsi="Calibri" w:eastAsia="Calibri" w:cs="Calibri"/>
          <w:b w:val="0"/>
          <w:bCs w:val="0"/>
          <w:i w:val="0"/>
          <w:iCs w:val="0"/>
          <w:strike w:val="0"/>
          <w:dstrike w:val="0"/>
          <w:noProof w:val="0"/>
          <w:color w:val="000000" w:themeColor="text1" w:themeTint="FF" w:themeShade="FF"/>
          <w:sz w:val="22"/>
          <w:szCs w:val="22"/>
          <w:u w:val="none"/>
          <w:lang w:val="en-US"/>
        </w:rPr>
        <w:t>Pomering, A., Noble, G. and Johnson, L.W. (2011) 'Conceptualizing a contemporary marketing mix for sustainable tourism', Journal of Sustainable Tourism, 19(8), pp. 953–969.</w:t>
      </w:r>
    </w:p>
    <w:p xmlns:wp14="http://schemas.microsoft.com/office/word/2010/wordml" w:rsidP="3364043F" wp14:paraId="53DE429F" wp14:textId="3CFD1887">
      <w:pPr>
        <w:spacing w:before="0" w:beforeAutospacing="off" w:after="160" w:afterAutospacing="off"/>
        <w:ind w:left="720" w:hanging="720"/>
      </w:pPr>
      <w:r w:rsidRPr="3364043F" w:rsidR="221AF0E9">
        <w:rPr>
          <w:rFonts w:ascii="Calibri" w:hAnsi="Calibri" w:eastAsia="Calibri" w:cs="Calibri"/>
          <w:b w:val="0"/>
          <w:bCs w:val="0"/>
          <w:i w:val="0"/>
          <w:iCs w:val="0"/>
          <w:strike w:val="0"/>
          <w:dstrike w:val="0"/>
          <w:noProof w:val="0"/>
          <w:color w:val="000000" w:themeColor="text1" w:themeTint="FF" w:themeShade="FF"/>
          <w:sz w:val="22"/>
          <w:szCs w:val="22"/>
          <w:u w:val="none"/>
          <w:lang w:val="en-US"/>
        </w:rPr>
        <w:t>Pujari, D., Wright, G. and Peattie, K. (2003) 'Green and competitive: influences on environmental new product development performance', Journal of Business Research, 56(8), pp. 657–671.</w:t>
      </w:r>
    </w:p>
    <w:p xmlns:wp14="http://schemas.microsoft.com/office/word/2010/wordml" w:rsidP="3364043F" wp14:paraId="15A70AE1" wp14:textId="10114EAD">
      <w:pPr>
        <w:spacing w:before="0" w:beforeAutospacing="off" w:after="160" w:afterAutospacing="off"/>
        <w:ind w:left="720" w:hanging="720"/>
      </w:pPr>
      <w:r w:rsidRPr="3364043F" w:rsidR="221AF0E9">
        <w:rPr>
          <w:rFonts w:ascii="Calibri" w:hAnsi="Calibri" w:eastAsia="Calibri" w:cs="Calibri"/>
          <w:b w:val="0"/>
          <w:bCs w:val="0"/>
          <w:i w:val="0"/>
          <w:iCs w:val="0"/>
          <w:strike w:val="0"/>
          <w:dstrike w:val="0"/>
          <w:noProof w:val="0"/>
          <w:color w:val="000000" w:themeColor="text1" w:themeTint="FF" w:themeShade="FF"/>
          <w:sz w:val="22"/>
          <w:szCs w:val="22"/>
          <w:u w:val="none"/>
          <w:lang w:val="en-US"/>
        </w:rPr>
        <w:t>Rahman, S. et al. (2023) 'Towards sustainable development: coupling green marketing strategies and consumer perceptions in addressing greenwashing', Business Strategy and the Environment, 32(6), pp. 3105–3118.</w:t>
      </w:r>
    </w:p>
    <w:p xmlns:wp14="http://schemas.microsoft.com/office/word/2010/wordml" w:rsidP="3364043F" wp14:paraId="07253D75" wp14:textId="64E5F47B">
      <w:pPr>
        <w:spacing w:before="0" w:beforeAutospacing="off" w:after="160" w:afterAutospacing="off"/>
        <w:ind w:left="720" w:hanging="720"/>
      </w:pPr>
      <w:r w:rsidRPr="3364043F" w:rsidR="221AF0E9">
        <w:rPr>
          <w:rFonts w:ascii="Calibri" w:hAnsi="Calibri" w:eastAsia="Calibri" w:cs="Calibri"/>
          <w:b w:val="0"/>
          <w:bCs w:val="0"/>
          <w:i w:val="0"/>
          <w:iCs w:val="0"/>
          <w:strike w:val="0"/>
          <w:dstrike w:val="0"/>
          <w:noProof w:val="0"/>
          <w:color w:val="000000" w:themeColor="text1" w:themeTint="FF" w:themeShade="FF"/>
          <w:sz w:val="22"/>
          <w:szCs w:val="22"/>
          <w:u w:val="none"/>
          <w:lang w:val="en-US"/>
        </w:rPr>
        <w:t>Ries, A. and Trout, J. (1981) Positioning: The Battle for Your Mind. New York: McGraw-Hill.</w:t>
      </w:r>
    </w:p>
    <w:p xmlns:wp14="http://schemas.microsoft.com/office/word/2010/wordml" w:rsidP="3364043F" wp14:paraId="51CCBE7F" wp14:textId="26A794E7">
      <w:pPr>
        <w:spacing w:before="0" w:beforeAutospacing="off" w:after="160" w:afterAutospacing="off"/>
        <w:ind w:left="720" w:hanging="720"/>
      </w:pPr>
      <w:r w:rsidRPr="3364043F" w:rsidR="221AF0E9">
        <w:rPr>
          <w:rFonts w:ascii="Calibri" w:hAnsi="Calibri" w:eastAsia="Calibri" w:cs="Calibri"/>
          <w:b w:val="0"/>
          <w:bCs w:val="0"/>
          <w:i w:val="0"/>
          <w:iCs w:val="0"/>
          <w:strike w:val="0"/>
          <w:dstrike w:val="0"/>
          <w:noProof w:val="0"/>
          <w:color w:val="000000" w:themeColor="text1" w:themeTint="FF" w:themeShade="FF"/>
          <w:sz w:val="22"/>
          <w:szCs w:val="22"/>
          <w:u w:val="none"/>
          <w:lang w:val="en-US"/>
        </w:rPr>
        <w:t xml:space="preserve">Samsung (2024) Sustainable Materials. Available at: </w:t>
      </w:r>
      <w:hyperlink r:id="R32ad3c1af14e4a6b">
        <w:r w:rsidRPr="3364043F" w:rsidR="221AF0E9">
          <w:rPr>
            <w:rStyle w:val="Hyperlink"/>
            <w:b w:val="0"/>
            <w:bCs w:val="0"/>
            <w:i w:val="0"/>
            <w:iCs w:val="0"/>
            <w:strike w:val="0"/>
            <w:dstrike w:val="0"/>
            <w:noProof w:val="0"/>
            <w:lang w:val="en-US"/>
          </w:rPr>
          <w:t>https://www.samsung.com/us/explore/sustainability/sustainable-materials/</w:t>
        </w:r>
      </w:hyperlink>
      <w:r w:rsidRPr="3364043F" w:rsidR="221AF0E9">
        <w:rPr>
          <w:rFonts w:ascii="Calibri" w:hAnsi="Calibri" w:eastAsia="Calibri" w:cs="Calibri"/>
          <w:b w:val="0"/>
          <w:bCs w:val="0"/>
          <w:i w:val="0"/>
          <w:iCs w:val="0"/>
          <w:strike w:val="0"/>
          <w:dstrike w:val="0"/>
          <w:noProof w:val="0"/>
          <w:color w:val="000000" w:themeColor="text1" w:themeTint="FF" w:themeShade="FF"/>
          <w:sz w:val="22"/>
          <w:szCs w:val="22"/>
          <w:u w:val="none"/>
          <w:lang w:val="en-US"/>
        </w:rPr>
        <w:t xml:space="preserve"> (Accessed: 13 August 2026).</w:t>
      </w:r>
    </w:p>
    <w:p xmlns:wp14="http://schemas.microsoft.com/office/word/2010/wordml" w:rsidP="3364043F" wp14:paraId="5FC774B7" wp14:textId="7A5B7C6F">
      <w:pPr>
        <w:spacing w:before="0" w:beforeAutospacing="off" w:after="160" w:afterAutospacing="off"/>
        <w:ind w:left="720" w:hanging="720"/>
      </w:pPr>
      <w:r w:rsidRPr="3364043F" w:rsidR="221AF0E9">
        <w:rPr>
          <w:rFonts w:ascii="Calibri" w:hAnsi="Calibri" w:eastAsia="Calibri" w:cs="Calibri"/>
          <w:b w:val="0"/>
          <w:bCs w:val="0"/>
          <w:i w:val="0"/>
          <w:iCs w:val="0"/>
          <w:strike w:val="0"/>
          <w:dstrike w:val="0"/>
          <w:noProof w:val="0"/>
          <w:color w:val="000000" w:themeColor="text1" w:themeTint="FF" w:themeShade="FF"/>
          <w:sz w:val="22"/>
          <w:szCs w:val="22"/>
          <w:u w:val="none"/>
          <w:lang w:val="en-US"/>
        </w:rPr>
        <w:t xml:space="preserve">Samsung Mobile Press (2024) Innovation and Collaboration for Samsung's Sustainability Journey. Available at: </w:t>
      </w:r>
      <w:hyperlink r:id="Rc2e3ef318bc54840">
        <w:r w:rsidRPr="3364043F" w:rsidR="221AF0E9">
          <w:rPr>
            <w:rStyle w:val="Hyperlink"/>
            <w:b w:val="0"/>
            <w:bCs w:val="0"/>
            <w:i w:val="0"/>
            <w:iCs w:val="0"/>
            <w:strike w:val="0"/>
            <w:dstrike w:val="0"/>
            <w:noProof w:val="0"/>
            <w:lang w:val="en-US"/>
          </w:rPr>
          <w:t>https://samsungmobilepress.com/articles/innovation-and-collaboration-for-samsungs-sustainability-journey</w:t>
        </w:r>
      </w:hyperlink>
      <w:r w:rsidRPr="3364043F" w:rsidR="221AF0E9">
        <w:rPr>
          <w:rFonts w:ascii="Calibri" w:hAnsi="Calibri" w:eastAsia="Calibri" w:cs="Calibri"/>
          <w:b w:val="0"/>
          <w:bCs w:val="0"/>
          <w:i w:val="0"/>
          <w:iCs w:val="0"/>
          <w:strike w:val="0"/>
          <w:dstrike w:val="0"/>
          <w:noProof w:val="0"/>
          <w:color w:val="000000" w:themeColor="text1" w:themeTint="FF" w:themeShade="FF"/>
          <w:sz w:val="22"/>
          <w:szCs w:val="22"/>
          <w:u w:val="none"/>
          <w:lang w:val="en-US"/>
        </w:rPr>
        <w:t xml:space="preserve"> (Accessed: 13 August 2026).</w:t>
      </w:r>
    </w:p>
    <w:p xmlns:wp14="http://schemas.microsoft.com/office/word/2010/wordml" w:rsidP="3364043F" wp14:paraId="71D941D1" wp14:textId="65AEA75D">
      <w:pPr>
        <w:spacing w:before="0" w:beforeAutospacing="off" w:after="160" w:afterAutospacing="off"/>
        <w:ind w:left="720" w:hanging="720"/>
      </w:pPr>
      <w:r w:rsidRPr="3364043F" w:rsidR="221AF0E9">
        <w:rPr>
          <w:rFonts w:ascii="Calibri" w:hAnsi="Calibri" w:eastAsia="Calibri" w:cs="Calibri"/>
          <w:b w:val="0"/>
          <w:bCs w:val="0"/>
          <w:i w:val="0"/>
          <w:iCs w:val="0"/>
          <w:strike w:val="0"/>
          <w:dstrike w:val="0"/>
          <w:noProof w:val="0"/>
          <w:color w:val="000000" w:themeColor="text1" w:themeTint="FF" w:themeShade="FF"/>
          <w:sz w:val="22"/>
          <w:szCs w:val="22"/>
          <w:u w:val="none"/>
          <w:lang w:val="en-US"/>
        </w:rPr>
        <w:t xml:space="preserve">Samsung Newsroom (2021) Samsung Electronics Announces Sustainability Vision for Mobile: Galaxy for the Planet. Available at: </w:t>
      </w:r>
      <w:hyperlink r:id="Rf6a1c877bf3f4313">
        <w:r w:rsidRPr="3364043F" w:rsidR="221AF0E9">
          <w:rPr>
            <w:rStyle w:val="Hyperlink"/>
            <w:b w:val="0"/>
            <w:bCs w:val="0"/>
            <w:i w:val="0"/>
            <w:iCs w:val="0"/>
            <w:strike w:val="0"/>
            <w:dstrike w:val="0"/>
            <w:noProof w:val="0"/>
            <w:lang w:val="en-US"/>
          </w:rPr>
          <w:t>https://news.samsung.com/global/samsung-electronics-announces-sustainability-vision-for-mobile-galaxy-for-the-planet</w:t>
        </w:r>
      </w:hyperlink>
      <w:r w:rsidRPr="3364043F" w:rsidR="221AF0E9">
        <w:rPr>
          <w:rFonts w:ascii="Calibri" w:hAnsi="Calibri" w:eastAsia="Calibri" w:cs="Calibri"/>
          <w:b w:val="0"/>
          <w:bCs w:val="0"/>
          <w:i w:val="0"/>
          <w:iCs w:val="0"/>
          <w:strike w:val="0"/>
          <w:dstrike w:val="0"/>
          <w:noProof w:val="0"/>
          <w:color w:val="000000" w:themeColor="text1" w:themeTint="FF" w:themeShade="FF"/>
          <w:sz w:val="22"/>
          <w:szCs w:val="22"/>
          <w:u w:val="none"/>
          <w:lang w:val="en-US"/>
        </w:rPr>
        <w:t xml:space="preserve"> (Accessed: 13 August 2026).</w:t>
      </w:r>
    </w:p>
    <w:p xmlns:wp14="http://schemas.microsoft.com/office/word/2010/wordml" w:rsidP="3364043F" wp14:paraId="48B4C409" wp14:textId="5211E21A">
      <w:pPr>
        <w:spacing w:before="0" w:beforeAutospacing="off" w:after="160" w:afterAutospacing="off"/>
        <w:ind w:left="720" w:hanging="720"/>
      </w:pPr>
      <w:r w:rsidRPr="3364043F" w:rsidR="221AF0E9">
        <w:rPr>
          <w:rFonts w:ascii="Calibri" w:hAnsi="Calibri" w:eastAsia="Calibri" w:cs="Calibri"/>
          <w:b w:val="0"/>
          <w:bCs w:val="0"/>
          <w:i w:val="0"/>
          <w:iCs w:val="0"/>
          <w:strike w:val="0"/>
          <w:dstrike w:val="0"/>
          <w:noProof w:val="0"/>
          <w:color w:val="000000" w:themeColor="text1" w:themeTint="FF" w:themeShade="FF"/>
          <w:sz w:val="22"/>
          <w:szCs w:val="22"/>
          <w:u w:val="none"/>
          <w:lang w:val="en-US"/>
        </w:rPr>
        <w:t>Smith, W.R. (1956) 'Product differentiation and market segmentation as alternative marketing strategies', Journal of Marketing, 21(1), pp. 3–8.</w:t>
      </w:r>
    </w:p>
    <w:p xmlns:wp14="http://schemas.microsoft.com/office/word/2010/wordml" w:rsidP="3364043F" wp14:paraId="7A8BCEF2" wp14:textId="51539AFB">
      <w:pPr>
        <w:spacing w:before="0" w:beforeAutospacing="off" w:after="160" w:afterAutospacing="off"/>
        <w:ind w:left="720" w:hanging="720"/>
      </w:pPr>
      <w:r w:rsidRPr="3364043F" w:rsidR="221AF0E9">
        <w:rPr>
          <w:rFonts w:ascii="Calibri" w:hAnsi="Calibri" w:eastAsia="Calibri" w:cs="Calibri"/>
          <w:b w:val="0"/>
          <w:bCs w:val="0"/>
          <w:i w:val="0"/>
          <w:iCs w:val="0"/>
          <w:strike w:val="0"/>
          <w:dstrike w:val="0"/>
          <w:noProof w:val="0"/>
          <w:color w:val="000000" w:themeColor="text1" w:themeTint="FF" w:themeShade="FF"/>
          <w:sz w:val="22"/>
          <w:szCs w:val="22"/>
          <w:u w:val="none"/>
          <w:lang w:val="en-US"/>
        </w:rPr>
        <w:t>Völckner, F. and Sattler, H. (2006) 'Drivers of brand extension success', Journal of Marketing, 70(2), pp. 18–34.</w:t>
      </w:r>
    </w:p>
    <w:p xmlns:wp14="http://schemas.microsoft.com/office/word/2010/wordml" wp14:paraId="628B96B2" wp14:textId="0F06CF62"/>
    <w:p xmlns:wp14="http://schemas.microsoft.com/office/word/2010/wordml" w:rsidP="3364043F" wp14:paraId="041E3D08" wp14:textId="4E822CE7">
      <w:pPr>
        <w:shd w:val="clear" w:color="auto" w:fill="FCFCFB"/>
        <w:spacing w:before="0" w:beforeAutospacing="off" w:after="0" w:afterAutospacing="off"/>
      </w:pPr>
    </w:p>
    <w:p xmlns:wp14="http://schemas.microsoft.com/office/word/2010/wordml" wp14:paraId="2C078E63" wp14:textId="15ED78C3"/>
    <w:sectPr>
      <w:pgSz w:w="12240" w:h="15840" w:orient="portrait"/>
      <w:pgMar w:top="1440" w:right="1440" w:bottom="1440" w:left="1440" w:header="720" w:footer="720" w:gutter="0"/>
      <w:cols w:space="720"/>
      <w:docGrid w:linePitch="360"/>
      <w:headerReference w:type="default" r:id="R6b2d09e4da0c4bb5"/>
      <w:footerReference w:type="default" r:id="R15d3511ee72c4488"/>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120"/>
      <w:gridCol w:w="3120"/>
      <w:gridCol w:w="3120"/>
    </w:tblGrid>
    <w:tr w:rsidR="3364043F" w:rsidTr="3364043F" w14:paraId="51168BF0">
      <w:trPr>
        <w:trHeight w:val="300"/>
      </w:trPr>
      <w:tc>
        <w:tcPr>
          <w:tcW w:w="3120" w:type="dxa"/>
          <w:tcMar/>
        </w:tcPr>
        <w:p w:rsidR="3364043F" w:rsidP="3364043F" w:rsidRDefault="3364043F" w14:paraId="302F255F" w14:textId="67258D7A">
          <w:pPr>
            <w:pStyle w:val="Header"/>
            <w:bidi w:val="0"/>
            <w:ind w:left="-115"/>
            <w:jc w:val="left"/>
          </w:pPr>
        </w:p>
      </w:tc>
      <w:tc>
        <w:tcPr>
          <w:tcW w:w="3120" w:type="dxa"/>
          <w:tcMar/>
        </w:tcPr>
        <w:p w:rsidR="3364043F" w:rsidP="3364043F" w:rsidRDefault="3364043F" w14:paraId="742E5045" w14:textId="38264F83">
          <w:pPr>
            <w:pStyle w:val="Header"/>
            <w:bidi w:val="0"/>
            <w:jc w:val="center"/>
          </w:pPr>
        </w:p>
      </w:tc>
      <w:tc>
        <w:tcPr>
          <w:tcW w:w="3120" w:type="dxa"/>
          <w:tcMar/>
        </w:tcPr>
        <w:p w:rsidR="3364043F" w:rsidP="3364043F" w:rsidRDefault="3364043F" w14:paraId="6CEE64E5" w14:textId="30CEB703">
          <w:pPr>
            <w:pStyle w:val="Header"/>
            <w:bidi w:val="0"/>
            <w:ind w:right="-115"/>
            <w:jc w:val="right"/>
          </w:pPr>
        </w:p>
      </w:tc>
    </w:tr>
  </w:tbl>
  <w:p w:rsidR="3364043F" w:rsidP="3364043F" w:rsidRDefault="3364043F" w14:paraId="7ED68B1E" w14:textId="0F953D0B">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120"/>
      <w:gridCol w:w="3120"/>
      <w:gridCol w:w="3120"/>
    </w:tblGrid>
    <w:tr w:rsidR="3364043F" w:rsidTr="3364043F" w14:paraId="6FEB0119">
      <w:trPr>
        <w:trHeight w:val="300"/>
      </w:trPr>
      <w:tc>
        <w:tcPr>
          <w:tcW w:w="3120" w:type="dxa"/>
          <w:tcMar/>
        </w:tcPr>
        <w:p w:rsidR="3364043F" w:rsidP="3364043F" w:rsidRDefault="3364043F" w14:paraId="4357C0CB" w14:textId="3E5E8AF4">
          <w:pPr>
            <w:pStyle w:val="Header"/>
            <w:bidi w:val="0"/>
          </w:pPr>
        </w:p>
      </w:tc>
      <w:tc>
        <w:tcPr>
          <w:tcW w:w="3120" w:type="dxa"/>
          <w:tcMar/>
        </w:tcPr>
        <w:p w:rsidR="3364043F" w:rsidRDefault="3364043F" w14:paraId="7059F5EB" w14:textId="76197450"/>
      </w:tc>
      <w:tc>
        <w:tcPr>
          <w:tcW w:w="3120" w:type="dxa"/>
          <w:tcMar/>
        </w:tcPr>
        <w:p w:rsidR="3364043F" w:rsidRDefault="3364043F" w14:paraId="1A837C2D" w14:textId="223CD181"/>
      </w:tc>
    </w:tr>
  </w:tbl>
</w:hdr>
</file>

<file path=word/numbering.xml><?xml version="1.0" encoding="utf-8"?>
<w:numbering xmlns:w="http://schemas.openxmlformats.org/wordprocessingml/2006/main">
  <w:abstractNum xmlns:w="http://schemas.openxmlformats.org/wordprocessingml/2006/main" w:abstractNumId="1">
    <w:nsid w:val="32dc8e7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1822818D"/>
    <w:rsid w:val="00BB9C6A"/>
    <w:rsid w:val="0376B81B"/>
    <w:rsid w:val="117EE0F6"/>
    <w:rsid w:val="178EF8E5"/>
    <w:rsid w:val="17FFBB64"/>
    <w:rsid w:val="1822818D"/>
    <w:rsid w:val="187909AF"/>
    <w:rsid w:val="221AF0E9"/>
    <w:rsid w:val="22ED13E1"/>
    <w:rsid w:val="28A28E56"/>
    <w:rsid w:val="2D0827BA"/>
    <w:rsid w:val="2D697A4D"/>
    <w:rsid w:val="2E05855D"/>
    <w:rsid w:val="2ED832F6"/>
    <w:rsid w:val="3364043F"/>
    <w:rsid w:val="3C1954E8"/>
    <w:rsid w:val="3D43AE15"/>
    <w:rsid w:val="402A041F"/>
    <w:rsid w:val="42933C3E"/>
    <w:rsid w:val="45A7D432"/>
    <w:rsid w:val="4641A9C0"/>
    <w:rsid w:val="49E11920"/>
    <w:rsid w:val="53957097"/>
    <w:rsid w:val="5BF63AE9"/>
    <w:rsid w:val="5D5186D0"/>
    <w:rsid w:val="63D1C95D"/>
    <w:rsid w:val="6948A353"/>
    <w:rsid w:val="6BE0F5C5"/>
    <w:rsid w:val="6C40E594"/>
    <w:rsid w:val="6F576633"/>
    <w:rsid w:val="6FE2DC62"/>
    <w:rsid w:val="74DECA07"/>
    <w:rsid w:val="7B55930D"/>
    <w:rsid w:val="7C93F82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F7D6708"/>
  <w15:chartTrackingRefBased/>
  <w15:docId w15:val="{1674DAC4-EB2C-40CD-9617-0FA3642EB262}"/>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ing2">
    <w:uiPriority w:val="9"/>
    <w:name w:val="heading 2"/>
    <w:basedOn w:val="Normal"/>
    <w:next w:val="Normal"/>
    <w:unhideWhenUsed/>
    <w:qFormat/>
    <w:rsid w:val="3364043F"/>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w:type="paragraph" w:styleId="Heading1">
    <w:uiPriority w:val="9"/>
    <w:name w:val="heading 1"/>
    <w:basedOn w:val="Normal"/>
    <w:next w:val="Normal"/>
    <w:qFormat/>
    <w:rsid w:val="3364043F"/>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paragraph" w:styleId="ListParagraph">
    <w:uiPriority w:val="34"/>
    <w:name w:val="List Paragraph"/>
    <w:basedOn w:val="Normal"/>
    <w:qFormat/>
    <w:rsid w:val="3364043F"/>
    <w:pPr>
      <w:spacing/>
      <w:ind w:left="720"/>
      <w:contextualSpacing/>
    </w:pPr>
  </w:style>
  <w:style w:type="character" w:styleId="Hyperlink">
    <w:uiPriority w:val="99"/>
    <w:name w:val="Hyperlink"/>
    <w:basedOn w:val="DefaultParagraphFont"/>
    <w:unhideWhenUsed/>
    <w:rsid w:val="3364043F"/>
    <w:rPr>
      <w:color w:val="467886"/>
      <w:u w:val="single"/>
    </w:rPr>
  </w:style>
  <w:style w:type="paragraph" w:styleId="Header">
    <w:uiPriority w:val="99"/>
    <w:name w:val="header"/>
    <w:basedOn w:val="Normal"/>
    <w:unhideWhenUsed/>
    <w:rsid w:val="3364043F"/>
    <w:pPr>
      <w:tabs>
        <w:tab w:val="center" w:leader="none" w:pos="4680"/>
        <w:tab w:val="right" w:leader="none" w:pos="9360"/>
      </w:tabs>
      <w:spacing w:after="0" w:line="240" w:lineRule="auto"/>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image" Target="/media/image.png" Id="rId318481411" /><Relationship Type="http://schemas.openxmlformats.org/officeDocument/2006/relationships/image" Target="/media/image2.png" Id="rId2124240244" /><Relationship Type="http://schemas.openxmlformats.org/officeDocument/2006/relationships/hyperlink" Target="https://www.samsung.com/us/explore/sustainability/sustainable-materials/" TargetMode="External" Id="R32ad3c1af14e4a6b" /><Relationship Type="http://schemas.openxmlformats.org/officeDocument/2006/relationships/hyperlink" Target="https://samsungmobilepress.com/articles/innovation-and-collaboration-for-samsungs-sustainability-journey" TargetMode="External" Id="Rc2e3ef318bc54840" /><Relationship Type="http://schemas.openxmlformats.org/officeDocument/2006/relationships/hyperlink" Target="https://news.samsung.com/global/samsung-electronics-announces-sustainability-vision-for-mobile-galaxy-for-the-planet" TargetMode="External" Id="Rf6a1c877bf3f4313" /><Relationship Type="http://schemas.openxmlformats.org/officeDocument/2006/relationships/header" Target="header.xml" Id="R6b2d09e4da0c4bb5" /><Relationship Type="http://schemas.openxmlformats.org/officeDocument/2006/relationships/footer" Target="footer.xml" Id="R15d3511ee72c4488" /><Relationship Type="http://schemas.openxmlformats.org/officeDocument/2006/relationships/numbering" Target="numbering.xml" Id="R531a0235b78e4fd8"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2026-08-13T11:41:38.1051551Z</dcterms:created>
  <dcterms:modified xsi:type="dcterms:W3CDTF">2026-08-13T12:14:47.2777126Z</dcterms:modified>
  <dc:creator>Nehal Chekhalia (2545212)</dc:creator>
  <lastModifiedBy>Nehal Chekhalia (2545212)</lastModifiedBy>
</coreProperties>
</file>