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25CDC" w14:textId="77777777" w:rsidR="008E3643" w:rsidRPr="0064533C" w:rsidRDefault="008E3643" w:rsidP="008E3643">
      <w:pPr>
        <w:jc w:val="center"/>
        <w:rPr>
          <w:rFonts w:ascii="Arial" w:hAnsi="Arial"/>
          <w:b/>
          <w:bCs/>
        </w:rPr>
      </w:pPr>
      <w:r w:rsidRPr="0064533C">
        <w:rPr>
          <w:rFonts w:ascii="Arial" w:eastAsia="Aptos" w:hAnsi="Arial"/>
          <w:noProof/>
          <w:sz w:val="22"/>
        </w:rPr>
        <w:drawing>
          <wp:inline distT="0" distB="0" distL="0" distR="0" wp14:anchorId="07045825" wp14:editId="4CB63BA3">
            <wp:extent cx="2485390"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37772" cy="954997"/>
                    </a:xfrm>
                    <a:prstGeom prst="rect">
                      <a:avLst/>
                    </a:prstGeom>
                    <a:noFill/>
                    <a:ln>
                      <a:noFill/>
                    </a:ln>
                  </pic:spPr>
                </pic:pic>
              </a:graphicData>
            </a:graphic>
          </wp:inline>
        </w:drawing>
      </w:r>
    </w:p>
    <w:p w14:paraId="564127E1" w14:textId="77777777" w:rsidR="008E3643" w:rsidRPr="0064533C" w:rsidRDefault="008E3643" w:rsidP="008E3643">
      <w:pPr>
        <w:jc w:val="center"/>
        <w:rPr>
          <w:rFonts w:ascii="Arial" w:hAnsi="Arial"/>
          <w:b/>
          <w:bCs/>
        </w:rPr>
      </w:pPr>
    </w:p>
    <w:p w14:paraId="4BD81B70" w14:textId="77777777" w:rsidR="008E3643" w:rsidRPr="0064533C" w:rsidRDefault="008E3643" w:rsidP="008E3643">
      <w:pPr>
        <w:contextualSpacing/>
        <w:jc w:val="center"/>
        <w:rPr>
          <w:rFonts w:ascii="Arial" w:hAnsi="Arial"/>
          <w:color w:val="000000" w:themeColor="text1"/>
          <w:sz w:val="36"/>
          <w:szCs w:val="32"/>
        </w:rPr>
      </w:pPr>
      <w:r w:rsidRPr="0064533C">
        <w:rPr>
          <w:rFonts w:ascii="Arial" w:hAnsi="Arial"/>
          <w:b/>
          <w:bCs/>
          <w:color w:val="000000" w:themeColor="text1"/>
          <w:sz w:val="36"/>
          <w:szCs w:val="32"/>
          <w:lang w:val="en-US"/>
        </w:rPr>
        <w:t xml:space="preserve">Module Code: </w:t>
      </w:r>
      <w:r w:rsidRPr="0064533C">
        <w:rPr>
          <w:rFonts w:ascii="Arial" w:hAnsi="Arial"/>
          <w:b/>
          <w:sz w:val="36"/>
          <w:szCs w:val="32"/>
        </w:rPr>
        <w:t>BMMB7028</w:t>
      </w:r>
    </w:p>
    <w:p w14:paraId="1CA3D947" w14:textId="62E25EF8" w:rsidR="008E3643" w:rsidRPr="0064533C" w:rsidRDefault="008E3643" w:rsidP="008E3643">
      <w:pPr>
        <w:contextualSpacing/>
        <w:jc w:val="center"/>
        <w:rPr>
          <w:rFonts w:ascii="Arial" w:hAnsi="Arial"/>
          <w:b/>
          <w:sz w:val="36"/>
          <w:szCs w:val="32"/>
        </w:rPr>
      </w:pPr>
      <w:r w:rsidRPr="0064533C">
        <w:rPr>
          <w:rFonts w:ascii="Arial" w:hAnsi="Arial"/>
          <w:b/>
          <w:bCs/>
          <w:color w:val="000000" w:themeColor="text1"/>
          <w:sz w:val="36"/>
          <w:szCs w:val="32"/>
          <w:lang w:val="en-US"/>
        </w:rPr>
        <w:t xml:space="preserve">Module Name: </w:t>
      </w:r>
      <w:r w:rsidRPr="0064533C">
        <w:rPr>
          <w:rFonts w:ascii="Arial" w:hAnsi="Arial"/>
          <w:b/>
          <w:sz w:val="36"/>
          <w:szCs w:val="32"/>
        </w:rPr>
        <w:t>Business Research</w:t>
      </w:r>
    </w:p>
    <w:p w14:paraId="71579BE2" w14:textId="77777777" w:rsidR="008E3643" w:rsidRPr="0064533C" w:rsidRDefault="008E3643" w:rsidP="008E3643">
      <w:pPr>
        <w:contextualSpacing/>
        <w:jc w:val="center"/>
        <w:rPr>
          <w:rFonts w:ascii="Arial" w:hAnsi="Arial"/>
          <w:color w:val="000000" w:themeColor="text1"/>
          <w:sz w:val="28"/>
          <w:szCs w:val="24"/>
        </w:rPr>
      </w:pPr>
    </w:p>
    <w:p w14:paraId="14891411" w14:textId="77777777" w:rsidR="008E3643" w:rsidRPr="0064533C" w:rsidRDefault="008E3643" w:rsidP="008E3643">
      <w:pPr>
        <w:spacing w:before="120" w:after="120"/>
        <w:jc w:val="center"/>
        <w:rPr>
          <w:rFonts w:ascii="Arial" w:hAnsi="Arial"/>
          <w:b/>
          <w:color w:val="000000" w:themeColor="text1"/>
          <w:sz w:val="40"/>
          <w:szCs w:val="40"/>
        </w:rPr>
      </w:pPr>
      <w:r w:rsidRPr="0064533C">
        <w:rPr>
          <w:rFonts w:ascii="Arial" w:hAnsi="Arial"/>
          <w:b/>
          <w:color w:val="000000" w:themeColor="text1"/>
          <w:sz w:val="40"/>
          <w:szCs w:val="40"/>
        </w:rPr>
        <w:t>Research Proposal Report</w:t>
      </w:r>
    </w:p>
    <w:p w14:paraId="7F4468DC" w14:textId="4F3738C1" w:rsidR="008E3643" w:rsidRPr="0064533C" w:rsidRDefault="008E3643" w:rsidP="008E3643">
      <w:pPr>
        <w:spacing w:before="120" w:after="120"/>
        <w:jc w:val="center"/>
        <w:rPr>
          <w:rFonts w:ascii="Arial" w:hAnsi="Arial"/>
          <w:b/>
          <w:color w:val="000000" w:themeColor="text1"/>
          <w:sz w:val="40"/>
          <w:szCs w:val="40"/>
        </w:rPr>
      </w:pPr>
      <w:r w:rsidRPr="0064533C">
        <w:rPr>
          <w:rFonts w:ascii="Arial" w:eastAsia="Google Sans" w:hAnsi="Arial"/>
          <w:b/>
          <w:bCs/>
          <w:color w:val="1F1F1F"/>
          <w:sz w:val="36"/>
          <w:szCs w:val="32"/>
        </w:rPr>
        <w:t>Measuring the effectiveness of corporate wellbeing initiatives on employee retention and burnout: A quantitative study of frontline retail staff in the UK.</w:t>
      </w:r>
    </w:p>
    <w:p w14:paraId="5023FBE4" w14:textId="77777777" w:rsidR="008E3643" w:rsidRPr="0064533C" w:rsidRDefault="008E3643" w:rsidP="008E3643">
      <w:pPr>
        <w:ind w:left="720"/>
        <w:contextualSpacing/>
        <w:jc w:val="center"/>
        <w:rPr>
          <w:rFonts w:ascii="Arial" w:hAnsi="Arial"/>
          <w:color w:val="000000" w:themeColor="text1"/>
          <w14:glow w14:rad="63500">
            <w14:schemeClr w14:val="accent5">
              <w14:alpha w14:val="60000"/>
              <w14:satMod w14:val="175000"/>
            </w14:schemeClr>
          </w14:glow>
        </w:rPr>
      </w:pPr>
    </w:p>
    <w:p w14:paraId="38508E0F" w14:textId="77777777" w:rsidR="008E3643" w:rsidRPr="0064533C" w:rsidRDefault="008E3643" w:rsidP="008E3643">
      <w:pPr>
        <w:contextualSpacing/>
        <w:jc w:val="center"/>
        <w:rPr>
          <w:rFonts w:ascii="Arial" w:hAnsi="Arial"/>
          <w:color w:val="000000" w:themeColor="text1"/>
          <w14:glow w14:rad="63500">
            <w14:schemeClr w14:val="accent5">
              <w14:alpha w14:val="60000"/>
              <w14:satMod w14:val="175000"/>
            </w14:schemeClr>
          </w14:glow>
        </w:rPr>
      </w:pPr>
    </w:p>
    <w:p w14:paraId="0DF82DDC" w14:textId="77777777" w:rsidR="008E3643" w:rsidRPr="0064533C" w:rsidRDefault="008E3643" w:rsidP="008E3643">
      <w:pPr>
        <w:spacing w:line="259" w:lineRule="auto"/>
        <w:jc w:val="center"/>
        <w:rPr>
          <w:rFonts w:ascii="Arial" w:hAnsi="Arial"/>
          <w:b/>
          <w:sz w:val="36"/>
          <w:szCs w:val="36"/>
          <w14:glow w14:rad="63500">
            <w14:schemeClr w14:val="accent5">
              <w14:alpha w14:val="60000"/>
              <w14:satMod w14:val="175000"/>
            </w14:schemeClr>
          </w14:glow>
        </w:rPr>
      </w:pPr>
    </w:p>
    <w:p w14:paraId="053C3307" w14:textId="77777777" w:rsidR="008E3643" w:rsidRPr="0064533C" w:rsidRDefault="008E3643" w:rsidP="008E3643">
      <w:pPr>
        <w:rPr>
          <w:rFonts w:ascii="Arial" w:eastAsia="Times New Roman" w:hAnsi="Arial"/>
          <w:sz w:val="28"/>
          <w:szCs w:val="24"/>
        </w:rPr>
      </w:pPr>
    </w:p>
    <w:p w14:paraId="717E48E4" w14:textId="720ED683" w:rsidR="008E3643" w:rsidRPr="0064533C" w:rsidRDefault="008E3643" w:rsidP="008E3643">
      <w:pPr>
        <w:contextualSpacing/>
        <w:jc w:val="center"/>
        <w:rPr>
          <w:rFonts w:ascii="Arial" w:hAnsi="Arial"/>
          <w:b/>
          <w:bCs/>
          <w:color w:val="000000" w:themeColor="text1"/>
          <w:sz w:val="32"/>
          <w:szCs w:val="28"/>
          <w:lang w:val="en-US"/>
        </w:rPr>
      </w:pPr>
      <w:r w:rsidRPr="0064533C">
        <w:rPr>
          <w:rFonts w:ascii="Arial" w:hAnsi="Arial"/>
          <w:b/>
          <w:bCs/>
          <w:color w:val="000000" w:themeColor="text1"/>
          <w:sz w:val="32"/>
          <w:szCs w:val="28"/>
          <w:lang w:val="en-US"/>
        </w:rPr>
        <w:t>Student Name:</w:t>
      </w:r>
      <w:r w:rsidRPr="0064533C">
        <w:rPr>
          <w:rFonts w:ascii="Arial" w:hAnsi="Arial"/>
          <w:sz w:val="28"/>
          <w:szCs w:val="24"/>
        </w:rPr>
        <w:t xml:space="preserve"> </w:t>
      </w:r>
      <w:r w:rsidRPr="0064533C">
        <w:rPr>
          <w:rFonts w:ascii="Arial" w:hAnsi="Arial"/>
          <w:b/>
          <w:bCs/>
          <w:sz w:val="32"/>
          <w:szCs w:val="28"/>
        </w:rPr>
        <w:t>Md Muzahid Khan</w:t>
      </w:r>
    </w:p>
    <w:p w14:paraId="14BF3942" w14:textId="2A31493B" w:rsidR="008E3643" w:rsidRPr="0064533C" w:rsidRDefault="008E3643" w:rsidP="008E3643">
      <w:pPr>
        <w:jc w:val="center"/>
        <w:rPr>
          <w:rFonts w:ascii="Arial" w:hAnsi="Arial"/>
          <w:sz w:val="32"/>
          <w:szCs w:val="28"/>
        </w:rPr>
      </w:pPr>
      <w:r w:rsidRPr="0064533C">
        <w:rPr>
          <w:rFonts w:ascii="Arial" w:hAnsi="Arial"/>
          <w:b/>
          <w:bCs/>
          <w:color w:val="000000" w:themeColor="text1"/>
          <w:sz w:val="32"/>
          <w:szCs w:val="28"/>
          <w:lang w:val="en-US"/>
        </w:rPr>
        <w:t>Student Number:</w:t>
      </w:r>
      <w:r w:rsidRPr="0064533C">
        <w:rPr>
          <w:rFonts w:ascii="Arial" w:hAnsi="Arial"/>
          <w:sz w:val="28"/>
          <w:szCs w:val="24"/>
        </w:rPr>
        <w:t xml:space="preserve"> </w:t>
      </w:r>
      <w:r w:rsidRPr="0064533C">
        <w:rPr>
          <w:rFonts w:ascii="Arial" w:hAnsi="Arial"/>
          <w:b/>
          <w:bCs/>
          <w:sz w:val="32"/>
          <w:szCs w:val="28"/>
        </w:rPr>
        <w:t>2434352</w:t>
      </w:r>
    </w:p>
    <w:p w14:paraId="1F866903" w14:textId="77777777" w:rsidR="00C53764" w:rsidRPr="0064533C" w:rsidRDefault="00C53764" w:rsidP="00CE479A">
      <w:pPr>
        <w:pBdr>
          <w:top w:val="nil"/>
          <w:left w:val="nil"/>
          <w:bottom w:val="nil"/>
          <w:right w:val="nil"/>
          <w:between w:val="nil"/>
        </w:pBdr>
        <w:spacing w:after="240"/>
        <w:rPr>
          <w:rFonts w:ascii="Arial" w:eastAsia="Google Sans" w:hAnsi="Arial"/>
          <w:color w:val="1F1F1F"/>
        </w:rPr>
      </w:pPr>
    </w:p>
    <w:p w14:paraId="38C566E1" w14:textId="77777777" w:rsidR="00C53764" w:rsidRPr="0064533C" w:rsidRDefault="00C53764" w:rsidP="00CE479A">
      <w:pPr>
        <w:pBdr>
          <w:top w:val="nil"/>
          <w:left w:val="nil"/>
          <w:bottom w:val="nil"/>
          <w:right w:val="nil"/>
          <w:between w:val="nil"/>
        </w:pBdr>
        <w:spacing w:after="240"/>
        <w:rPr>
          <w:rFonts w:ascii="Arial" w:eastAsia="Google Sans" w:hAnsi="Arial"/>
          <w:color w:val="1F1F1F"/>
        </w:rPr>
      </w:pPr>
    </w:p>
    <w:p w14:paraId="4C1E6D9D" w14:textId="77777777" w:rsidR="00C53764" w:rsidRPr="0064533C" w:rsidRDefault="00C53764" w:rsidP="00CE479A">
      <w:pPr>
        <w:pBdr>
          <w:top w:val="nil"/>
          <w:left w:val="nil"/>
          <w:bottom w:val="nil"/>
          <w:right w:val="nil"/>
          <w:between w:val="nil"/>
        </w:pBdr>
        <w:spacing w:after="240"/>
        <w:rPr>
          <w:rFonts w:ascii="Arial" w:eastAsia="Google Sans" w:hAnsi="Arial"/>
          <w:color w:val="1F1F1F"/>
        </w:rPr>
      </w:pPr>
    </w:p>
    <w:p w14:paraId="6DF0164A" w14:textId="77777777" w:rsidR="00C53764" w:rsidRPr="0064533C" w:rsidRDefault="00C53764" w:rsidP="00CE479A">
      <w:pPr>
        <w:pBdr>
          <w:top w:val="nil"/>
          <w:left w:val="nil"/>
          <w:bottom w:val="nil"/>
          <w:right w:val="nil"/>
          <w:between w:val="nil"/>
        </w:pBdr>
        <w:spacing w:after="240"/>
        <w:rPr>
          <w:rFonts w:ascii="Arial" w:eastAsia="Google Sans" w:hAnsi="Arial"/>
          <w:color w:val="1F1F1F"/>
        </w:rPr>
      </w:pPr>
    </w:p>
    <w:p w14:paraId="7BE64F7E" w14:textId="3E4846D7" w:rsidR="00C53764" w:rsidRPr="0064533C" w:rsidRDefault="00C53764">
      <w:pPr>
        <w:spacing w:line="240" w:lineRule="auto"/>
        <w:jc w:val="left"/>
        <w:rPr>
          <w:rFonts w:ascii="Arial" w:eastAsia="Google Sans" w:hAnsi="Arial"/>
          <w:color w:val="1F1F1F"/>
        </w:rPr>
      </w:pPr>
    </w:p>
    <w:p w14:paraId="2943A46A" w14:textId="77777777" w:rsidR="008E3643" w:rsidRPr="0064533C" w:rsidRDefault="008E3643">
      <w:pPr>
        <w:spacing w:line="240" w:lineRule="auto"/>
        <w:jc w:val="left"/>
        <w:rPr>
          <w:rFonts w:ascii="Arial" w:eastAsia="Google Sans" w:hAnsi="Arial"/>
          <w:color w:val="1F1F1F"/>
        </w:rPr>
      </w:pPr>
    </w:p>
    <w:p w14:paraId="7D3A82C4" w14:textId="77777777" w:rsidR="00DA1654" w:rsidRPr="0064533C" w:rsidRDefault="00000000" w:rsidP="003F6BBE">
      <w:pPr>
        <w:pStyle w:val="Heading1"/>
        <w:rPr>
          <w:rFonts w:ascii="Arial" w:hAnsi="Arial"/>
        </w:rPr>
      </w:pPr>
      <w:bookmarkStart w:id="0" w:name="_Toc225720631"/>
      <w:r w:rsidRPr="0064533C">
        <w:rPr>
          <w:rFonts w:ascii="Arial" w:hAnsi="Arial"/>
        </w:rPr>
        <w:lastRenderedPageBreak/>
        <w:t>Executive Summary</w:t>
      </w:r>
      <w:bookmarkEnd w:id="0"/>
    </w:p>
    <w:p w14:paraId="3FDA1253" w14:textId="78527FDD"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This research proposal describes a stringent quantitative study on the effectiveness of corporate wellbeing </w:t>
      </w:r>
      <w:r w:rsidR="000014F0" w:rsidRPr="0064533C">
        <w:rPr>
          <w:rFonts w:ascii="Arial" w:eastAsia="Google Sans" w:hAnsi="Arial"/>
          <w:color w:val="1F1F1F"/>
        </w:rPr>
        <w:t xml:space="preserve">programmes </w:t>
      </w:r>
      <w:r w:rsidRPr="0064533C">
        <w:rPr>
          <w:rFonts w:ascii="Arial" w:eastAsia="Google Sans" w:hAnsi="Arial"/>
          <w:color w:val="1F1F1F"/>
        </w:rPr>
        <w:t xml:space="preserve">in reducing burnout and enhancing employee retention among frontline retail employees in the United Kingdom. Employee turnover rates have never been as high in the retail sector, and this situation can be explained by the fact that the work </w:t>
      </w:r>
      <w:r w:rsidR="000014F0" w:rsidRPr="0064533C">
        <w:rPr>
          <w:rFonts w:ascii="Arial" w:eastAsia="Google Sans" w:hAnsi="Arial"/>
          <w:color w:val="1F1F1F"/>
        </w:rPr>
        <w:t>involves unique occupational stressors</w:t>
      </w:r>
      <w:r w:rsidRPr="0064533C">
        <w:rPr>
          <w:rFonts w:ascii="Arial" w:eastAsia="Google Sans" w:hAnsi="Arial"/>
          <w:color w:val="1F1F1F"/>
        </w:rPr>
        <w:t xml:space="preserve"> such as extreme emotional labour, customer aggression, and unstable work schedules. Corporate spending on employee wellbeing programmes has been on the increase, but there is an urgent empirical gap on whether they have been any good at assisting frontline employees, who often view them as </w:t>
      </w:r>
      <w:r w:rsidR="000014F0" w:rsidRPr="0064533C">
        <w:rPr>
          <w:rFonts w:ascii="Arial" w:eastAsia="Google Sans" w:hAnsi="Arial"/>
          <w:color w:val="1F1F1F"/>
        </w:rPr>
        <w:t xml:space="preserve">inaccessible </w:t>
      </w:r>
      <w:r w:rsidRPr="0064533C">
        <w:rPr>
          <w:rFonts w:ascii="Arial" w:eastAsia="Google Sans" w:hAnsi="Arial"/>
          <w:color w:val="1F1F1F"/>
        </w:rPr>
        <w:t xml:space="preserve">or performative box-ticking exercises in comparison to the same </w:t>
      </w:r>
      <w:r w:rsidR="000014F0" w:rsidRPr="0064533C">
        <w:rPr>
          <w:rFonts w:ascii="Arial" w:eastAsia="Google Sans" w:hAnsi="Arial"/>
          <w:color w:val="1F1F1F"/>
        </w:rPr>
        <w:t>programmes</w:t>
      </w:r>
      <w:r w:rsidRPr="0064533C">
        <w:rPr>
          <w:rFonts w:ascii="Arial" w:eastAsia="Google Sans" w:hAnsi="Arial"/>
          <w:color w:val="1F1F1F"/>
        </w:rPr>
        <w:t xml:space="preserve"> in corporate offices.This study aims to apply the Iceberg Model of problem identification by attempting to dig deep beneath the symptomatic high turnover of the staff to empirically measure the psychological processes of burnout and perceived organisational support. The general objective will be the quantification of whether taking part in the corporate wellbeing </w:t>
      </w:r>
      <w:r w:rsidR="000014F0" w:rsidRPr="0064533C">
        <w:rPr>
          <w:rFonts w:ascii="Arial" w:eastAsia="Google Sans" w:hAnsi="Arial"/>
          <w:color w:val="1F1F1F"/>
        </w:rPr>
        <w:t>programmes</w:t>
      </w:r>
      <w:r w:rsidRPr="0064533C">
        <w:rPr>
          <w:rFonts w:ascii="Arial" w:eastAsia="Google Sans" w:hAnsi="Arial"/>
          <w:color w:val="1F1F1F"/>
        </w:rPr>
        <w:t xml:space="preserve"> has a significant impact on decreasing the severity of burnout, and consequently, the turnover intention.</w:t>
      </w:r>
    </w:p>
    <w:p w14:paraId="3B1050AC" w14:textId="07AD1328" w:rsidR="003F6BBE"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This study is grounded on the Job Demands-Resources (JD-R) model and Social Exchange Theory which assumes strict positivist philosophy and deductive approach. A mono-method quantitative approach will be undertaken whereby a cross-sectional online survey will be administered using Qualtrics to a purposive and snowball sample of UK frontline retail workers (N = 200-250). The survey shall combine psychometric scales that have been tested and confirmed to be valid such as the Maslach Burnout Inventory (MBI). Rigorous analysis of the primary data will be done using IBM SPSS, through descriptive statistics, Cronbachs Alpha to test reliability, Pearson correlation analysis as well as complex mediation analysis.</w:t>
      </w:r>
      <w:r w:rsidR="003F6BBE" w:rsidRPr="0064533C">
        <w:rPr>
          <w:rFonts w:ascii="Arial" w:eastAsia="Google Sans" w:hAnsi="Arial"/>
          <w:color w:val="1F1F1F"/>
        </w:rPr>
        <w:t xml:space="preserve"> </w:t>
      </w:r>
      <w:r w:rsidRPr="0064533C">
        <w:rPr>
          <w:rFonts w:ascii="Arial" w:eastAsia="Google Sans" w:hAnsi="Arial"/>
          <w:color w:val="1F1F1F"/>
        </w:rPr>
        <w:t>The results of this study will make a considerable theoretical contribution to the human resource management literature and very practical values to the retail practitioners. The research will have a positive impact on transforming the HR intervention strategies of organisations operating in the UK in terms of retail formats; moving from the performative corporate wellness to the strategy as a strategic, frontline-available, wellbeing programme, ensuring the long-term stability of the organisation</w:t>
      </w:r>
    </w:p>
    <w:sdt>
      <w:sdtPr>
        <w:rPr>
          <w:rFonts w:ascii="Arial" w:eastAsia="Arial" w:hAnsi="Arial" w:cs="Arial"/>
          <w:color w:val="auto"/>
          <w:sz w:val="24"/>
          <w:szCs w:val="22"/>
          <w:lang w:val="en-GB"/>
        </w:rPr>
        <w:id w:val="-551310419"/>
        <w:docPartObj>
          <w:docPartGallery w:val="Table of Contents"/>
          <w:docPartUnique/>
        </w:docPartObj>
      </w:sdtPr>
      <w:sdtEndPr>
        <w:rPr>
          <w:b/>
          <w:bCs/>
          <w:noProof/>
        </w:rPr>
      </w:sdtEndPr>
      <w:sdtContent>
        <w:p w14:paraId="4600664B" w14:textId="11E3E9EF" w:rsidR="008E3643" w:rsidRPr="0064533C" w:rsidRDefault="008E3643" w:rsidP="003F6BBE">
          <w:pPr>
            <w:pStyle w:val="TOCHeading"/>
            <w:rPr>
              <w:rFonts w:ascii="Arial" w:hAnsi="Arial" w:cs="Arial"/>
              <w:b/>
              <w:bCs/>
              <w:color w:val="000000" w:themeColor="text1"/>
            </w:rPr>
          </w:pPr>
          <w:r w:rsidRPr="0064533C">
            <w:rPr>
              <w:rFonts w:ascii="Arial" w:hAnsi="Arial" w:cs="Arial"/>
              <w:b/>
              <w:bCs/>
              <w:color w:val="000000" w:themeColor="text1"/>
            </w:rPr>
            <w:t>Table of Contents</w:t>
          </w:r>
        </w:p>
        <w:p w14:paraId="5670706F" w14:textId="1D9DE983" w:rsidR="003F6BBE" w:rsidRPr="0064533C" w:rsidRDefault="008E3643">
          <w:pPr>
            <w:pStyle w:val="TOC1"/>
            <w:rPr>
              <w:rFonts w:ascii="Arial" w:eastAsiaTheme="minorEastAsia" w:hAnsi="Arial"/>
              <w:noProof/>
              <w:kern w:val="2"/>
              <w:szCs w:val="24"/>
              <w:lang w:val="en-US"/>
              <w14:ligatures w14:val="standardContextual"/>
            </w:rPr>
          </w:pPr>
          <w:r w:rsidRPr="0064533C">
            <w:rPr>
              <w:rFonts w:ascii="Arial" w:hAnsi="Arial"/>
            </w:rPr>
            <w:fldChar w:fldCharType="begin"/>
          </w:r>
          <w:r w:rsidRPr="0064533C">
            <w:rPr>
              <w:rFonts w:ascii="Arial" w:hAnsi="Arial"/>
            </w:rPr>
            <w:instrText xml:space="preserve"> TOC \o "1-3" \h \z \u </w:instrText>
          </w:r>
          <w:r w:rsidRPr="0064533C">
            <w:rPr>
              <w:rFonts w:ascii="Arial" w:hAnsi="Arial"/>
            </w:rPr>
            <w:fldChar w:fldCharType="separate"/>
          </w:r>
          <w:hyperlink w:anchor="_Toc225720631" w:history="1">
            <w:r w:rsidR="003F6BBE" w:rsidRPr="0064533C">
              <w:rPr>
                <w:rStyle w:val="Hyperlink"/>
                <w:rFonts w:ascii="Arial" w:hAnsi="Arial"/>
                <w:noProof/>
              </w:rPr>
              <w:t>1.</w:t>
            </w:r>
            <w:r w:rsidR="003F6BBE" w:rsidRPr="0064533C">
              <w:rPr>
                <w:rFonts w:ascii="Arial" w:eastAsiaTheme="minorEastAsia" w:hAnsi="Arial"/>
                <w:noProof/>
                <w:kern w:val="2"/>
                <w:szCs w:val="24"/>
                <w:lang w:val="en-US"/>
                <w14:ligatures w14:val="standardContextual"/>
              </w:rPr>
              <w:tab/>
            </w:r>
            <w:r w:rsidR="003F6BBE" w:rsidRPr="0064533C">
              <w:rPr>
                <w:rStyle w:val="Hyperlink"/>
                <w:rFonts w:ascii="Arial" w:hAnsi="Arial"/>
                <w:noProof/>
              </w:rPr>
              <w:t>Executive Summary</w:t>
            </w:r>
            <w:r w:rsidR="003F6BBE" w:rsidRPr="0064533C">
              <w:rPr>
                <w:rFonts w:ascii="Arial" w:hAnsi="Arial"/>
                <w:noProof/>
                <w:webHidden/>
              </w:rPr>
              <w:tab/>
            </w:r>
            <w:r w:rsidR="003F6BBE" w:rsidRPr="0064533C">
              <w:rPr>
                <w:rFonts w:ascii="Arial" w:hAnsi="Arial"/>
                <w:noProof/>
                <w:webHidden/>
              </w:rPr>
              <w:fldChar w:fldCharType="begin"/>
            </w:r>
            <w:r w:rsidR="003F6BBE" w:rsidRPr="0064533C">
              <w:rPr>
                <w:rFonts w:ascii="Arial" w:hAnsi="Arial"/>
                <w:noProof/>
                <w:webHidden/>
              </w:rPr>
              <w:instrText xml:space="preserve"> PAGEREF _Toc225720631 \h </w:instrText>
            </w:r>
            <w:r w:rsidR="003F6BBE" w:rsidRPr="0064533C">
              <w:rPr>
                <w:rFonts w:ascii="Arial" w:hAnsi="Arial"/>
                <w:noProof/>
                <w:webHidden/>
              </w:rPr>
            </w:r>
            <w:r w:rsidR="003F6BBE" w:rsidRPr="0064533C">
              <w:rPr>
                <w:rFonts w:ascii="Arial" w:hAnsi="Arial"/>
                <w:noProof/>
                <w:webHidden/>
              </w:rPr>
              <w:fldChar w:fldCharType="separate"/>
            </w:r>
            <w:r w:rsidR="003F6BBE" w:rsidRPr="0064533C">
              <w:rPr>
                <w:rFonts w:ascii="Arial" w:hAnsi="Arial"/>
                <w:noProof/>
                <w:webHidden/>
              </w:rPr>
              <w:t>2</w:t>
            </w:r>
            <w:r w:rsidR="003F6BBE" w:rsidRPr="0064533C">
              <w:rPr>
                <w:rFonts w:ascii="Arial" w:hAnsi="Arial"/>
                <w:noProof/>
                <w:webHidden/>
              </w:rPr>
              <w:fldChar w:fldCharType="end"/>
            </w:r>
          </w:hyperlink>
        </w:p>
        <w:p w14:paraId="32962BF1" w14:textId="7435B8C0" w:rsidR="003F6BBE" w:rsidRPr="0064533C" w:rsidRDefault="003F6BBE">
          <w:pPr>
            <w:pStyle w:val="TOC1"/>
            <w:rPr>
              <w:rFonts w:ascii="Arial" w:eastAsiaTheme="minorEastAsia" w:hAnsi="Arial"/>
              <w:noProof/>
              <w:kern w:val="2"/>
              <w:szCs w:val="24"/>
              <w:lang w:val="en-US"/>
              <w14:ligatures w14:val="standardContextual"/>
            </w:rPr>
          </w:pPr>
          <w:hyperlink w:anchor="_Toc225720632" w:history="1">
            <w:r w:rsidRPr="0064533C">
              <w:rPr>
                <w:rStyle w:val="Hyperlink"/>
                <w:rFonts w:ascii="Arial" w:hAnsi="Arial"/>
                <w:noProof/>
              </w:rPr>
              <w:t>3.</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List of Figures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_Toc225720632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5</w:t>
            </w:r>
            <w:r w:rsidRPr="0064533C">
              <w:rPr>
                <w:rFonts w:ascii="Arial" w:hAnsi="Arial"/>
                <w:noProof/>
                <w:webHidden/>
              </w:rPr>
              <w:fldChar w:fldCharType="end"/>
            </w:r>
          </w:hyperlink>
        </w:p>
        <w:p w14:paraId="46209052" w14:textId="5CEEDC62" w:rsidR="003F6BBE" w:rsidRPr="0064533C" w:rsidRDefault="003F6BBE">
          <w:pPr>
            <w:pStyle w:val="TOC1"/>
            <w:rPr>
              <w:rFonts w:ascii="Arial" w:eastAsiaTheme="minorEastAsia" w:hAnsi="Arial"/>
              <w:noProof/>
              <w:kern w:val="2"/>
              <w:szCs w:val="24"/>
              <w:lang w:val="en-US"/>
              <w14:ligatures w14:val="standardContextual"/>
            </w:rPr>
          </w:pPr>
          <w:hyperlink w:anchor="_Toc225720633" w:history="1">
            <w:r w:rsidRPr="0064533C">
              <w:rPr>
                <w:rStyle w:val="Hyperlink"/>
                <w:rFonts w:ascii="Arial" w:hAnsi="Arial"/>
                <w:noProof/>
              </w:rPr>
              <w:t>4.</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List of Tables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_Toc225720633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5</w:t>
            </w:r>
            <w:r w:rsidRPr="0064533C">
              <w:rPr>
                <w:rFonts w:ascii="Arial" w:hAnsi="Arial"/>
                <w:noProof/>
                <w:webHidden/>
              </w:rPr>
              <w:fldChar w:fldCharType="end"/>
            </w:r>
          </w:hyperlink>
        </w:p>
        <w:p w14:paraId="6A4D7679" w14:textId="027EB2C8" w:rsidR="003F6BBE" w:rsidRPr="0064533C" w:rsidRDefault="003F6BBE">
          <w:pPr>
            <w:pStyle w:val="TOC1"/>
            <w:rPr>
              <w:rFonts w:ascii="Arial" w:eastAsiaTheme="minorEastAsia" w:hAnsi="Arial"/>
              <w:noProof/>
              <w:kern w:val="2"/>
              <w:szCs w:val="24"/>
              <w:lang w:val="en-US"/>
              <w14:ligatures w14:val="standardContextual"/>
            </w:rPr>
          </w:pPr>
          <w:hyperlink w:anchor="_Toc225720634" w:history="1">
            <w:r w:rsidRPr="0064533C">
              <w:rPr>
                <w:rStyle w:val="Hyperlink"/>
                <w:rFonts w:ascii="Arial" w:hAnsi="Arial"/>
                <w:noProof/>
              </w:rPr>
              <w:t>1.</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Introduction and Rationale</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_Toc225720634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6</w:t>
            </w:r>
            <w:r w:rsidRPr="0064533C">
              <w:rPr>
                <w:rFonts w:ascii="Arial" w:hAnsi="Arial"/>
                <w:noProof/>
                <w:webHidden/>
              </w:rPr>
              <w:fldChar w:fldCharType="end"/>
            </w:r>
          </w:hyperlink>
        </w:p>
        <w:p w14:paraId="38C6F43F" w14:textId="1BF5886B"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35" w:history="1">
            <w:r w:rsidRPr="0064533C">
              <w:rPr>
                <w:rStyle w:val="Hyperlink"/>
                <w:rFonts w:ascii="Arial" w:hAnsi="Arial"/>
                <w:noProof/>
              </w:rPr>
              <w:t>1.1</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Background to the Research</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_Toc225720635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6</w:t>
            </w:r>
            <w:r w:rsidRPr="0064533C">
              <w:rPr>
                <w:rFonts w:ascii="Arial" w:hAnsi="Arial"/>
                <w:noProof/>
                <w:webHidden/>
              </w:rPr>
              <w:fldChar w:fldCharType="end"/>
            </w:r>
          </w:hyperlink>
        </w:p>
        <w:p w14:paraId="4394EB21" w14:textId="691E01F3"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36" w:history="1">
            <w:r w:rsidRPr="0064533C">
              <w:rPr>
                <w:rStyle w:val="Hyperlink"/>
                <w:rFonts w:ascii="Arial" w:hAnsi="Arial"/>
                <w:noProof/>
              </w:rPr>
              <w:t>1.2</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Problem</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_Toc225720636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6</w:t>
            </w:r>
            <w:r w:rsidRPr="0064533C">
              <w:rPr>
                <w:rFonts w:ascii="Arial" w:hAnsi="Arial"/>
                <w:noProof/>
                <w:webHidden/>
              </w:rPr>
              <w:fldChar w:fldCharType="end"/>
            </w:r>
          </w:hyperlink>
        </w:p>
        <w:p w14:paraId="430D2D73" w14:textId="3FB31003"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37" w:history="1">
            <w:r w:rsidRPr="0064533C">
              <w:rPr>
                <w:rStyle w:val="Hyperlink"/>
                <w:rFonts w:ascii="Arial" w:hAnsi="Arial"/>
                <w:noProof/>
              </w:rPr>
              <w:t>1.3</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Significance of the Study</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_Toc225720637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7</w:t>
            </w:r>
            <w:r w:rsidRPr="0064533C">
              <w:rPr>
                <w:rFonts w:ascii="Arial" w:hAnsi="Arial"/>
                <w:noProof/>
                <w:webHidden/>
              </w:rPr>
              <w:fldChar w:fldCharType="end"/>
            </w:r>
          </w:hyperlink>
        </w:p>
        <w:p w14:paraId="6B957429" w14:textId="0DDFF1B5" w:rsidR="003F6BBE" w:rsidRPr="0064533C" w:rsidRDefault="003F6BBE">
          <w:pPr>
            <w:pStyle w:val="TOC1"/>
            <w:rPr>
              <w:rFonts w:ascii="Arial" w:eastAsiaTheme="minorEastAsia" w:hAnsi="Arial"/>
              <w:noProof/>
              <w:kern w:val="2"/>
              <w:szCs w:val="24"/>
              <w:lang w:val="en-US"/>
              <w14:ligatures w14:val="standardContextual"/>
            </w:rPr>
          </w:pPr>
          <w:hyperlink w:anchor="_Toc225720638" w:history="1">
            <w:r w:rsidRPr="0064533C">
              <w:rPr>
                <w:rStyle w:val="Hyperlink"/>
                <w:rFonts w:ascii="Arial" w:hAnsi="Arial"/>
                <w:noProof/>
              </w:rPr>
              <w:t>2.</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Aim, Objectives, and Questions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_Toc225720638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7</w:t>
            </w:r>
            <w:r w:rsidRPr="0064533C">
              <w:rPr>
                <w:rFonts w:ascii="Arial" w:hAnsi="Arial"/>
                <w:noProof/>
                <w:webHidden/>
              </w:rPr>
              <w:fldChar w:fldCharType="end"/>
            </w:r>
          </w:hyperlink>
        </w:p>
        <w:p w14:paraId="5F962B80" w14:textId="6A448D3E"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39" w:history="1">
            <w:r w:rsidRPr="0064533C">
              <w:rPr>
                <w:rStyle w:val="Hyperlink"/>
                <w:rFonts w:ascii="Arial" w:hAnsi="Arial"/>
                <w:noProof/>
              </w:rPr>
              <w:t>2.1</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Aim</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_Toc225720639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8</w:t>
            </w:r>
            <w:r w:rsidRPr="0064533C">
              <w:rPr>
                <w:rFonts w:ascii="Arial" w:hAnsi="Arial"/>
                <w:noProof/>
                <w:webHidden/>
              </w:rPr>
              <w:fldChar w:fldCharType="end"/>
            </w:r>
          </w:hyperlink>
        </w:p>
        <w:p w14:paraId="1F0FA8D7" w14:textId="7CDC2E43"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40" w:history="1">
            <w:r w:rsidRPr="0064533C">
              <w:rPr>
                <w:rStyle w:val="Hyperlink"/>
                <w:rFonts w:ascii="Arial" w:hAnsi="Arial"/>
                <w:noProof/>
              </w:rPr>
              <w:t>2.2</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Objectives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_Toc225720640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8</w:t>
            </w:r>
            <w:r w:rsidRPr="0064533C">
              <w:rPr>
                <w:rFonts w:ascii="Arial" w:hAnsi="Arial"/>
                <w:noProof/>
                <w:webHidden/>
              </w:rPr>
              <w:fldChar w:fldCharType="end"/>
            </w:r>
          </w:hyperlink>
        </w:p>
        <w:p w14:paraId="36CD03B1" w14:textId="445A02B2"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41" w:history="1">
            <w:r w:rsidRPr="0064533C">
              <w:rPr>
                <w:rStyle w:val="Hyperlink"/>
                <w:rFonts w:ascii="Arial" w:hAnsi="Arial"/>
                <w:noProof/>
              </w:rPr>
              <w:t>2.3</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Questions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_Toc225720641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8</w:t>
            </w:r>
            <w:r w:rsidRPr="0064533C">
              <w:rPr>
                <w:rFonts w:ascii="Arial" w:hAnsi="Arial"/>
                <w:noProof/>
                <w:webHidden/>
              </w:rPr>
              <w:fldChar w:fldCharType="end"/>
            </w:r>
          </w:hyperlink>
        </w:p>
        <w:p w14:paraId="721370FE" w14:textId="71631398" w:rsidR="003F6BBE" w:rsidRPr="0064533C" w:rsidRDefault="003F6BBE">
          <w:pPr>
            <w:pStyle w:val="TOC1"/>
            <w:rPr>
              <w:rFonts w:ascii="Arial" w:eastAsiaTheme="minorEastAsia" w:hAnsi="Arial"/>
              <w:noProof/>
              <w:kern w:val="2"/>
              <w:szCs w:val="24"/>
              <w:lang w:val="en-US"/>
              <w14:ligatures w14:val="standardContextual"/>
            </w:rPr>
          </w:pPr>
          <w:hyperlink w:anchor="_Toc225720642" w:history="1">
            <w:r w:rsidRPr="0064533C">
              <w:rPr>
                <w:rStyle w:val="Hyperlink"/>
                <w:rFonts w:ascii="Arial" w:hAnsi="Arial"/>
                <w:noProof/>
              </w:rPr>
              <w:t>3.</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Literature Review</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_Toc225720642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8</w:t>
            </w:r>
            <w:r w:rsidRPr="0064533C">
              <w:rPr>
                <w:rFonts w:ascii="Arial" w:hAnsi="Arial"/>
                <w:noProof/>
                <w:webHidden/>
              </w:rPr>
              <w:fldChar w:fldCharType="end"/>
            </w:r>
          </w:hyperlink>
        </w:p>
        <w:p w14:paraId="6EE2BC5A" w14:textId="1E88A1A5"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43" w:history="1">
            <w:r w:rsidRPr="0064533C">
              <w:rPr>
                <w:rStyle w:val="Hyperlink"/>
                <w:rFonts w:ascii="Arial" w:hAnsi="Arial"/>
                <w:noProof/>
              </w:rPr>
              <w:t>3.1</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Introduction and Theoretical Frameworks: The JD-R Model and Social Exchange Theory</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_Toc225720643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8</w:t>
            </w:r>
            <w:r w:rsidRPr="0064533C">
              <w:rPr>
                <w:rFonts w:ascii="Arial" w:hAnsi="Arial"/>
                <w:noProof/>
                <w:webHidden/>
              </w:rPr>
              <w:fldChar w:fldCharType="end"/>
            </w:r>
          </w:hyperlink>
        </w:p>
        <w:p w14:paraId="0B60C11C" w14:textId="7C7A0E61"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44" w:history="1">
            <w:r w:rsidRPr="0064533C">
              <w:rPr>
                <w:rStyle w:val="Hyperlink"/>
                <w:rFonts w:ascii="Arial" w:hAnsi="Arial"/>
                <w:noProof/>
              </w:rPr>
              <w:t>3.2</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The Current State of Burnout Among UK Frontline Retail Workers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_Toc225720644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9</w:t>
            </w:r>
            <w:r w:rsidRPr="0064533C">
              <w:rPr>
                <w:rFonts w:ascii="Arial" w:hAnsi="Arial"/>
                <w:noProof/>
                <w:webHidden/>
              </w:rPr>
              <w:fldChar w:fldCharType="end"/>
            </w:r>
          </w:hyperlink>
        </w:p>
        <w:p w14:paraId="19DCFEC1" w14:textId="5288DBDA"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45" w:history="1">
            <w:r w:rsidRPr="0064533C">
              <w:rPr>
                <w:rStyle w:val="Hyperlink"/>
                <w:rFonts w:ascii="Arial" w:hAnsi="Arial"/>
                <w:noProof/>
              </w:rPr>
              <w:t>3.3</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Corporate Wellbeing Initiatives: From 'Box-Ticking' to Strategic Necessity</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_Toc225720645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10</w:t>
            </w:r>
            <w:r w:rsidRPr="0064533C">
              <w:rPr>
                <w:rFonts w:ascii="Arial" w:hAnsi="Arial"/>
                <w:noProof/>
                <w:webHidden/>
              </w:rPr>
              <w:fldChar w:fldCharType="end"/>
            </w:r>
          </w:hyperlink>
        </w:p>
        <w:p w14:paraId="4E25F2B3" w14:textId="7958A4DA"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46" w:history="1">
            <w:r w:rsidRPr="0064533C">
              <w:rPr>
                <w:rStyle w:val="Hyperlink"/>
                <w:rFonts w:ascii="Arial" w:hAnsi="Arial"/>
                <w:noProof/>
              </w:rPr>
              <w:t>3.4</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The Accessibility and Efficacy Gap: Frontline vs. Corporate Staff</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_Toc225720646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11</w:t>
            </w:r>
            <w:r w:rsidRPr="0064533C">
              <w:rPr>
                <w:rFonts w:ascii="Arial" w:hAnsi="Arial"/>
                <w:noProof/>
                <w:webHidden/>
              </w:rPr>
              <w:fldChar w:fldCharType="end"/>
            </w:r>
          </w:hyperlink>
        </w:p>
        <w:p w14:paraId="20DCACE6" w14:textId="538317AA"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47" w:history="1">
            <w:r w:rsidRPr="0064533C">
              <w:rPr>
                <w:rStyle w:val="Hyperlink"/>
                <w:rFonts w:ascii="Arial" w:hAnsi="Arial"/>
                <w:noProof/>
              </w:rPr>
              <w:t>3.5</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The Impact of Wellbeing and Burnout on Employee Retention</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_Toc225720647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12</w:t>
            </w:r>
            <w:r w:rsidRPr="0064533C">
              <w:rPr>
                <w:rFonts w:ascii="Arial" w:hAnsi="Arial"/>
                <w:noProof/>
                <w:webHidden/>
              </w:rPr>
              <w:fldChar w:fldCharType="end"/>
            </w:r>
          </w:hyperlink>
        </w:p>
        <w:p w14:paraId="4CE1AE4C" w14:textId="2F0CE9EE"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48" w:history="1">
            <w:r w:rsidRPr="0064533C">
              <w:rPr>
                <w:rStyle w:val="Hyperlink"/>
                <w:rFonts w:ascii="Arial" w:hAnsi="Arial"/>
                <w:noProof/>
              </w:rPr>
              <w:t>3.6</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Conceptual Framework</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_Toc225720648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13</w:t>
            </w:r>
            <w:r w:rsidRPr="0064533C">
              <w:rPr>
                <w:rFonts w:ascii="Arial" w:hAnsi="Arial"/>
                <w:noProof/>
                <w:webHidden/>
              </w:rPr>
              <w:fldChar w:fldCharType="end"/>
            </w:r>
          </w:hyperlink>
        </w:p>
        <w:p w14:paraId="08E8830A" w14:textId="7F7B2083" w:rsidR="003F6BBE" w:rsidRPr="0064533C" w:rsidRDefault="003F6BBE">
          <w:pPr>
            <w:pStyle w:val="TOC1"/>
            <w:rPr>
              <w:rFonts w:ascii="Arial" w:eastAsiaTheme="minorEastAsia" w:hAnsi="Arial"/>
              <w:noProof/>
              <w:kern w:val="2"/>
              <w:szCs w:val="24"/>
              <w:lang w:val="en-US"/>
              <w14:ligatures w14:val="standardContextual"/>
            </w:rPr>
          </w:pPr>
          <w:hyperlink w:anchor="_Toc225720649" w:history="1">
            <w:r w:rsidRPr="0064533C">
              <w:rPr>
                <w:rStyle w:val="Hyperlink"/>
                <w:rFonts w:ascii="Arial" w:hAnsi="Arial"/>
                <w:noProof/>
              </w:rPr>
              <w:t>4.</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Methodology</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_Toc225720649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14</w:t>
            </w:r>
            <w:r w:rsidRPr="0064533C">
              <w:rPr>
                <w:rFonts w:ascii="Arial" w:hAnsi="Arial"/>
                <w:noProof/>
                <w:webHidden/>
              </w:rPr>
              <w:fldChar w:fldCharType="end"/>
            </w:r>
          </w:hyperlink>
        </w:p>
        <w:p w14:paraId="5AF7B98C" w14:textId="2B888275"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50" w:history="1">
            <w:r w:rsidRPr="0064533C">
              <w:rPr>
                <w:rStyle w:val="Hyperlink"/>
                <w:rFonts w:ascii="Arial" w:hAnsi="Arial"/>
                <w:noProof/>
              </w:rPr>
              <w:t>4.1</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Philosophy</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_Toc225720650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14</w:t>
            </w:r>
            <w:r w:rsidRPr="0064533C">
              <w:rPr>
                <w:rFonts w:ascii="Arial" w:hAnsi="Arial"/>
                <w:noProof/>
                <w:webHidden/>
              </w:rPr>
              <w:fldChar w:fldCharType="end"/>
            </w:r>
          </w:hyperlink>
        </w:p>
        <w:p w14:paraId="6C96226C" w14:textId="6B4AD3FA"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51" w:history="1">
            <w:r w:rsidRPr="0064533C">
              <w:rPr>
                <w:rStyle w:val="Hyperlink"/>
                <w:rFonts w:ascii="Arial" w:hAnsi="Arial"/>
                <w:noProof/>
              </w:rPr>
              <w:t>4.2</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Approach</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_Toc225720651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15</w:t>
            </w:r>
            <w:r w:rsidRPr="0064533C">
              <w:rPr>
                <w:rFonts w:ascii="Arial" w:hAnsi="Arial"/>
                <w:noProof/>
                <w:webHidden/>
              </w:rPr>
              <w:fldChar w:fldCharType="end"/>
            </w:r>
          </w:hyperlink>
        </w:p>
        <w:p w14:paraId="56B37F05" w14:textId="5E46AF62"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52" w:history="1">
            <w:r w:rsidRPr="0064533C">
              <w:rPr>
                <w:rStyle w:val="Hyperlink"/>
                <w:rFonts w:ascii="Arial" w:hAnsi="Arial"/>
                <w:noProof/>
              </w:rPr>
              <w:t>4.3</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Design Choice</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_Toc225720652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16</w:t>
            </w:r>
            <w:r w:rsidRPr="0064533C">
              <w:rPr>
                <w:rFonts w:ascii="Arial" w:hAnsi="Arial"/>
                <w:noProof/>
                <w:webHidden/>
              </w:rPr>
              <w:fldChar w:fldCharType="end"/>
            </w:r>
          </w:hyperlink>
        </w:p>
        <w:p w14:paraId="3F1CD156" w14:textId="50E7840F"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53" w:history="1">
            <w:r w:rsidRPr="0064533C">
              <w:rPr>
                <w:rStyle w:val="Hyperlink"/>
                <w:rFonts w:ascii="Arial" w:hAnsi="Arial"/>
                <w:noProof/>
              </w:rPr>
              <w:t>4.4</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Research Strategy</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_Toc225720653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16</w:t>
            </w:r>
            <w:r w:rsidRPr="0064533C">
              <w:rPr>
                <w:rFonts w:ascii="Arial" w:hAnsi="Arial"/>
                <w:noProof/>
                <w:webHidden/>
              </w:rPr>
              <w:fldChar w:fldCharType="end"/>
            </w:r>
          </w:hyperlink>
        </w:p>
        <w:p w14:paraId="4F97A702" w14:textId="1A510F65"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54" w:history="1">
            <w:r w:rsidRPr="0064533C">
              <w:rPr>
                <w:rStyle w:val="Hyperlink"/>
                <w:rFonts w:ascii="Arial" w:hAnsi="Arial"/>
                <w:noProof/>
              </w:rPr>
              <w:t>4.5</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Methodological Suitability Assessment</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_Toc225720654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17</w:t>
            </w:r>
            <w:r w:rsidRPr="0064533C">
              <w:rPr>
                <w:rFonts w:ascii="Arial" w:hAnsi="Arial"/>
                <w:noProof/>
                <w:webHidden/>
              </w:rPr>
              <w:fldChar w:fldCharType="end"/>
            </w:r>
          </w:hyperlink>
        </w:p>
        <w:p w14:paraId="07EEDE9B" w14:textId="4B71C859"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55" w:history="1">
            <w:r w:rsidRPr="0064533C">
              <w:rPr>
                <w:rStyle w:val="Hyperlink"/>
                <w:rFonts w:ascii="Arial" w:hAnsi="Arial"/>
                <w:noProof/>
              </w:rPr>
              <w:t>4.6</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Operational Techniques and Procedures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_Toc225720655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18</w:t>
            </w:r>
            <w:r w:rsidRPr="0064533C">
              <w:rPr>
                <w:rFonts w:ascii="Arial" w:hAnsi="Arial"/>
                <w:noProof/>
                <w:webHidden/>
              </w:rPr>
              <w:fldChar w:fldCharType="end"/>
            </w:r>
          </w:hyperlink>
        </w:p>
        <w:p w14:paraId="71DEA2D8" w14:textId="4E52A386" w:rsidR="003F6BBE" w:rsidRPr="0064533C" w:rsidRDefault="003F6BBE">
          <w:pPr>
            <w:pStyle w:val="TOC3"/>
            <w:tabs>
              <w:tab w:val="left" w:pos="1440"/>
              <w:tab w:val="right" w:leader="dot" w:pos="9350"/>
            </w:tabs>
            <w:rPr>
              <w:rFonts w:ascii="Arial" w:eastAsiaTheme="minorEastAsia" w:hAnsi="Arial"/>
              <w:noProof/>
              <w:kern w:val="2"/>
              <w:szCs w:val="24"/>
              <w:lang w:val="en-US"/>
              <w14:ligatures w14:val="standardContextual"/>
            </w:rPr>
          </w:pPr>
          <w:hyperlink w:anchor="_Toc225720656" w:history="1">
            <w:r w:rsidRPr="0064533C">
              <w:rPr>
                <w:rStyle w:val="Hyperlink"/>
                <w:rFonts w:ascii="Arial" w:hAnsi="Arial"/>
                <w:noProof/>
              </w:rPr>
              <w:t>4.6.1</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Instrumentation and Data Collection Tools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_Toc225720656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18</w:t>
            </w:r>
            <w:r w:rsidRPr="0064533C">
              <w:rPr>
                <w:rFonts w:ascii="Arial" w:hAnsi="Arial"/>
                <w:noProof/>
                <w:webHidden/>
              </w:rPr>
              <w:fldChar w:fldCharType="end"/>
            </w:r>
          </w:hyperlink>
        </w:p>
        <w:p w14:paraId="051A1DB3" w14:textId="7767D3B3" w:rsidR="003F6BBE" w:rsidRPr="0064533C" w:rsidRDefault="003F6BBE">
          <w:pPr>
            <w:pStyle w:val="TOC3"/>
            <w:tabs>
              <w:tab w:val="left" w:pos="1440"/>
              <w:tab w:val="right" w:leader="dot" w:pos="9350"/>
            </w:tabs>
            <w:rPr>
              <w:rFonts w:ascii="Arial" w:eastAsiaTheme="minorEastAsia" w:hAnsi="Arial"/>
              <w:noProof/>
              <w:kern w:val="2"/>
              <w:szCs w:val="24"/>
              <w:lang w:val="en-US"/>
              <w14:ligatures w14:val="standardContextual"/>
            </w:rPr>
          </w:pPr>
          <w:hyperlink w:anchor="_Toc225720657" w:history="1">
            <w:r w:rsidRPr="0064533C">
              <w:rPr>
                <w:rStyle w:val="Hyperlink"/>
                <w:rFonts w:ascii="Arial" w:hAnsi="Arial"/>
                <w:noProof/>
              </w:rPr>
              <w:t>4.6.2</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Sampling Strategy and Target Demographics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_Toc225720657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18</w:t>
            </w:r>
            <w:r w:rsidRPr="0064533C">
              <w:rPr>
                <w:rFonts w:ascii="Arial" w:hAnsi="Arial"/>
                <w:noProof/>
                <w:webHidden/>
              </w:rPr>
              <w:fldChar w:fldCharType="end"/>
            </w:r>
          </w:hyperlink>
        </w:p>
        <w:p w14:paraId="55F21ECA" w14:textId="37924AF1" w:rsidR="003F6BBE" w:rsidRPr="0064533C" w:rsidRDefault="003F6BBE">
          <w:pPr>
            <w:pStyle w:val="TOC3"/>
            <w:tabs>
              <w:tab w:val="left" w:pos="1440"/>
              <w:tab w:val="right" w:leader="dot" w:pos="9350"/>
            </w:tabs>
            <w:rPr>
              <w:rFonts w:ascii="Arial" w:eastAsiaTheme="minorEastAsia" w:hAnsi="Arial"/>
              <w:noProof/>
              <w:kern w:val="2"/>
              <w:szCs w:val="24"/>
              <w:lang w:val="en-US"/>
              <w14:ligatures w14:val="standardContextual"/>
            </w:rPr>
          </w:pPr>
          <w:hyperlink w:anchor="_Toc225720658" w:history="1">
            <w:r w:rsidRPr="0064533C">
              <w:rPr>
                <w:rStyle w:val="Hyperlink"/>
                <w:rFonts w:ascii="Arial" w:hAnsi="Arial"/>
                <w:noProof/>
              </w:rPr>
              <w:t>4.6.3</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Statistical Protocol and Analytical Techniques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_Toc225720658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19</w:t>
            </w:r>
            <w:r w:rsidRPr="0064533C">
              <w:rPr>
                <w:rFonts w:ascii="Arial" w:hAnsi="Arial"/>
                <w:noProof/>
                <w:webHidden/>
              </w:rPr>
              <w:fldChar w:fldCharType="end"/>
            </w:r>
          </w:hyperlink>
        </w:p>
        <w:p w14:paraId="4493FF27" w14:textId="1686E01A"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59" w:history="1">
            <w:r w:rsidRPr="0064533C">
              <w:rPr>
                <w:rStyle w:val="Hyperlink"/>
                <w:rFonts w:ascii="Arial" w:hAnsi="Arial"/>
                <w:noProof/>
              </w:rPr>
              <w:t>4.7</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Anticipated Methodological Limitations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_Toc225720659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20</w:t>
            </w:r>
            <w:r w:rsidRPr="0064533C">
              <w:rPr>
                <w:rFonts w:ascii="Arial" w:hAnsi="Arial"/>
                <w:noProof/>
                <w:webHidden/>
              </w:rPr>
              <w:fldChar w:fldCharType="end"/>
            </w:r>
          </w:hyperlink>
        </w:p>
        <w:p w14:paraId="7CB057DA" w14:textId="4AF633EF" w:rsidR="003F6BBE" w:rsidRPr="0064533C" w:rsidRDefault="003F6BBE">
          <w:pPr>
            <w:pStyle w:val="TOC1"/>
            <w:rPr>
              <w:rFonts w:ascii="Arial" w:eastAsiaTheme="minorEastAsia" w:hAnsi="Arial"/>
              <w:noProof/>
              <w:kern w:val="2"/>
              <w:szCs w:val="24"/>
              <w:lang w:val="en-US"/>
              <w14:ligatures w14:val="standardContextual"/>
            </w:rPr>
          </w:pPr>
          <w:hyperlink w:anchor="_Toc225720660" w:history="1">
            <w:r w:rsidRPr="0064533C">
              <w:rPr>
                <w:rStyle w:val="Hyperlink"/>
                <w:rFonts w:ascii="Arial" w:hAnsi="Arial"/>
                <w:noProof/>
              </w:rPr>
              <w:t>5.</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Resource Implications and Project Timeline</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_Toc225720660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21</w:t>
            </w:r>
            <w:r w:rsidRPr="0064533C">
              <w:rPr>
                <w:rFonts w:ascii="Arial" w:hAnsi="Arial"/>
                <w:noProof/>
                <w:webHidden/>
              </w:rPr>
              <w:fldChar w:fldCharType="end"/>
            </w:r>
          </w:hyperlink>
        </w:p>
        <w:p w14:paraId="14273A7D" w14:textId="614FD511"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61" w:history="1">
            <w:r w:rsidRPr="0064533C">
              <w:rPr>
                <w:rStyle w:val="Hyperlink"/>
                <w:rFonts w:ascii="Arial" w:hAnsi="Arial"/>
                <w:noProof/>
              </w:rPr>
              <w:t>5.1</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Resource Implications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_Toc225720661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21</w:t>
            </w:r>
            <w:r w:rsidRPr="0064533C">
              <w:rPr>
                <w:rFonts w:ascii="Arial" w:hAnsi="Arial"/>
                <w:noProof/>
                <w:webHidden/>
              </w:rPr>
              <w:fldChar w:fldCharType="end"/>
            </w:r>
          </w:hyperlink>
        </w:p>
        <w:p w14:paraId="3FFB7D4A" w14:textId="7CD82930" w:rsidR="003F6BBE" w:rsidRPr="0064533C" w:rsidRDefault="003F6BBE">
          <w:pPr>
            <w:pStyle w:val="TOC2"/>
            <w:tabs>
              <w:tab w:val="left" w:pos="960"/>
              <w:tab w:val="right" w:leader="dot" w:pos="9350"/>
            </w:tabs>
            <w:rPr>
              <w:rFonts w:ascii="Arial" w:eastAsiaTheme="minorEastAsia" w:hAnsi="Arial"/>
              <w:noProof/>
              <w:kern w:val="2"/>
              <w:szCs w:val="24"/>
              <w:lang w:val="en-US"/>
              <w14:ligatures w14:val="standardContextual"/>
            </w:rPr>
          </w:pPr>
          <w:hyperlink w:anchor="_Toc225720662" w:history="1">
            <w:r w:rsidRPr="0064533C">
              <w:rPr>
                <w:rStyle w:val="Hyperlink"/>
                <w:rFonts w:ascii="Arial" w:hAnsi="Arial"/>
                <w:noProof/>
              </w:rPr>
              <w:t>5.2</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Project Timeline</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_Toc225720662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21</w:t>
            </w:r>
            <w:r w:rsidRPr="0064533C">
              <w:rPr>
                <w:rFonts w:ascii="Arial" w:hAnsi="Arial"/>
                <w:noProof/>
                <w:webHidden/>
              </w:rPr>
              <w:fldChar w:fldCharType="end"/>
            </w:r>
          </w:hyperlink>
        </w:p>
        <w:p w14:paraId="2E025C59" w14:textId="25289308" w:rsidR="003F6BBE" w:rsidRPr="0064533C" w:rsidRDefault="003F6BBE">
          <w:pPr>
            <w:pStyle w:val="TOC1"/>
            <w:rPr>
              <w:rFonts w:ascii="Arial" w:eastAsiaTheme="minorEastAsia" w:hAnsi="Arial"/>
              <w:noProof/>
              <w:kern w:val="2"/>
              <w:szCs w:val="24"/>
              <w:lang w:val="en-US"/>
              <w14:ligatures w14:val="standardContextual"/>
            </w:rPr>
          </w:pPr>
          <w:hyperlink w:anchor="_Toc225720663" w:history="1">
            <w:r w:rsidRPr="0064533C">
              <w:rPr>
                <w:rStyle w:val="Hyperlink"/>
                <w:rFonts w:ascii="Arial" w:hAnsi="Arial"/>
                <w:noProof/>
              </w:rPr>
              <w:t>6.</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Ethical Considerations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_Toc225720663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22</w:t>
            </w:r>
            <w:r w:rsidRPr="0064533C">
              <w:rPr>
                <w:rFonts w:ascii="Arial" w:hAnsi="Arial"/>
                <w:noProof/>
                <w:webHidden/>
              </w:rPr>
              <w:fldChar w:fldCharType="end"/>
            </w:r>
          </w:hyperlink>
        </w:p>
        <w:p w14:paraId="2B9D7B5B" w14:textId="5154B03E" w:rsidR="003F6BBE" w:rsidRPr="0064533C" w:rsidRDefault="003F6BBE">
          <w:pPr>
            <w:pStyle w:val="TOC1"/>
            <w:rPr>
              <w:rFonts w:ascii="Arial" w:eastAsiaTheme="minorEastAsia" w:hAnsi="Arial"/>
              <w:noProof/>
              <w:kern w:val="2"/>
              <w:szCs w:val="24"/>
              <w:lang w:val="en-US"/>
              <w14:ligatures w14:val="standardContextual"/>
            </w:rPr>
          </w:pPr>
          <w:hyperlink w:anchor="_Toc225720664" w:history="1">
            <w:r w:rsidRPr="0064533C">
              <w:rPr>
                <w:rStyle w:val="Hyperlink"/>
                <w:rFonts w:ascii="Arial" w:hAnsi="Arial"/>
                <w:noProof/>
              </w:rPr>
              <w:t>7.</w:t>
            </w:r>
            <w:r w:rsidRPr="0064533C">
              <w:rPr>
                <w:rFonts w:ascii="Arial" w:eastAsiaTheme="minorEastAsia" w:hAnsi="Arial"/>
                <w:noProof/>
                <w:kern w:val="2"/>
                <w:szCs w:val="24"/>
                <w:lang w:val="en-US"/>
                <w14:ligatures w14:val="standardContextual"/>
              </w:rPr>
              <w:tab/>
            </w:r>
            <w:r w:rsidRPr="0064533C">
              <w:rPr>
                <w:rStyle w:val="Hyperlink"/>
                <w:rFonts w:ascii="Arial" w:hAnsi="Arial"/>
                <w:noProof/>
              </w:rPr>
              <w:t>References</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_Toc225720664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24</w:t>
            </w:r>
            <w:r w:rsidRPr="0064533C">
              <w:rPr>
                <w:rFonts w:ascii="Arial" w:hAnsi="Arial"/>
                <w:noProof/>
                <w:webHidden/>
              </w:rPr>
              <w:fldChar w:fldCharType="end"/>
            </w:r>
          </w:hyperlink>
        </w:p>
        <w:p w14:paraId="18612743" w14:textId="53920E4D" w:rsidR="008E3643" w:rsidRPr="0064533C" w:rsidRDefault="008E3643">
          <w:pPr>
            <w:rPr>
              <w:rFonts w:ascii="Arial" w:hAnsi="Arial"/>
            </w:rPr>
          </w:pPr>
          <w:r w:rsidRPr="0064533C">
            <w:rPr>
              <w:rFonts w:ascii="Arial" w:hAnsi="Arial"/>
              <w:b/>
              <w:bCs/>
              <w:noProof/>
            </w:rPr>
            <w:fldChar w:fldCharType="end"/>
          </w:r>
        </w:p>
      </w:sdtContent>
    </w:sdt>
    <w:p w14:paraId="6C8635F7" w14:textId="77777777" w:rsidR="003F6BBE" w:rsidRPr="0064533C" w:rsidRDefault="003F6BBE">
      <w:pPr>
        <w:spacing w:line="240" w:lineRule="auto"/>
        <w:jc w:val="left"/>
        <w:rPr>
          <w:rFonts w:ascii="Arial" w:hAnsi="Arial"/>
        </w:rPr>
      </w:pPr>
      <w:r w:rsidRPr="0064533C">
        <w:rPr>
          <w:rFonts w:ascii="Arial" w:hAnsi="Arial"/>
        </w:rPr>
        <w:br w:type="page"/>
      </w:r>
    </w:p>
    <w:p w14:paraId="71BB1DB8" w14:textId="77777777" w:rsidR="003F6BBE" w:rsidRPr="0064533C" w:rsidRDefault="003F6BBE" w:rsidP="003F6BBE">
      <w:pPr>
        <w:pStyle w:val="Heading1"/>
        <w:rPr>
          <w:rFonts w:ascii="Arial" w:hAnsi="Arial"/>
        </w:rPr>
      </w:pPr>
      <w:bookmarkStart w:id="1" w:name="_Toc225720632"/>
      <w:r w:rsidRPr="0064533C">
        <w:rPr>
          <w:rFonts w:ascii="Arial" w:hAnsi="Arial"/>
        </w:rPr>
        <w:lastRenderedPageBreak/>
        <w:t>List of Figures</w:t>
      </w:r>
      <w:bookmarkEnd w:id="1"/>
    </w:p>
    <w:p w14:paraId="0EA0D030" w14:textId="77777777" w:rsidR="003F6BBE" w:rsidRPr="0064533C" w:rsidRDefault="003F6BBE">
      <w:pPr>
        <w:spacing w:line="240" w:lineRule="auto"/>
        <w:jc w:val="left"/>
        <w:rPr>
          <w:rFonts w:ascii="Arial" w:hAnsi="Arial"/>
        </w:rPr>
      </w:pPr>
    </w:p>
    <w:p w14:paraId="214F1BEE" w14:textId="15E2E8E3" w:rsidR="003F6BBE" w:rsidRPr="0064533C" w:rsidRDefault="003F6BBE">
      <w:pPr>
        <w:pStyle w:val="TableofFigures"/>
        <w:tabs>
          <w:tab w:val="right" w:leader="dot" w:pos="9350"/>
        </w:tabs>
        <w:rPr>
          <w:rFonts w:ascii="Arial" w:hAnsi="Arial"/>
          <w:noProof/>
        </w:rPr>
      </w:pPr>
      <w:r w:rsidRPr="0064533C">
        <w:rPr>
          <w:rFonts w:ascii="Arial" w:hAnsi="Arial"/>
        </w:rPr>
        <w:fldChar w:fldCharType="begin"/>
      </w:r>
      <w:r w:rsidRPr="0064533C">
        <w:rPr>
          <w:rFonts w:ascii="Arial" w:hAnsi="Arial"/>
        </w:rPr>
        <w:instrText xml:space="preserve"> TOC \h \z \c "Figure" </w:instrText>
      </w:r>
      <w:r w:rsidRPr="0064533C">
        <w:rPr>
          <w:rFonts w:ascii="Arial" w:hAnsi="Arial"/>
        </w:rPr>
        <w:fldChar w:fldCharType="separate"/>
      </w:r>
      <w:hyperlink w:anchor="_Toc225720623" w:history="1">
        <w:r w:rsidRPr="0064533C">
          <w:rPr>
            <w:rStyle w:val="Hyperlink"/>
            <w:rFonts w:ascii="Arial" w:hAnsi="Arial"/>
            <w:noProof/>
          </w:rPr>
          <w:t>Figure 1: Conceptual Framework of the Study (Source: Author)</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_Toc225720623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13</w:t>
        </w:r>
        <w:r w:rsidRPr="0064533C">
          <w:rPr>
            <w:rFonts w:ascii="Arial" w:hAnsi="Arial"/>
            <w:noProof/>
            <w:webHidden/>
          </w:rPr>
          <w:fldChar w:fldCharType="end"/>
        </w:r>
      </w:hyperlink>
    </w:p>
    <w:p w14:paraId="72EF3FAA" w14:textId="383C2148" w:rsidR="003F6BBE" w:rsidRPr="0064533C" w:rsidRDefault="003F6BBE">
      <w:pPr>
        <w:pStyle w:val="TableofFigures"/>
        <w:tabs>
          <w:tab w:val="right" w:leader="dot" w:pos="9350"/>
        </w:tabs>
        <w:rPr>
          <w:rFonts w:ascii="Arial" w:hAnsi="Arial"/>
          <w:noProof/>
        </w:rPr>
      </w:pPr>
      <w:hyperlink w:anchor="_Toc225720624" w:history="1">
        <w:r w:rsidRPr="0064533C">
          <w:rPr>
            <w:rStyle w:val="Hyperlink"/>
            <w:rFonts w:ascii="Arial" w:hAnsi="Arial"/>
            <w:noProof/>
          </w:rPr>
          <w:t>Figure 2: The “Research Onion” framework created by Saunders, Lewis and Thornhill (2019)</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_Toc225720624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14</w:t>
        </w:r>
        <w:r w:rsidRPr="0064533C">
          <w:rPr>
            <w:rFonts w:ascii="Arial" w:hAnsi="Arial"/>
            <w:noProof/>
            <w:webHidden/>
          </w:rPr>
          <w:fldChar w:fldCharType="end"/>
        </w:r>
      </w:hyperlink>
    </w:p>
    <w:p w14:paraId="493ABC05" w14:textId="5F6A6487" w:rsidR="003F6BBE" w:rsidRPr="0064533C" w:rsidRDefault="003F6BBE">
      <w:pPr>
        <w:spacing w:line="240" w:lineRule="auto"/>
        <w:jc w:val="left"/>
        <w:rPr>
          <w:rFonts w:ascii="Arial" w:hAnsi="Arial"/>
        </w:rPr>
      </w:pPr>
      <w:r w:rsidRPr="0064533C">
        <w:rPr>
          <w:rFonts w:ascii="Arial" w:hAnsi="Arial"/>
        </w:rPr>
        <w:fldChar w:fldCharType="end"/>
      </w:r>
    </w:p>
    <w:p w14:paraId="120FA2B8" w14:textId="77777777" w:rsidR="003F6BBE" w:rsidRPr="0064533C" w:rsidRDefault="003F6BBE">
      <w:pPr>
        <w:spacing w:line="240" w:lineRule="auto"/>
        <w:jc w:val="left"/>
        <w:rPr>
          <w:rFonts w:ascii="Arial" w:hAnsi="Arial"/>
        </w:rPr>
      </w:pPr>
    </w:p>
    <w:p w14:paraId="08BCC9F3" w14:textId="77777777" w:rsidR="003F6BBE" w:rsidRPr="0064533C" w:rsidRDefault="003F6BBE">
      <w:pPr>
        <w:spacing w:line="240" w:lineRule="auto"/>
        <w:jc w:val="left"/>
        <w:rPr>
          <w:rFonts w:ascii="Arial" w:hAnsi="Arial"/>
        </w:rPr>
      </w:pPr>
    </w:p>
    <w:p w14:paraId="7A10963B" w14:textId="77777777" w:rsidR="003F6BBE" w:rsidRPr="0064533C" w:rsidRDefault="003F6BBE">
      <w:pPr>
        <w:spacing w:line="240" w:lineRule="auto"/>
        <w:jc w:val="left"/>
        <w:rPr>
          <w:rFonts w:ascii="Arial" w:hAnsi="Arial"/>
        </w:rPr>
      </w:pPr>
    </w:p>
    <w:p w14:paraId="2E0773E1" w14:textId="77777777" w:rsidR="003F6BBE" w:rsidRPr="0064533C" w:rsidRDefault="003F6BBE">
      <w:pPr>
        <w:spacing w:line="240" w:lineRule="auto"/>
        <w:jc w:val="left"/>
        <w:rPr>
          <w:rFonts w:ascii="Arial" w:hAnsi="Arial"/>
        </w:rPr>
      </w:pPr>
    </w:p>
    <w:p w14:paraId="53AD6A73" w14:textId="77777777" w:rsidR="003F6BBE" w:rsidRPr="0064533C" w:rsidRDefault="003F6BBE">
      <w:pPr>
        <w:spacing w:line="240" w:lineRule="auto"/>
        <w:jc w:val="left"/>
        <w:rPr>
          <w:rFonts w:ascii="Arial" w:hAnsi="Arial"/>
        </w:rPr>
      </w:pPr>
    </w:p>
    <w:p w14:paraId="359C61CC" w14:textId="77777777" w:rsidR="003F6BBE" w:rsidRPr="0064533C" w:rsidRDefault="003F6BBE" w:rsidP="003F6BBE">
      <w:pPr>
        <w:pStyle w:val="Heading1"/>
        <w:rPr>
          <w:rFonts w:ascii="Arial" w:hAnsi="Arial"/>
        </w:rPr>
      </w:pPr>
      <w:bookmarkStart w:id="2" w:name="_Toc225720633"/>
      <w:r w:rsidRPr="0064533C">
        <w:rPr>
          <w:rFonts w:ascii="Arial" w:hAnsi="Arial"/>
        </w:rPr>
        <w:t>List of Tables</w:t>
      </w:r>
      <w:bookmarkEnd w:id="2"/>
    </w:p>
    <w:p w14:paraId="522DBE3A" w14:textId="77777777" w:rsidR="003F6BBE" w:rsidRPr="0064533C" w:rsidRDefault="003F6BBE">
      <w:pPr>
        <w:spacing w:line="240" w:lineRule="auto"/>
        <w:jc w:val="left"/>
        <w:rPr>
          <w:rFonts w:ascii="Arial" w:hAnsi="Arial"/>
        </w:rPr>
      </w:pPr>
    </w:p>
    <w:p w14:paraId="58698A9C" w14:textId="1F128DDF" w:rsidR="003F6BBE" w:rsidRPr="0064533C" w:rsidRDefault="003F6BBE">
      <w:pPr>
        <w:pStyle w:val="TableofFigures"/>
        <w:tabs>
          <w:tab w:val="right" w:leader="dot" w:pos="9350"/>
        </w:tabs>
        <w:rPr>
          <w:rFonts w:ascii="Arial" w:eastAsiaTheme="minorEastAsia" w:hAnsi="Arial"/>
          <w:noProof/>
          <w:kern w:val="2"/>
          <w:szCs w:val="24"/>
          <w:lang w:val="en-US"/>
          <w14:ligatures w14:val="standardContextual"/>
        </w:rPr>
      </w:pPr>
      <w:r w:rsidRPr="0064533C">
        <w:rPr>
          <w:rFonts w:ascii="Arial" w:hAnsi="Arial"/>
        </w:rPr>
        <w:fldChar w:fldCharType="begin"/>
      </w:r>
      <w:r w:rsidRPr="0064533C">
        <w:rPr>
          <w:rFonts w:ascii="Arial" w:hAnsi="Arial"/>
        </w:rPr>
        <w:instrText xml:space="preserve"> TOC \h \z \c "Table" </w:instrText>
      </w:r>
      <w:r w:rsidRPr="0064533C">
        <w:rPr>
          <w:rFonts w:ascii="Arial" w:hAnsi="Arial"/>
        </w:rPr>
        <w:fldChar w:fldCharType="separate"/>
      </w:r>
      <w:hyperlink w:anchor="_Toc225720625" w:history="1">
        <w:r w:rsidRPr="0064533C">
          <w:rPr>
            <w:rStyle w:val="Hyperlink"/>
            <w:rFonts w:ascii="Arial" w:hAnsi="Arial"/>
            <w:noProof/>
          </w:rPr>
          <w:t>Table 1: Project Timeline of the Study (Source: Author)</w:t>
        </w:r>
        <w:r w:rsidRPr="0064533C">
          <w:rPr>
            <w:rFonts w:ascii="Arial" w:hAnsi="Arial"/>
            <w:noProof/>
            <w:webHidden/>
          </w:rPr>
          <w:tab/>
        </w:r>
        <w:r w:rsidRPr="0064533C">
          <w:rPr>
            <w:rFonts w:ascii="Arial" w:hAnsi="Arial"/>
            <w:noProof/>
            <w:webHidden/>
          </w:rPr>
          <w:fldChar w:fldCharType="begin"/>
        </w:r>
        <w:r w:rsidRPr="0064533C">
          <w:rPr>
            <w:rFonts w:ascii="Arial" w:hAnsi="Arial"/>
            <w:noProof/>
            <w:webHidden/>
          </w:rPr>
          <w:instrText xml:space="preserve"> PAGEREF _Toc225720625 \h </w:instrText>
        </w:r>
        <w:r w:rsidRPr="0064533C">
          <w:rPr>
            <w:rFonts w:ascii="Arial" w:hAnsi="Arial"/>
            <w:noProof/>
            <w:webHidden/>
          </w:rPr>
        </w:r>
        <w:r w:rsidRPr="0064533C">
          <w:rPr>
            <w:rFonts w:ascii="Arial" w:hAnsi="Arial"/>
            <w:noProof/>
            <w:webHidden/>
          </w:rPr>
          <w:fldChar w:fldCharType="separate"/>
        </w:r>
        <w:r w:rsidRPr="0064533C">
          <w:rPr>
            <w:rFonts w:ascii="Arial" w:hAnsi="Arial"/>
            <w:noProof/>
            <w:webHidden/>
          </w:rPr>
          <w:t>22</w:t>
        </w:r>
        <w:r w:rsidRPr="0064533C">
          <w:rPr>
            <w:rFonts w:ascii="Arial" w:hAnsi="Arial"/>
            <w:noProof/>
            <w:webHidden/>
          </w:rPr>
          <w:fldChar w:fldCharType="end"/>
        </w:r>
      </w:hyperlink>
    </w:p>
    <w:p w14:paraId="35834038" w14:textId="63F76247" w:rsidR="003F6BBE" w:rsidRPr="0064533C" w:rsidRDefault="003F6BBE">
      <w:pPr>
        <w:spacing w:line="240" w:lineRule="auto"/>
        <w:jc w:val="left"/>
        <w:rPr>
          <w:rFonts w:ascii="Arial" w:hAnsi="Arial"/>
        </w:rPr>
      </w:pPr>
      <w:r w:rsidRPr="0064533C">
        <w:rPr>
          <w:rFonts w:ascii="Arial" w:hAnsi="Arial"/>
        </w:rPr>
        <w:fldChar w:fldCharType="end"/>
      </w:r>
    </w:p>
    <w:p w14:paraId="663B6AB3" w14:textId="3FE7AA76" w:rsidR="008E3643" w:rsidRPr="0064533C" w:rsidRDefault="008E3643">
      <w:pPr>
        <w:spacing w:line="240" w:lineRule="auto"/>
        <w:jc w:val="left"/>
        <w:rPr>
          <w:rFonts w:ascii="Arial" w:hAnsi="Arial"/>
        </w:rPr>
      </w:pPr>
      <w:r w:rsidRPr="0064533C">
        <w:rPr>
          <w:rFonts w:ascii="Arial" w:hAnsi="Arial"/>
        </w:rPr>
        <w:br w:type="page"/>
      </w:r>
    </w:p>
    <w:p w14:paraId="59E973FE" w14:textId="230732FA" w:rsidR="00DA1654" w:rsidRPr="0064533C" w:rsidRDefault="00000000" w:rsidP="003F6BBE">
      <w:pPr>
        <w:pStyle w:val="Heading1"/>
        <w:numPr>
          <w:ilvl w:val="0"/>
          <w:numId w:val="14"/>
        </w:numPr>
        <w:rPr>
          <w:rFonts w:ascii="Arial" w:hAnsi="Arial"/>
        </w:rPr>
      </w:pPr>
      <w:bookmarkStart w:id="3" w:name="_Toc225720634"/>
      <w:r w:rsidRPr="0064533C">
        <w:rPr>
          <w:rFonts w:ascii="Arial" w:hAnsi="Arial"/>
        </w:rPr>
        <w:lastRenderedPageBreak/>
        <w:t>Introduction and Rationale</w:t>
      </w:r>
      <w:bookmarkEnd w:id="3"/>
    </w:p>
    <w:p w14:paraId="6C13C8CA" w14:textId="7740CBE2" w:rsidR="00DA1654" w:rsidRPr="0064533C" w:rsidRDefault="00000000" w:rsidP="00A43232">
      <w:pPr>
        <w:pStyle w:val="Heading2"/>
        <w:rPr>
          <w:rFonts w:ascii="Arial" w:hAnsi="Arial"/>
        </w:rPr>
      </w:pPr>
      <w:bookmarkStart w:id="4" w:name="_Toc225720635"/>
      <w:r w:rsidRPr="0064533C">
        <w:rPr>
          <w:rFonts w:ascii="Arial" w:hAnsi="Arial"/>
        </w:rPr>
        <w:t>Background to the Research</w:t>
      </w:r>
      <w:bookmarkEnd w:id="4"/>
    </w:p>
    <w:p w14:paraId="22A7E037" w14:textId="3D75FE01"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The contemporary retail industry especially at the frontline, customer-facing jobs are naturally marked with specific, intense occupational stress factors. These encompass unremitting emotional labour, stressful and often aggressive communication with customers, erratic algorithm work shifts, and unstable employment relations, all of which combine in an all too critical employee burnout and </w:t>
      </w:r>
      <w:r w:rsidR="000014F0" w:rsidRPr="0064533C">
        <w:rPr>
          <w:rFonts w:ascii="Arial" w:eastAsia="Google Sans" w:hAnsi="Arial"/>
          <w:color w:val="1F1F1F"/>
        </w:rPr>
        <w:t xml:space="preserve">subsequent turnover </w:t>
      </w:r>
      <w:r w:rsidRPr="0064533C">
        <w:rPr>
          <w:rFonts w:ascii="Arial" w:eastAsia="Google Sans" w:hAnsi="Arial"/>
          <w:color w:val="1F1F1F"/>
        </w:rPr>
        <w:t>(Pienaar et al., 2025; Zhang et al., 2025; Evans, 2016). Following the most recent economic shocks in the world and the changing post-pandemic labour dynamics, the UK retail sector has experienced a dramatic retention crisis, commonly known in the human resources discipline as the Great Resignation of the frontline (Wallace and Coughlan, 2022; Wandelt and Wang, 2024).</w:t>
      </w:r>
    </w:p>
    <w:p w14:paraId="1D516A7C" w14:textId="2724C777"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This rising rate of attrition has seen a growing concern of the immense significance of corporate wellbeing </w:t>
      </w:r>
      <w:r w:rsidR="000014F0" w:rsidRPr="0064533C">
        <w:rPr>
          <w:rFonts w:ascii="Arial" w:eastAsia="Google Sans" w:hAnsi="Arial"/>
          <w:color w:val="1F1F1F"/>
        </w:rPr>
        <w:t>programmes</w:t>
      </w:r>
      <w:r w:rsidRPr="0064533C">
        <w:rPr>
          <w:rFonts w:ascii="Arial" w:eastAsia="Google Sans" w:hAnsi="Arial"/>
          <w:color w:val="1F1F1F"/>
        </w:rPr>
        <w:t>. Previously regarded as a case of discretionary employee benefits, strong wellbeing initiatives have recently become a set of organisational sustainability, risk mitigation, and competitive advantage in their own right (</w:t>
      </w:r>
      <w:r w:rsidR="00303DAC" w:rsidRPr="0064533C">
        <w:rPr>
          <w:rFonts w:ascii="Arial" w:eastAsia="Google Sans" w:hAnsi="Arial"/>
          <w:color w:val="1F1F1F"/>
        </w:rPr>
        <w:t xml:space="preserve">Gelencsér </w:t>
      </w:r>
      <w:r w:rsidRPr="0064533C">
        <w:rPr>
          <w:rFonts w:ascii="Arial" w:eastAsia="Google Sans" w:hAnsi="Arial"/>
          <w:color w:val="1F1F1F"/>
        </w:rPr>
        <w:t>et al., 2023; Zhou et al., 2024). As a result, UK-based retail companies have been keen on investing in wellness portfolios such as digital mental health applications and Employee Assistance Programmes (EAPs) as well as mindfulness training and financial wellbeing seminars (Zoghbi-Manrique-de-Lara et al., 2019).</w:t>
      </w:r>
    </w:p>
    <w:p w14:paraId="576EDBFB" w14:textId="770789DD" w:rsidR="00A43232" w:rsidRPr="0064533C" w:rsidRDefault="00A43232" w:rsidP="00A43232">
      <w:pPr>
        <w:pStyle w:val="Heading2"/>
        <w:rPr>
          <w:rFonts w:ascii="Arial" w:hAnsi="Arial"/>
        </w:rPr>
      </w:pPr>
      <w:bookmarkStart w:id="5" w:name="_Toc225720636"/>
      <w:r w:rsidRPr="0064533C">
        <w:rPr>
          <w:rFonts w:ascii="Arial" w:hAnsi="Arial"/>
        </w:rPr>
        <w:t>Research Problem</w:t>
      </w:r>
      <w:bookmarkEnd w:id="5"/>
    </w:p>
    <w:p w14:paraId="52FA0A38" w14:textId="2D4E3908"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Using the Iceberg Model of identifying the problem (Quinlan et al., 2019; Zikmund et al., 2013), the observable problem (the waterline problem) is the chronic, economically debilitating rate of </w:t>
      </w:r>
      <w:r w:rsidR="000014F0" w:rsidRPr="0064533C">
        <w:rPr>
          <w:rFonts w:ascii="Arial" w:eastAsia="Google Sans" w:hAnsi="Arial"/>
          <w:color w:val="1F1F1F"/>
        </w:rPr>
        <w:t xml:space="preserve">staff turnover </w:t>
      </w:r>
      <w:r w:rsidRPr="0064533C">
        <w:rPr>
          <w:rFonts w:ascii="Arial" w:eastAsia="Google Sans" w:hAnsi="Arial"/>
          <w:color w:val="1F1F1F"/>
        </w:rPr>
        <w:t>in the UK retail stores. Although human resource departments report on financial expenditure toward corporate wellbeing platforms, such financial outlay is not often yielding concrete gains in the retention in the shop floor (Zhai et al., 2025; Allen et al., 2010).</w:t>
      </w:r>
    </w:p>
    <w:p w14:paraId="5D66DE9C" w14:textId="689AA903"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lastRenderedPageBreak/>
        <w:t>The real problem is a profound gap in efficacy and accessibility, that is essentially beneath the surface. Although corporate leaders are conscious of burnout, a gap in the empirical knowledge on how such interventions directly influences the frontline retail staff remains a problem, which has historically been central to the bigger corporate wellbeing discussion, once dominated by office-based and white-collar employees (Wallace and Coughlan, 2022; Bakker and Demerouti, 2016). In fact, according to various reports by frontline workers, corporate wellbeing programmes are either unavailable when there is intense shift or they are part of performative box-ticking interventions that do not focus on the causes of their exhaustion (Cohen et al., 2023; Varga et al., 2021). The retail corporations are now acting on assumption of wellbeing efficacy instead of measuring wellbeing by empirically validated measures that are based on the most vulnerable employee groups.</w:t>
      </w:r>
    </w:p>
    <w:p w14:paraId="4E76DF76" w14:textId="3FB29352" w:rsidR="00A43232" w:rsidRPr="0064533C" w:rsidRDefault="00A43232" w:rsidP="00A43232">
      <w:pPr>
        <w:pStyle w:val="Heading2"/>
        <w:rPr>
          <w:rFonts w:ascii="Arial" w:hAnsi="Arial"/>
        </w:rPr>
      </w:pPr>
      <w:bookmarkStart w:id="6" w:name="_Toc225720637"/>
      <w:r w:rsidRPr="0064533C">
        <w:rPr>
          <w:rFonts w:ascii="Arial" w:hAnsi="Arial"/>
        </w:rPr>
        <w:t>Significance of the Study</w:t>
      </w:r>
      <w:bookmarkEnd w:id="6"/>
    </w:p>
    <w:p w14:paraId="41679513" w14:textId="211EEDA2"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This research includes deep theoretical insights and value in practical terms. In theory, it fills a gap in the literature on Organisational Behaviour (OB) literature because it </w:t>
      </w:r>
      <w:r w:rsidR="00303DAC" w:rsidRPr="0064533C">
        <w:rPr>
          <w:rFonts w:ascii="Arial" w:eastAsia="Google Sans" w:hAnsi="Arial"/>
          <w:color w:val="1F1F1F"/>
        </w:rPr>
        <w:t xml:space="preserve">isolates the exclusive use of frontline retail staff </w:t>
      </w:r>
      <w:r w:rsidRPr="0064533C">
        <w:rPr>
          <w:rFonts w:ascii="Arial" w:eastAsia="Google Sans" w:hAnsi="Arial"/>
          <w:color w:val="1F1F1F"/>
        </w:rPr>
        <w:t>serving as a unique unit of analysis. It directly and indirectly examines the impact of wellbeing programme participation on turnover intention through the mediation of burnout. In such a way, this study can provide the current body of evidence with new empirical data tuned to the environment of the modern UK retail, adjusting these approaches to their reality, namely, to Job Demands-Resources (JD-R) and Social Exchange Theory (Maalouf et al., 2023).</w:t>
      </w:r>
    </w:p>
    <w:p w14:paraId="22C7C816" w14:textId="2B5FF46E" w:rsidR="00DA1654"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In practice, employing a stringent quantitative approach, the research will provide HR directors, the managers of retail operations, and corporate policymakers with the solid empirical information. This information will enable them to audit and overhaul the existing investments in wellbeing strategically, changing the current operational priorities </w:t>
      </w:r>
      <w:r w:rsidR="00A51B44" w:rsidRPr="0064533C">
        <w:rPr>
          <w:rFonts w:ascii="Arial" w:eastAsia="Google Sans" w:hAnsi="Arial"/>
          <w:color w:val="1F1F1F"/>
        </w:rPr>
        <w:t>away from superficial corporate amenities towards psychologically robust interventions that genuinely address frontline burnout</w:t>
      </w:r>
      <w:r w:rsidRPr="0064533C">
        <w:rPr>
          <w:rFonts w:ascii="Arial" w:eastAsia="Google Sans" w:hAnsi="Arial"/>
          <w:color w:val="1F1F1F"/>
        </w:rPr>
        <w:t>, maximi</w:t>
      </w:r>
      <w:r w:rsidR="00804D47" w:rsidRPr="0064533C">
        <w:rPr>
          <w:rFonts w:ascii="Arial" w:eastAsia="Google Sans" w:hAnsi="Arial"/>
          <w:color w:val="1F1F1F"/>
        </w:rPr>
        <w:t>s</w:t>
      </w:r>
      <w:r w:rsidRPr="0064533C">
        <w:rPr>
          <w:rFonts w:ascii="Arial" w:eastAsia="Google Sans" w:hAnsi="Arial"/>
          <w:color w:val="1F1F1F"/>
        </w:rPr>
        <w:t>ing their human capital Return on Investment (ROI) and stabili</w:t>
      </w:r>
      <w:r w:rsidR="00804D47" w:rsidRPr="0064533C">
        <w:rPr>
          <w:rFonts w:ascii="Arial" w:eastAsia="Google Sans" w:hAnsi="Arial"/>
          <w:color w:val="1F1F1F"/>
        </w:rPr>
        <w:t>s</w:t>
      </w:r>
      <w:r w:rsidRPr="0064533C">
        <w:rPr>
          <w:rFonts w:ascii="Arial" w:eastAsia="Google Sans" w:hAnsi="Arial"/>
          <w:color w:val="1F1F1F"/>
        </w:rPr>
        <w:t xml:space="preserve">ing the </w:t>
      </w:r>
      <w:r w:rsidR="00804D47" w:rsidRPr="0064533C">
        <w:rPr>
          <w:rFonts w:ascii="Arial" w:eastAsia="Google Sans" w:hAnsi="Arial"/>
          <w:color w:val="1F1F1F"/>
        </w:rPr>
        <w:t>labour</w:t>
      </w:r>
      <w:r w:rsidRPr="0064533C">
        <w:rPr>
          <w:rFonts w:ascii="Arial" w:eastAsia="Google Sans" w:hAnsi="Arial"/>
          <w:color w:val="1F1F1F"/>
        </w:rPr>
        <w:t xml:space="preserve"> force.</w:t>
      </w:r>
    </w:p>
    <w:p w14:paraId="6553C7E9" w14:textId="15C499AF" w:rsidR="00DA1654" w:rsidRPr="0064533C" w:rsidRDefault="00000000" w:rsidP="003F6BBE">
      <w:pPr>
        <w:pStyle w:val="Heading1"/>
        <w:rPr>
          <w:rFonts w:ascii="Arial" w:hAnsi="Arial"/>
        </w:rPr>
      </w:pPr>
      <w:bookmarkStart w:id="7" w:name="_Toc225720638"/>
      <w:r w:rsidRPr="0064533C">
        <w:rPr>
          <w:rFonts w:ascii="Arial" w:hAnsi="Arial"/>
        </w:rPr>
        <w:lastRenderedPageBreak/>
        <w:t>Research Aim, Objectives, and Questions</w:t>
      </w:r>
      <w:bookmarkEnd w:id="7"/>
    </w:p>
    <w:p w14:paraId="5A292044" w14:textId="77777777" w:rsidR="00DA1654" w:rsidRPr="0064533C" w:rsidRDefault="00000000" w:rsidP="00CE479A">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To ensure rigorous methodological alignment and establish a clear 'Golden Thread' throughout the proposal, this study strictly adheres to the principle of conceptual mapping. This ensures a 1:1 relationship between research objectives and research questions.</w:t>
      </w:r>
    </w:p>
    <w:p w14:paraId="76C7BCBF" w14:textId="330189E4" w:rsidR="00DA1654" w:rsidRPr="0064533C" w:rsidRDefault="00000000" w:rsidP="003F6BBE">
      <w:pPr>
        <w:pStyle w:val="Heading2"/>
        <w:rPr>
          <w:rFonts w:ascii="Arial" w:hAnsi="Arial"/>
        </w:rPr>
      </w:pPr>
      <w:bookmarkStart w:id="8" w:name="_Toc225720639"/>
      <w:r w:rsidRPr="0064533C">
        <w:rPr>
          <w:rFonts w:ascii="Arial" w:hAnsi="Arial"/>
        </w:rPr>
        <w:t>Research Aim</w:t>
      </w:r>
      <w:bookmarkEnd w:id="8"/>
    </w:p>
    <w:p w14:paraId="67A0E8BD" w14:textId="77777777" w:rsidR="00DA1654" w:rsidRPr="0064533C" w:rsidRDefault="00000000" w:rsidP="00CE479A">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The overarching aim of this research is to critically evaluate and quantitatively measure the effectiveness of corporate wellbeing initiatives in mitigating burnout and improving employee retention among frontline retail staff in the UK.</w:t>
      </w:r>
    </w:p>
    <w:p w14:paraId="230D9685" w14:textId="14B37AA7" w:rsidR="00DA1654" w:rsidRPr="0064533C" w:rsidRDefault="00000000" w:rsidP="003F6BBE">
      <w:pPr>
        <w:pStyle w:val="Heading2"/>
        <w:rPr>
          <w:rFonts w:ascii="Arial" w:hAnsi="Arial"/>
        </w:rPr>
      </w:pPr>
      <w:bookmarkStart w:id="9" w:name="_Toc225720640"/>
      <w:r w:rsidRPr="0064533C">
        <w:rPr>
          <w:rFonts w:ascii="Arial" w:hAnsi="Arial"/>
        </w:rPr>
        <w:t>Research Objectives</w:t>
      </w:r>
      <w:bookmarkEnd w:id="9"/>
    </w:p>
    <w:p w14:paraId="5B542975" w14:textId="77777777" w:rsidR="00DA1654" w:rsidRPr="0064533C" w:rsidRDefault="00000000" w:rsidP="00CE479A">
      <w:pPr>
        <w:numPr>
          <w:ilvl w:val="0"/>
          <w:numId w:val="1"/>
        </w:numPr>
        <w:pBdr>
          <w:top w:val="nil"/>
          <w:left w:val="nil"/>
          <w:bottom w:val="nil"/>
          <w:right w:val="nil"/>
          <w:between w:val="nil"/>
        </w:pBdr>
        <w:rPr>
          <w:rFonts w:ascii="Arial" w:hAnsi="Arial"/>
        </w:rPr>
      </w:pPr>
      <w:r w:rsidRPr="0064533C">
        <w:rPr>
          <w:rFonts w:ascii="Arial" w:eastAsia="Google Sans" w:hAnsi="Arial"/>
          <w:color w:val="1F1F1F"/>
        </w:rPr>
        <w:t>To evaluate the current severity of burnout and the perceived accessibility of existing corporate wellbeing initiatives among UK frontline retail staff.</w:t>
      </w:r>
    </w:p>
    <w:p w14:paraId="46C74FBC" w14:textId="77777777" w:rsidR="00DA1654" w:rsidRPr="0064533C" w:rsidRDefault="00000000" w:rsidP="00CE479A">
      <w:pPr>
        <w:numPr>
          <w:ilvl w:val="0"/>
          <w:numId w:val="1"/>
        </w:numPr>
        <w:pBdr>
          <w:top w:val="nil"/>
          <w:left w:val="nil"/>
          <w:bottom w:val="nil"/>
          <w:right w:val="nil"/>
          <w:between w:val="nil"/>
        </w:pBdr>
        <w:rPr>
          <w:rFonts w:ascii="Arial" w:hAnsi="Arial"/>
        </w:rPr>
      </w:pPr>
      <w:r w:rsidRPr="0064533C">
        <w:rPr>
          <w:rFonts w:ascii="Arial" w:eastAsia="Google Sans" w:hAnsi="Arial"/>
          <w:color w:val="1F1F1F"/>
        </w:rPr>
        <w:t>To analyse the statistical correlation between employee participation in corporate wellbeing initiatives and the reduction of specific burnout symptoms.</w:t>
      </w:r>
    </w:p>
    <w:p w14:paraId="674ABE27" w14:textId="77777777" w:rsidR="00DA1654" w:rsidRPr="0064533C" w:rsidRDefault="00000000" w:rsidP="00CE479A">
      <w:pPr>
        <w:numPr>
          <w:ilvl w:val="0"/>
          <w:numId w:val="1"/>
        </w:numPr>
        <w:pBdr>
          <w:top w:val="nil"/>
          <w:left w:val="nil"/>
          <w:bottom w:val="nil"/>
          <w:right w:val="nil"/>
          <w:between w:val="nil"/>
        </w:pBdr>
        <w:spacing w:after="120"/>
        <w:rPr>
          <w:rFonts w:ascii="Arial" w:hAnsi="Arial"/>
        </w:rPr>
      </w:pPr>
      <w:r w:rsidRPr="0064533C">
        <w:rPr>
          <w:rFonts w:ascii="Arial" w:eastAsia="Google Sans" w:hAnsi="Arial"/>
          <w:color w:val="1F1F1F"/>
        </w:rPr>
        <w:t>To synthesise the mediating role of burnout severity in the statistical relationship between wellbeing initiative participation and employee turnover intention.</w:t>
      </w:r>
    </w:p>
    <w:p w14:paraId="396DDCB9" w14:textId="5A68BC12" w:rsidR="00DA1654" w:rsidRPr="0064533C" w:rsidRDefault="00000000" w:rsidP="003F6BBE">
      <w:pPr>
        <w:pStyle w:val="Heading2"/>
        <w:rPr>
          <w:rFonts w:ascii="Arial" w:hAnsi="Arial"/>
        </w:rPr>
      </w:pPr>
      <w:bookmarkStart w:id="10" w:name="_Toc225720641"/>
      <w:r w:rsidRPr="0064533C">
        <w:rPr>
          <w:rFonts w:ascii="Arial" w:hAnsi="Arial"/>
        </w:rPr>
        <w:t>Research Questions</w:t>
      </w:r>
      <w:bookmarkEnd w:id="10"/>
    </w:p>
    <w:p w14:paraId="46B97707" w14:textId="77777777" w:rsidR="00DA1654" w:rsidRPr="0064533C" w:rsidRDefault="00000000" w:rsidP="00CE479A">
      <w:pPr>
        <w:numPr>
          <w:ilvl w:val="0"/>
          <w:numId w:val="2"/>
        </w:numPr>
        <w:pBdr>
          <w:top w:val="nil"/>
          <w:left w:val="nil"/>
          <w:bottom w:val="nil"/>
          <w:right w:val="nil"/>
          <w:between w:val="nil"/>
        </w:pBdr>
        <w:rPr>
          <w:rFonts w:ascii="Arial" w:hAnsi="Arial"/>
        </w:rPr>
      </w:pPr>
      <w:r w:rsidRPr="0064533C">
        <w:rPr>
          <w:rFonts w:ascii="Arial" w:eastAsia="Google Sans" w:hAnsi="Arial"/>
          <w:color w:val="1F1F1F"/>
        </w:rPr>
        <w:t>How do UK frontline retail staff rate their current levels of occupational burnout and the practical accessibility of their organisation's corporate wellbeing initiatives?</w:t>
      </w:r>
    </w:p>
    <w:p w14:paraId="54182EDE" w14:textId="77777777" w:rsidR="00DA1654" w:rsidRPr="0064533C" w:rsidRDefault="00000000" w:rsidP="00CE479A">
      <w:pPr>
        <w:numPr>
          <w:ilvl w:val="0"/>
          <w:numId w:val="2"/>
        </w:numPr>
        <w:pBdr>
          <w:top w:val="nil"/>
          <w:left w:val="nil"/>
          <w:bottom w:val="nil"/>
          <w:right w:val="nil"/>
          <w:between w:val="nil"/>
        </w:pBdr>
        <w:rPr>
          <w:rFonts w:ascii="Arial" w:hAnsi="Arial"/>
        </w:rPr>
      </w:pPr>
      <w:r w:rsidRPr="0064533C">
        <w:rPr>
          <w:rFonts w:ascii="Arial" w:eastAsia="Google Sans" w:hAnsi="Arial"/>
          <w:color w:val="1F1F1F"/>
        </w:rPr>
        <w:t>What is the statistical correlation between participation in corporate wellbeing programmes and the severity of burnout symptoms among frontline retail staff?</w:t>
      </w:r>
    </w:p>
    <w:p w14:paraId="3ECAE6FF" w14:textId="77777777" w:rsidR="00DA1654" w:rsidRPr="0064533C" w:rsidRDefault="00000000" w:rsidP="00CE479A">
      <w:pPr>
        <w:numPr>
          <w:ilvl w:val="0"/>
          <w:numId w:val="2"/>
        </w:numPr>
        <w:pBdr>
          <w:top w:val="nil"/>
          <w:left w:val="nil"/>
          <w:bottom w:val="nil"/>
          <w:right w:val="nil"/>
          <w:between w:val="nil"/>
        </w:pBdr>
        <w:spacing w:after="120"/>
        <w:rPr>
          <w:rFonts w:ascii="Arial" w:hAnsi="Arial"/>
        </w:rPr>
      </w:pPr>
      <w:r w:rsidRPr="0064533C">
        <w:rPr>
          <w:rFonts w:ascii="Arial" w:eastAsia="Google Sans" w:hAnsi="Arial"/>
          <w:color w:val="1F1F1F"/>
        </w:rPr>
        <w:t>To what extent does burnout severity act as a mediating variable in the relationship between corporate wellbeing initiative participation and employee turnover intention in the UK retail sector?</w:t>
      </w:r>
    </w:p>
    <w:p w14:paraId="090C9124" w14:textId="5F3D5E07" w:rsidR="00DA1654" w:rsidRPr="0064533C" w:rsidRDefault="00000000" w:rsidP="003F6BBE">
      <w:pPr>
        <w:pStyle w:val="Heading1"/>
        <w:rPr>
          <w:rFonts w:ascii="Arial" w:hAnsi="Arial"/>
        </w:rPr>
      </w:pPr>
      <w:bookmarkStart w:id="11" w:name="_Toc225720642"/>
      <w:r w:rsidRPr="0064533C">
        <w:rPr>
          <w:rFonts w:ascii="Arial" w:hAnsi="Arial"/>
        </w:rPr>
        <w:t>Literature Review</w:t>
      </w:r>
      <w:bookmarkEnd w:id="11"/>
    </w:p>
    <w:p w14:paraId="4228D703" w14:textId="2D64602D" w:rsidR="00DA1654" w:rsidRPr="0064533C" w:rsidRDefault="00A43232" w:rsidP="00A43232">
      <w:pPr>
        <w:pStyle w:val="Heading2"/>
        <w:rPr>
          <w:rFonts w:ascii="Arial" w:hAnsi="Arial"/>
        </w:rPr>
      </w:pPr>
      <w:bookmarkStart w:id="12" w:name="_Toc225720643"/>
      <w:r w:rsidRPr="0064533C">
        <w:rPr>
          <w:rFonts w:ascii="Arial" w:hAnsi="Arial"/>
        </w:rPr>
        <w:t xml:space="preserve">Introduction and Theoretical Frameworks: The JD-R Model and </w:t>
      </w:r>
      <w:r w:rsidRPr="0064533C">
        <w:rPr>
          <w:rFonts w:ascii="Arial" w:hAnsi="Arial"/>
        </w:rPr>
        <w:lastRenderedPageBreak/>
        <w:t>Social Exchange Theory</w:t>
      </w:r>
      <w:bookmarkEnd w:id="12"/>
    </w:p>
    <w:p w14:paraId="4BEC9C90" w14:textId="6598E33C"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This literature review offers a critical analysis of the </w:t>
      </w:r>
      <w:r w:rsidR="00A51B44" w:rsidRPr="0064533C">
        <w:rPr>
          <w:rFonts w:ascii="Arial" w:eastAsia="Google Sans" w:hAnsi="Arial"/>
          <w:color w:val="1F1F1F"/>
        </w:rPr>
        <w:t xml:space="preserve">complex structural relationship </w:t>
      </w:r>
      <w:r w:rsidRPr="0064533C">
        <w:rPr>
          <w:rFonts w:ascii="Arial" w:eastAsia="Google Sans" w:hAnsi="Arial"/>
          <w:color w:val="1F1F1F"/>
        </w:rPr>
        <w:t xml:space="preserve">involving corporate wellbeing initiatives, employee burnout and staff retention in the highly challenging UK retails business setting. In order to develop a solid theoretical framework, the recent literature in academia (2022-2026) has been systematised to shed some light on what precisely the psychological processes that lead to perceived organisational support translate to quantifiable longevity among employees. Employee retention and workplace health have operational dynamics that are rooted in the traditional socio-cognitive models, and the most significant ones are the Job Demands-Resources (JD-R) model (Demerouti, 2025; Bakker and Demerouti, 2016; </w:t>
      </w:r>
      <w:r w:rsidR="00303DAC" w:rsidRPr="0064533C">
        <w:rPr>
          <w:rFonts w:ascii="Arial" w:eastAsia="Google Sans" w:hAnsi="Arial"/>
          <w:color w:val="1F1F1F"/>
        </w:rPr>
        <w:t xml:space="preserve">Martínez-Díaz </w:t>
      </w:r>
      <w:r w:rsidRPr="0064533C">
        <w:rPr>
          <w:rFonts w:ascii="Arial" w:eastAsia="Google Sans" w:hAnsi="Arial"/>
          <w:color w:val="1F1F1F"/>
        </w:rPr>
        <w:t>et al., 2023) and the Social Exchange Theory (SET) (Blau, 1964; Maalouf et al., 2023).</w:t>
      </w:r>
    </w:p>
    <w:p w14:paraId="4F3F259D" w14:textId="69F6EAE2"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JD-R model assumes there is a universal structural reality: each occupation has its particular risk factors related to job stress, which can be classified into two broad, interacting groups: job demands (e.g., intense emotional labour, antagonistic customer interactions, </w:t>
      </w:r>
      <w:r w:rsidR="000014F0" w:rsidRPr="0064533C">
        <w:rPr>
          <w:rFonts w:ascii="Arial" w:eastAsia="Google Sans" w:hAnsi="Arial"/>
          <w:color w:val="1F1F1F"/>
        </w:rPr>
        <w:t>unyielding physical fatigue</w:t>
      </w:r>
      <w:r w:rsidRPr="0064533C">
        <w:rPr>
          <w:rFonts w:ascii="Arial" w:eastAsia="Google Sans" w:hAnsi="Arial"/>
          <w:color w:val="1F1F1F"/>
        </w:rPr>
        <w:t xml:space="preserve">) and job resources (e.g., managerial empathy, workplace autonomy, formal corporate wellbeing programmes). Zhang et al. (2025) observed that once the job demands continue to exceed the available job resources, employees are inevitably exposed to an extensive energy drainage, which will ultimately result in serious burnout. On the other hand, well-established and successfully implemented corporate wellbeing programmes serve as very important psychological-protective job resources that counter the psychological effects of these demands, </w:t>
      </w:r>
      <w:r w:rsidR="000014F0" w:rsidRPr="0064533C">
        <w:rPr>
          <w:rFonts w:ascii="Arial" w:eastAsia="Google Sans" w:hAnsi="Arial"/>
          <w:color w:val="1F1F1F"/>
        </w:rPr>
        <w:t>actively fostering work engagement</w:t>
      </w:r>
      <w:r w:rsidRPr="0064533C">
        <w:rPr>
          <w:rFonts w:ascii="Arial" w:eastAsia="Google Sans" w:hAnsi="Arial"/>
          <w:color w:val="1F1F1F"/>
        </w:rPr>
        <w:t>.</w:t>
      </w:r>
    </w:p>
    <w:p w14:paraId="4492E80E" w14:textId="10737432"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At the same time, the Social Exchange Theory predicts the mutuality of employer-employee relationship. A retail corporation that invests in actual, and extremely accessible, wellbeing initiatives is a direct indication of Perceived Organisational Support (POS) to the workforce. This assistance then becomes integrated into the employees at a subconscious level operating under the sociological principles of reciprocity and is returned by employees with a higher level of organisational commitment, discretionary effort and a much lower level of intention to leave the firm (Zhai et al., 2025; Allen et al., </w:t>
      </w:r>
      <w:r w:rsidRPr="0064533C">
        <w:rPr>
          <w:rFonts w:ascii="Arial" w:eastAsia="Google Sans" w:hAnsi="Arial"/>
          <w:color w:val="1F1F1F"/>
        </w:rPr>
        <w:lastRenderedPageBreak/>
        <w:t xml:space="preserve">2010; </w:t>
      </w:r>
      <w:r w:rsidR="00303DAC" w:rsidRPr="0064533C">
        <w:rPr>
          <w:rFonts w:ascii="Arial" w:eastAsia="Google Sans" w:hAnsi="Arial"/>
          <w:color w:val="1F1F1F"/>
        </w:rPr>
        <w:t>Gómez-Borges</w:t>
      </w:r>
      <w:r w:rsidRPr="0064533C">
        <w:rPr>
          <w:rFonts w:ascii="Arial" w:eastAsia="Google Sans" w:hAnsi="Arial"/>
          <w:color w:val="1F1F1F"/>
        </w:rPr>
        <w:t xml:space="preserve"> et al., 2022).</w:t>
      </w:r>
    </w:p>
    <w:p w14:paraId="52DD29C4" w14:textId="5AF5792E" w:rsidR="00A43232" w:rsidRPr="0064533C" w:rsidRDefault="00A43232" w:rsidP="00A43232">
      <w:pPr>
        <w:pStyle w:val="Heading2"/>
        <w:rPr>
          <w:rFonts w:ascii="Arial" w:hAnsi="Arial"/>
        </w:rPr>
      </w:pPr>
      <w:bookmarkStart w:id="13" w:name="_Toc225720644"/>
      <w:r w:rsidRPr="0064533C">
        <w:rPr>
          <w:rFonts w:ascii="Arial" w:hAnsi="Arial"/>
        </w:rPr>
        <w:t>The Current State of Burnout Among UK Frontline Retail Workers</w:t>
      </w:r>
      <w:bookmarkEnd w:id="13"/>
    </w:p>
    <w:p w14:paraId="09982564" w14:textId="518332D0"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A clear and worsening crisis of occupational burnout in the retail industry and in particular within the context of the retail sector is being pointed out by the modern academic literature. The conceptualisation of burnout is a global phenomenon and stands as one of the serious psychological conditions that transpire as a result of a long-lasting maladaptive reaction to the extended inter</w:t>
      </w:r>
      <w:r w:rsidR="00804D47" w:rsidRPr="0064533C">
        <w:rPr>
          <w:rFonts w:ascii="Arial" w:eastAsia="Google Sans" w:hAnsi="Arial"/>
          <w:color w:val="1F1F1F"/>
        </w:rPr>
        <w:t>-a</w:t>
      </w:r>
      <w:r w:rsidRPr="0064533C">
        <w:rPr>
          <w:rFonts w:ascii="Arial" w:eastAsia="Google Sans" w:hAnsi="Arial"/>
          <w:color w:val="1F1F1F"/>
        </w:rPr>
        <w:t>ssessing stress factors in the workplace. It is conventionally assessed with the help of the Maslach Burnout Inventory (MBI) on the basis of three dimensions: emotional exhaustion, depersonalisation (cynicism at work), and a decrease in the personal accomplishment (Kopuz et al., 2025). In relation to frontline retail employees, it is the emotional exhaustion that is identified in the literature as overwhelmingly the hardest and most widespread dimension (Pienaar et al., 2025; Cheng et al., 2025).</w:t>
      </w:r>
    </w:p>
    <w:p w14:paraId="12FA971B" w14:textId="20F506E4" w:rsidR="00DA1654"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The contemporary retail landscape prescribes high-order emotional labour, a professional need that forces the store employees to strictly control their own authentic responses, in the hope of experiencing a hospitable and submissive corporate mask, despite extreme negative customer aggression or troubling internal suffering (Liu et al., 2025; Afolabi et al., 2023). This is the continuous cognitive dissonance that is known to trigger rapid burnout as a primary and systemic process. Moreover, the British retail industry is largely based on algorithmic shift scheduling, zero-hour contracts that are not predictable, and precarious labour relations. Willems et al. (2022) and </w:t>
      </w:r>
      <w:r w:rsidR="00E30FDC" w:rsidRPr="0064533C">
        <w:rPr>
          <w:rFonts w:ascii="Arial" w:eastAsia="Times New Roman" w:hAnsi="Arial"/>
          <w:szCs w:val="24"/>
          <w:lang w:val="en-US"/>
        </w:rPr>
        <w:t>Kalinienė</w:t>
      </w:r>
      <w:r w:rsidR="00E30FDC" w:rsidRPr="0064533C">
        <w:rPr>
          <w:rFonts w:ascii="Arial" w:eastAsia="Google Sans" w:hAnsi="Arial"/>
          <w:color w:val="1F1F1F"/>
        </w:rPr>
        <w:t xml:space="preserve"> </w:t>
      </w:r>
      <w:r w:rsidRPr="0064533C">
        <w:rPr>
          <w:rFonts w:ascii="Arial" w:eastAsia="Google Sans" w:hAnsi="Arial"/>
          <w:color w:val="1F1F1F"/>
        </w:rPr>
        <w:t>et al. (2021) critically mention that these macro-structural factors deprive frontline workers, in a systematic way, of operational control and predictability of the schedule, which significantly worsens physical exhaustion and mental suffering. Although extensive research on human resource issues in general recogni</w:t>
      </w:r>
      <w:r w:rsidR="00804D47" w:rsidRPr="0064533C">
        <w:rPr>
          <w:rFonts w:ascii="Arial" w:eastAsia="Google Sans" w:hAnsi="Arial"/>
          <w:color w:val="1F1F1F"/>
        </w:rPr>
        <w:t>s</w:t>
      </w:r>
      <w:r w:rsidRPr="0064533C">
        <w:rPr>
          <w:rFonts w:ascii="Arial" w:eastAsia="Google Sans" w:hAnsi="Arial"/>
          <w:color w:val="1F1F1F"/>
        </w:rPr>
        <w:t>es burnout in many of the different business fields, there exists a point of need to determine the exact magnitude of the problem in the hyper-speciali</w:t>
      </w:r>
      <w:r w:rsidR="00804D47" w:rsidRPr="0064533C">
        <w:rPr>
          <w:rFonts w:ascii="Arial" w:eastAsia="Google Sans" w:hAnsi="Arial"/>
          <w:color w:val="1F1F1F"/>
        </w:rPr>
        <w:t>s</w:t>
      </w:r>
      <w:r w:rsidRPr="0064533C">
        <w:rPr>
          <w:rFonts w:ascii="Arial" w:eastAsia="Google Sans" w:hAnsi="Arial"/>
          <w:color w:val="1F1F1F"/>
        </w:rPr>
        <w:t>ed and highly susceptible background of the UK frontline workforce in retailing. To obtain this underlying measure and create a standard against which corporate interventions can be measured, the following hypothesis is advanced:</w:t>
      </w:r>
    </w:p>
    <w:p w14:paraId="32839723" w14:textId="77777777" w:rsidR="00DA1654" w:rsidRPr="0064533C" w:rsidRDefault="00000000" w:rsidP="00CE479A">
      <w:pPr>
        <w:pBdr>
          <w:top w:val="nil"/>
          <w:left w:val="nil"/>
          <w:bottom w:val="nil"/>
          <w:right w:val="nil"/>
          <w:between w:val="nil"/>
        </w:pBdr>
        <w:spacing w:after="240"/>
        <w:rPr>
          <w:rFonts w:ascii="Arial" w:eastAsia="Google Sans" w:hAnsi="Arial"/>
          <w:color w:val="1F1F1F"/>
        </w:rPr>
      </w:pPr>
      <w:r w:rsidRPr="0064533C">
        <w:rPr>
          <w:rFonts w:ascii="Arial" w:eastAsia="Google Sans" w:hAnsi="Arial"/>
          <w:b/>
          <w:bCs/>
          <w:color w:val="1F1F1F"/>
        </w:rPr>
        <w:lastRenderedPageBreak/>
        <w:t>H1:</w:t>
      </w:r>
      <w:r w:rsidRPr="0064533C">
        <w:rPr>
          <w:rFonts w:ascii="Arial" w:eastAsia="Google Sans" w:hAnsi="Arial"/>
          <w:color w:val="1F1F1F"/>
        </w:rPr>
        <w:t xml:space="preserve"> UK frontline retail staff exhibit statistically severe levels of emotional exhaustion and burnout, which negatively correlate with their perceived accessibility of corporate wellbeing resources.</w:t>
      </w:r>
    </w:p>
    <w:p w14:paraId="7D49F99F" w14:textId="65BE86F0" w:rsidR="00DA1654" w:rsidRPr="0064533C" w:rsidRDefault="00000000" w:rsidP="00A43232">
      <w:pPr>
        <w:pStyle w:val="Heading2"/>
        <w:rPr>
          <w:rFonts w:ascii="Arial" w:hAnsi="Arial"/>
        </w:rPr>
      </w:pPr>
      <w:bookmarkStart w:id="14" w:name="_Toc225720645"/>
      <w:r w:rsidRPr="0064533C">
        <w:rPr>
          <w:rFonts w:ascii="Arial" w:hAnsi="Arial"/>
        </w:rPr>
        <w:t>Corporate Wellbeing Initiatives: From 'Box-Ticking' to Strategic Necessity</w:t>
      </w:r>
      <w:bookmarkEnd w:id="14"/>
    </w:p>
    <w:p w14:paraId="0CDA3E5B" w14:textId="3A8F2C81"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To address this mounting burnout crisis directly, a rapid transformation has occurred in corporate wellbeing </w:t>
      </w:r>
      <w:r w:rsidR="000014F0" w:rsidRPr="0064533C">
        <w:rPr>
          <w:rFonts w:ascii="Arial" w:eastAsia="Google Sans" w:hAnsi="Arial"/>
          <w:color w:val="1F1F1F"/>
        </w:rPr>
        <w:t>programmes</w:t>
      </w:r>
      <w:r w:rsidRPr="0064533C">
        <w:rPr>
          <w:rFonts w:ascii="Arial" w:eastAsia="Google Sans" w:hAnsi="Arial"/>
          <w:color w:val="1F1F1F"/>
        </w:rPr>
        <w:t>, which are no longer isolated, luxury HR option</w:t>
      </w:r>
      <w:r w:rsidR="00303DAC" w:rsidRPr="0064533C">
        <w:rPr>
          <w:rFonts w:ascii="Arial" w:eastAsia="Google Sans" w:hAnsi="Arial"/>
          <w:color w:val="1F1F1F"/>
        </w:rPr>
        <w:t>s</w:t>
      </w:r>
      <w:r w:rsidRPr="0064533C">
        <w:rPr>
          <w:rFonts w:ascii="Arial" w:eastAsia="Google Sans" w:hAnsi="Arial"/>
          <w:color w:val="1F1F1F"/>
        </w:rPr>
        <w:t xml:space="preserve">, but are now increasingly being implemented as key points of strategic organisational focus. The literature effectively classifies these wellness interventions into three levels: primary interventions (proactive interventions, which act in the direction of eliminating the stressor altogether, i.e., structural shift redesign or a higher number of staff), secondary interventions (aimed at changing the cognitive response of the employee toward inevitable stress, i.e. the provision of mindfulness apps or resilience training), </w:t>
      </w:r>
      <w:r w:rsidR="00E30FDC" w:rsidRPr="0064533C">
        <w:rPr>
          <w:rFonts w:ascii="Arial" w:eastAsia="Google Sans" w:hAnsi="Arial"/>
          <w:color w:val="1F1F1F"/>
        </w:rPr>
        <w:t>and tertiary interventions (reactive measures aimed at treating the resulting symptom, such as EAPs and professional counselling) (Cohen et al., 2023; Wallace and Coughlan, 2022; Sánchez-Segura et al., 2023).</w:t>
      </w:r>
    </w:p>
    <w:p w14:paraId="2B96E9A6" w14:textId="5B6F6371"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But even despite huge financial outlay by retail conglomerates, much of the critical HR literature is often marked by a widespread, endemic efficacy gap. Arguments on this matter, brought out by </w:t>
      </w:r>
      <w:r w:rsidR="00303DAC" w:rsidRPr="0064533C">
        <w:rPr>
          <w:rFonts w:ascii="Arial" w:eastAsia="Google Sans" w:hAnsi="Arial"/>
          <w:color w:val="1F1F1F"/>
        </w:rPr>
        <w:t>Gelencsér</w:t>
      </w:r>
      <w:r w:rsidRPr="0064533C">
        <w:rPr>
          <w:rFonts w:ascii="Arial" w:eastAsia="Google Sans" w:hAnsi="Arial"/>
          <w:color w:val="1F1F1F"/>
        </w:rPr>
        <w:t xml:space="preserve"> et al. (2023) and Bonde et al. (2024) are that these corporate wellbeing programmes often overuse secondary and tertiary interventions. </w:t>
      </w:r>
      <w:r w:rsidR="00303DAC" w:rsidRPr="0064533C">
        <w:rPr>
          <w:rFonts w:ascii="Arial" w:eastAsia="Google Sans" w:hAnsi="Arial"/>
          <w:color w:val="1F1F1F"/>
        </w:rPr>
        <w:t>This strategic choice effectively places the burden of stress management squarely on the individual employee</w:t>
      </w:r>
      <w:r w:rsidRPr="0064533C">
        <w:rPr>
          <w:rFonts w:ascii="Arial" w:eastAsia="Google Sans" w:hAnsi="Arial"/>
          <w:color w:val="1F1F1F"/>
        </w:rPr>
        <w:t xml:space="preserve"> (e.g., a free corporate yoga application) instead of imposing the responsibility of fixing the systemic stress of the retail environment (e.g., chronic understaffing or offensive management) on the organisation. The phenomenon is commonly referred to in the modern day as such as performative wellbeing, or wellness washing. As long as front-line employees view such initiatives as empty, token corporate box-ticking instead of substantive change, operational support, etc., the interventions have a disastrous impact on creating the expected two-way commitment described by the Social Exchange Theory (Zoghbi-Manrique-de-Lara et al., 2019; Fida et al., 2021; </w:t>
      </w:r>
      <w:r w:rsidRPr="0064533C">
        <w:rPr>
          <w:rFonts w:ascii="Arial" w:eastAsia="Google Sans" w:hAnsi="Arial"/>
          <w:color w:val="1F1F1F"/>
        </w:rPr>
        <w:lastRenderedPageBreak/>
        <w:t>Janssen et al., 2018). This makes it an academic necessity to empirically quantify not only the existence of these initiatives, but also their real as well as quantifiable efficacy in decreasing the severity of symptoms at the shop floor.</w:t>
      </w:r>
    </w:p>
    <w:p w14:paraId="578E4ECF" w14:textId="292F32DF" w:rsidR="00A43232" w:rsidRPr="0064533C" w:rsidRDefault="00A43232" w:rsidP="00A43232">
      <w:pPr>
        <w:pStyle w:val="Heading2"/>
        <w:rPr>
          <w:rFonts w:ascii="Arial" w:hAnsi="Arial"/>
        </w:rPr>
      </w:pPr>
      <w:bookmarkStart w:id="15" w:name="_Toc225720646"/>
      <w:r w:rsidRPr="0064533C">
        <w:rPr>
          <w:rFonts w:ascii="Arial" w:hAnsi="Arial"/>
        </w:rPr>
        <w:t>The Accessibility and Efficacy Gap: Frontline vs. Corporate Staff</w:t>
      </w:r>
      <w:bookmarkEnd w:id="15"/>
    </w:p>
    <w:p w14:paraId="09723C4F" w14:textId="52E460F8"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One of the most discussed and contentious topics of present-day HRM literature is structural inequity that determines the nature of how wellbeing </w:t>
      </w:r>
      <w:r w:rsidR="000014F0" w:rsidRPr="0064533C">
        <w:rPr>
          <w:rFonts w:ascii="Arial" w:eastAsia="Google Sans" w:hAnsi="Arial"/>
          <w:color w:val="1F1F1F"/>
        </w:rPr>
        <w:t>programmes</w:t>
      </w:r>
      <w:r w:rsidRPr="0064533C">
        <w:rPr>
          <w:rFonts w:ascii="Arial" w:eastAsia="Google Sans" w:hAnsi="Arial"/>
          <w:color w:val="1F1F1F"/>
        </w:rPr>
        <w:t xml:space="preserve"> are implemented, distributed, and utili</w:t>
      </w:r>
      <w:r w:rsidR="00804D47" w:rsidRPr="0064533C">
        <w:rPr>
          <w:rFonts w:ascii="Arial" w:eastAsia="Google Sans" w:hAnsi="Arial"/>
          <w:color w:val="1F1F1F"/>
        </w:rPr>
        <w:t>s</w:t>
      </w:r>
      <w:r w:rsidRPr="0064533C">
        <w:rPr>
          <w:rFonts w:ascii="Arial" w:eastAsia="Google Sans" w:hAnsi="Arial"/>
          <w:color w:val="1F1F1F"/>
        </w:rPr>
        <w:t xml:space="preserve">ed in the context of large, multi-layered retail organisations. The corporate wellbeing discourse and budgetary allocation, as well as programmatic design, used to be traditionally focused on white-collar, office-based professionals (Bakker and Demerouti, 2016; Kumprang and Suriyankietkaew, 2024). Structurally and culturally, it is possible that in the case of head-office corporate staff members, a midday webinar on wellness, a gym membership with a subsidy, or the ability to work at their own pace is an option to deal with acute stresses. But in the case of frontline retail workers, the </w:t>
      </w:r>
      <w:r w:rsidR="00A51B44" w:rsidRPr="0064533C">
        <w:rPr>
          <w:rFonts w:ascii="Arial" w:eastAsia="Google Sans" w:hAnsi="Arial"/>
          <w:color w:val="1F1F1F"/>
        </w:rPr>
        <w:t xml:space="preserve">rigid operational reality of the shop floor </w:t>
      </w:r>
      <w:r w:rsidRPr="0064533C">
        <w:rPr>
          <w:rFonts w:ascii="Arial" w:eastAsia="Google Sans" w:hAnsi="Arial"/>
          <w:color w:val="1F1F1F"/>
        </w:rPr>
        <w:t>makes these very same efforts practically impossible.</w:t>
      </w:r>
    </w:p>
    <w:p w14:paraId="2DDA3318" w14:textId="7E8065C2" w:rsidR="00DA1654"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As the comprehensive overview of precarious employment conducted by Hadjisolomou (2022) has found, a retail worker cannot just leave a crowded checkout queue to use a corp-provided mindfulness app or go to the stress-management seminar. Moreover, digital sharing of wellness materials are commonly pegged on corporate intranet portals or company emails, which front line employees also have exceptionally low time, access to a gadget, or managerial permission to access during paid labour (Filippelli et al., 2025). Such a deep lack of accessibility leads to serious depersonalisation and cynicism in institutions, which are the fundamental elements of the MBI burnout scale. When, through corporate communications, frontline workers are persistently made to believe that the organisation cares about their wellbeing very much but cannot effectively access the resources made available to them because of operational limits, it proactively worsens a sense of disenfranchisement and structural injustices (Mayr and Teller, 2023). Consequently, the real participation rate and perceived accessibility of these programmes are the determining variables of the real effectiveness of these programmes. In order to </w:t>
      </w:r>
      <w:r w:rsidRPr="0064533C">
        <w:rPr>
          <w:rFonts w:ascii="Arial" w:eastAsia="Google Sans" w:hAnsi="Arial"/>
          <w:color w:val="1F1F1F"/>
        </w:rPr>
        <w:lastRenderedPageBreak/>
        <w:t>test the influence of authentic, structural participation on reduction of symptoms empirically, the following hypothesis is formulated:</w:t>
      </w:r>
    </w:p>
    <w:p w14:paraId="26E6E2A2" w14:textId="77777777" w:rsidR="00DA1654" w:rsidRPr="0064533C" w:rsidRDefault="00000000" w:rsidP="00CE479A">
      <w:pPr>
        <w:pBdr>
          <w:top w:val="nil"/>
          <w:left w:val="nil"/>
          <w:bottom w:val="nil"/>
          <w:right w:val="nil"/>
          <w:between w:val="nil"/>
        </w:pBdr>
        <w:spacing w:after="240"/>
        <w:rPr>
          <w:rFonts w:ascii="Arial" w:eastAsia="Google Sans" w:hAnsi="Arial"/>
          <w:color w:val="1F1F1F"/>
        </w:rPr>
      </w:pPr>
      <w:r w:rsidRPr="0064533C">
        <w:rPr>
          <w:rFonts w:ascii="Arial" w:eastAsia="Google Sans" w:hAnsi="Arial"/>
          <w:b/>
          <w:bCs/>
          <w:color w:val="1F1F1F"/>
        </w:rPr>
        <w:t>H2:</w:t>
      </w:r>
      <w:r w:rsidRPr="0064533C">
        <w:rPr>
          <w:rFonts w:ascii="Arial" w:eastAsia="Google Sans" w:hAnsi="Arial"/>
          <w:color w:val="1F1F1F"/>
        </w:rPr>
        <w:t xml:space="preserve"> There is a significant negative correlation between active participation in corporate wellbeing initiatives and the severity of measured burnout symptoms among frontline retail staff.</w:t>
      </w:r>
    </w:p>
    <w:p w14:paraId="02911C33" w14:textId="7BC182D9" w:rsidR="00DA1654" w:rsidRPr="0064533C" w:rsidRDefault="00000000" w:rsidP="00A43232">
      <w:pPr>
        <w:pStyle w:val="Heading2"/>
        <w:rPr>
          <w:rFonts w:ascii="Arial" w:hAnsi="Arial"/>
        </w:rPr>
      </w:pPr>
      <w:bookmarkStart w:id="16" w:name="_Toc225720647"/>
      <w:r w:rsidRPr="0064533C">
        <w:rPr>
          <w:rFonts w:ascii="Arial" w:hAnsi="Arial"/>
        </w:rPr>
        <w:t>The Impact of Wellbeing and Burnout on Employee Retention</w:t>
      </w:r>
      <w:bookmarkEnd w:id="16"/>
    </w:p>
    <w:p w14:paraId="14CF04F0" w14:textId="0E84D137" w:rsidR="00A43232"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Mass employee attrition is the final, disastrous commercial result of unchecked burnout. Exceptionally high baseline turnover rates are inherent to the retail industry, though recent literature now empirically shows that chronic burnout increases the turnover intention exponentially, rapidly switching employees in a state of passive disengagement to a state of active, </w:t>
      </w:r>
      <w:r w:rsidR="00A51B44" w:rsidRPr="0064533C">
        <w:rPr>
          <w:rFonts w:ascii="Arial" w:eastAsia="Google Sans" w:hAnsi="Arial"/>
          <w:color w:val="1F1F1F"/>
        </w:rPr>
        <w:t xml:space="preserve">aggressive turnover intention </w:t>
      </w:r>
      <w:r w:rsidRPr="0064533C">
        <w:rPr>
          <w:rFonts w:ascii="Arial" w:eastAsia="Google Sans" w:hAnsi="Arial"/>
          <w:color w:val="1F1F1F"/>
        </w:rPr>
        <w:t xml:space="preserve">(Zhou et al., 2024; Roesner et al., 2024). Huge turnover has a structural impact to disrupt retail actions, mercilessly deteriorating the quality of customer service, weakening institutional knowledge, and inflicts a massive expense on the organisation in </w:t>
      </w:r>
      <w:r w:rsidR="00A51B44" w:rsidRPr="0064533C">
        <w:rPr>
          <w:rFonts w:ascii="Arial" w:eastAsia="Google Sans" w:hAnsi="Arial"/>
          <w:color w:val="1F1F1F"/>
        </w:rPr>
        <w:t>recruitment, onboarding, and training</w:t>
      </w:r>
      <w:r w:rsidRPr="0064533C">
        <w:rPr>
          <w:rFonts w:ascii="Arial" w:eastAsia="Google Sans" w:hAnsi="Arial"/>
          <w:color w:val="1F1F1F"/>
        </w:rPr>
        <w:t xml:space="preserve"> (Allen et al., 2010).</w:t>
      </w:r>
    </w:p>
    <w:p w14:paraId="7F4CF558" w14:textId="78D6BCC1" w:rsidR="00DA1654" w:rsidRPr="0064533C" w:rsidRDefault="00A43232" w:rsidP="00A43232">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Nonetheless, measuring the immediate, causal influence the wellbeing initiatives on retention presents a very complicated behavioural equation into research. Although a common assumption among traditional HR practitioners may hold that there is a simplistic, linear relationship (i.e., the introduction of a wellbeing app is directly and independently preventing people to resign), more complex literature on the matter may present a very complex psychological mechanism. The current study assumes that burnout plays a significant mediating role, which is impossible to refute. Initiatives of corporate wellbeing lack the autonomy to persuade an employee directly to remain; well-implemented, easily accessible initiatives effectively restore the lost job resources (as defined by the JD-R model) of an employee, </w:t>
      </w:r>
      <w:r w:rsidR="000014F0" w:rsidRPr="0064533C">
        <w:rPr>
          <w:rFonts w:ascii="Arial" w:eastAsia="Google Sans" w:hAnsi="Arial"/>
          <w:color w:val="1F1F1F"/>
        </w:rPr>
        <w:t>which actively reduces their emotional exhaustion</w:t>
      </w:r>
      <w:r w:rsidRPr="0064533C">
        <w:rPr>
          <w:rFonts w:ascii="Arial" w:eastAsia="Google Sans" w:hAnsi="Arial"/>
          <w:color w:val="1F1F1F"/>
        </w:rPr>
        <w:t xml:space="preserve"> and burnout (as a system at large) (Tsantila et al., 2023). Such a decrease in burnout, in turn, is the only factor that subsequently reduces their active intention to leave the organisation (Zhai et al., 2025; Plant et al., 2024). The quantitative assessment of the real mediating strength of the burnout in between corporate interventions and staff retention is a crucial, but highly underresearched requirement of human resource </w:t>
      </w:r>
      <w:r w:rsidRPr="0064533C">
        <w:rPr>
          <w:rFonts w:ascii="Arial" w:eastAsia="Google Sans" w:hAnsi="Arial"/>
          <w:color w:val="1F1F1F"/>
        </w:rPr>
        <w:lastRenderedPageBreak/>
        <w:t>strategists acting within the retail field. To accurately measure this complicated path of structure in the UK derivation, the ultimate hypothesis is put forward:</w:t>
      </w:r>
    </w:p>
    <w:p w14:paraId="466D3D89" w14:textId="77777777" w:rsidR="00DA1654" w:rsidRPr="0064533C" w:rsidRDefault="00000000" w:rsidP="00CE479A">
      <w:pPr>
        <w:pBdr>
          <w:top w:val="nil"/>
          <w:left w:val="nil"/>
          <w:bottom w:val="nil"/>
          <w:right w:val="nil"/>
          <w:between w:val="nil"/>
        </w:pBdr>
        <w:spacing w:after="240"/>
        <w:rPr>
          <w:rFonts w:ascii="Arial" w:eastAsia="Google Sans" w:hAnsi="Arial"/>
          <w:color w:val="1F1F1F"/>
        </w:rPr>
      </w:pPr>
      <w:r w:rsidRPr="0064533C">
        <w:rPr>
          <w:rFonts w:ascii="Arial" w:eastAsia="Google Sans" w:hAnsi="Arial"/>
          <w:b/>
          <w:bCs/>
          <w:color w:val="1F1F1F"/>
        </w:rPr>
        <w:t>H3:</w:t>
      </w:r>
      <w:r w:rsidRPr="0064533C">
        <w:rPr>
          <w:rFonts w:ascii="Arial" w:eastAsia="Google Sans" w:hAnsi="Arial"/>
          <w:color w:val="1F1F1F"/>
        </w:rPr>
        <w:t xml:space="preserve"> Burnout severity acts as a significant mediating variable in the relationship between corporate wellbeing initiative participation and employee turnover intention.</w:t>
      </w:r>
    </w:p>
    <w:p w14:paraId="67DE8151" w14:textId="2F848BE9" w:rsidR="00DA1654" w:rsidRPr="0064533C" w:rsidRDefault="00000000" w:rsidP="00A43232">
      <w:pPr>
        <w:pStyle w:val="Heading2"/>
        <w:rPr>
          <w:rFonts w:ascii="Arial" w:hAnsi="Arial"/>
        </w:rPr>
      </w:pPr>
      <w:bookmarkStart w:id="17" w:name="_Toc225720648"/>
      <w:r w:rsidRPr="0064533C">
        <w:rPr>
          <w:rFonts w:ascii="Arial" w:hAnsi="Arial"/>
        </w:rPr>
        <w:t xml:space="preserve">Conceptual </w:t>
      </w:r>
      <w:r w:rsidR="00A43232" w:rsidRPr="0064533C">
        <w:rPr>
          <w:rFonts w:ascii="Arial" w:hAnsi="Arial"/>
        </w:rPr>
        <w:t>Framework</w:t>
      </w:r>
      <w:bookmarkEnd w:id="17"/>
    </w:p>
    <w:p w14:paraId="6D8768A7" w14:textId="77777777" w:rsidR="00A43232" w:rsidRPr="0064533C" w:rsidRDefault="00A43232" w:rsidP="00CE479A">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To conclude, the critical literature synthesis indicates a complex, multi-phase conceptual framework that can be used to control occupational health and human capital retention in retail. </w:t>
      </w:r>
    </w:p>
    <w:p w14:paraId="2935B3E0" w14:textId="77777777" w:rsidR="009C2F99" w:rsidRPr="0064533C" w:rsidRDefault="009C2F99" w:rsidP="009C2F99">
      <w:pPr>
        <w:keepNext/>
        <w:pBdr>
          <w:top w:val="nil"/>
          <w:left w:val="nil"/>
          <w:bottom w:val="nil"/>
          <w:right w:val="nil"/>
          <w:between w:val="nil"/>
        </w:pBdr>
        <w:spacing w:after="240"/>
        <w:rPr>
          <w:rFonts w:ascii="Arial" w:hAnsi="Arial"/>
        </w:rPr>
      </w:pPr>
      <w:r w:rsidRPr="0064533C">
        <w:rPr>
          <w:rFonts w:ascii="Arial" w:hAnsi="Arial"/>
          <w:noProof/>
        </w:rPr>
        <w:drawing>
          <wp:inline distT="0" distB="0" distL="0" distR="0" wp14:anchorId="01050759" wp14:editId="06EB394B">
            <wp:extent cx="5943600" cy="2043430"/>
            <wp:effectExtent l="0" t="0" r="0" b="0"/>
            <wp:docPr id="1527112166" name="Picture 2"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UML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043430"/>
                    </a:xfrm>
                    <a:prstGeom prst="rect">
                      <a:avLst/>
                    </a:prstGeom>
                    <a:noFill/>
                    <a:ln>
                      <a:noFill/>
                    </a:ln>
                  </pic:spPr>
                </pic:pic>
              </a:graphicData>
            </a:graphic>
          </wp:inline>
        </w:drawing>
      </w:r>
    </w:p>
    <w:p w14:paraId="29FB69C8" w14:textId="25279848" w:rsidR="00A43232" w:rsidRPr="0064533C" w:rsidRDefault="009C2F99" w:rsidP="009C2F99">
      <w:pPr>
        <w:pStyle w:val="Caption"/>
        <w:jc w:val="center"/>
        <w:rPr>
          <w:rFonts w:ascii="Arial" w:eastAsia="Google Sans" w:hAnsi="Arial"/>
          <w:color w:val="1F1F1F"/>
        </w:rPr>
      </w:pPr>
      <w:bookmarkStart w:id="18" w:name="_Toc225720623"/>
      <w:r w:rsidRPr="0064533C">
        <w:rPr>
          <w:rFonts w:ascii="Arial" w:hAnsi="Arial"/>
        </w:rPr>
        <w:t xml:space="preserve">Figure </w:t>
      </w:r>
      <w:r w:rsidRPr="0064533C">
        <w:rPr>
          <w:rFonts w:ascii="Arial" w:hAnsi="Arial"/>
        </w:rPr>
        <w:fldChar w:fldCharType="begin"/>
      </w:r>
      <w:r w:rsidRPr="0064533C">
        <w:rPr>
          <w:rFonts w:ascii="Arial" w:hAnsi="Arial"/>
        </w:rPr>
        <w:instrText xml:space="preserve"> SEQ Figure \* ARABIC </w:instrText>
      </w:r>
      <w:r w:rsidRPr="0064533C">
        <w:rPr>
          <w:rFonts w:ascii="Arial" w:hAnsi="Arial"/>
        </w:rPr>
        <w:fldChar w:fldCharType="separate"/>
      </w:r>
      <w:r w:rsidR="00804D47" w:rsidRPr="0064533C">
        <w:rPr>
          <w:rFonts w:ascii="Arial" w:hAnsi="Arial"/>
          <w:noProof/>
        </w:rPr>
        <w:t>1</w:t>
      </w:r>
      <w:r w:rsidRPr="0064533C">
        <w:rPr>
          <w:rFonts w:ascii="Arial" w:hAnsi="Arial"/>
        </w:rPr>
        <w:fldChar w:fldCharType="end"/>
      </w:r>
      <w:r w:rsidRPr="0064533C">
        <w:rPr>
          <w:rFonts w:ascii="Arial" w:hAnsi="Arial"/>
        </w:rPr>
        <w:t>: Conceptual Framework of the Study (Source: Author)</w:t>
      </w:r>
      <w:bookmarkEnd w:id="18"/>
    </w:p>
    <w:p w14:paraId="5E13E461" w14:textId="7EC6C188" w:rsidR="00DA1654" w:rsidRPr="0064533C" w:rsidRDefault="00A43232" w:rsidP="00CE479A">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The literature shows conclusively that frontline staff experience job demands that are unique and extreme causing severe emotional exhaustion (H1). Although wellbeing programmes at the corporate level exist theoretically to impart crucial job provisions their feasibility largely depends on the actual frontline availability, and the actual frontline engagement, which is the viable option to actively suppress the manifestations of burnout instead of posing as a figure of performance (H2). Last but not least, these HR interventions alone are not sufficient to achieve retention; instead, they should be effective in reducing burnout, which is the key, psychological mediating factor that does not allow the process of transforming turnover intention into burnout (H3). This theoretical framework has the rigid theoretical background that is required to continue on with the rigorous, positivist methodological design, given in the following sections.</w:t>
      </w:r>
    </w:p>
    <w:p w14:paraId="3C2D42EB" w14:textId="2C34020C" w:rsidR="00DA1654" w:rsidRPr="0064533C" w:rsidRDefault="00000000" w:rsidP="003F6BBE">
      <w:pPr>
        <w:pStyle w:val="Heading1"/>
        <w:rPr>
          <w:rFonts w:ascii="Arial" w:hAnsi="Arial"/>
        </w:rPr>
      </w:pPr>
      <w:bookmarkStart w:id="19" w:name="_Toc225720649"/>
      <w:r w:rsidRPr="0064533C">
        <w:rPr>
          <w:rFonts w:ascii="Arial" w:hAnsi="Arial"/>
        </w:rPr>
        <w:lastRenderedPageBreak/>
        <w:t>Research Methodology</w:t>
      </w:r>
      <w:bookmarkEnd w:id="19"/>
    </w:p>
    <w:p w14:paraId="56E00DBD" w14:textId="290F8C51"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The </w:t>
      </w:r>
      <w:r w:rsidR="00804D47" w:rsidRPr="0064533C">
        <w:rPr>
          <w:rFonts w:ascii="Arial" w:eastAsia="Google Sans" w:hAnsi="Arial"/>
          <w:color w:val="1F1F1F"/>
        </w:rPr>
        <w:t>“Research Onion” framework</w:t>
      </w:r>
      <w:r w:rsidRPr="0064533C">
        <w:rPr>
          <w:rFonts w:ascii="Arial" w:eastAsia="Google Sans" w:hAnsi="Arial"/>
          <w:color w:val="1F1F1F"/>
        </w:rPr>
        <w:t xml:space="preserve"> created by </w:t>
      </w:r>
      <w:r w:rsidR="00804D47" w:rsidRPr="0064533C">
        <w:rPr>
          <w:rFonts w:ascii="Arial" w:eastAsia="Google Sans" w:hAnsi="Arial"/>
          <w:color w:val="1F1F1F"/>
        </w:rPr>
        <w:t>Saunders, Lewis and Thornhill (2019)</w:t>
      </w:r>
      <w:r w:rsidRPr="0064533C">
        <w:rPr>
          <w:rFonts w:ascii="Arial" w:eastAsia="Google Sans" w:hAnsi="Arial"/>
          <w:color w:val="1F1F1F"/>
        </w:rPr>
        <w:t xml:space="preserve"> guides the </w:t>
      </w:r>
      <w:r w:rsidR="00804D47" w:rsidRPr="0064533C">
        <w:rPr>
          <w:rFonts w:ascii="Arial" w:eastAsia="Google Sans" w:hAnsi="Arial"/>
          <w:color w:val="1F1F1F"/>
        </w:rPr>
        <w:t>methodology</w:t>
      </w:r>
      <w:r w:rsidRPr="0064533C">
        <w:rPr>
          <w:rFonts w:ascii="Arial" w:eastAsia="Google Sans" w:hAnsi="Arial"/>
          <w:color w:val="1F1F1F"/>
        </w:rPr>
        <w:t xml:space="preserve"> of this investigation systematically. This </w:t>
      </w:r>
      <w:r w:rsidR="00804D47" w:rsidRPr="0064533C">
        <w:rPr>
          <w:rFonts w:ascii="Arial" w:eastAsia="Google Sans" w:hAnsi="Arial"/>
          <w:color w:val="1F1F1F"/>
        </w:rPr>
        <w:t>systematised</w:t>
      </w:r>
      <w:r w:rsidRPr="0064533C">
        <w:rPr>
          <w:rFonts w:ascii="Arial" w:eastAsia="Google Sans" w:hAnsi="Arial"/>
          <w:color w:val="1F1F1F"/>
        </w:rPr>
        <w:t xml:space="preserve"> approach guarantees a rational, rigorous flow between general philosophical paradigms and, down to, the so-called actual data analysis processes of viable workforce analytics.</w:t>
      </w:r>
    </w:p>
    <w:p w14:paraId="208A93F5" w14:textId="77777777" w:rsidR="00804D47" w:rsidRPr="0064533C" w:rsidRDefault="00804D47" w:rsidP="00804D47">
      <w:pPr>
        <w:keepNext/>
        <w:pBdr>
          <w:top w:val="nil"/>
          <w:left w:val="nil"/>
          <w:bottom w:val="nil"/>
          <w:right w:val="nil"/>
          <w:between w:val="nil"/>
        </w:pBdr>
        <w:spacing w:after="240"/>
        <w:rPr>
          <w:rFonts w:ascii="Arial" w:hAnsi="Arial"/>
        </w:rPr>
      </w:pPr>
      <w:r w:rsidRPr="0064533C">
        <w:rPr>
          <w:rFonts w:ascii="Arial" w:hAnsi="Arial"/>
          <w:noProof/>
        </w:rPr>
        <w:drawing>
          <wp:inline distT="0" distB="0" distL="0" distR="0" wp14:anchorId="40A88886" wp14:editId="525EF3F6">
            <wp:extent cx="5943600" cy="3808730"/>
            <wp:effectExtent l="0" t="0" r="0" b="1270"/>
            <wp:docPr id="256090526" name="Picture 3" descr="| Research onion (Saunders et al., 2019, p.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Research onion (Saunders et al., 2019, p. 1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08730"/>
                    </a:xfrm>
                    <a:prstGeom prst="rect">
                      <a:avLst/>
                    </a:prstGeom>
                    <a:noFill/>
                    <a:ln>
                      <a:noFill/>
                    </a:ln>
                  </pic:spPr>
                </pic:pic>
              </a:graphicData>
            </a:graphic>
          </wp:inline>
        </w:drawing>
      </w:r>
    </w:p>
    <w:p w14:paraId="4D2730B9" w14:textId="3B95EC25" w:rsidR="00804D47" w:rsidRPr="0064533C" w:rsidRDefault="00804D47" w:rsidP="00804D47">
      <w:pPr>
        <w:pStyle w:val="Caption"/>
        <w:jc w:val="center"/>
        <w:rPr>
          <w:rFonts w:ascii="Arial" w:eastAsia="Google Sans" w:hAnsi="Arial"/>
          <w:color w:val="1F1F1F"/>
        </w:rPr>
      </w:pPr>
      <w:bookmarkStart w:id="20" w:name="_Toc225720624"/>
      <w:r w:rsidRPr="0064533C">
        <w:rPr>
          <w:rFonts w:ascii="Arial" w:hAnsi="Arial"/>
        </w:rPr>
        <w:t xml:space="preserve">Figure </w:t>
      </w:r>
      <w:r w:rsidRPr="0064533C">
        <w:rPr>
          <w:rFonts w:ascii="Arial" w:hAnsi="Arial"/>
        </w:rPr>
        <w:fldChar w:fldCharType="begin"/>
      </w:r>
      <w:r w:rsidRPr="0064533C">
        <w:rPr>
          <w:rFonts w:ascii="Arial" w:hAnsi="Arial"/>
        </w:rPr>
        <w:instrText xml:space="preserve"> SEQ Figure \* ARABIC </w:instrText>
      </w:r>
      <w:r w:rsidRPr="0064533C">
        <w:rPr>
          <w:rFonts w:ascii="Arial" w:hAnsi="Arial"/>
        </w:rPr>
        <w:fldChar w:fldCharType="separate"/>
      </w:r>
      <w:r w:rsidRPr="0064533C">
        <w:rPr>
          <w:rFonts w:ascii="Arial" w:hAnsi="Arial"/>
          <w:noProof/>
        </w:rPr>
        <w:t>2</w:t>
      </w:r>
      <w:r w:rsidRPr="0064533C">
        <w:rPr>
          <w:rFonts w:ascii="Arial" w:hAnsi="Arial"/>
        </w:rPr>
        <w:fldChar w:fldCharType="end"/>
      </w:r>
      <w:r w:rsidRPr="0064533C">
        <w:rPr>
          <w:rFonts w:ascii="Arial" w:hAnsi="Arial"/>
        </w:rPr>
        <w:t>: The “Research Onion” framework created by Saunders, Lewis and Thornhill (2019)</w:t>
      </w:r>
      <w:bookmarkEnd w:id="20"/>
    </w:p>
    <w:p w14:paraId="6C7BDDA1" w14:textId="2377D1D6" w:rsidR="009C50FC" w:rsidRPr="0064533C" w:rsidRDefault="009C50FC" w:rsidP="009C50FC">
      <w:pPr>
        <w:pStyle w:val="Heading2"/>
        <w:rPr>
          <w:rFonts w:ascii="Arial" w:hAnsi="Arial"/>
        </w:rPr>
      </w:pPr>
      <w:bookmarkStart w:id="21" w:name="_Toc225720650"/>
      <w:r w:rsidRPr="0064533C">
        <w:rPr>
          <w:rFonts w:ascii="Arial" w:hAnsi="Arial"/>
        </w:rPr>
        <w:t>Research Philosophy</w:t>
      </w:r>
      <w:bookmarkEnd w:id="21"/>
    </w:p>
    <w:p w14:paraId="66F25EC0" w14:textId="48DAA188"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Research philosophy is a set of assumptions that a researcher adopts in the nature of truth and a manner in which knowledge is acquired legitimately. Such assumptions are based on ontological, epistemological, and axiological assumptions, which, in turn, will influence the whole investigation process (Burrell and Morgan, 2017; Quinlan et al., 2019). This </w:t>
      </w:r>
      <w:r w:rsidR="00E03F8B">
        <w:rPr>
          <w:rFonts w:ascii="Arial" w:eastAsia="Google Sans" w:hAnsi="Arial"/>
          <w:color w:val="1F1F1F"/>
        </w:rPr>
        <w:t>study adopts</w:t>
      </w:r>
      <w:r w:rsidRPr="0064533C">
        <w:rPr>
          <w:rFonts w:ascii="Arial" w:eastAsia="Google Sans" w:hAnsi="Arial"/>
          <w:color w:val="1F1F1F"/>
        </w:rPr>
        <w:t xml:space="preserve"> a </w:t>
      </w:r>
      <w:r w:rsidR="00E03F8B">
        <w:rPr>
          <w:rFonts w:ascii="Arial" w:eastAsia="Google Sans" w:hAnsi="Arial"/>
          <w:color w:val="1F1F1F"/>
        </w:rPr>
        <w:t>stringent</w:t>
      </w:r>
      <w:r w:rsidRPr="0064533C">
        <w:rPr>
          <w:rFonts w:ascii="Arial" w:eastAsia="Google Sans" w:hAnsi="Arial"/>
          <w:color w:val="1F1F1F"/>
        </w:rPr>
        <w:t xml:space="preserve"> </w:t>
      </w:r>
      <w:r w:rsidR="00E03F8B">
        <w:rPr>
          <w:rFonts w:ascii="Arial" w:eastAsia="Google Sans" w:hAnsi="Arial"/>
          <w:color w:val="1F1F1F"/>
        </w:rPr>
        <w:t>p</w:t>
      </w:r>
      <w:r w:rsidRPr="0064533C">
        <w:rPr>
          <w:rFonts w:ascii="Arial" w:eastAsia="Google Sans" w:hAnsi="Arial"/>
          <w:color w:val="1F1F1F"/>
        </w:rPr>
        <w:t>ositivist paradigm.</w:t>
      </w:r>
    </w:p>
    <w:p w14:paraId="7B29CFED" w14:textId="10421B64"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b/>
          <w:bCs/>
          <w:color w:val="1F1F1F"/>
        </w:rPr>
        <w:t>Ontology (the nature of reality):</w:t>
      </w:r>
      <w:r w:rsidRPr="0064533C">
        <w:rPr>
          <w:rFonts w:ascii="Arial" w:eastAsia="Google Sans" w:hAnsi="Arial"/>
          <w:color w:val="1F1F1F"/>
        </w:rPr>
        <w:t xml:space="preserve"> The research is based on a view of Objectivism. It also </w:t>
      </w:r>
      <w:r w:rsidRPr="0064533C">
        <w:rPr>
          <w:rFonts w:ascii="Arial" w:eastAsia="Google Sans" w:hAnsi="Arial"/>
          <w:color w:val="1F1F1F"/>
        </w:rPr>
        <w:lastRenderedPageBreak/>
        <w:t>presupposes that phenomena in the workplace, including occupational burnout, the rates of utilisation of HR programmes, and employee turnover intentions are measurable external facts instead of illusions that are socially construc</w:t>
      </w:r>
      <w:r w:rsidR="00E03F8B">
        <w:rPr>
          <w:rFonts w:ascii="Arial" w:eastAsia="Google Sans" w:hAnsi="Arial"/>
          <w:color w:val="1F1F1F"/>
        </w:rPr>
        <w:t>ted</w:t>
      </w:r>
      <w:r w:rsidRPr="0064533C">
        <w:rPr>
          <w:rFonts w:ascii="Arial" w:eastAsia="Google Sans" w:hAnsi="Arial"/>
          <w:color w:val="1F1F1F"/>
        </w:rPr>
        <w:t xml:space="preserve"> and reliant on individual interpretation (Blaikie and Priest, 2019; Howell, 2013).</w:t>
      </w:r>
    </w:p>
    <w:p w14:paraId="0E1AB1AF" w14:textId="77777777"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b/>
          <w:bCs/>
          <w:color w:val="1F1F1F"/>
        </w:rPr>
        <w:t>Epistemology (what is valid knowledge):</w:t>
      </w:r>
      <w:r w:rsidRPr="0064533C">
        <w:rPr>
          <w:rFonts w:ascii="Arial" w:eastAsia="Google Sans" w:hAnsi="Arial"/>
          <w:color w:val="1F1F1F"/>
        </w:rPr>
        <w:t xml:space="preserve"> According to positivism, only empirical, observable pieces of data can bring about valid academic data. Due to the main focus of this study, that is, to quantitatively in a strict sense estimate the statistical significance of corporate initiatives and strictly meditate the mediation hypotheses, a positivist epistemological approach is required. The valid knowledge here should be based on statistical aggregation of survey results as opposed to the use of subjective stories (Sekaran and Bougie, 2019; Zikmund et al., 2013).</w:t>
      </w:r>
    </w:p>
    <w:p w14:paraId="311F4058" w14:textId="45E82392"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b/>
          <w:bCs/>
          <w:color w:val="1F1F1F"/>
        </w:rPr>
        <w:t>Axiology (the place of values):</w:t>
      </w:r>
      <w:r w:rsidRPr="0064533C">
        <w:rPr>
          <w:rFonts w:ascii="Arial" w:eastAsia="Google Sans" w:hAnsi="Arial"/>
          <w:color w:val="1F1F1F"/>
        </w:rPr>
        <w:t xml:space="preserve"> The research is value-neutral. The researcher acts as </w:t>
      </w:r>
      <w:r w:rsidR="00E03F8B" w:rsidRPr="0064533C">
        <w:rPr>
          <w:rFonts w:ascii="Arial" w:eastAsia="Google Sans" w:hAnsi="Arial"/>
          <w:color w:val="1F1F1F"/>
        </w:rPr>
        <w:t>a</w:t>
      </w:r>
      <w:r w:rsidRPr="0064533C">
        <w:rPr>
          <w:rFonts w:ascii="Arial" w:eastAsia="Google Sans" w:hAnsi="Arial"/>
          <w:color w:val="1F1F1F"/>
        </w:rPr>
        <w:t xml:space="preserve"> disinterested observer to ensure that the subjective thoughts of retail management practice or emotional leaning around employee wellness would not affect the process of statistical modelling or analysis of the human resource data (Bryman and Bell, 2015).</w:t>
      </w:r>
    </w:p>
    <w:p w14:paraId="16F44B89" w14:textId="77777777"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Other philosophical perspectives have been taken into account especially Interpretivism, but they were not suitable in the objectives of the study. Although interpretation methods are superb when examining the highly individualistic accounts of the reasons one is stressed, it is incapable of producing the macro-level statistical generalisations and propose predictive retention algorithms that would be required to address the fundamental research questions sowed in this proposal (Myers, 2019).</w:t>
      </w:r>
    </w:p>
    <w:p w14:paraId="350278E6" w14:textId="0E42B593" w:rsidR="009C50FC" w:rsidRPr="0064533C" w:rsidRDefault="009C50FC" w:rsidP="009C50FC">
      <w:pPr>
        <w:pStyle w:val="Heading2"/>
        <w:rPr>
          <w:rFonts w:ascii="Arial" w:hAnsi="Arial"/>
        </w:rPr>
      </w:pPr>
      <w:bookmarkStart w:id="22" w:name="_Toc225720651"/>
      <w:r w:rsidRPr="0064533C">
        <w:rPr>
          <w:rFonts w:ascii="Arial" w:hAnsi="Arial"/>
        </w:rPr>
        <w:t>Research Approach</w:t>
      </w:r>
      <w:bookmarkEnd w:id="22"/>
    </w:p>
    <w:p w14:paraId="3AE4D6E3" w14:textId="1EB8E931"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As per the adopted positivist philosophy, this study is based on a Deductive approach, which uses the deductive logic. A deductive framework functions top-down: it proceeds to start with distributed theoretical constructs based on current literature (i.e., the Job Demands-Resources Model and Social Exchange Theory), derives explicit, testable hypotheses of these frameworks, and develops a strong plan to test or reject these hypotheses with empirical workforce data (Babbie, 2020).</w:t>
      </w:r>
    </w:p>
    <w:p w14:paraId="7814994E" w14:textId="0590C47B"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lastRenderedPageBreak/>
        <w:t>It is a logical sequence, and it goes in a straight direction: Theoretical foundation → Hypothesis generation → Empirical data collection → Statistical hypothesis testing. An inductive approach, on the other hand, in which hypotheses are formulated downwards based on unstructured qualitative data, is not suitable to this project. Due to the large and mature body of literature on occupational psychology, the academic urgency in this direction is not to create any completely new theoretical framework, but rather to confirm the existing theories in the unknown setting of UK frontline retail (Thomas, 2017).</w:t>
      </w:r>
    </w:p>
    <w:p w14:paraId="494A332E" w14:textId="1CCC5A0A" w:rsidR="009C50FC" w:rsidRPr="0064533C" w:rsidRDefault="009C50FC" w:rsidP="009C50FC">
      <w:pPr>
        <w:pStyle w:val="Heading2"/>
        <w:rPr>
          <w:rFonts w:ascii="Arial" w:hAnsi="Arial"/>
        </w:rPr>
      </w:pPr>
      <w:bookmarkStart w:id="23" w:name="_Toc225720652"/>
      <w:r w:rsidRPr="0064533C">
        <w:rPr>
          <w:rFonts w:ascii="Arial" w:hAnsi="Arial"/>
        </w:rPr>
        <w:t>Research Design Choice</w:t>
      </w:r>
      <w:bookmarkEnd w:id="23"/>
    </w:p>
    <w:p w14:paraId="3E9A50A4" w14:textId="08C35217" w:rsidR="009C50FC" w:rsidRPr="0064533C" w:rsidRDefault="00E03F8B" w:rsidP="009C50FC">
      <w:pPr>
        <w:pBdr>
          <w:top w:val="nil"/>
          <w:left w:val="nil"/>
          <w:bottom w:val="nil"/>
          <w:right w:val="nil"/>
          <w:between w:val="nil"/>
        </w:pBdr>
        <w:spacing w:after="240"/>
        <w:rPr>
          <w:rFonts w:ascii="Arial" w:eastAsia="Google Sans" w:hAnsi="Arial"/>
          <w:color w:val="1F1F1F"/>
        </w:rPr>
      </w:pPr>
      <w:r w:rsidRPr="00E03F8B">
        <w:rPr>
          <w:rFonts w:ascii="Arial" w:eastAsia="Google Sans" w:hAnsi="Arial"/>
          <w:color w:val="1F1F1F"/>
        </w:rPr>
        <w:t>Constrained by the philosophical parameters outlined above, this investigation will definitively employ</w:t>
      </w:r>
      <w:r>
        <w:rPr>
          <w:rFonts w:ascii="Arial" w:eastAsia="Google Sans" w:hAnsi="Arial"/>
          <w:color w:val="1F1F1F"/>
        </w:rPr>
        <w:t xml:space="preserve"> </w:t>
      </w:r>
      <w:r w:rsidR="009C50FC" w:rsidRPr="0064533C">
        <w:rPr>
          <w:rFonts w:ascii="Arial" w:eastAsia="Google Sans" w:hAnsi="Arial"/>
          <w:color w:val="1F1F1F"/>
        </w:rPr>
        <w:t>a Mono- method Quantitative research design. Quantitative inquiry involves the transformation of raw responses of the participants into inflexible numerical factors to derive accurate statistical covariances, relationships, and causal inferences of the independent and dependent workforce variables (Hair et al., 2019; Meyers, Gamst, and Guarino, 2016; Kline, 2015; Ho, 2013).</w:t>
      </w:r>
    </w:p>
    <w:p w14:paraId="411470C1" w14:textId="77777777"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This design will offer a macro-level analysis perspective, and the researcher will use it to establish large proportionate trends in the UK retail labour market. A qualitative or even mixed-method design, which is potentially valuable in providing contextual detail, was not accepted due to a fundamental lack of the ability to produce the statistically significant, generalisable correlations to address the research objectives (i.e. how burnout mediates retention). Moreover, the implementation of the qualitative aspects would be a violation of the strict ontological parameters of the selected positivist paradigm within the constraints of a Master dissertation schedule (Creswell and Plano Clark, 2017).</w:t>
      </w:r>
    </w:p>
    <w:p w14:paraId="48367966" w14:textId="7F12CC78" w:rsidR="009C50FC" w:rsidRPr="0064533C" w:rsidRDefault="009C50FC" w:rsidP="009C50FC">
      <w:pPr>
        <w:pStyle w:val="Heading2"/>
        <w:rPr>
          <w:rFonts w:ascii="Arial" w:hAnsi="Arial"/>
        </w:rPr>
      </w:pPr>
      <w:bookmarkStart w:id="24" w:name="_Toc225720653"/>
      <w:r w:rsidRPr="0064533C">
        <w:rPr>
          <w:rFonts w:ascii="Arial" w:hAnsi="Arial"/>
        </w:rPr>
        <w:t>Research Strategy</w:t>
      </w:r>
      <w:bookmarkEnd w:id="24"/>
    </w:p>
    <w:p w14:paraId="6CDC1D5C" w14:textId="096C5830"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A Survey strategy will be used as the main mode of data collection. It is well known that surveys serve as the most structurally effective means of deductive, explanatory research by allowing in a very cost effective way the use of large body of quantitative data on the part of large cohorts of demographics (Saunders</w:t>
      </w:r>
      <w:r w:rsidR="00804D47" w:rsidRPr="0064533C">
        <w:rPr>
          <w:rFonts w:ascii="Arial" w:eastAsia="Google Sans" w:hAnsi="Arial"/>
          <w:color w:val="1F1F1F"/>
        </w:rPr>
        <w:t>, Lewis and Thornhill</w:t>
      </w:r>
      <w:r w:rsidRPr="0064533C">
        <w:rPr>
          <w:rFonts w:ascii="Arial" w:eastAsia="Google Sans" w:hAnsi="Arial"/>
          <w:color w:val="1F1F1F"/>
        </w:rPr>
        <w:t>, 2019; Dillman, Smyth, and Christian, 2014). The survey will be conducted with the help of the cross-</w:t>
      </w:r>
      <w:r w:rsidRPr="0064533C">
        <w:rPr>
          <w:rFonts w:ascii="Arial" w:eastAsia="Google Sans" w:hAnsi="Arial"/>
          <w:color w:val="1F1F1F"/>
        </w:rPr>
        <w:lastRenderedPageBreak/>
        <w:t>sectional design; in other words, it will help to capture a characteristic cross-section of storefront retail attitudes at the particular point in time. Even though longitudinal research is the most preferred study mode in establishing the causality of retention over the long run, a cross-sectional method is the best established standard of research in HR analytics, considering the fast nature of employee turnover rate within the retail sector and time limits in academia (Spector, 2019).</w:t>
      </w:r>
    </w:p>
    <w:p w14:paraId="535F546C" w14:textId="02BC607D" w:rsidR="009C50FC" w:rsidRPr="0064533C" w:rsidRDefault="009C50FC" w:rsidP="009C50FC">
      <w:pPr>
        <w:pStyle w:val="Heading2"/>
        <w:rPr>
          <w:rFonts w:ascii="Arial" w:hAnsi="Arial"/>
        </w:rPr>
      </w:pPr>
      <w:bookmarkStart w:id="25" w:name="_Toc225720654"/>
      <w:r w:rsidRPr="0064533C">
        <w:rPr>
          <w:rFonts w:ascii="Arial" w:hAnsi="Arial"/>
        </w:rPr>
        <w:t>Methodological Suitability Assessment</w:t>
      </w:r>
      <w:bookmarkEnd w:id="25"/>
    </w:p>
    <w:p w14:paraId="0B3692C6" w14:textId="75B291BD"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Specifically, the choice to strictly utili</w:t>
      </w:r>
      <w:r w:rsidR="00804D47" w:rsidRPr="0064533C">
        <w:rPr>
          <w:rFonts w:ascii="Arial" w:eastAsia="Google Sans" w:hAnsi="Arial"/>
          <w:color w:val="1F1F1F"/>
        </w:rPr>
        <w:t>s</w:t>
      </w:r>
      <w:r w:rsidRPr="0064533C">
        <w:rPr>
          <w:rFonts w:ascii="Arial" w:eastAsia="Google Sans" w:hAnsi="Arial"/>
          <w:color w:val="1F1F1F"/>
        </w:rPr>
        <w:t>e a quantitative, survey-based approach requires hard academic grounds. The undisputed strength of quantitative approach lies in its unmatched capability to produce highly reliable datasets that are replicable across geographically dispersed retail samples. This enables the determination of conclusive, forecasting models as far as employee turnover is concerned (Muijs, 2010). In industry terms, the human resource directors who have large corporate budgets on wellness need a statistical demonstration of effectiveness (e.g. prove that increase in turnover intention by one unit is related to a provable reduction in the wellbeing programme participation). These forecasting analytics offer much more practical leverage to the strategic decisions by the board compared to the qualitative anecdotes (Kumar, 2015; Zikmund et al., 2013).</w:t>
      </w:r>
    </w:p>
    <w:p w14:paraId="180CF8E9" w14:textId="47A959BF" w:rsidR="00DA1654"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Nevertheless, the propensity to psychological reductionism, which comes with the positivist paradigm, the inherent problem with the flattening of highly complex human experience, including deep-seated burnout or underlying mistrust within an institution, into hard numerical categories, was often pointed out as a major weakness of the positivism paradigm (Yilmaz, 2013). To provide rigorously to counter this limitation and ensure construct validity, this research will entirely forego the development of new metrics. Rather, it will make use of highly-researched, peer-tested psychometric measures (like Maslach Burnout Inventory and associated turnover intention scales) that will ensure that the numerical scales accurately and reliably reflect the complex, theoretical aspects they are meant to (Furr, 2011; MacKinnon et al., 2007).</w:t>
      </w:r>
    </w:p>
    <w:p w14:paraId="44B5C34F" w14:textId="77383B6A" w:rsidR="00DA1654" w:rsidRPr="0064533C" w:rsidRDefault="00000000" w:rsidP="00920B7D">
      <w:pPr>
        <w:pStyle w:val="Heading2"/>
        <w:rPr>
          <w:rFonts w:ascii="Arial" w:hAnsi="Arial"/>
        </w:rPr>
      </w:pPr>
      <w:bookmarkStart w:id="26" w:name="_Toc225720655"/>
      <w:r w:rsidRPr="0064533C">
        <w:rPr>
          <w:rFonts w:ascii="Arial" w:hAnsi="Arial"/>
        </w:rPr>
        <w:t>Operational Techniques and Procedures</w:t>
      </w:r>
      <w:bookmarkEnd w:id="26"/>
    </w:p>
    <w:p w14:paraId="0C127E2D" w14:textId="2758DAC9" w:rsidR="00DA1654" w:rsidRPr="0064533C" w:rsidRDefault="00000000" w:rsidP="00920B7D">
      <w:pPr>
        <w:pStyle w:val="Heading3"/>
        <w:rPr>
          <w:rFonts w:ascii="Arial" w:hAnsi="Arial"/>
        </w:rPr>
      </w:pPr>
      <w:bookmarkStart w:id="27" w:name="_Toc225720656"/>
      <w:r w:rsidRPr="0064533C">
        <w:rPr>
          <w:rFonts w:ascii="Arial" w:hAnsi="Arial"/>
        </w:rPr>
        <w:lastRenderedPageBreak/>
        <w:t>Instrumentation and Data Collection Tools</w:t>
      </w:r>
      <w:bookmarkEnd w:id="27"/>
    </w:p>
    <w:p w14:paraId="796B5B0B" w14:textId="74212B3C" w:rsidR="00920B7D" w:rsidRPr="0064533C" w:rsidRDefault="00920B7D" w:rsidP="00920B7D">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 xml:space="preserve">Information will be collected systematically through highly structured and self-administered online Questionnaires. The survey design will be a digital survey building and implemented in Qualtrics, the high-quality and cloud-based survey tool that is officially approved by the University Research Ethics Committee. Qualtrics was chosen due to its high-tech functionality: it flawlessly improves the routing of complex surveys to </w:t>
      </w:r>
      <w:r w:rsidR="00E03F8B" w:rsidRPr="00E03F8B">
        <w:rPr>
          <w:rFonts w:ascii="Arial" w:eastAsia="Google Sans" w:hAnsi="Arial"/>
          <w:color w:val="1F1F1F"/>
        </w:rPr>
        <w:t>minimise respondent fatigue</w:t>
      </w:r>
      <w:r w:rsidRPr="0064533C">
        <w:rPr>
          <w:rFonts w:ascii="Arial" w:eastAsia="Google Sans" w:hAnsi="Arial"/>
          <w:color w:val="1F1F1F"/>
        </w:rPr>
        <w:t>, ensures impeccable mobile functionality (which is imperative considering that retail employees will most likely fill the survey out on their smartphones outside of the shift), and generates impeccable and pre-written CSV files that can be statistical process immediately (Bradley, 2013).</w:t>
      </w:r>
    </w:p>
    <w:p w14:paraId="2690A2EB" w14:textId="77777777" w:rsidR="00920B7D" w:rsidRPr="0064533C" w:rsidRDefault="00920B7D" w:rsidP="00920B7D">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In a bid to establish content validity, the questionnaire will be subdivided into specific areas that will depend solely on the use of 5-point Likert scales (with a scale of 1 Strongly Disagree to 5 Strongly Agree). The main constructs of measurement are:</w:t>
      </w:r>
    </w:p>
    <w:p w14:paraId="15C6D6D5" w14:textId="77777777" w:rsidR="00920B7D" w:rsidRPr="0064533C" w:rsidRDefault="00920B7D" w:rsidP="00920B7D">
      <w:pPr>
        <w:numPr>
          <w:ilvl w:val="0"/>
          <w:numId w:val="3"/>
        </w:numPr>
        <w:pBdr>
          <w:top w:val="nil"/>
          <w:left w:val="nil"/>
          <w:bottom w:val="nil"/>
          <w:right w:val="nil"/>
          <w:between w:val="nil"/>
        </w:pBdr>
        <w:spacing w:after="120"/>
        <w:rPr>
          <w:rFonts w:ascii="Arial" w:eastAsia="Google Sans" w:hAnsi="Arial"/>
          <w:color w:val="1F1F1F"/>
        </w:rPr>
      </w:pPr>
      <w:r w:rsidRPr="0064533C">
        <w:rPr>
          <w:rFonts w:ascii="Arial" w:eastAsia="Google Sans" w:hAnsi="Arial"/>
          <w:b/>
          <w:bCs/>
          <w:color w:val="1F1F1F"/>
        </w:rPr>
        <w:t>Independent Variable (IV):</w:t>
      </w:r>
      <w:r w:rsidRPr="0064533C">
        <w:rPr>
          <w:rFonts w:ascii="Arial" w:eastAsia="Google Sans" w:hAnsi="Arial"/>
          <w:color w:val="1F1F1F"/>
        </w:rPr>
        <w:t xml:space="preserve"> participation in Corporate Wellbeing Programme and Perceived frontline Accessibility.</w:t>
      </w:r>
    </w:p>
    <w:p w14:paraId="082C6B78" w14:textId="77777777" w:rsidR="00920B7D" w:rsidRPr="0064533C" w:rsidRDefault="00920B7D" w:rsidP="00920B7D">
      <w:pPr>
        <w:numPr>
          <w:ilvl w:val="0"/>
          <w:numId w:val="3"/>
        </w:numPr>
        <w:pBdr>
          <w:top w:val="nil"/>
          <w:left w:val="nil"/>
          <w:bottom w:val="nil"/>
          <w:right w:val="nil"/>
          <w:between w:val="nil"/>
        </w:pBdr>
        <w:spacing w:after="120"/>
        <w:rPr>
          <w:rFonts w:ascii="Arial" w:eastAsia="Google Sans" w:hAnsi="Arial"/>
          <w:color w:val="1F1F1F"/>
        </w:rPr>
      </w:pPr>
      <w:r w:rsidRPr="0064533C">
        <w:rPr>
          <w:rFonts w:ascii="Arial" w:eastAsia="Google Sans" w:hAnsi="Arial"/>
          <w:b/>
          <w:bCs/>
          <w:color w:val="1F1F1F"/>
        </w:rPr>
        <w:t>Mediating Variable:</w:t>
      </w:r>
      <w:r w:rsidRPr="0064533C">
        <w:rPr>
          <w:rFonts w:ascii="Arial" w:eastAsia="Google Sans" w:hAnsi="Arial"/>
          <w:color w:val="1F1F1F"/>
        </w:rPr>
        <w:t xml:space="preserve"> The severity of burnout (measured by validated adaptations of the MBI that is the specific separation of emotional exhaustion and depersonalisation).</w:t>
      </w:r>
    </w:p>
    <w:p w14:paraId="2B239603" w14:textId="77777777" w:rsidR="00920B7D" w:rsidRPr="0064533C" w:rsidRDefault="00920B7D" w:rsidP="00920B7D">
      <w:pPr>
        <w:numPr>
          <w:ilvl w:val="0"/>
          <w:numId w:val="3"/>
        </w:numPr>
        <w:pBdr>
          <w:top w:val="nil"/>
          <w:left w:val="nil"/>
          <w:bottom w:val="nil"/>
          <w:right w:val="nil"/>
          <w:between w:val="nil"/>
        </w:pBdr>
        <w:spacing w:after="120"/>
        <w:rPr>
          <w:rFonts w:ascii="Arial" w:eastAsia="Google Sans" w:hAnsi="Arial"/>
          <w:color w:val="1F1F1F"/>
        </w:rPr>
      </w:pPr>
      <w:r w:rsidRPr="0064533C">
        <w:rPr>
          <w:rFonts w:ascii="Arial" w:eastAsia="Google Sans" w:hAnsi="Arial"/>
          <w:b/>
          <w:bCs/>
          <w:color w:val="1F1F1F"/>
        </w:rPr>
        <w:t>Dependent Variable (DV):</w:t>
      </w:r>
      <w:r w:rsidRPr="0064533C">
        <w:rPr>
          <w:rFonts w:ascii="Arial" w:eastAsia="Google Sans" w:hAnsi="Arial"/>
          <w:color w:val="1F1F1F"/>
        </w:rPr>
        <w:t xml:space="preserve"> Turnover Intention.</w:t>
      </w:r>
    </w:p>
    <w:p w14:paraId="1F98FB4F" w14:textId="0F3ECC81" w:rsidR="00DA1654" w:rsidRPr="0064533C" w:rsidRDefault="00920B7D" w:rsidP="00920B7D">
      <w:pPr>
        <w:numPr>
          <w:ilvl w:val="0"/>
          <w:numId w:val="3"/>
        </w:numPr>
        <w:pBdr>
          <w:top w:val="nil"/>
          <w:left w:val="nil"/>
          <w:bottom w:val="nil"/>
          <w:right w:val="nil"/>
          <w:between w:val="nil"/>
        </w:pBdr>
        <w:spacing w:after="120"/>
        <w:rPr>
          <w:rFonts w:ascii="Arial" w:hAnsi="Arial"/>
        </w:rPr>
      </w:pPr>
      <w:r w:rsidRPr="0064533C">
        <w:rPr>
          <w:rFonts w:ascii="Arial" w:eastAsia="Google Sans" w:hAnsi="Arial"/>
          <w:b/>
          <w:bCs/>
          <w:color w:val="1F1F1F"/>
        </w:rPr>
        <w:t>Control Variables:</w:t>
      </w:r>
      <w:r w:rsidRPr="0064533C">
        <w:rPr>
          <w:rFonts w:ascii="Arial" w:eastAsia="Google Sans" w:hAnsi="Arial"/>
          <w:color w:val="1F1F1F"/>
        </w:rPr>
        <w:t xml:space="preserve"> Age, gender, retail sub-sector, tenure period, and type of employment contract (e.g. guaranteed hours vs. zero-hours).</w:t>
      </w:r>
    </w:p>
    <w:p w14:paraId="4AEDC29E" w14:textId="42019FF6" w:rsidR="00DA1654" w:rsidRPr="0064533C" w:rsidRDefault="00000000" w:rsidP="00920B7D">
      <w:pPr>
        <w:pStyle w:val="Heading3"/>
        <w:rPr>
          <w:rFonts w:ascii="Arial" w:hAnsi="Arial"/>
        </w:rPr>
      </w:pPr>
      <w:bookmarkStart w:id="28" w:name="_Toc225720657"/>
      <w:r w:rsidRPr="0064533C">
        <w:rPr>
          <w:rFonts w:ascii="Arial" w:hAnsi="Arial"/>
        </w:rPr>
        <w:t>Sampling Strategy and Target Demographics</w:t>
      </w:r>
      <w:bookmarkEnd w:id="28"/>
    </w:p>
    <w:p w14:paraId="55B3FEEE" w14:textId="77777777" w:rsidR="00920B7D" w:rsidRPr="0064533C" w:rsidRDefault="00920B7D" w:rsidP="00920B7D">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The target group is also limited to frontline employees in the UK retail industry, specifically those who are non-managerial, face-to-face employees, i.e. sales assistants and cashiers, who are currently employed by an organisation that provides formal corporate wellbeing programmes.</w:t>
      </w:r>
    </w:p>
    <w:p w14:paraId="7547DB28" w14:textId="77777777" w:rsidR="00920B7D" w:rsidRPr="0064533C" w:rsidRDefault="00920B7D" w:rsidP="00920B7D">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Due to the lack of an exhaustive, publicly available sampling frame, i.e. an overall registry </w:t>
      </w:r>
      <w:r w:rsidRPr="0064533C">
        <w:rPr>
          <w:rFonts w:ascii="Arial" w:eastAsia="Google Sans" w:hAnsi="Arial"/>
          <w:color w:val="1F1F1F"/>
        </w:rPr>
        <w:lastRenderedPageBreak/>
        <w:t>of all UK retail workers, probability sampling methods are mathematically invalid (Taherdoost, 2016). As a result, effective non-probability sampling techniques will be implemented. Purposive Sampling will be performed the first wherein, at the beginning of the survey, there will be rigorous screening questions that will instantly extract survey participants who do not qualify in terms of the exact occupational requirements. This shall be directly then smoothly preceded by Snowball Sampling through professional digital networks. It will strategically saturate the retail worker community boards, LinkedIn professional communities, and union community boards with the Qualtrics link and use peer-to-peer networks to spread the survey quickly and reach the necessary amount of responses (Etikan, Musa, and Alkassim, 2016).</w:t>
      </w:r>
    </w:p>
    <w:p w14:paraId="61237B07" w14:textId="5BE5E884" w:rsidR="00DA1654" w:rsidRPr="0064533C" w:rsidRDefault="00920B7D" w:rsidP="00920B7D">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In order to ensure sufficient statistical power to support the desired multiple regression and mediation analyses a priori sample size calculation was performed (based on the rule of thumb by Green: </w:t>
      </w:r>
      <m:oMath>
        <m:r>
          <w:rPr>
            <w:rFonts w:ascii="Cambria Math" w:eastAsia="Google Sans" w:hAnsi="Cambria Math"/>
            <w:color w:val="1F1F1F"/>
          </w:rPr>
          <m:t xml:space="preserve">N&gt;50+8m </m:t>
        </m:r>
      </m:oMath>
      <w:r w:rsidRPr="0064533C">
        <w:rPr>
          <w:rFonts w:ascii="Arial" w:eastAsia="Google Sans" w:hAnsi="Arial"/>
          <w:color w:val="1F1F1F"/>
        </w:rPr>
        <w:t xml:space="preserve">where m is the number of independent variables). A strong conclusive target of </w:t>
      </w:r>
      <m:oMath>
        <m:r>
          <w:rPr>
            <w:rFonts w:ascii="Cambria Math" w:eastAsia="Google Sans" w:hAnsi="Cambria Math"/>
            <w:color w:val="1F1F1F"/>
          </w:rPr>
          <m:t>N=200 to 250</m:t>
        </m:r>
      </m:oMath>
      <w:r w:rsidRPr="0064533C">
        <w:rPr>
          <w:rFonts w:ascii="Arial" w:eastAsia="Google Sans" w:hAnsi="Arial"/>
          <w:color w:val="1F1F1F"/>
        </w:rPr>
        <w:t xml:space="preserve"> valid and engaged answers will be sought in order to safely factor in data cleaning and untapped response (Green, 1991).</w:t>
      </w:r>
    </w:p>
    <w:p w14:paraId="29339815" w14:textId="716E18CE" w:rsidR="00DA1654" w:rsidRPr="0064533C" w:rsidRDefault="00000000" w:rsidP="00920B7D">
      <w:pPr>
        <w:pStyle w:val="Heading3"/>
        <w:rPr>
          <w:rFonts w:ascii="Arial" w:hAnsi="Arial"/>
        </w:rPr>
      </w:pPr>
      <w:bookmarkStart w:id="29" w:name="_Toc225720658"/>
      <w:r w:rsidRPr="0064533C">
        <w:rPr>
          <w:rFonts w:ascii="Arial" w:hAnsi="Arial"/>
        </w:rPr>
        <w:t>Statistical Protocol and Analytical Techniques</w:t>
      </w:r>
      <w:bookmarkEnd w:id="29"/>
    </w:p>
    <w:p w14:paraId="2F6D45E4" w14:textId="77777777" w:rsidR="009C50FC" w:rsidRPr="0064533C" w:rsidRDefault="009C50FC" w:rsidP="009C50FC">
      <w:pPr>
        <w:pBdr>
          <w:top w:val="nil"/>
          <w:left w:val="nil"/>
          <w:bottom w:val="nil"/>
          <w:right w:val="nil"/>
          <w:between w:val="nil"/>
        </w:pBdr>
        <w:rPr>
          <w:rFonts w:ascii="Arial" w:eastAsia="Google Sans" w:hAnsi="Arial"/>
          <w:color w:val="1F1F1F"/>
        </w:rPr>
      </w:pPr>
      <w:r w:rsidRPr="0064533C">
        <w:rPr>
          <w:rFonts w:ascii="Arial" w:eastAsia="Google Sans" w:hAnsi="Arial"/>
          <w:color w:val="1F1F1F"/>
        </w:rPr>
        <w:t>The final version of the Qualtrics deployment will result in the exportation of the raw data into the pre-coded CSV file, which will be ingested directly into IBM SPSS Statistics (Version 28+) to undergo a strict, multi-step quantitative analysis (George and Mallery, 2019). The analytical framework will be carried out in detail in four different phases to ensure the statistical integrity:</w:t>
      </w:r>
    </w:p>
    <w:p w14:paraId="0E1EFEBE" w14:textId="77777777" w:rsidR="009C50FC" w:rsidRPr="0064533C" w:rsidRDefault="009C50FC" w:rsidP="009C50FC">
      <w:pPr>
        <w:numPr>
          <w:ilvl w:val="0"/>
          <w:numId w:val="4"/>
        </w:numPr>
        <w:pBdr>
          <w:top w:val="nil"/>
          <w:left w:val="nil"/>
          <w:bottom w:val="nil"/>
          <w:right w:val="nil"/>
          <w:between w:val="nil"/>
        </w:pBdr>
        <w:rPr>
          <w:rFonts w:ascii="Arial" w:eastAsia="Google Sans" w:hAnsi="Arial"/>
          <w:color w:val="1F1F1F"/>
        </w:rPr>
      </w:pPr>
      <w:r w:rsidRPr="0064533C">
        <w:rPr>
          <w:rFonts w:ascii="Arial" w:eastAsia="Google Sans" w:hAnsi="Arial"/>
          <w:b/>
          <w:bCs/>
          <w:color w:val="1F1F1F"/>
        </w:rPr>
        <w:t>Cleansing of Data:</w:t>
      </w:r>
      <w:r w:rsidRPr="0064533C">
        <w:rPr>
          <w:rFonts w:ascii="Arial" w:eastAsia="Google Sans" w:hAnsi="Arial"/>
          <w:color w:val="1F1F1F"/>
        </w:rPr>
        <w:t xml:space="preserve"> The data will be subjected to intense examination of missing values, non-responsive response trends (e.g., straight-lining), and wide statistical outliers with Mahalanobis distance testing (Field, 2018).</w:t>
      </w:r>
    </w:p>
    <w:p w14:paraId="561F7A5E" w14:textId="0459442E" w:rsidR="009C50FC" w:rsidRPr="0064533C" w:rsidRDefault="009C50FC" w:rsidP="009C50FC">
      <w:pPr>
        <w:numPr>
          <w:ilvl w:val="0"/>
          <w:numId w:val="4"/>
        </w:numPr>
        <w:pBdr>
          <w:top w:val="nil"/>
          <w:left w:val="nil"/>
          <w:bottom w:val="nil"/>
          <w:right w:val="nil"/>
          <w:between w:val="nil"/>
        </w:pBdr>
        <w:rPr>
          <w:rFonts w:ascii="Arial" w:eastAsia="Google Sans" w:hAnsi="Arial"/>
          <w:color w:val="1F1F1F"/>
        </w:rPr>
      </w:pPr>
      <w:r w:rsidRPr="0064533C">
        <w:rPr>
          <w:rFonts w:ascii="Arial" w:eastAsia="Google Sans" w:hAnsi="Arial"/>
          <w:b/>
          <w:bCs/>
          <w:color w:val="1F1F1F"/>
        </w:rPr>
        <w:t>Descriptive Profiling and Assumption Checking:</w:t>
      </w:r>
      <w:r w:rsidRPr="0064533C">
        <w:rPr>
          <w:rFonts w:ascii="Arial" w:eastAsia="Google Sans" w:hAnsi="Arial"/>
          <w:color w:val="1F1F1F"/>
        </w:rPr>
        <w:t xml:space="preserve"> Descriptive demographics will be obtained (frequencies, means, standard deviations). More importantly, the underlying parametric assumptions will be severely scrutini</w:t>
      </w:r>
      <w:r w:rsidR="00804D47" w:rsidRPr="0064533C">
        <w:rPr>
          <w:rFonts w:ascii="Arial" w:eastAsia="Google Sans" w:hAnsi="Arial"/>
          <w:color w:val="1F1F1F"/>
        </w:rPr>
        <w:t>s</w:t>
      </w:r>
      <w:r w:rsidRPr="0064533C">
        <w:rPr>
          <w:rFonts w:ascii="Arial" w:eastAsia="Google Sans" w:hAnsi="Arial"/>
          <w:color w:val="1F1F1F"/>
        </w:rPr>
        <w:t xml:space="preserve">ed: normality of data will be checked with the help of Shapiro Wilk test, homoscedasticity will be examined with the help of scatterplots, and multicollinearity will be disqualified with the help of </w:t>
      </w:r>
      <w:r w:rsidRPr="0064533C">
        <w:rPr>
          <w:rFonts w:ascii="Arial" w:eastAsia="Google Sans" w:hAnsi="Arial"/>
          <w:color w:val="1F1F1F"/>
        </w:rPr>
        <w:lastRenderedPageBreak/>
        <w:t>Variance Inflation Factor (VIF) scores that will be kept at the safely lower level under 5.0 level (Ho, 2013).</w:t>
      </w:r>
    </w:p>
    <w:p w14:paraId="0069FAFE" w14:textId="4D475501" w:rsidR="00DA1654" w:rsidRPr="0064533C" w:rsidRDefault="009C50FC" w:rsidP="009C50FC">
      <w:pPr>
        <w:numPr>
          <w:ilvl w:val="0"/>
          <w:numId w:val="4"/>
        </w:numPr>
        <w:pBdr>
          <w:top w:val="nil"/>
          <w:left w:val="nil"/>
          <w:bottom w:val="nil"/>
          <w:right w:val="nil"/>
          <w:between w:val="nil"/>
        </w:pBdr>
        <w:rPr>
          <w:rFonts w:ascii="Arial" w:hAnsi="Arial"/>
        </w:rPr>
      </w:pPr>
      <w:r w:rsidRPr="0064533C">
        <w:rPr>
          <w:rFonts w:ascii="Arial" w:eastAsia="Google Sans" w:hAnsi="Arial"/>
          <w:b/>
          <w:bCs/>
          <w:color w:val="1F1F1F"/>
        </w:rPr>
        <w:t>Reliability validation:</w:t>
      </w:r>
      <w:r w:rsidRPr="0064533C">
        <w:rPr>
          <w:rFonts w:ascii="Arial" w:eastAsia="Google Sans" w:hAnsi="Arial"/>
          <w:color w:val="1F1F1F"/>
        </w:rPr>
        <w:t xml:space="preserve"> Cronbach’s Alpha will be used to determine the internal consistency of each multi-item Likert scale through mathematical testing (imposing a rigid criterion of </w:t>
      </w:r>
      <m:oMath>
        <m:r>
          <w:rPr>
            <w:rFonts w:ascii="Cambria Math" w:eastAsia="Google Sans" w:hAnsi="Cambria Math"/>
            <w:color w:val="1F1F1F"/>
          </w:rPr>
          <m:t>α&gt;0.70</m:t>
        </m:r>
      </m:oMath>
      <w:r w:rsidRPr="0064533C">
        <w:rPr>
          <w:rFonts w:ascii="Arial" w:eastAsia="Google Sans" w:hAnsi="Arial"/>
          <w:color w:val="1F1F1F"/>
        </w:rPr>
        <w:t>). Exploratory Factor Analysis (EFA) can be implemented to ensure that the questions in the surveys are loaded on their intended theoretical constructs (Tavakol and Dennick, 2011; Furr, 2011).</w:t>
      </w:r>
    </w:p>
    <w:p w14:paraId="6F293020" w14:textId="77777777" w:rsidR="009C50FC" w:rsidRPr="0064533C" w:rsidRDefault="00000000" w:rsidP="009C50FC">
      <w:pPr>
        <w:numPr>
          <w:ilvl w:val="0"/>
          <w:numId w:val="4"/>
        </w:numPr>
        <w:pBdr>
          <w:top w:val="nil"/>
          <w:left w:val="nil"/>
          <w:bottom w:val="nil"/>
          <w:right w:val="nil"/>
          <w:between w:val="nil"/>
        </w:pBdr>
        <w:rPr>
          <w:rFonts w:ascii="Arial" w:eastAsia="Google Sans" w:hAnsi="Arial"/>
          <w:color w:val="1F1F1F"/>
        </w:rPr>
      </w:pPr>
      <w:r w:rsidRPr="0064533C">
        <w:rPr>
          <w:rFonts w:ascii="Arial" w:eastAsia="Google Sans" w:hAnsi="Arial"/>
          <w:b/>
          <w:bCs/>
          <w:color w:val="1F1F1F"/>
        </w:rPr>
        <w:t>Hypothesis Testing:</w:t>
      </w:r>
      <w:r w:rsidRPr="0064533C">
        <w:rPr>
          <w:rFonts w:ascii="Arial" w:eastAsia="Google Sans" w:hAnsi="Arial"/>
          <w:color w:val="1F1F1F"/>
        </w:rPr>
        <w:t xml:space="preserve"> </w:t>
      </w:r>
      <w:r w:rsidR="009C50FC" w:rsidRPr="0064533C">
        <w:rPr>
          <w:rFonts w:ascii="Arial" w:eastAsia="Google Sans" w:hAnsi="Arial"/>
          <w:color w:val="1F1F1F"/>
        </w:rPr>
        <w:t>To specifically respond to the research goals and confirm the conceptual framework:</w:t>
      </w:r>
    </w:p>
    <w:p w14:paraId="1A2822A7" w14:textId="77777777" w:rsidR="009C50FC" w:rsidRPr="0064533C" w:rsidRDefault="009C50FC" w:rsidP="009C50FC">
      <w:pPr>
        <w:numPr>
          <w:ilvl w:val="0"/>
          <w:numId w:val="10"/>
        </w:numPr>
        <w:pBdr>
          <w:top w:val="nil"/>
          <w:left w:val="nil"/>
          <w:bottom w:val="nil"/>
          <w:right w:val="nil"/>
          <w:between w:val="nil"/>
        </w:pBdr>
        <w:rPr>
          <w:rFonts w:ascii="Arial" w:eastAsia="Google Sans" w:hAnsi="Arial"/>
          <w:color w:val="1F1F1F"/>
        </w:rPr>
      </w:pPr>
      <w:r w:rsidRPr="0064533C">
        <w:rPr>
          <w:rFonts w:ascii="Arial" w:eastAsia="Google Sans" w:hAnsi="Arial"/>
          <w:color w:val="1F1F1F"/>
        </w:rPr>
        <w:t>The ANOVA and Independent Samples T-Tests will be used to measure the differences in the severity of baseline burnout among various retail demographic groups (testing H1).</w:t>
      </w:r>
    </w:p>
    <w:p w14:paraId="10C63138" w14:textId="3CA330D3" w:rsidR="009C50FC" w:rsidRPr="0064533C" w:rsidRDefault="009C50FC" w:rsidP="009C50FC">
      <w:pPr>
        <w:numPr>
          <w:ilvl w:val="0"/>
          <w:numId w:val="10"/>
        </w:numPr>
        <w:pBdr>
          <w:top w:val="nil"/>
          <w:left w:val="nil"/>
          <w:bottom w:val="nil"/>
          <w:right w:val="nil"/>
          <w:between w:val="nil"/>
        </w:pBdr>
        <w:rPr>
          <w:rFonts w:ascii="Arial" w:eastAsia="Google Sans" w:hAnsi="Arial"/>
          <w:color w:val="1F1F1F"/>
        </w:rPr>
      </w:pPr>
      <w:r w:rsidRPr="0064533C">
        <w:rPr>
          <w:rFonts w:ascii="Arial" w:eastAsia="Google Sans" w:hAnsi="Arial"/>
          <w:color w:val="1F1F1F"/>
        </w:rPr>
        <w:t xml:space="preserve">The Pearson Correlation Coefficients </w:t>
      </w:r>
      <m:oMath>
        <m:r>
          <w:rPr>
            <w:rFonts w:ascii="Cambria Math" w:eastAsia="Google Sans" w:hAnsi="Cambria Math"/>
            <w:color w:val="1F1F1F"/>
          </w:rPr>
          <m:t>(r)</m:t>
        </m:r>
      </m:oMath>
      <w:r w:rsidRPr="0064533C">
        <w:rPr>
          <w:rFonts w:ascii="Arial" w:eastAsia="Google Sans" w:hAnsi="Arial"/>
          <w:color w:val="1F1F1F"/>
        </w:rPr>
        <w:t xml:space="preserve"> shall be calculated to determine the underlying strength and direction of the negative correlation between programme participation and burnout mitigation (underpinning H2).</w:t>
      </w:r>
    </w:p>
    <w:p w14:paraId="19D37ED2" w14:textId="1E5AEEF0" w:rsidR="00DA1654" w:rsidRPr="0064533C" w:rsidRDefault="009C50FC" w:rsidP="009C50FC">
      <w:pPr>
        <w:numPr>
          <w:ilvl w:val="0"/>
          <w:numId w:val="10"/>
        </w:numPr>
        <w:pBdr>
          <w:top w:val="nil"/>
          <w:left w:val="nil"/>
          <w:bottom w:val="nil"/>
          <w:right w:val="nil"/>
          <w:between w:val="nil"/>
        </w:pBdr>
        <w:rPr>
          <w:rFonts w:ascii="Arial" w:hAnsi="Arial"/>
        </w:rPr>
      </w:pPr>
      <w:r w:rsidRPr="0064533C">
        <w:rPr>
          <w:rFonts w:ascii="Arial" w:eastAsia="Google Sans" w:hAnsi="Arial"/>
          <w:color w:val="1F1F1F"/>
        </w:rPr>
        <w:t>Lastly, Multiple Regression Analysis, formally involving complex mediation analysis protocols, will be performed to strictly consider the mediating impacts of burnout, formally establishing the direct and indirect statistical pathways needed to confirm the main hypothesis on retention (H3) (MacKinnon et al., 2007).</w:t>
      </w:r>
    </w:p>
    <w:p w14:paraId="61B50B8A" w14:textId="21FC915A" w:rsidR="00DA1654" w:rsidRPr="0064533C" w:rsidRDefault="00000000" w:rsidP="00920B7D">
      <w:pPr>
        <w:pStyle w:val="Heading2"/>
        <w:rPr>
          <w:rFonts w:ascii="Arial" w:hAnsi="Arial"/>
        </w:rPr>
      </w:pPr>
      <w:bookmarkStart w:id="30" w:name="_Toc225720659"/>
      <w:r w:rsidRPr="0064533C">
        <w:rPr>
          <w:rFonts w:ascii="Arial" w:hAnsi="Arial"/>
        </w:rPr>
        <w:t>Anticipated Methodological Limitations</w:t>
      </w:r>
      <w:bookmarkEnd w:id="30"/>
    </w:p>
    <w:p w14:paraId="6B8F48B5" w14:textId="77777777"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In order to ensure high standards of scholarly integrity, a number of methodological limitations are to be actively taken into consideration:</w:t>
      </w:r>
    </w:p>
    <w:p w14:paraId="72E53406" w14:textId="77777777"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b/>
          <w:bCs/>
          <w:color w:val="1F1F1F"/>
        </w:rPr>
        <w:t>Self-Report Data and Social Desirability Bias: Survey</w:t>
      </w:r>
      <w:r w:rsidRPr="0064533C">
        <w:rPr>
          <w:rFonts w:ascii="Arial" w:eastAsia="Google Sans" w:hAnsi="Arial"/>
          <w:color w:val="1F1F1F"/>
        </w:rPr>
        <w:t xml:space="preserve"> data by itself is quantitative in nature, which implies that it is based on self reporting. The anonymity of the survey participants may make them vulnerable to social desirability bias or fear of the employer repercussions when answering sensitive HR related questions such as the turnover intention or acute burnout (Podsakoff et al., 2003). This risk will be closely countered by providing the University of Guilford the full anonymity in the Qualtrics qualitative settings and stressing the respondents the fact that the raw information will never reach their employers.</w:t>
      </w:r>
    </w:p>
    <w:p w14:paraId="5E09B626" w14:textId="77777777"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b/>
          <w:bCs/>
          <w:color w:val="1F1F1F"/>
        </w:rPr>
        <w:lastRenderedPageBreak/>
        <w:t>Limitations of Cross-Sectional Design:</w:t>
      </w:r>
      <w:r w:rsidRPr="0064533C">
        <w:rPr>
          <w:rFonts w:ascii="Arial" w:eastAsia="Google Sans" w:hAnsi="Arial"/>
          <w:color w:val="1F1F1F"/>
        </w:rPr>
        <w:t xml:space="preserve"> Since the cross-sectional character of the data set has been set, it is not possible to assert absolute, unquestioning causal relationship (i.e. that HR programme A will prevent employee B to resign in the next multi-year period) in the same research as it is possible with longitudinal researches (Levin, 2006).</w:t>
      </w:r>
    </w:p>
    <w:p w14:paraId="14F7D286" w14:textId="66FE3FC1" w:rsidR="00DA1654" w:rsidRPr="0064533C" w:rsidRDefault="009C50FC" w:rsidP="009C50FC">
      <w:pPr>
        <w:pBdr>
          <w:top w:val="nil"/>
          <w:left w:val="nil"/>
          <w:bottom w:val="nil"/>
          <w:right w:val="nil"/>
          <w:between w:val="nil"/>
        </w:pBdr>
        <w:spacing w:after="120"/>
        <w:rPr>
          <w:rFonts w:ascii="Arial" w:hAnsi="Arial"/>
        </w:rPr>
      </w:pPr>
      <w:r w:rsidRPr="0064533C">
        <w:rPr>
          <w:rFonts w:ascii="Arial" w:eastAsia="Google Sans" w:hAnsi="Arial"/>
          <w:b/>
          <w:bCs/>
          <w:color w:val="1F1F1F"/>
        </w:rPr>
        <w:t>Limitations of Demographic Generalisability:</w:t>
      </w:r>
      <w:r w:rsidRPr="0064533C">
        <w:rPr>
          <w:rFonts w:ascii="Arial" w:eastAsia="Google Sans" w:hAnsi="Arial"/>
          <w:color w:val="1F1F1F"/>
        </w:rPr>
        <w:t xml:space="preserve"> The results of the current study will be demarked by the UK frontline retail setting. Proceeding to generali</w:t>
      </w:r>
      <w:r w:rsidR="00804D47" w:rsidRPr="0064533C">
        <w:rPr>
          <w:rFonts w:ascii="Arial" w:eastAsia="Google Sans" w:hAnsi="Arial"/>
          <w:color w:val="1F1F1F"/>
        </w:rPr>
        <w:t>s</w:t>
      </w:r>
      <w:r w:rsidRPr="0064533C">
        <w:rPr>
          <w:rFonts w:ascii="Arial" w:eastAsia="Google Sans" w:hAnsi="Arial"/>
          <w:color w:val="1F1F1F"/>
        </w:rPr>
        <w:t>e these retention-related indicators to radically different work areas (e.g., corporate finance or the frontline workforce in a health care setting) should be considered with the utmost scholarly precision because of radically different stress factors and work challenges.</w:t>
      </w:r>
    </w:p>
    <w:p w14:paraId="0254092B" w14:textId="7552033F" w:rsidR="00DA1654" w:rsidRPr="0064533C" w:rsidRDefault="00000000" w:rsidP="003F6BBE">
      <w:pPr>
        <w:pStyle w:val="Heading1"/>
        <w:rPr>
          <w:rFonts w:ascii="Arial" w:hAnsi="Arial"/>
        </w:rPr>
      </w:pPr>
      <w:bookmarkStart w:id="31" w:name="_Toc225720660"/>
      <w:r w:rsidRPr="0064533C">
        <w:rPr>
          <w:rFonts w:ascii="Arial" w:hAnsi="Arial"/>
        </w:rPr>
        <w:t>Resource Implications</w:t>
      </w:r>
      <w:r w:rsidR="009C50FC" w:rsidRPr="0064533C">
        <w:rPr>
          <w:rFonts w:ascii="Arial" w:hAnsi="Arial"/>
        </w:rPr>
        <w:t xml:space="preserve"> and Project Timeline</w:t>
      </w:r>
      <w:bookmarkEnd w:id="31"/>
    </w:p>
    <w:p w14:paraId="6CF069B8" w14:textId="23F9BBA6" w:rsidR="00DA1654" w:rsidRPr="0064533C" w:rsidRDefault="00000000" w:rsidP="00920B7D">
      <w:pPr>
        <w:pStyle w:val="Heading2"/>
        <w:rPr>
          <w:rFonts w:ascii="Arial" w:hAnsi="Arial"/>
        </w:rPr>
      </w:pPr>
      <w:bookmarkStart w:id="32" w:name="_Toc225720661"/>
      <w:r w:rsidRPr="0064533C">
        <w:rPr>
          <w:rFonts w:ascii="Arial" w:hAnsi="Arial"/>
        </w:rPr>
        <w:t>Resource Implications</w:t>
      </w:r>
      <w:bookmarkEnd w:id="32"/>
    </w:p>
    <w:p w14:paraId="2F91A58B" w14:textId="77777777"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The effective completion of this dissertation project will require the prudent assessment of three fundamental types of resources:</w:t>
      </w:r>
    </w:p>
    <w:p w14:paraId="0188A436" w14:textId="4C5C7A6E"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b/>
          <w:bCs/>
          <w:color w:val="1F1F1F"/>
        </w:rPr>
        <w:t>Financial Resources:</w:t>
      </w:r>
      <w:r w:rsidRPr="0064533C">
        <w:rPr>
          <w:rFonts w:ascii="Arial" w:eastAsia="Google Sans" w:hAnsi="Arial"/>
          <w:color w:val="1F1F1F"/>
        </w:rPr>
        <w:t xml:space="preserve"> </w:t>
      </w:r>
      <w:r w:rsidR="00E535A9" w:rsidRPr="00E535A9">
        <w:rPr>
          <w:rFonts w:ascii="Arial" w:eastAsia="Google Sans" w:hAnsi="Arial"/>
          <w:color w:val="1F1F1F"/>
        </w:rPr>
        <w:t>Modest funding is anticipated</w:t>
      </w:r>
      <w:r w:rsidRPr="0064533C">
        <w:rPr>
          <w:rFonts w:ascii="Arial" w:eastAsia="Google Sans" w:hAnsi="Arial"/>
          <w:color w:val="1F1F1F"/>
        </w:rPr>
        <w:t>. The basic data collection would be based on the university-approved platform of Qualtrics, whereas qualified statistical tools such as IBM SPSS will be needed to perform the data analysis rigorously (George and Mallery, 2019). The cost of processing quantitative data is greatly lowered by institutional access to SPSS, and high-end academic databases.</w:t>
      </w:r>
    </w:p>
    <w:p w14:paraId="72104F81" w14:textId="77777777"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b/>
          <w:bCs/>
          <w:color w:val="1F1F1F"/>
        </w:rPr>
        <w:t>Time Resources:</w:t>
      </w:r>
      <w:r w:rsidRPr="0064533C">
        <w:rPr>
          <w:rFonts w:ascii="Arial" w:eastAsia="Google Sans" w:hAnsi="Arial"/>
          <w:color w:val="1F1F1F"/>
        </w:rPr>
        <w:t xml:space="preserve"> Time management is required. The duration of the project will be seven months (March to September), where there are timelines that will be allocated to specific activities in order to facilitate even distribution in workflow as seen in the Gantt chart that has been drawn visually.</w:t>
      </w:r>
    </w:p>
    <w:p w14:paraId="1037C3B3" w14:textId="76C7084A" w:rsidR="00DA1654" w:rsidRPr="0064533C" w:rsidRDefault="009C50FC" w:rsidP="009C50FC">
      <w:pPr>
        <w:pBdr>
          <w:top w:val="nil"/>
          <w:left w:val="nil"/>
          <w:bottom w:val="nil"/>
          <w:right w:val="nil"/>
          <w:between w:val="nil"/>
        </w:pBdr>
        <w:spacing w:after="120"/>
        <w:rPr>
          <w:rFonts w:ascii="Arial" w:hAnsi="Arial"/>
        </w:rPr>
      </w:pPr>
      <w:r w:rsidRPr="0064533C">
        <w:rPr>
          <w:rFonts w:ascii="Arial" w:eastAsia="Google Sans" w:hAnsi="Arial"/>
          <w:b/>
          <w:bCs/>
          <w:color w:val="1F1F1F"/>
        </w:rPr>
        <w:t>Human Resources:</w:t>
      </w:r>
      <w:r w:rsidRPr="0064533C">
        <w:rPr>
          <w:rFonts w:ascii="Arial" w:eastAsia="Google Sans" w:hAnsi="Arial"/>
          <w:color w:val="1F1F1F"/>
        </w:rPr>
        <w:t xml:space="preserve"> The participation of the participants and academic oversight are very vital in the determination of viability of the research. It relies on obtaining strong data by reaching the frontline retail personnel in the UK through the digital networks without compromising on the corporate solicitation policies. In addition, the ethical guidance and critical commentary on draft chapters require the permanent assistance and access to the designated academic supervisor.</w:t>
      </w:r>
    </w:p>
    <w:p w14:paraId="465B69DE" w14:textId="0D57CDA2" w:rsidR="00DA1654" w:rsidRPr="0064533C" w:rsidRDefault="009C50FC" w:rsidP="00920B7D">
      <w:pPr>
        <w:pStyle w:val="Heading2"/>
        <w:rPr>
          <w:rFonts w:ascii="Arial" w:hAnsi="Arial"/>
        </w:rPr>
      </w:pPr>
      <w:bookmarkStart w:id="33" w:name="_Toc225720662"/>
      <w:r w:rsidRPr="0064533C">
        <w:rPr>
          <w:rFonts w:ascii="Arial" w:hAnsi="Arial"/>
        </w:rPr>
        <w:lastRenderedPageBreak/>
        <w:t>Project Timeline</w:t>
      </w:r>
      <w:bookmarkEnd w:id="33"/>
    </w:p>
    <w:p w14:paraId="6EEF6703" w14:textId="77777777" w:rsidR="009C50FC"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The dissertation follows a timeline in order to ensure that the research is systematically organised. The project begins in March with research goals specification and outlining of the introduction. The literature review will be done in the month of April to establish a solid theory. The main data collection tools (Qualtrics questionnaire) are planned to be developed and pilot-tested in May throughout the process of filing the PG2 ethics application.</w:t>
      </w:r>
    </w:p>
    <w:p w14:paraId="633A741E" w14:textId="4A54D536" w:rsidR="00DA1654" w:rsidRPr="0064533C" w:rsidRDefault="009C50FC" w:rsidP="009C50FC">
      <w:pPr>
        <w:pBdr>
          <w:top w:val="nil"/>
          <w:left w:val="nil"/>
          <w:bottom w:val="nil"/>
          <w:right w:val="nil"/>
          <w:between w:val="nil"/>
        </w:pBdr>
        <w:spacing w:after="240"/>
        <w:rPr>
          <w:rFonts w:ascii="Arial" w:eastAsia="Google Sans" w:hAnsi="Arial"/>
          <w:color w:val="1F1F1F"/>
        </w:rPr>
      </w:pPr>
      <w:r w:rsidRPr="0064533C">
        <w:rPr>
          <w:rFonts w:ascii="Arial" w:eastAsia="Google Sans" w:hAnsi="Arial"/>
          <w:color w:val="1F1F1F"/>
        </w:rPr>
        <w:t xml:space="preserve">The active data gathering begins in June and ends in July, to guarantee the necessary </w:t>
      </w:r>
      <w:r w:rsidR="00A51B44" w:rsidRPr="0064533C">
        <w:rPr>
          <w:rFonts w:ascii="Arial" w:eastAsia="Google Sans" w:hAnsi="Arial"/>
          <w:color w:val="1F1F1F"/>
        </w:rPr>
        <w:t xml:space="preserve">minimum </w:t>
      </w:r>
      <w:r w:rsidRPr="0064533C">
        <w:rPr>
          <w:rFonts w:ascii="Arial" w:eastAsia="Google Sans" w:hAnsi="Arial"/>
          <w:color w:val="1F1F1F"/>
        </w:rPr>
        <w:t xml:space="preserve">sample size and to have a buffer time to slow reaction rates inherent to retail workers. </w:t>
      </w:r>
      <w:r w:rsidR="00E535A9" w:rsidRPr="00E535A9">
        <w:rPr>
          <w:rFonts w:ascii="Arial" w:eastAsia="Google Sans" w:hAnsi="Arial"/>
          <w:color w:val="1F1F1F"/>
        </w:rPr>
        <w:t>In August, the focus transitions to data analysis, deploying multiple regression and correlation techniques via SPSS</w:t>
      </w:r>
      <w:r w:rsidRPr="0064533C">
        <w:rPr>
          <w:rFonts w:ascii="Arial" w:eastAsia="Google Sans" w:hAnsi="Arial"/>
          <w:color w:val="1F1F1F"/>
        </w:rPr>
        <w:t>. The project comes to an end in September where the remaining resources are allocated to the final report writing, formatting, and proofreading.</w:t>
      </w:r>
    </w:p>
    <w:p w14:paraId="7C3073AD" w14:textId="7056A7DD" w:rsidR="00804D47" w:rsidRPr="0064533C" w:rsidRDefault="00804D47" w:rsidP="00804D47">
      <w:pPr>
        <w:pStyle w:val="Caption"/>
        <w:keepNext/>
        <w:jc w:val="center"/>
        <w:rPr>
          <w:rFonts w:ascii="Arial" w:hAnsi="Arial"/>
        </w:rPr>
      </w:pPr>
      <w:bookmarkStart w:id="34" w:name="_Toc225720625"/>
      <w:r w:rsidRPr="0064533C">
        <w:rPr>
          <w:rFonts w:ascii="Arial" w:hAnsi="Arial"/>
        </w:rPr>
        <w:t xml:space="preserve">Table </w:t>
      </w:r>
      <w:r w:rsidRPr="0064533C">
        <w:rPr>
          <w:rFonts w:ascii="Arial" w:hAnsi="Arial"/>
        </w:rPr>
        <w:fldChar w:fldCharType="begin"/>
      </w:r>
      <w:r w:rsidRPr="0064533C">
        <w:rPr>
          <w:rFonts w:ascii="Arial" w:hAnsi="Arial"/>
        </w:rPr>
        <w:instrText xml:space="preserve"> SEQ Table \* ARABIC </w:instrText>
      </w:r>
      <w:r w:rsidRPr="0064533C">
        <w:rPr>
          <w:rFonts w:ascii="Arial" w:hAnsi="Arial"/>
        </w:rPr>
        <w:fldChar w:fldCharType="separate"/>
      </w:r>
      <w:r w:rsidRPr="0064533C">
        <w:rPr>
          <w:rFonts w:ascii="Arial" w:hAnsi="Arial"/>
          <w:noProof/>
        </w:rPr>
        <w:t>1</w:t>
      </w:r>
      <w:r w:rsidRPr="0064533C">
        <w:rPr>
          <w:rFonts w:ascii="Arial" w:hAnsi="Arial"/>
        </w:rPr>
        <w:fldChar w:fldCharType="end"/>
      </w:r>
      <w:r w:rsidRPr="0064533C">
        <w:rPr>
          <w:rFonts w:ascii="Arial" w:hAnsi="Arial"/>
        </w:rPr>
        <w:t>: Project Timeline of the Study (Source: Author)</w:t>
      </w:r>
      <w:bookmarkEnd w:id="34"/>
    </w:p>
    <w:tbl>
      <w:tblPr>
        <w:tblW w:w="10440" w:type="dxa"/>
        <w:tblLook w:val="04A0" w:firstRow="1" w:lastRow="0" w:firstColumn="1" w:lastColumn="0" w:noHBand="0" w:noVBand="1"/>
      </w:tblPr>
      <w:tblGrid>
        <w:gridCol w:w="4420"/>
        <w:gridCol w:w="860"/>
        <w:gridCol w:w="860"/>
        <w:gridCol w:w="860"/>
        <w:gridCol w:w="860"/>
        <w:gridCol w:w="860"/>
        <w:gridCol w:w="860"/>
        <w:gridCol w:w="860"/>
      </w:tblGrid>
      <w:tr w:rsidR="00804D47" w:rsidRPr="0064533C" w14:paraId="19E5BE5B" w14:textId="77777777" w:rsidTr="00804D47">
        <w:trPr>
          <w:trHeight w:val="300"/>
        </w:trPr>
        <w:tc>
          <w:tcPr>
            <w:tcW w:w="4420" w:type="dxa"/>
            <w:tcBorders>
              <w:top w:val="single" w:sz="4" w:space="0" w:color="auto"/>
              <w:left w:val="single" w:sz="4" w:space="0" w:color="auto"/>
              <w:bottom w:val="single" w:sz="4" w:space="0" w:color="auto"/>
              <w:right w:val="single" w:sz="4" w:space="0" w:color="auto"/>
            </w:tcBorders>
            <w:vAlign w:val="center"/>
            <w:hideMark/>
          </w:tcPr>
          <w:p w14:paraId="6AADDCD2" w14:textId="77777777" w:rsidR="00804D47" w:rsidRPr="0064533C" w:rsidRDefault="00804D47" w:rsidP="00804D47">
            <w:pPr>
              <w:widowControl/>
              <w:spacing w:line="240" w:lineRule="auto"/>
              <w:jc w:val="center"/>
              <w:rPr>
                <w:rFonts w:ascii="Arial" w:eastAsia="Times New Roman" w:hAnsi="Arial"/>
                <w:b/>
                <w:bCs/>
                <w:color w:val="000000"/>
                <w:szCs w:val="24"/>
                <w:lang w:val="en-US"/>
              </w:rPr>
            </w:pPr>
            <w:r w:rsidRPr="0064533C">
              <w:rPr>
                <w:rFonts w:ascii="Arial" w:eastAsia="Times New Roman" w:hAnsi="Arial"/>
                <w:b/>
                <w:bCs/>
                <w:color w:val="000000"/>
                <w:szCs w:val="24"/>
                <w:lang w:val="en-US"/>
              </w:rPr>
              <w:t>Research Activity</w:t>
            </w:r>
          </w:p>
        </w:tc>
        <w:tc>
          <w:tcPr>
            <w:tcW w:w="860" w:type="dxa"/>
            <w:tcBorders>
              <w:top w:val="single" w:sz="4" w:space="0" w:color="auto"/>
              <w:left w:val="nil"/>
              <w:bottom w:val="single" w:sz="4" w:space="0" w:color="auto"/>
              <w:right w:val="single" w:sz="4" w:space="0" w:color="auto"/>
            </w:tcBorders>
            <w:vAlign w:val="center"/>
            <w:hideMark/>
          </w:tcPr>
          <w:p w14:paraId="2AFD573B" w14:textId="77777777" w:rsidR="00804D47" w:rsidRPr="0064533C" w:rsidRDefault="00804D47" w:rsidP="00804D47">
            <w:pPr>
              <w:widowControl/>
              <w:spacing w:line="240" w:lineRule="auto"/>
              <w:jc w:val="center"/>
              <w:rPr>
                <w:rFonts w:ascii="Arial" w:eastAsia="Times New Roman" w:hAnsi="Arial"/>
                <w:b/>
                <w:bCs/>
                <w:color w:val="000000"/>
                <w:szCs w:val="24"/>
                <w:lang w:val="en-US"/>
              </w:rPr>
            </w:pPr>
            <w:r w:rsidRPr="0064533C">
              <w:rPr>
                <w:rFonts w:ascii="Arial" w:eastAsia="Times New Roman" w:hAnsi="Arial"/>
                <w:b/>
                <w:bCs/>
                <w:color w:val="000000"/>
                <w:szCs w:val="24"/>
                <w:lang w:val="en-US"/>
              </w:rPr>
              <w:t>Mar</w:t>
            </w:r>
          </w:p>
        </w:tc>
        <w:tc>
          <w:tcPr>
            <w:tcW w:w="860" w:type="dxa"/>
            <w:tcBorders>
              <w:top w:val="single" w:sz="4" w:space="0" w:color="auto"/>
              <w:left w:val="nil"/>
              <w:bottom w:val="single" w:sz="4" w:space="0" w:color="auto"/>
              <w:right w:val="single" w:sz="4" w:space="0" w:color="auto"/>
            </w:tcBorders>
            <w:vAlign w:val="center"/>
            <w:hideMark/>
          </w:tcPr>
          <w:p w14:paraId="54083E56" w14:textId="77777777" w:rsidR="00804D47" w:rsidRPr="0064533C" w:rsidRDefault="00804D47" w:rsidP="00804D47">
            <w:pPr>
              <w:widowControl/>
              <w:spacing w:line="240" w:lineRule="auto"/>
              <w:jc w:val="center"/>
              <w:rPr>
                <w:rFonts w:ascii="Arial" w:eastAsia="Times New Roman" w:hAnsi="Arial"/>
                <w:b/>
                <w:bCs/>
                <w:color w:val="000000"/>
                <w:szCs w:val="24"/>
                <w:lang w:val="en-US"/>
              </w:rPr>
            </w:pPr>
            <w:r w:rsidRPr="0064533C">
              <w:rPr>
                <w:rFonts w:ascii="Arial" w:eastAsia="Times New Roman" w:hAnsi="Arial"/>
                <w:b/>
                <w:bCs/>
                <w:color w:val="000000"/>
                <w:szCs w:val="24"/>
                <w:lang w:val="en-US"/>
              </w:rPr>
              <w:t>Apr</w:t>
            </w:r>
          </w:p>
        </w:tc>
        <w:tc>
          <w:tcPr>
            <w:tcW w:w="860" w:type="dxa"/>
            <w:tcBorders>
              <w:top w:val="single" w:sz="4" w:space="0" w:color="auto"/>
              <w:left w:val="nil"/>
              <w:bottom w:val="single" w:sz="4" w:space="0" w:color="auto"/>
              <w:right w:val="single" w:sz="4" w:space="0" w:color="auto"/>
            </w:tcBorders>
            <w:vAlign w:val="center"/>
            <w:hideMark/>
          </w:tcPr>
          <w:p w14:paraId="5B4C4328" w14:textId="77777777" w:rsidR="00804D47" w:rsidRPr="0064533C" w:rsidRDefault="00804D47" w:rsidP="00804D47">
            <w:pPr>
              <w:widowControl/>
              <w:spacing w:line="240" w:lineRule="auto"/>
              <w:jc w:val="center"/>
              <w:rPr>
                <w:rFonts w:ascii="Arial" w:eastAsia="Times New Roman" w:hAnsi="Arial"/>
                <w:b/>
                <w:bCs/>
                <w:color w:val="000000"/>
                <w:szCs w:val="24"/>
                <w:lang w:val="en-US"/>
              </w:rPr>
            </w:pPr>
            <w:r w:rsidRPr="0064533C">
              <w:rPr>
                <w:rFonts w:ascii="Arial" w:eastAsia="Times New Roman" w:hAnsi="Arial"/>
                <w:b/>
                <w:bCs/>
                <w:color w:val="000000"/>
                <w:szCs w:val="24"/>
                <w:lang w:val="en-US"/>
              </w:rPr>
              <w:t>May</w:t>
            </w:r>
          </w:p>
        </w:tc>
        <w:tc>
          <w:tcPr>
            <w:tcW w:w="860" w:type="dxa"/>
            <w:tcBorders>
              <w:top w:val="single" w:sz="4" w:space="0" w:color="auto"/>
              <w:left w:val="nil"/>
              <w:bottom w:val="single" w:sz="4" w:space="0" w:color="auto"/>
              <w:right w:val="single" w:sz="4" w:space="0" w:color="auto"/>
            </w:tcBorders>
            <w:vAlign w:val="center"/>
            <w:hideMark/>
          </w:tcPr>
          <w:p w14:paraId="17B92E2D" w14:textId="77777777" w:rsidR="00804D47" w:rsidRPr="0064533C" w:rsidRDefault="00804D47" w:rsidP="00804D47">
            <w:pPr>
              <w:widowControl/>
              <w:spacing w:line="240" w:lineRule="auto"/>
              <w:jc w:val="center"/>
              <w:rPr>
                <w:rFonts w:ascii="Arial" w:eastAsia="Times New Roman" w:hAnsi="Arial"/>
                <w:b/>
                <w:bCs/>
                <w:color w:val="000000"/>
                <w:szCs w:val="24"/>
                <w:lang w:val="en-US"/>
              </w:rPr>
            </w:pPr>
            <w:r w:rsidRPr="0064533C">
              <w:rPr>
                <w:rFonts w:ascii="Arial" w:eastAsia="Times New Roman" w:hAnsi="Arial"/>
                <w:b/>
                <w:bCs/>
                <w:color w:val="000000"/>
                <w:szCs w:val="24"/>
                <w:lang w:val="en-US"/>
              </w:rPr>
              <w:t>Jun</w:t>
            </w:r>
          </w:p>
        </w:tc>
        <w:tc>
          <w:tcPr>
            <w:tcW w:w="860" w:type="dxa"/>
            <w:tcBorders>
              <w:top w:val="single" w:sz="4" w:space="0" w:color="auto"/>
              <w:left w:val="nil"/>
              <w:bottom w:val="single" w:sz="4" w:space="0" w:color="auto"/>
              <w:right w:val="single" w:sz="4" w:space="0" w:color="auto"/>
            </w:tcBorders>
            <w:vAlign w:val="center"/>
            <w:hideMark/>
          </w:tcPr>
          <w:p w14:paraId="362D2341" w14:textId="77777777" w:rsidR="00804D47" w:rsidRPr="0064533C" w:rsidRDefault="00804D47" w:rsidP="00804D47">
            <w:pPr>
              <w:widowControl/>
              <w:spacing w:line="240" w:lineRule="auto"/>
              <w:jc w:val="center"/>
              <w:rPr>
                <w:rFonts w:ascii="Arial" w:eastAsia="Times New Roman" w:hAnsi="Arial"/>
                <w:b/>
                <w:bCs/>
                <w:color w:val="000000"/>
                <w:szCs w:val="24"/>
                <w:lang w:val="en-US"/>
              </w:rPr>
            </w:pPr>
            <w:r w:rsidRPr="0064533C">
              <w:rPr>
                <w:rFonts w:ascii="Arial" w:eastAsia="Times New Roman" w:hAnsi="Arial"/>
                <w:b/>
                <w:bCs/>
                <w:color w:val="000000"/>
                <w:szCs w:val="24"/>
                <w:lang w:val="en-US"/>
              </w:rPr>
              <w:t>Jul</w:t>
            </w:r>
          </w:p>
        </w:tc>
        <w:tc>
          <w:tcPr>
            <w:tcW w:w="860" w:type="dxa"/>
            <w:tcBorders>
              <w:top w:val="single" w:sz="4" w:space="0" w:color="auto"/>
              <w:left w:val="nil"/>
              <w:bottom w:val="single" w:sz="4" w:space="0" w:color="auto"/>
              <w:right w:val="single" w:sz="4" w:space="0" w:color="auto"/>
            </w:tcBorders>
            <w:vAlign w:val="center"/>
            <w:hideMark/>
          </w:tcPr>
          <w:p w14:paraId="7CAE4336" w14:textId="77777777" w:rsidR="00804D47" w:rsidRPr="0064533C" w:rsidRDefault="00804D47" w:rsidP="00804D47">
            <w:pPr>
              <w:widowControl/>
              <w:spacing w:line="240" w:lineRule="auto"/>
              <w:jc w:val="center"/>
              <w:rPr>
                <w:rFonts w:ascii="Arial" w:eastAsia="Times New Roman" w:hAnsi="Arial"/>
                <w:b/>
                <w:bCs/>
                <w:color w:val="000000"/>
                <w:szCs w:val="24"/>
                <w:lang w:val="en-US"/>
              </w:rPr>
            </w:pPr>
            <w:r w:rsidRPr="0064533C">
              <w:rPr>
                <w:rFonts w:ascii="Arial" w:eastAsia="Times New Roman" w:hAnsi="Arial"/>
                <w:b/>
                <w:bCs/>
                <w:color w:val="000000"/>
                <w:szCs w:val="24"/>
                <w:lang w:val="en-US"/>
              </w:rPr>
              <w:t>Aug</w:t>
            </w:r>
          </w:p>
        </w:tc>
        <w:tc>
          <w:tcPr>
            <w:tcW w:w="860" w:type="dxa"/>
            <w:tcBorders>
              <w:top w:val="single" w:sz="4" w:space="0" w:color="auto"/>
              <w:left w:val="nil"/>
              <w:bottom w:val="single" w:sz="4" w:space="0" w:color="auto"/>
              <w:right w:val="single" w:sz="4" w:space="0" w:color="auto"/>
            </w:tcBorders>
            <w:vAlign w:val="center"/>
            <w:hideMark/>
          </w:tcPr>
          <w:p w14:paraId="44555D36" w14:textId="77777777" w:rsidR="00804D47" w:rsidRPr="0064533C" w:rsidRDefault="00804D47" w:rsidP="00804D47">
            <w:pPr>
              <w:widowControl/>
              <w:spacing w:line="240" w:lineRule="auto"/>
              <w:jc w:val="center"/>
              <w:rPr>
                <w:rFonts w:ascii="Arial" w:eastAsia="Times New Roman" w:hAnsi="Arial"/>
                <w:b/>
                <w:bCs/>
                <w:color w:val="000000"/>
                <w:szCs w:val="24"/>
                <w:lang w:val="en-US"/>
              </w:rPr>
            </w:pPr>
            <w:r w:rsidRPr="0064533C">
              <w:rPr>
                <w:rFonts w:ascii="Arial" w:eastAsia="Times New Roman" w:hAnsi="Arial"/>
                <w:b/>
                <w:bCs/>
                <w:color w:val="000000"/>
                <w:szCs w:val="24"/>
                <w:lang w:val="en-US"/>
              </w:rPr>
              <w:t>Sep</w:t>
            </w:r>
          </w:p>
        </w:tc>
      </w:tr>
      <w:tr w:rsidR="00804D47" w:rsidRPr="0064533C" w14:paraId="6A6C6086" w14:textId="77777777" w:rsidTr="00804D47">
        <w:trPr>
          <w:trHeight w:val="620"/>
        </w:trPr>
        <w:tc>
          <w:tcPr>
            <w:tcW w:w="4420" w:type="dxa"/>
            <w:tcBorders>
              <w:top w:val="nil"/>
              <w:left w:val="single" w:sz="4" w:space="0" w:color="auto"/>
              <w:bottom w:val="single" w:sz="4" w:space="0" w:color="auto"/>
              <w:right w:val="single" w:sz="4" w:space="0" w:color="auto"/>
            </w:tcBorders>
            <w:vAlign w:val="center"/>
            <w:hideMark/>
          </w:tcPr>
          <w:p w14:paraId="1DC46574" w14:textId="77777777" w:rsidR="00804D47" w:rsidRPr="0064533C" w:rsidRDefault="00804D47" w:rsidP="00804D47">
            <w:pPr>
              <w:widowControl/>
              <w:spacing w:line="240" w:lineRule="auto"/>
              <w:jc w:val="left"/>
              <w:rPr>
                <w:rFonts w:ascii="Arial" w:eastAsia="Times New Roman" w:hAnsi="Arial"/>
                <w:b/>
                <w:bCs/>
                <w:color w:val="000000"/>
                <w:szCs w:val="24"/>
                <w:lang w:val="en-US"/>
              </w:rPr>
            </w:pPr>
            <w:r w:rsidRPr="0064533C">
              <w:rPr>
                <w:rFonts w:ascii="Arial" w:eastAsia="Times New Roman" w:hAnsi="Arial"/>
                <w:b/>
                <w:bCs/>
                <w:color w:val="000000"/>
                <w:szCs w:val="24"/>
                <w:lang w:val="en-US"/>
              </w:rPr>
              <w:t>1. Research Scoping:</w:t>
            </w:r>
            <w:r w:rsidRPr="0064533C">
              <w:rPr>
                <w:rFonts w:ascii="Arial" w:eastAsia="Times New Roman" w:hAnsi="Arial"/>
                <w:color w:val="000000"/>
                <w:szCs w:val="24"/>
                <w:lang w:val="en-US"/>
              </w:rPr>
              <w:t xml:space="preserve"> Defining the retail retention crisis &amp; drafting Introduction</w:t>
            </w:r>
          </w:p>
        </w:tc>
        <w:tc>
          <w:tcPr>
            <w:tcW w:w="860" w:type="dxa"/>
            <w:tcBorders>
              <w:top w:val="nil"/>
              <w:left w:val="nil"/>
              <w:bottom w:val="single" w:sz="4" w:space="0" w:color="auto"/>
              <w:right w:val="single" w:sz="4" w:space="0" w:color="auto"/>
            </w:tcBorders>
            <w:shd w:val="clear" w:color="000000" w:fill="D86DCD"/>
            <w:vAlign w:val="center"/>
            <w:hideMark/>
          </w:tcPr>
          <w:p w14:paraId="1274D60E"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2744926E"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CB25A69"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31431675"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75C155B3"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1501B402"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7D636D7D"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r>
      <w:tr w:rsidR="00804D47" w:rsidRPr="0064533C" w14:paraId="7AFDA885" w14:textId="77777777" w:rsidTr="00804D47">
        <w:trPr>
          <w:trHeight w:val="930"/>
        </w:trPr>
        <w:tc>
          <w:tcPr>
            <w:tcW w:w="4420" w:type="dxa"/>
            <w:tcBorders>
              <w:top w:val="nil"/>
              <w:left w:val="single" w:sz="4" w:space="0" w:color="auto"/>
              <w:bottom w:val="single" w:sz="4" w:space="0" w:color="auto"/>
              <w:right w:val="single" w:sz="4" w:space="0" w:color="auto"/>
            </w:tcBorders>
            <w:vAlign w:val="center"/>
            <w:hideMark/>
          </w:tcPr>
          <w:p w14:paraId="5ABFE84B" w14:textId="77777777" w:rsidR="00804D47" w:rsidRPr="0064533C" w:rsidRDefault="00804D47" w:rsidP="00804D47">
            <w:pPr>
              <w:widowControl/>
              <w:spacing w:line="240" w:lineRule="auto"/>
              <w:jc w:val="left"/>
              <w:rPr>
                <w:rFonts w:ascii="Arial" w:eastAsia="Times New Roman" w:hAnsi="Arial"/>
                <w:b/>
                <w:bCs/>
                <w:color w:val="000000"/>
                <w:szCs w:val="24"/>
                <w:lang w:val="en-US"/>
              </w:rPr>
            </w:pPr>
            <w:r w:rsidRPr="0064533C">
              <w:rPr>
                <w:rFonts w:ascii="Arial" w:eastAsia="Times New Roman" w:hAnsi="Arial"/>
                <w:b/>
                <w:bCs/>
                <w:color w:val="000000"/>
                <w:szCs w:val="24"/>
                <w:lang w:val="en-US"/>
              </w:rPr>
              <w:t>2. Theoretical Framework:</w:t>
            </w:r>
            <w:r w:rsidRPr="0064533C">
              <w:rPr>
                <w:rFonts w:ascii="Arial" w:eastAsia="Times New Roman" w:hAnsi="Arial"/>
                <w:color w:val="000000"/>
                <w:szCs w:val="24"/>
                <w:lang w:val="en-US"/>
              </w:rPr>
              <w:t xml:space="preserve"> Reviewing JD-R Model &amp; Social Exchange Theory literature</w:t>
            </w:r>
          </w:p>
        </w:tc>
        <w:tc>
          <w:tcPr>
            <w:tcW w:w="860" w:type="dxa"/>
            <w:tcBorders>
              <w:top w:val="nil"/>
              <w:left w:val="nil"/>
              <w:bottom w:val="single" w:sz="4" w:space="0" w:color="auto"/>
              <w:right w:val="single" w:sz="4" w:space="0" w:color="auto"/>
            </w:tcBorders>
            <w:vAlign w:val="center"/>
            <w:hideMark/>
          </w:tcPr>
          <w:p w14:paraId="0F3F6981"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shd w:val="clear" w:color="000000" w:fill="4D93D9"/>
            <w:vAlign w:val="center"/>
            <w:hideMark/>
          </w:tcPr>
          <w:p w14:paraId="0EBF2EB1"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76EF1F3"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644D337"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2967B9F3"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B55785F"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68F786DD"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r>
      <w:tr w:rsidR="00804D47" w:rsidRPr="0064533C" w14:paraId="3EA91B84" w14:textId="77777777" w:rsidTr="00804D47">
        <w:trPr>
          <w:trHeight w:val="620"/>
        </w:trPr>
        <w:tc>
          <w:tcPr>
            <w:tcW w:w="4420" w:type="dxa"/>
            <w:tcBorders>
              <w:top w:val="nil"/>
              <w:left w:val="single" w:sz="4" w:space="0" w:color="auto"/>
              <w:bottom w:val="single" w:sz="4" w:space="0" w:color="auto"/>
              <w:right w:val="single" w:sz="4" w:space="0" w:color="auto"/>
            </w:tcBorders>
            <w:vAlign w:val="center"/>
            <w:hideMark/>
          </w:tcPr>
          <w:p w14:paraId="7036E728" w14:textId="77777777" w:rsidR="00804D47" w:rsidRPr="0064533C" w:rsidRDefault="00804D47" w:rsidP="00804D47">
            <w:pPr>
              <w:widowControl/>
              <w:spacing w:line="240" w:lineRule="auto"/>
              <w:jc w:val="left"/>
              <w:rPr>
                <w:rFonts w:ascii="Arial" w:eastAsia="Times New Roman" w:hAnsi="Arial"/>
                <w:b/>
                <w:bCs/>
                <w:color w:val="000000"/>
                <w:szCs w:val="24"/>
                <w:lang w:val="en-US"/>
              </w:rPr>
            </w:pPr>
            <w:r w:rsidRPr="0064533C">
              <w:rPr>
                <w:rFonts w:ascii="Arial" w:eastAsia="Times New Roman" w:hAnsi="Arial"/>
                <w:b/>
                <w:bCs/>
                <w:color w:val="000000"/>
                <w:szCs w:val="24"/>
                <w:lang w:val="en-US"/>
              </w:rPr>
              <w:t>3. Instrument Design:</w:t>
            </w:r>
            <w:r w:rsidRPr="0064533C">
              <w:rPr>
                <w:rFonts w:ascii="Arial" w:eastAsia="Times New Roman" w:hAnsi="Arial"/>
                <w:color w:val="000000"/>
                <w:szCs w:val="24"/>
                <w:lang w:val="en-US"/>
              </w:rPr>
              <w:t xml:space="preserve"> Adapting the MBI scale &amp; securing PG2 Ethical approval</w:t>
            </w:r>
          </w:p>
        </w:tc>
        <w:tc>
          <w:tcPr>
            <w:tcW w:w="860" w:type="dxa"/>
            <w:tcBorders>
              <w:top w:val="nil"/>
              <w:left w:val="nil"/>
              <w:bottom w:val="single" w:sz="4" w:space="0" w:color="auto"/>
              <w:right w:val="single" w:sz="4" w:space="0" w:color="auto"/>
            </w:tcBorders>
            <w:vAlign w:val="center"/>
            <w:hideMark/>
          </w:tcPr>
          <w:p w14:paraId="054ED8A7"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3CDA4088"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shd w:val="clear" w:color="000000" w:fill="8ED973"/>
            <w:vAlign w:val="center"/>
            <w:hideMark/>
          </w:tcPr>
          <w:p w14:paraId="1BEA6E49"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B95A7EF"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7584542"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6065A8C0"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3707BB4C"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r>
      <w:tr w:rsidR="00804D47" w:rsidRPr="0064533C" w14:paraId="41EFFCB7" w14:textId="77777777" w:rsidTr="00804D47">
        <w:trPr>
          <w:trHeight w:val="930"/>
        </w:trPr>
        <w:tc>
          <w:tcPr>
            <w:tcW w:w="4420" w:type="dxa"/>
            <w:tcBorders>
              <w:top w:val="nil"/>
              <w:left w:val="single" w:sz="4" w:space="0" w:color="auto"/>
              <w:bottom w:val="single" w:sz="4" w:space="0" w:color="auto"/>
              <w:right w:val="single" w:sz="4" w:space="0" w:color="auto"/>
            </w:tcBorders>
            <w:vAlign w:val="center"/>
            <w:hideMark/>
          </w:tcPr>
          <w:p w14:paraId="789166AC" w14:textId="77777777" w:rsidR="00804D47" w:rsidRPr="0064533C" w:rsidRDefault="00804D47" w:rsidP="00804D47">
            <w:pPr>
              <w:widowControl/>
              <w:spacing w:line="240" w:lineRule="auto"/>
              <w:jc w:val="left"/>
              <w:rPr>
                <w:rFonts w:ascii="Arial" w:eastAsia="Times New Roman" w:hAnsi="Arial"/>
                <w:b/>
                <w:bCs/>
                <w:color w:val="000000"/>
                <w:szCs w:val="24"/>
                <w:lang w:val="en-US"/>
              </w:rPr>
            </w:pPr>
            <w:r w:rsidRPr="0064533C">
              <w:rPr>
                <w:rFonts w:ascii="Arial" w:eastAsia="Times New Roman" w:hAnsi="Arial"/>
                <w:b/>
                <w:bCs/>
                <w:color w:val="000000"/>
                <w:szCs w:val="24"/>
                <w:lang w:val="en-US"/>
              </w:rPr>
              <w:t>4. Primary Data Acquisition:</w:t>
            </w:r>
            <w:r w:rsidRPr="0064533C">
              <w:rPr>
                <w:rFonts w:ascii="Arial" w:eastAsia="Times New Roman" w:hAnsi="Arial"/>
                <w:color w:val="000000"/>
                <w:szCs w:val="24"/>
                <w:lang w:val="en-US"/>
              </w:rPr>
              <w:t xml:space="preserve"> Surveying retail staff (includes buffer for shift patterns)</w:t>
            </w:r>
          </w:p>
        </w:tc>
        <w:tc>
          <w:tcPr>
            <w:tcW w:w="860" w:type="dxa"/>
            <w:tcBorders>
              <w:top w:val="nil"/>
              <w:left w:val="nil"/>
              <w:bottom w:val="single" w:sz="4" w:space="0" w:color="auto"/>
              <w:right w:val="single" w:sz="4" w:space="0" w:color="auto"/>
            </w:tcBorders>
            <w:vAlign w:val="center"/>
            <w:hideMark/>
          </w:tcPr>
          <w:p w14:paraId="7D1CDEE0"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79F2418"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F389C24"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1720" w:type="dxa"/>
            <w:gridSpan w:val="2"/>
            <w:tcBorders>
              <w:top w:val="single" w:sz="4" w:space="0" w:color="auto"/>
              <w:left w:val="nil"/>
              <w:bottom w:val="single" w:sz="4" w:space="0" w:color="auto"/>
              <w:right w:val="single" w:sz="4" w:space="0" w:color="000000"/>
            </w:tcBorders>
            <w:shd w:val="clear" w:color="000000" w:fill="44B3E1"/>
            <w:vAlign w:val="center"/>
            <w:hideMark/>
          </w:tcPr>
          <w:p w14:paraId="09CAC861" w14:textId="77777777" w:rsidR="00804D47" w:rsidRPr="0064533C" w:rsidRDefault="00804D47" w:rsidP="00804D47">
            <w:pPr>
              <w:widowControl/>
              <w:spacing w:line="240" w:lineRule="auto"/>
              <w:jc w:val="center"/>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4375E6AA"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1D1ECECB"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r>
      <w:tr w:rsidR="00804D47" w:rsidRPr="0064533C" w14:paraId="00F1C90E" w14:textId="77777777" w:rsidTr="00804D47">
        <w:trPr>
          <w:trHeight w:val="620"/>
        </w:trPr>
        <w:tc>
          <w:tcPr>
            <w:tcW w:w="4420" w:type="dxa"/>
            <w:tcBorders>
              <w:top w:val="nil"/>
              <w:left w:val="single" w:sz="4" w:space="0" w:color="auto"/>
              <w:bottom w:val="single" w:sz="4" w:space="0" w:color="auto"/>
              <w:right w:val="single" w:sz="4" w:space="0" w:color="auto"/>
            </w:tcBorders>
            <w:vAlign w:val="center"/>
            <w:hideMark/>
          </w:tcPr>
          <w:p w14:paraId="2EBED073" w14:textId="77777777" w:rsidR="00804D47" w:rsidRPr="0064533C" w:rsidRDefault="00804D47" w:rsidP="00804D47">
            <w:pPr>
              <w:widowControl/>
              <w:spacing w:line="240" w:lineRule="auto"/>
              <w:jc w:val="left"/>
              <w:rPr>
                <w:rFonts w:ascii="Arial" w:eastAsia="Times New Roman" w:hAnsi="Arial"/>
                <w:b/>
                <w:bCs/>
                <w:color w:val="000000"/>
                <w:szCs w:val="24"/>
                <w:lang w:val="en-US"/>
              </w:rPr>
            </w:pPr>
            <w:r w:rsidRPr="0064533C">
              <w:rPr>
                <w:rFonts w:ascii="Arial" w:eastAsia="Times New Roman" w:hAnsi="Arial"/>
                <w:b/>
                <w:bCs/>
                <w:color w:val="000000"/>
                <w:szCs w:val="24"/>
                <w:lang w:val="en-US"/>
              </w:rPr>
              <w:t>5. Statistical Modelling:</w:t>
            </w:r>
            <w:r w:rsidRPr="0064533C">
              <w:rPr>
                <w:rFonts w:ascii="Arial" w:eastAsia="Times New Roman" w:hAnsi="Arial"/>
                <w:color w:val="000000"/>
                <w:szCs w:val="24"/>
                <w:lang w:val="en-US"/>
              </w:rPr>
              <w:t xml:space="preserve"> SPSS assumption testing &amp; burnout mediation analysis</w:t>
            </w:r>
          </w:p>
        </w:tc>
        <w:tc>
          <w:tcPr>
            <w:tcW w:w="860" w:type="dxa"/>
            <w:tcBorders>
              <w:top w:val="nil"/>
              <w:left w:val="nil"/>
              <w:bottom w:val="single" w:sz="4" w:space="0" w:color="auto"/>
              <w:right w:val="single" w:sz="4" w:space="0" w:color="auto"/>
            </w:tcBorders>
            <w:vAlign w:val="center"/>
            <w:hideMark/>
          </w:tcPr>
          <w:p w14:paraId="694F88B1"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2B3BE1FE"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33599222"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E47F96C"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7A385A41"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shd w:val="clear" w:color="000000" w:fill="FFC000"/>
            <w:vAlign w:val="center"/>
            <w:hideMark/>
          </w:tcPr>
          <w:p w14:paraId="5EEB6E64"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8F6D90F"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r>
      <w:tr w:rsidR="00804D47" w:rsidRPr="0064533C" w14:paraId="2D8AF676" w14:textId="77777777" w:rsidTr="00804D47">
        <w:trPr>
          <w:trHeight w:val="930"/>
        </w:trPr>
        <w:tc>
          <w:tcPr>
            <w:tcW w:w="4420" w:type="dxa"/>
            <w:tcBorders>
              <w:top w:val="nil"/>
              <w:left w:val="single" w:sz="4" w:space="0" w:color="auto"/>
              <w:bottom w:val="single" w:sz="4" w:space="0" w:color="auto"/>
              <w:right w:val="single" w:sz="4" w:space="0" w:color="auto"/>
            </w:tcBorders>
            <w:vAlign w:val="center"/>
            <w:hideMark/>
          </w:tcPr>
          <w:p w14:paraId="56BABED4" w14:textId="77777777" w:rsidR="00804D47" w:rsidRPr="0064533C" w:rsidRDefault="00804D47" w:rsidP="00804D47">
            <w:pPr>
              <w:widowControl/>
              <w:spacing w:line="240" w:lineRule="auto"/>
              <w:jc w:val="left"/>
              <w:rPr>
                <w:rFonts w:ascii="Arial" w:eastAsia="Times New Roman" w:hAnsi="Arial"/>
                <w:b/>
                <w:bCs/>
                <w:color w:val="000000"/>
                <w:szCs w:val="24"/>
                <w:lang w:val="en-US"/>
              </w:rPr>
            </w:pPr>
            <w:r w:rsidRPr="0064533C">
              <w:rPr>
                <w:rFonts w:ascii="Arial" w:eastAsia="Times New Roman" w:hAnsi="Arial"/>
                <w:b/>
                <w:bCs/>
                <w:color w:val="000000"/>
                <w:szCs w:val="24"/>
                <w:lang w:val="en-US"/>
              </w:rPr>
              <w:t>6. Report Finalisation:</w:t>
            </w:r>
            <w:r w:rsidRPr="0064533C">
              <w:rPr>
                <w:rFonts w:ascii="Arial" w:eastAsia="Times New Roman" w:hAnsi="Arial"/>
                <w:color w:val="000000"/>
                <w:szCs w:val="24"/>
                <w:lang w:val="en-US"/>
              </w:rPr>
              <w:t xml:space="preserve"> Synthesising HR policy recommendations &amp; academic formatting</w:t>
            </w:r>
          </w:p>
        </w:tc>
        <w:tc>
          <w:tcPr>
            <w:tcW w:w="860" w:type="dxa"/>
            <w:tcBorders>
              <w:top w:val="nil"/>
              <w:left w:val="nil"/>
              <w:bottom w:val="single" w:sz="4" w:space="0" w:color="auto"/>
              <w:right w:val="single" w:sz="4" w:space="0" w:color="auto"/>
            </w:tcBorders>
            <w:vAlign w:val="center"/>
            <w:hideMark/>
          </w:tcPr>
          <w:p w14:paraId="5537B351"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4E709BC"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3E6D4CEF"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022D4C49"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1ED44FBC"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vAlign w:val="center"/>
            <w:hideMark/>
          </w:tcPr>
          <w:p w14:paraId="52039027"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c>
          <w:tcPr>
            <w:tcW w:w="860" w:type="dxa"/>
            <w:tcBorders>
              <w:top w:val="nil"/>
              <w:left w:val="nil"/>
              <w:bottom w:val="single" w:sz="4" w:space="0" w:color="auto"/>
              <w:right w:val="single" w:sz="4" w:space="0" w:color="auto"/>
            </w:tcBorders>
            <w:shd w:val="clear" w:color="000000" w:fill="00B050"/>
            <w:vAlign w:val="center"/>
            <w:hideMark/>
          </w:tcPr>
          <w:p w14:paraId="6DBE0321" w14:textId="77777777" w:rsidR="00804D47" w:rsidRPr="0064533C" w:rsidRDefault="00804D47" w:rsidP="00804D47">
            <w:pPr>
              <w:widowControl/>
              <w:spacing w:line="240" w:lineRule="auto"/>
              <w:jc w:val="left"/>
              <w:rPr>
                <w:rFonts w:ascii="Arial" w:eastAsia="Times New Roman" w:hAnsi="Arial"/>
                <w:color w:val="000000"/>
                <w:szCs w:val="24"/>
                <w:lang w:val="en-US"/>
              </w:rPr>
            </w:pPr>
            <w:r w:rsidRPr="0064533C">
              <w:rPr>
                <w:rFonts w:ascii="Arial" w:eastAsia="Times New Roman" w:hAnsi="Arial"/>
                <w:color w:val="000000"/>
                <w:szCs w:val="24"/>
                <w:lang w:val="en-US"/>
              </w:rPr>
              <w:t> </w:t>
            </w:r>
          </w:p>
        </w:tc>
      </w:tr>
    </w:tbl>
    <w:p w14:paraId="21D55BE7" w14:textId="54E24410" w:rsidR="00DA1654" w:rsidRPr="0064533C" w:rsidRDefault="00000000" w:rsidP="003F6BBE">
      <w:pPr>
        <w:pStyle w:val="Heading1"/>
        <w:rPr>
          <w:rFonts w:ascii="Arial" w:hAnsi="Arial"/>
        </w:rPr>
      </w:pPr>
      <w:bookmarkStart w:id="35" w:name="_Toc225720663"/>
      <w:r w:rsidRPr="0064533C">
        <w:rPr>
          <w:rFonts w:ascii="Arial" w:hAnsi="Arial"/>
        </w:rPr>
        <w:t>Ethical Considerations</w:t>
      </w:r>
      <w:bookmarkEnd w:id="35"/>
    </w:p>
    <w:p w14:paraId="2C6FC3E4" w14:textId="77777777"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lastRenderedPageBreak/>
        <w:t>Ethical responsibility is therefore a vital element in this research due to the implication of human subjects. The ethical scope of the current study is constituted by established academic protocols and GDPR legislation in implementing its quantitative methodologies (Israel and Hay, 2006).</w:t>
      </w:r>
    </w:p>
    <w:p w14:paraId="56BAC27D" w14:textId="5C95D1B8"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 xml:space="preserve">Before consent is given, the participants will be provided on the Qualtrics interface with exhaustive information about the objectives of the study and the procedures. The study will obtain clear digital consent of all retail respondents with regards to their participation in the questionnaires. Since </w:t>
      </w:r>
      <w:r w:rsidR="00303DAC" w:rsidRPr="0064533C">
        <w:rPr>
          <w:rFonts w:ascii="Arial" w:eastAsia="Google Sans" w:hAnsi="Arial"/>
          <w:color w:val="1F1F1F"/>
        </w:rPr>
        <w:t xml:space="preserve">burnout </w:t>
      </w:r>
      <w:r w:rsidRPr="0064533C">
        <w:rPr>
          <w:rFonts w:ascii="Arial" w:eastAsia="Google Sans" w:hAnsi="Arial"/>
          <w:color w:val="1F1F1F"/>
        </w:rPr>
        <w:t>is a psychological construct, the information sheet will also cause some links to standard resources in mental-health support (e.g., Mind, Samaritans) as a precaution due to duty of care.</w:t>
      </w:r>
    </w:p>
    <w:p w14:paraId="55C42C3F" w14:textId="77777777"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The data that will be obtained will be securely guarded with stringent anonymisation measures. The data volumes will have high confidentiality and will be safely placed as encrypted university systems just to carry out this study (Wiles et al., 2008).</w:t>
      </w:r>
    </w:p>
    <w:p w14:paraId="61E249DF" w14:textId="77777777"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All the respondents have a right to participate in the study and pull out any time before the final submission without any negative consequences or explanation needed.</w:t>
      </w:r>
    </w:p>
    <w:p w14:paraId="4138D9D0" w14:textId="42C68765" w:rsidR="009C50FC"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The project will ensure the protection of data with strict adherence to the requirements of the GDPR (Article 89) throughout the collection, retention, and analysis stages. The Qualtrics questionnaire will be configured to remain anonymous to avoid IP address and other recogni</w:t>
      </w:r>
      <w:r w:rsidR="00804D47" w:rsidRPr="0064533C">
        <w:rPr>
          <w:rFonts w:ascii="Arial" w:eastAsia="Google Sans" w:hAnsi="Arial"/>
          <w:color w:val="1F1F1F"/>
        </w:rPr>
        <w:t>s</w:t>
      </w:r>
      <w:r w:rsidRPr="0064533C">
        <w:rPr>
          <w:rFonts w:ascii="Arial" w:eastAsia="Google Sans" w:hAnsi="Arial"/>
          <w:color w:val="1F1F1F"/>
        </w:rPr>
        <w:t>able information storage.</w:t>
      </w:r>
    </w:p>
    <w:p w14:paraId="5FD4DFA6" w14:textId="3D08C652" w:rsidR="00DA1654" w:rsidRPr="0064533C" w:rsidRDefault="009C50FC" w:rsidP="009C50FC">
      <w:pPr>
        <w:pBdr>
          <w:top w:val="nil"/>
          <w:left w:val="nil"/>
          <w:bottom w:val="nil"/>
          <w:right w:val="nil"/>
          <w:between w:val="nil"/>
        </w:pBdr>
        <w:spacing w:after="120"/>
        <w:rPr>
          <w:rFonts w:ascii="Arial" w:eastAsia="Google Sans" w:hAnsi="Arial"/>
          <w:color w:val="1F1F1F"/>
        </w:rPr>
      </w:pPr>
      <w:r w:rsidRPr="0064533C">
        <w:rPr>
          <w:rFonts w:ascii="Arial" w:eastAsia="Google Sans" w:hAnsi="Arial"/>
          <w:color w:val="1F1F1F"/>
        </w:rPr>
        <w:t>Before starting fieldwork, the PG2 ethics application shall be subjected to a stringent assessment process by the academic ethics committee. Such compulsory regulations ensure that ethical norms and rights of participants are perfectly observed.</w:t>
      </w:r>
    </w:p>
    <w:p w14:paraId="5B6622F0" w14:textId="78572C72" w:rsidR="00920B7D" w:rsidRPr="0064533C" w:rsidRDefault="00920B7D">
      <w:pPr>
        <w:spacing w:line="240" w:lineRule="auto"/>
        <w:jc w:val="left"/>
        <w:rPr>
          <w:rFonts w:ascii="Arial" w:eastAsia="Google Sans" w:hAnsi="Arial"/>
          <w:color w:val="1F1F1F"/>
        </w:rPr>
      </w:pPr>
      <w:r w:rsidRPr="0064533C">
        <w:rPr>
          <w:rFonts w:ascii="Arial" w:eastAsia="Google Sans" w:hAnsi="Arial"/>
          <w:color w:val="1F1F1F"/>
        </w:rPr>
        <w:br w:type="page"/>
      </w:r>
    </w:p>
    <w:p w14:paraId="0494D38D" w14:textId="495BC719" w:rsidR="00DA1654" w:rsidRPr="0064533C" w:rsidRDefault="00000000" w:rsidP="003F6BBE">
      <w:pPr>
        <w:pStyle w:val="Heading1"/>
        <w:rPr>
          <w:rFonts w:ascii="Arial" w:hAnsi="Arial"/>
        </w:rPr>
      </w:pPr>
      <w:bookmarkStart w:id="36" w:name="_Toc225720664"/>
      <w:r w:rsidRPr="0064533C">
        <w:rPr>
          <w:rFonts w:ascii="Arial" w:hAnsi="Arial"/>
        </w:rPr>
        <w:lastRenderedPageBreak/>
        <w:t>References</w:t>
      </w:r>
      <w:bookmarkEnd w:id="36"/>
    </w:p>
    <w:p w14:paraId="2149D46C"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Afolabi, J. O. A., Olatoye, F. O., Eboigbe, E. O., Abdul, A. A., and Daraojimba, H. O. (2023). Revolutionizing Retail: HR Tactics for Improved Employee and Customer Engagement. </w:t>
      </w:r>
      <w:r w:rsidRPr="0064533C">
        <w:rPr>
          <w:rFonts w:ascii="Arial" w:eastAsia="Times New Roman" w:hAnsi="Arial"/>
          <w:i/>
          <w:iCs/>
          <w:szCs w:val="24"/>
          <w:lang w:val="en-US"/>
        </w:rPr>
        <w:t>International Journal of Applied Research in Social Sciences</w:t>
      </w:r>
      <w:r w:rsidRPr="0064533C">
        <w:rPr>
          <w:rFonts w:ascii="Arial" w:eastAsia="Times New Roman" w:hAnsi="Arial"/>
          <w:szCs w:val="24"/>
          <w:lang w:val="en-US"/>
        </w:rPr>
        <w:t xml:space="preserve">, 5(10), p. 487. doi: </w:t>
      </w:r>
      <w:hyperlink r:id="rId11" w:tgtFrame="_blank" w:history="1">
        <w:r w:rsidRPr="0064533C">
          <w:rPr>
            <w:rStyle w:val="Hyperlink"/>
            <w:rFonts w:ascii="Arial" w:eastAsia="Times New Roman" w:hAnsi="Arial"/>
            <w:szCs w:val="24"/>
            <w:lang w:val="en-US"/>
          </w:rPr>
          <w:t>https://doi.org/10.51594/ijarss.v5i10.635</w:t>
        </w:r>
      </w:hyperlink>
      <w:r w:rsidRPr="0064533C">
        <w:rPr>
          <w:rFonts w:ascii="Arial" w:eastAsia="Times New Roman" w:hAnsi="Arial"/>
          <w:szCs w:val="24"/>
          <w:lang w:val="en-US"/>
        </w:rPr>
        <w:t>.</w:t>
      </w:r>
    </w:p>
    <w:p w14:paraId="2866FF83"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Allen, D. G., Bryant, P., and Vardaman, J. M. (2010). Retaining Talent: Replacing Misconceptions With Evidence-Based Strategies. </w:t>
      </w:r>
      <w:r w:rsidRPr="0064533C">
        <w:rPr>
          <w:rFonts w:ascii="Arial" w:eastAsia="Times New Roman" w:hAnsi="Arial"/>
          <w:i/>
          <w:iCs/>
          <w:szCs w:val="24"/>
          <w:lang w:val="en-US"/>
        </w:rPr>
        <w:t>Academy of Management Perspectives</w:t>
      </w:r>
      <w:r w:rsidRPr="0064533C">
        <w:rPr>
          <w:rFonts w:ascii="Arial" w:eastAsia="Times New Roman" w:hAnsi="Arial"/>
          <w:szCs w:val="24"/>
          <w:lang w:val="en-US"/>
        </w:rPr>
        <w:t xml:space="preserve">, 24(2), p. 48. doi: </w:t>
      </w:r>
      <w:hyperlink r:id="rId12" w:tgtFrame="_blank" w:history="1">
        <w:r w:rsidRPr="0064533C">
          <w:rPr>
            <w:rStyle w:val="Hyperlink"/>
            <w:rFonts w:ascii="Arial" w:eastAsia="Times New Roman" w:hAnsi="Arial"/>
            <w:szCs w:val="24"/>
            <w:lang w:val="en-US"/>
          </w:rPr>
          <w:t>https://doi.org/10.5465/amp.24.2.48</w:t>
        </w:r>
      </w:hyperlink>
      <w:r w:rsidRPr="0064533C">
        <w:rPr>
          <w:rFonts w:ascii="Arial" w:eastAsia="Times New Roman" w:hAnsi="Arial"/>
          <w:szCs w:val="24"/>
          <w:lang w:val="en-US"/>
        </w:rPr>
        <w:t>.</w:t>
      </w:r>
    </w:p>
    <w:p w14:paraId="12651AFC"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Babbie, E. R. (2020). </w:t>
      </w:r>
      <w:r w:rsidRPr="0064533C">
        <w:rPr>
          <w:rFonts w:ascii="Arial" w:eastAsia="Times New Roman" w:hAnsi="Arial"/>
          <w:i/>
          <w:iCs/>
          <w:szCs w:val="24"/>
          <w:lang w:val="en-US"/>
        </w:rPr>
        <w:t>The practice of social research</w:t>
      </w:r>
      <w:r w:rsidRPr="0064533C">
        <w:rPr>
          <w:rFonts w:ascii="Arial" w:eastAsia="Times New Roman" w:hAnsi="Arial"/>
          <w:szCs w:val="24"/>
          <w:lang w:val="en-US"/>
        </w:rPr>
        <w:t>. 15th ed. Boston: Cengage.</w:t>
      </w:r>
    </w:p>
    <w:p w14:paraId="4BC8F995"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Bakker, A. B., and Demerouti, E. (2016). Job demands–resources theory: Taking stock and looking forward. </w:t>
      </w:r>
      <w:r w:rsidRPr="0064533C">
        <w:rPr>
          <w:rFonts w:ascii="Arial" w:eastAsia="Times New Roman" w:hAnsi="Arial"/>
          <w:i/>
          <w:iCs/>
          <w:szCs w:val="24"/>
          <w:lang w:val="en-US"/>
        </w:rPr>
        <w:t>Journal of Occupational Health Psychology</w:t>
      </w:r>
      <w:r w:rsidRPr="0064533C">
        <w:rPr>
          <w:rFonts w:ascii="Arial" w:eastAsia="Times New Roman" w:hAnsi="Arial"/>
          <w:szCs w:val="24"/>
          <w:lang w:val="en-US"/>
        </w:rPr>
        <w:t xml:space="preserve">, 22(3), p. 273. doi: </w:t>
      </w:r>
      <w:hyperlink r:id="rId13" w:tgtFrame="_blank" w:history="1">
        <w:r w:rsidRPr="0064533C">
          <w:rPr>
            <w:rStyle w:val="Hyperlink"/>
            <w:rFonts w:ascii="Arial" w:eastAsia="Times New Roman" w:hAnsi="Arial"/>
            <w:szCs w:val="24"/>
            <w:lang w:val="en-US"/>
          </w:rPr>
          <w:t>https://doi.org/10.1037/ocp0000056</w:t>
        </w:r>
      </w:hyperlink>
      <w:r w:rsidRPr="0064533C">
        <w:rPr>
          <w:rFonts w:ascii="Arial" w:eastAsia="Times New Roman" w:hAnsi="Arial"/>
          <w:szCs w:val="24"/>
          <w:lang w:val="en-US"/>
        </w:rPr>
        <w:t>.</w:t>
      </w:r>
    </w:p>
    <w:p w14:paraId="781BA044"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Blaikie, N. and Priest, J. (2019). </w:t>
      </w:r>
      <w:r w:rsidRPr="0064533C">
        <w:rPr>
          <w:rFonts w:ascii="Arial" w:eastAsia="Times New Roman" w:hAnsi="Arial"/>
          <w:i/>
          <w:iCs/>
          <w:szCs w:val="24"/>
          <w:lang w:val="en-US"/>
        </w:rPr>
        <w:t>Designing social research: The logic of anticipation</w:t>
      </w:r>
      <w:r w:rsidRPr="0064533C">
        <w:rPr>
          <w:rFonts w:ascii="Arial" w:eastAsia="Times New Roman" w:hAnsi="Arial"/>
          <w:szCs w:val="24"/>
          <w:lang w:val="en-US"/>
        </w:rPr>
        <w:t>. 3rd ed. Cambridge: Polity Press.</w:t>
      </w:r>
    </w:p>
    <w:p w14:paraId="56E05A6C"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Blau, P. M. (1964). </w:t>
      </w:r>
      <w:r w:rsidRPr="0064533C">
        <w:rPr>
          <w:rFonts w:ascii="Arial" w:eastAsia="Times New Roman" w:hAnsi="Arial"/>
          <w:i/>
          <w:iCs/>
          <w:szCs w:val="24"/>
          <w:lang w:val="en-US"/>
        </w:rPr>
        <w:t>Exchange and power in social life</w:t>
      </w:r>
      <w:r w:rsidRPr="0064533C">
        <w:rPr>
          <w:rFonts w:ascii="Arial" w:eastAsia="Times New Roman" w:hAnsi="Arial"/>
          <w:szCs w:val="24"/>
          <w:lang w:val="en-US"/>
        </w:rPr>
        <w:t>. New York: Wiley.</w:t>
      </w:r>
    </w:p>
    <w:p w14:paraId="77F9B5AD"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Bonde, E. H., Mikkelsen, E. G., Fjorback, L. O., and Juul, L. (2024). Exploring an Organizational-Level Mindfulness-Based Intervention in Private Workplace Settings. </w:t>
      </w:r>
      <w:r w:rsidRPr="0064533C">
        <w:rPr>
          <w:rFonts w:ascii="Arial" w:eastAsia="Times New Roman" w:hAnsi="Arial"/>
          <w:i/>
          <w:iCs/>
          <w:szCs w:val="24"/>
          <w:lang w:val="en-US"/>
        </w:rPr>
        <w:t>Mindfulness</w:t>
      </w:r>
      <w:r w:rsidRPr="0064533C">
        <w:rPr>
          <w:rFonts w:ascii="Arial" w:eastAsia="Times New Roman" w:hAnsi="Arial"/>
          <w:szCs w:val="24"/>
          <w:lang w:val="en-US"/>
        </w:rPr>
        <w:t xml:space="preserve">, 15(6), p. 1453. doi: </w:t>
      </w:r>
      <w:hyperlink r:id="rId14" w:tgtFrame="_blank" w:history="1">
        <w:r w:rsidRPr="0064533C">
          <w:rPr>
            <w:rStyle w:val="Hyperlink"/>
            <w:rFonts w:ascii="Arial" w:eastAsia="Times New Roman" w:hAnsi="Arial"/>
            <w:szCs w:val="24"/>
            <w:lang w:val="en-US"/>
          </w:rPr>
          <w:t>https://doi.org/10.1007/s12671-024-02375-w</w:t>
        </w:r>
      </w:hyperlink>
      <w:r w:rsidRPr="0064533C">
        <w:rPr>
          <w:rFonts w:ascii="Arial" w:eastAsia="Times New Roman" w:hAnsi="Arial"/>
          <w:szCs w:val="24"/>
          <w:lang w:val="en-US"/>
        </w:rPr>
        <w:t>.</w:t>
      </w:r>
    </w:p>
    <w:p w14:paraId="41BBA2E3"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Bradley, N. (2013). </w:t>
      </w:r>
      <w:r w:rsidRPr="0064533C">
        <w:rPr>
          <w:rFonts w:ascii="Arial" w:eastAsia="Times New Roman" w:hAnsi="Arial"/>
          <w:i/>
          <w:iCs/>
          <w:szCs w:val="24"/>
          <w:lang w:val="en-US"/>
        </w:rPr>
        <w:t>Marketing research: Tools and techniques</w:t>
      </w:r>
      <w:r w:rsidRPr="0064533C">
        <w:rPr>
          <w:rFonts w:ascii="Arial" w:eastAsia="Times New Roman" w:hAnsi="Arial"/>
          <w:szCs w:val="24"/>
          <w:lang w:val="en-US"/>
        </w:rPr>
        <w:t>. 3rd ed. Oxford: Oxford University Press.</w:t>
      </w:r>
    </w:p>
    <w:p w14:paraId="5664ADD0"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Bryman, A. and Bell, E. (2015). </w:t>
      </w:r>
      <w:r w:rsidRPr="0064533C">
        <w:rPr>
          <w:rFonts w:ascii="Arial" w:eastAsia="Times New Roman" w:hAnsi="Arial"/>
          <w:i/>
          <w:iCs/>
          <w:szCs w:val="24"/>
          <w:lang w:val="en-US"/>
        </w:rPr>
        <w:t>Business research methods</w:t>
      </w:r>
      <w:r w:rsidRPr="0064533C">
        <w:rPr>
          <w:rFonts w:ascii="Arial" w:eastAsia="Times New Roman" w:hAnsi="Arial"/>
          <w:szCs w:val="24"/>
          <w:lang w:val="en-US"/>
        </w:rPr>
        <w:t>. 4th ed. Oxford: Oxford University Press.</w:t>
      </w:r>
    </w:p>
    <w:p w14:paraId="6F6CEC1C"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Burrell, G. and Morgan, G. (2017). </w:t>
      </w:r>
      <w:r w:rsidRPr="0064533C">
        <w:rPr>
          <w:rFonts w:ascii="Arial" w:eastAsia="Times New Roman" w:hAnsi="Arial"/>
          <w:i/>
          <w:iCs/>
          <w:szCs w:val="24"/>
          <w:lang w:val="en-US"/>
        </w:rPr>
        <w:t>Sociological paradigms and organisational analysis: Elements of the sociology of corporate life</w:t>
      </w:r>
      <w:r w:rsidRPr="0064533C">
        <w:rPr>
          <w:rFonts w:ascii="Arial" w:eastAsia="Times New Roman" w:hAnsi="Arial"/>
          <w:szCs w:val="24"/>
          <w:lang w:val="en-US"/>
        </w:rPr>
        <w:t>. London: Routledge.</w:t>
      </w:r>
    </w:p>
    <w:p w14:paraId="40AAEF6C"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lastRenderedPageBreak/>
        <w:t xml:space="preserve">Cheng, T., Chen, M.-T., Chu, Y.-H., and Tsai, T. F. (2025). Solutions for understaffed hotels: Comparing the effects of perceived organizational support and perceived organizational leisure support. </w:t>
      </w:r>
      <w:r w:rsidRPr="0064533C">
        <w:rPr>
          <w:rFonts w:ascii="Arial" w:eastAsia="Times New Roman" w:hAnsi="Arial"/>
          <w:i/>
          <w:iCs/>
          <w:szCs w:val="24"/>
          <w:lang w:val="en-US"/>
        </w:rPr>
        <w:t>International Journal of Hospitality Management</w:t>
      </w:r>
      <w:r w:rsidRPr="0064533C">
        <w:rPr>
          <w:rFonts w:ascii="Arial" w:eastAsia="Times New Roman" w:hAnsi="Arial"/>
          <w:szCs w:val="24"/>
          <w:lang w:val="en-US"/>
        </w:rPr>
        <w:t xml:space="preserve">, 133, 104440. doi: </w:t>
      </w:r>
      <w:hyperlink r:id="rId15" w:tgtFrame="_blank" w:history="1">
        <w:r w:rsidRPr="0064533C">
          <w:rPr>
            <w:rStyle w:val="Hyperlink"/>
            <w:rFonts w:ascii="Arial" w:eastAsia="Times New Roman" w:hAnsi="Arial"/>
            <w:szCs w:val="24"/>
            <w:lang w:val="en-US"/>
          </w:rPr>
          <w:t>https://doi.org/10.1016/j.ijhm.2025.104440</w:t>
        </w:r>
      </w:hyperlink>
      <w:r w:rsidRPr="0064533C">
        <w:rPr>
          <w:rFonts w:ascii="Arial" w:eastAsia="Times New Roman" w:hAnsi="Arial"/>
          <w:szCs w:val="24"/>
          <w:lang w:val="en-US"/>
        </w:rPr>
        <w:t>.</w:t>
      </w:r>
    </w:p>
    <w:p w14:paraId="78AFE8CF"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Cohen, C., Pignata, S., Bezak, E., Tié, M., and Childs, J. (2023). Workplace interventions to improve well-being and reduce burnout for nurses, physicians and allied healthcare professionals: a systematic review. </w:t>
      </w:r>
      <w:r w:rsidRPr="0064533C">
        <w:rPr>
          <w:rFonts w:ascii="Arial" w:eastAsia="Times New Roman" w:hAnsi="Arial"/>
          <w:i/>
          <w:iCs/>
          <w:szCs w:val="24"/>
          <w:lang w:val="en-US"/>
        </w:rPr>
        <w:t>BMJ Open</w:t>
      </w:r>
      <w:r w:rsidRPr="0064533C">
        <w:rPr>
          <w:rFonts w:ascii="Arial" w:eastAsia="Times New Roman" w:hAnsi="Arial"/>
          <w:szCs w:val="24"/>
          <w:lang w:val="en-US"/>
        </w:rPr>
        <w:t xml:space="preserve">, 13(6). doi: </w:t>
      </w:r>
      <w:hyperlink r:id="rId16" w:tgtFrame="_blank" w:history="1">
        <w:r w:rsidRPr="0064533C">
          <w:rPr>
            <w:rStyle w:val="Hyperlink"/>
            <w:rFonts w:ascii="Arial" w:eastAsia="Times New Roman" w:hAnsi="Arial"/>
            <w:szCs w:val="24"/>
            <w:lang w:val="en-US"/>
          </w:rPr>
          <w:t>https://doi.org/10.1136/bmjopen-2022-071203</w:t>
        </w:r>
      </w:hyperlink>
      <w:r w:rsidRPr="0064533C">
        <w:rPr>
          <w:rFonts w:ascii="Arial" w:eastAsia="Times New Roman" w:hAnsi="Arial"/>
          <w:szCs w:val="24"/>
          <w:lang w:val="en-US"/>
        </w:rPr>
        <w:t>.</w:t>
      </w:r>
    </w:p>
    <w:p w14:paraId="0F834098"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Creswell, J. W. and Plano Clark, V. L. (2017). </w:t>
      </w:r>
      <w:r w:rsidRPr="0064533C">
        <w:rPr>
          <w:rFonts w:ascii="Arial" w:eastAsia="Times New Roman" w:hAnsi="Arial"/>
          <w:i/>
          <w:iCs/>
          <w:szCs w:val="24"/>
          <w:lang w:val="en-US"/>
        </w:rPr>
        <w:t>Designing and conducting mixed methods research</w:t>
      </w:r>
      <w:r w:rsidRPr="0064533C">
        <w:rPr>
          <w:rFonts w:ascii="Arial" w:eastAsia="Times New Roman" w:hAnsi="Arial"/>
          <w:szCs w:val="24"/>
          <w:lang w:val="en-US"/>
        </w:rPr>
        <w:t>. 3rd ed. Thousand Oaks, CA: Sage.</w:t>
      </w:r>
    </w:p>
    <w:p w14:paraId="3951B035"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Demerouti, E. (2025). Job demands-resources and conservation of resources theories: How do they help to explain employee well-being and future job design? </w:t>
      </w:r>
      <w:r w:rsidRPr="0064533C">
        <w:rPr>
          <w:rFonts w:ascii="Arial" w:eastAsia="Times New Roman" w:hAnsi="Arial"/>
          <w:i/>
          <w:iCs/>
          <w:szCs w:val="24"/>
          <w:lang w:val="en-US"/>
        </w:rPr>
        <w:t>Journal of Business Research</w:t>
      </w:r>
      <w:r w:rsidRPr="0064533C">
        <w:rPr>
          <w:rFonts w:ascii="Arial" w:eastAsia="Times New Roman" w:hAnsi="Arial"/>
          <w:szCs w:val="24"/>
          <w:lang w:val="en-US"/>
        </w:rPr>
        <w:t xml:space="preserve">, 192, 115296. doi: </w:t>
      </w:r>
      <w:hyperlink r:id="rId17" w:tgtFrame="_blank" w:history="1">
        <w:r w:rsidRPr="0064533C">
          <w:rPr>
            <w:rStyle w:val="Hyperlink"/>
            <w:rFonts w:ascii="Arial" w:eastAsia="Times New Roman" w:hAnsi="Arial"/>
            <w:szCs w:val="24"/>
            <w:lang w:val="en-US"/>
          </w:rPr>
          <w:t>https://doi.org/10.1016/j.jbusres.2025.115296</w:t>
        </w:r>
      </w:hyperlink>
      <w:r w:rsidRPr="0064533C">
        <w:rPr>
          <w:rFonts w:ascii="Arial" w:eastAsia="Times New Roman" w:hAnsi="Arial"/>
          <w:szCs w:val="24"/>
          <w:lang w:val="en-US"/>
        </w:rPr>
        <w:t>.</w:t>
      </w:r>
    </w:p>
    <w:p w14:paraId="0DE1A272"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Dillman, D. A., Smyth, J. D. and Christian, L. M. (2014). </w:t>
      </w:r>
      <w:r w:rsidRPr="0064533C">
        <w:rPr>
          <w:rFonts w:ascii="Arial" w:eastAsia="Times New Roman" w:hAnsi="Arial"/>
          <w:i/>
          <w:iCs/>
          <w:szCs w:val="24"/>
          <w:lang w:val="en-US"/>
        </w:rPr>
        <w:t>Internet, phone, mail, and mixed-mode surveys: The tailored design method</w:t>
      </w:r>
      <w:r w:rsidRPr="0064533C">
        <w:rPr>
          <w:rFonts w:ascii="Arial" w:eastAsia="Times New Roman" w:hAnsi="Arial"/>
          <w:szCs w:val="24"/>
          <w:lang w:val="en-US"/>
        </w:rPr>
        <w:t>. 4th ed. Hoboken, NJ: John Wiley and Sons.</w:t>
      </w:r>
    </w:p>
    <w:p w14:paraId="2421A3F1"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Etikan, I., Musa, S. A. and Alkassim, R. S. (2016). Comparison of convenience sampling and purposive sampling. </w:t>
      </w:r>
      <w:r w:rsidRPr="0064533C">
        <w:rPr>
          <w:rFonts w:ascii="Arial" w:eastAsia="Times New Roman" w:hAnsi="Arial"/>
          <w:i/>
          <w:iCs/>
          <w:szCs w:val="24"/>
          <w:lang w:val="en-US"/>
        </w:rPr>
        <w:t>American Journal of Theoretical and Applied Statistics</w:t>
      </w:r>
      <w:r w:rsidRPr="0064533C">
        <w:rPr>
          <w:rFonts w:ascii="Arial" w:eastAsia="Times New Roman" w:hAnsi="Arial"/>
          <w:szCs w:val="24"/>
          <w:lang w:val="en-US"/>
        </w:rPr>
        <w:t xml:space="preserve">, 5(1), pp. 1-4. doi: </w:t>
      </w:r>
      <w:hyperlink r:id="rId18" w:tgtFrame="_blank" w:history="1">
        <w:r w:rsidRPr="0064533C">
          <w:rPr>
            <w:rStyle w:val="Hyperlink"/>
            <w:rFonts w:ascii="Arial" w:eastAsia="Times New Roman" w:hAnsi="Arial"/>
            <w:szCs w:val="24"/>
            <w:lang w:val="en-US"/>
          </w:rPr>
          <w:t>https://doi.org/11648/j.ajtas.20160501.11</w:t>
        </w:r>
      </w:hyperlink>
      <w:r w:rsidRPr="0064533C">
        <w:rPr>
          <w:rFonts w:ascii="Arial" w:eastAsia="Times New Roman" w:hAnsi="Arial"/>
          <w:szCs w:val="24"/>
          <w:lang w:val="en-US"/>
        </w:rPr>
        <w:t>.</w:t>
      </w:r>
    </w:p>
    <w:p w14:paraId="399B14B1"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Evans, S. (2016). HRM and front line managers: the influence of role stress. </w:t>
      </w:r>
      <w:r w:rsidRPr="0064533C">
        <w:rPr>
          <w:rFonts w:ascii="Arial" w:eastAsia="Times New Roman" w:hAnsi="Arial"/>
          <w:i/>
          <w:iCs/>
          <w:szCs w:val="24"/>
          <w:lang w:val="en-US"/>
        </w:rPr>
        <w:t>The International Journal of Human Resource Management</w:t>
      </w:r>
      <w:r w:rsidRPr="0064533C">
        <w:rPr>
          <w:rFonts w:ascii="Arial" w:eastAsia="Times New Roman" w:hAnsi="Arial"/>
          <w:szCs w:val="24"/>
          <w:lang w:val="en-US"/>
        </w:rPr>
        <w:t xml:space="preserve">, 28(22), p. 3128. doi: </w:t>
      </w:r>
      <w:hyperlink r:id="rId19" w:tgtFrame="_blank" w:history="1">
        <w:r w:rsidRPr="0064533C">
          <w:rPr>
            <w:rStyle w:val="Hyperlink"/>
            <w:rFonts w:ascii="Arial" w:eastAsia="Times New Roman" w:hAnsi="Arial"/>
            <w:szCs w:val="24"/>
            <w:lang w:val="en-US"/>
          </w:rPr>
          <w:t>https://doi.org/10.1080/09585192.2016.1146786</w:t>
        </w:r>
      </w:hyperlink>
      <w:r w:rsidRPr="0064533C">
        <w:rPr>
          <w:rFonts w:ascii="Arial" w:eastAsia="Times New Roman" w:hAnsi="Arial"/>
          <w:szCs w:val="24"/>
          <w:lang w:val="en-US"/>
        </w:rPr>
        <w:t>.</w:t>
      </w:r>
    </w:p>
    <w:p w14:paraId="0D75905D"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Fida, R., Game, A., Štěpánek, M., and Gendronneau, C. (2021). Longitudinal Effects of Engagement with Workplace Health Programmes on Employee Outcomes: A Relational Perspective. </w:t>
      </w:r>
      <w:r w:rsidRPr="0064533C">
        <w:rPr>
          <w:rFonts w:ascii="Arial" w:eastAsia="Times New Roman" w:hAnsi="Arial"/>
          <w:i/>
          <w:iCs/>
          <w:szCs w:val="24"/>
          <w:lang w:val="en-US"/>
        </w:rPr>
        <w:t>British Journal of Management</w:t>
      </w:r>
      <w:r w:rsidRPr="0064533C">
        <w:rPr>
          <w:rFonts w:ascii="Arial" w:eastAsia="Times New Roman" w:hAnsi="Arial"/>
          <w:szCs w:val="24"/>
          <w:lang w:val="en-US"/>
        </w:rPr>
        <w:t xml:space="preserve">, 33(4), p. 1905. doi: </w:t>
      </w:r>
      <w:hyperlink r:id="rId20" w:tgtFrame="_blank" w:history="1">
        <w:r w:rsidRPr="0064533C">
          <w:rPr>
            <w:rStyle w:val="Hyperlink"/>
            <w:rFonts w:ascii="Arial" w:eastAsia="Times New Roman" w:hAnsi="Arial"/>
            <w:szCs w:val="24"/>
            <w:lang w:val="en-US"/>
          </w:rPr>
          <w:t>https://doi.org/10.1111/1467-8551.12565</w:t>
        </w:r>
      </w:hyperlink>
      <w:r w:rsidRPr="0064533C">
        <w:rPr>
          <w:rFonts w:ascii="Arial" w:eastAsia="Times New Roman" w:hAnsi="Arial"/>
          <w:szCs w:val="24"/>
          <w:lang w:val="en-US"/>
        </w:rPr>
        <w:t>.</w:t>
      </w:r>
    </w:p>
    <w:p w14:paraId="722FECE4"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Field, A. (2018). </w:t>
      </w:r>
      <w:r w:rsidRPr="0064533C">
        <w:rPr>
          <w:rFonts w:ascii="Arial" w:eastAsia="Times New Roman" w:hAnsi="Arial"/>
          <w:i/>
          <w:iCs/>
          <w:szCs w:val="24"/>
          <w:lang w:val="en-US"/>
        </w:rPr>
        <w:t>Discovering statistics using IBM SPSS statistics</w:t>
      </w:r>
      <w:r w:rsidRPr="0064533C">
        <w:rPr>
          <w:rFonts w:ascii="Arial" w:eastAsia="Times New Roman" w:hAnsi="Arial"/>
          <w:szCs w:val="24"/>
          <w:lang w:val="en-US"/>
        </w:rPr>
        <w:t>. 5th ed. London: Sage.</w:t>
      </w:r>
    </w:p>
    <w:p w14:paraId="339FCE01"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lastRenderedPageBreak/>
        <w:t xml:space="preserve">Filippelli, S., Popescu, A. I., Verteramo, S., Tani, M., and Corvello, V. (2025). Generative AI and employee well-being: Exploring the emotional, social, and cognitive impacts of adoption. </w:t>
      </w:r>
      <w:r w:rsidRPr="0064533C">
        <w:rPr>
          <w:rFonts w:ascii="Arial" w:eastAsia="Times New Roman" w:hAnsi="Arial"/>
          <w:i/>
          <w:iCs/>
          <w:szCs w:val="24"/>
          <w:lang w:val="en-US"/>
        </w:rPr>
        <w:t>Journal of Innovation and Knowledge</w:t>
      </w:r>
      <w:r w:rsidRPr="0064533C">
        <w:rPr>
          <w:rFonts w:ascii="Arial" w:eastAsia="Times New Roman" w:hAnsi="Arial"/>
          <w:szCs w:val="24"/>
          <w:lang w:val="en-US"/>
        </w:rPr>
        <w:t xml:space="preserve">, 11, 100844. doi: </w:t>
      </w:r>
      <w:hyperlink r:id="rId21" w:tgtFrame="_blank" w:history="1">
        <w:r w:rsidRPr="0064533C">
          <w:rPr>
            <w:rStyle w:val="Hyperlink"/>
            <w:rFonts w:ascii="Arial" w:eastAsia="Times New Roman" w:hAnsi="Arial"/>
            <w:szCs w:val="24"/>
            <w:lang w:val="en-US"/>
          </w:rPr>
          <w:t>https://doi.org/10.1016/j.jik.2025.100844</w:t>
        </w:r>
      </w:hyperlink>
      <w:r w:rsidRPr="0064533C">
        <w:rPr>
          <w:rFonts w:ascii="Arial" w:eastAsia="Times New Roman" w:hAnsi="Arial"/>
          <w:szCs w:val="24"/>
          <w:lang w:val="en-US"/>
        </w:rPr>
        <w:t>.</w:t>
      </w:r>
    </w:p>
    <w:p w14:paraId="14AEDADA"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Furr, R. M. (2011). </w:t>
      </w:r>
      <w:r w:rsidRPr="0064533C">
        <w:rPr>
          <w:rFonts w:ascii="Arial" w:eastAsia="Times New Roman" w:hAnsi="Arial"/>
          <w:i/>
          <w:iCs/>
          <w:szCs w:val="24"/>
          <w:lang w:val="en-US"/>
        </w:rPr>
        <w:t>Scale construction and psychometrics for social and personality psychology</w:t>
      </w:r>
      <w:r w:rsidRPr="0064533C">
        <w:rPr>
          <w:rFonts w:ascii="Arial" w:eastAsia="Times New Roman" w:hAnsi="Arial"/>
          <w:szCs w:val="24"/>
          <w:lang w:val="en-US"/>
        </w:rPr>
        <w:t>. London: Sage.</w:t>
      </w:r>
    </w:p>
    <w:p w14:paraId="130E928C"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Gelencsér, M., Szabó-Szentgróti, G., Kőműves, Z., and Hollósy-Vadász, G. (2023). The Holistic Model of Labour Retention: The Impact of Workplace Wellbeing Factors on Employee Retention. </w:t>
      </w:r>
      <w:r w:rsidRPr="0064533C">
        <w:rPr>
          <w:rFonts w:ascii="Arial" w:eastAsia="Times New Roman" w:hAnsi="Arial"/>
          <w:i/>
          <w:iCs/>
          <w:szCs w:val="24"/>
          <w:lang w:val="en-US"/>
        </w:rPr>
        <w:t>Administrative Sciences</w:t>
      </w:r>
      <w:r w:rsidRPr="0064533C">
        <w:rPr>
          <w:rFonts w:ascii="Arial" w:eastAsia="Times New Roman" w:hAnsi="Arial"/>
          <w:szCs w:val="24"/>
          <w:lang w:val="en-US"/>
        </w:rPr>
        <w:t xml:space="preserve">, 13(5), 121. doi: </w:t>
      </w:r>
      <w:hyperlink r:id="rId22" w:tgtFrame="_blank" w:history="1">
        <w:r w:rsidRPr="0064533C">
          <w:rPr>
            <w:rStyle w:val="Hyperlink"/>
            <w:rFonts w:ascii="Arial" w:eastAsia="Times New Roman" w:hAnsi="Arial"/>
            <w:szCs w:val="24"/>
            <w:lang w:val="en-US"/>
          </w:rPr>
          <w:t>https://doi.org/10.3390/admsci13050121</w:t>
        </w:r>
      </w:hyperlink>
      <w:r w:rsidRPr="0064533C">
        <w:rPr>
          <w:rFonts w:ascii="Arial" w:eastAsia="Times New Roman" w:hAnsi="Arial"/>
          <w:szCs w:val="24"/>
          <w:lang w:val="en-US"/>
        </w:rPr>
        <w:t>.</w:t>
      </w:r>
    </w:p>
    <w:p w14:paraId="3118C4ED"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George, D. and Mallery, P. (2019). </w:t>
      </w:r>
      <w:r w:rsidRPr="0064533C">
        <w:rPr>
          <w:rFonts w:ascii="Arial" w:eastAsia="Times New Roman" w:hAnsi="Arial"/>
          <w:i/>
          <w:iCs/>
          <w:szCs w:val="24"/>
          <w:lang w:val="en-US"/>
        </w:rPr>
        <w:t>IBM SPSS statistics 26 step by step: A simple guide and reference</w:t>
      </w:r>
      <w:r w:rsidRPr="0064533C">
        <w:rPr>
          <w:rFonts w:ascii="Arial" w:eastAsia="Times New Roman" w:hAnsi="Arial"/>
          <w:szCs w:val="24"/>
          <w:lang w:val="en-US"/>
        </w:rPr>
        <w:t>. 16th ed. New York: Routledge.</w:t>
      </w:r>
    </w:p>
    <w:p w14:paraId="1E477731"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Gómez-Borges, A., Zuberbühler, J. P., Martínez, I. M., and Salanova, M. (2022). Self-care at Work Matters: How Job and Personal Resources mediate between Self-Care and Psychological Well-being. </w:t>
      </w:r>
      <w:r w:rsidRPr="0064533C">
        <w:rPr>
          <w:rFonts w:ascii="Arial" w:eastAsia="Times New Roman" w:hAnsi="Arial"/>
          <w:i/>
          <w:iCs/>
          <w:szCs w:val="24"/>
          <w:lang w:val="en-US"/>
        </w:rPr>
        <w:t>Journal of Work and Organizational Psychology</w:t>
      </w:r>
      <w:r w:rsidRPr="0064533C">
        <w:rPr>
          <w:rFonts w:ascii="Arial" w:eastAsia="Times New Roman" w:hAnsi="Arial"/>
          <w:szCs w:val="24"/>
          <w:lang w:val="en-US"/>
        </w:rPr>
        <w:t xml:space="preserve">, 38(3), p. 231. doi: </w:t>
      </w:r>
      <w:hyperlink r:id="rId23" w:tgtFrame="_blank" w:history="1">
        <w:r w:rsidRPr="0064533C">
          <w:rPr>
            <w:rStyle w:val="Hyperlink"/>
            <w:rFonts w:ascii="Arial" w:eastAsia="Times New Roman" w:hAnsi="Arial"/>
            <w:szCs w:val="24"/>
            <w:lang w:val="en-US"/>
          </w:rPr>
          <w:t>https://doi.org/10.5093/jwop2022a15</w:t>
        </w:r>
      </w:hyperlink>
      <w:r w:rsidRPr="0064533C">
        <w:rPr>
          <w:rFonts w:ascii="Arial" w:eastAsia="Times New Roman" w:hAnsi="Arial"/>
          <w:szCs w:val="24"/>
          <w:lang w:val="en-US"/>
        </w:rPr>
        <w:t>.</w:t>
      </w:r>
    </w:p>
    <w:p w14:paraId="36B44408"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Green, S. B. (1991). How many subjects does it take to do a regression analysis. </w:t>
      </w:r>
      <w:r w:rsidRPr="0064533C">
        <w:rPr>
          <w:rFonts w:ascii="Arial" w:eastAsia="Times New Roman" w:hAnsi="Arial"/>
          <w:i/>
          <w:iCs/>
          <w:szCs w:val="24"/>
          <w:lang w:val="en-US"/>
        </w:rPr>
        <w:t>Multivariate Behavioral Research</w:t>
      </w:r>
      <w:r w:rsidRPr="0064533C">
        <w:rPr>
          <w:rFonts w:ascii="Arial" w:eastAsia="Times New Roman" w:hAnsi="Arial"/>
          <w:szCs w:val="24"/>
          <w:lang w:val="en-US"/>
        </w:rPr>
        <w:t xml:space="preserve">, 26(3), pp. 499-510. doi: </w:t>
      </w:r>
      <w:hyperlink r:id="rId24" w:tgtFrame="_blank" w:history="1">
        <w:r w:rsidRPr="0064533C">
          <w:rPr>
            <w:rStyle w:val="Hyperlink"/>
            <w:rFonts w:ascii="Arial" w:eastAsia="Times New Roman" w:hAnsi="Arial"/>
            <w:szCs w:val="24"/>
            <w:lang w:val="en-US"/>
          </w:rPr>
          <w:t>https://doi.org/10.1207/s15327906mbr2603_7</w:t>
        </w:r>
      </w:hyperlink>
      <w:r w:rsidRPr="0064533C">
        <w:rPr>
          <w:rFonts w:ascii="Arial" w:eastAsia="Times New Roman" w:hAnsi="Arial"/>
          <w:szCs w:val="24"/>
          <w:lang w:val="en-US"/>
        </w:rPr>
        <w:t>.</w:t>
      </w:r>
    </w:p>
    <w:p w14:paraId="3CA2A758"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Hadjisolomou, A. (2022). Spaces of active disengagement across the food retail shop floor. </w:t>
      </w:r>
      <w:r w:rsidRPr="0064533C">
        <w:rPr>
          <w:rFonts w:ascii="Arial" w:eastAsia="Times New Roman" w:hAnsi="Arial"/>
          <w:i/>
          <w:iCs/>
          <w:szCs w:val="24"/>
          <w:lang w:val="en-US"/>
        </w:rPr>
        <w:t>Employee Relations</w:t>
      </w:r>
      <w:r w:rsidRPr="0064533C">
        <w:rPr>
          <w:rFonts w:ascii="Arial" w:eastAsia="Times New Roman" w:hAnsi="Arial"/>
          <w:szCs w:val="24"/>
          <w:lang w:val="en-US"/>
        </w:rPr>
        <w:t xml:space="preserve">, 45(1), p. 140. doi: </w:t>
      </w:r>
      <w:hyperlink r:id="rId25" w:tgtFrame="_blank" w:history="1">
        <w:r w:rsidRPr="0064533C">
          <w:rPr>
            <w:rStyle w:val="Hyperlink"/>
            <w:rFonts w:ascii="Arial" w:eastAsia="Times New Roman" w:hAnsi="Arial"/>
            <w:szCs w:val="24"/>
            <w:lang w:val="en-US"/>
          </w:rPr>
          <w:t>https://doi.org/10.1108/er-03-2021-0096</w:t>
        </w:r>
      </w:hyperlink>
      <w:r w:rsidRPr="0064533C">
        <w:rPr>
          <w:rFonts w:ascii="Arial" w:eastAsia="Times New Roman" w:hAnsi="Arial"/>
          <w:szCs w:val="24"/>
          <w:lang w:val="en-US"/>
        </w:rPr>
        <w:t>.</w:t>
      </w:r>
    </w:p>
    <w:p w14:paraId="46FABCE6"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Hair, J. F., Black, W. C., Babin, B. J. and Anderson, R. E. (2019). </w:t>
      </w:r>
      <w:r w:rsidRPr="0064533C">
        <w:rPr>
          <w:rFonts w:ascii="Arial" w:eastAsia="Times New Roman" w:hAnsi="Arial"/>
          <w:i/>
          <w:iCs/>
          <w:szCs w:val="24"/>
          <w:lang w:val="en-US"/>
        </w:rPr>
        <w:t>Multivariate data analysis</w:t>
      </w:r>
      <w:r w:rsidRPr="0064533C">
        <w:rPr>
          <w:rFonts w:ascii="Arial" w:eastAsia="Times New Roman" w:hAnsi="Arial"/>
          <w:szCs w:val="24"/>
          <w:lang w:val="en-US"/>
        </w:rPr>
        <w:t>. 8th ed. Hampshire: Cengage.</w:t>
      </w:r>
    </w:p>
    <w:p w14:paraId="1C2DACE8"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Ho, R. (2013). </w:t>
      </w:r>
      <w:r w:rsidRPr="0064533C">
        <w:rPr>
          <w:rFonts w:ascii="Arial" w:eastAsia="Times New Roman" w:hAnsi="Arial"/>
          <w:i/>
          <w:iCs/>
          <w:szCs w:val="24"/>
          <w:lang w:val="en-US"/>
        </w:rPr>
        <w:t>Handbook of univariate and multivariate data analysis with IBM SPSS</w:t>
      </w:r>
      <w:r w:rsidRPr="0064533C">
        <w:rPr>
          <w:rFonts w:ascii="Arial" w:eastAsia="Times New Roman" w:hAnsi="Arial"/>
          <w:szCs w:val="24"/>
          <w:lang w:val="en-US"/>
        </w:rPr>
        <w:t>. 2nd ed. Boca Raton, FL: CRC Press.</w:t>
      </w:r>
    </w:p>
    <w:p w14:paraId="1F4F0298"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lastRenderedPageBreak/>
        <w:t xml:space="preserve">Howell, K. E. (2013). </w:t>
      </w:r>
      <w:r w:rsidRPr="0064533C">
        <w:rPr>
          <w:rFonts w:ascii="Arial" w:eastAsia="Times New Roman" w:hAnsi="Arial"/>
          <w:i/>
          <w:iCs/>
          <w:szCs w:val="24"/>
          <w:lang w:val="en-US"/>
        </w:rPr>
        <w:t>An introduction to the philosophy of methodology</w:t>
      </w:r>
      <w:r w:rsidRPr="0064533C">
        <w:rPr>
          <w:rFonts w:ascii="Arial" w:eastAsia="Times New Roman" w:hAnsi="Arial"/>
          <w:szCs w:val="24"/>
          <w:lang w:val="en-US"/>
        </w:rPr>
        <w:t>. London: Sage.</w:t>
      </w:r>
    </w:p>
    <w:p w14:paraId="3523518B"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Israel, M. and Hay, I. (2006). </w:t>
      </w:r>
      <w:r w:rsidRPr="0064533C">
        <w:rPr>
          <w:rFonts w:ascii="Arial" w:eastAsia="Times New Roman" w:hAnsi="Arial"/>
          <w:i/>
          <w:iCs/>
          <w:szCs w:val="24"/>
          <w:lang w:val="en-US"/>
        </w:rPr>
        <w:t>Research ethics for social scientists</w:t>
      </w:r>
      <w:r w:rsidRPr="0064533C">
        <w:rPr>
          <w:rFonts w:ascii="Arial" w:eastAsia="Times New Roman" w:hAnsi="Arial"/>
          <w:szCs w:val="24"/>
          <w:lang w:val="en-US"/>
        </w:rPr>
        <w:t>. London: Sage.</w:t>
      </w:r>
    </w:p>
    <w:p w14:paraId="26FC108C"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Janssen, M., Heerkens, Y., Kuijer</w:t>
      </w:r>
      <w:r w:rsidRPr="0064533C">
        <w:rPr>
          <w:rFonts w:ascii="Cambria Math" w:eastAsia="Times New Roman" w:hAnsi="Cambria Math" w:cs="Cambria Math"/>
          <w:szCs w:val="24"/>
          <w:lang w:val="en-US"/>
        </w:rPr>
        <w:t>‐</w:t>
      </w:r>
      <w:r w:rsidRPr="0064533C">
        <w:rPr>
          <w:rFonts w:ascii="Arial" w:eastAsia="Times New Roman" w:hAnsi="Arial"/>
          <w:szCs w:val="24"/>
          <w:lang w:val="en-US"/>
        </w:rPr>
        <w:t xml:space="preserve">Siebelink, W., Heijden, B. van der, and Engels, J. (2018). Effects of Mindfulness-Based Stress Reduction on employees’ mental health: A systematic review. </w:t>
      </w:r>
      <w:r w:rsidRPr="0064533C">
        <w:rPr>
          <w:rFonts w:ascii="Arial" w:eastAsia="Times New Roman" w:hAnsi="Arial"/>
          <w:i/>
          <w:iCs/>
          <w:szCs w:val="24"/>
          <w:lang w:val="en-US"/>
        </w:rPr>
        <w:t>PLoS ONE</w:t>
      </w:r>
      <w:r w:rsidRPr="0064533C">
        <w:rPr>
          <w:rFonts w:ascii="Arial" w:eastAsia="Times New Roman" w:hAnsi="Arial"/>
          <w:szCs w:val="24"/>
          <w:lang w:val="en-US"/>
        </w:rPr>
        <w:t xml:space="preserve">, 13(1). doi: </w:t>
      </w:r>
      <w:hyperlink r:id="rId26" w:tgtFrame="_blank" w:history="1">
        <w:r w:rsidRPr="0064533C">
          <w:rPr>
            <w:rStyle w:val="Hyperlink"/>
            <w:rFonts w:ascii="Arial" w:eastAsia="Times New Roman" w:hAnsi="Arial"/>
            <w:szCs w:val="24"/>
            <w:lang w:val="en-US"/>
          </w:rPr>
          <w:t>https://doi.org/10.1371/journal.pone.0191332</w:t>
        </w:r>
      </w:hyperlink>
      <w:r w:rsidRPr="0064533C">
        <w:rPr>
          <w:rFonts w:ascii="Arial" w:eastAsia="Times New Roman" w:hAnsi="Arial"/>
          <w:szCs w:val="24"/>
          <w:lang w:val="en-US"/>
        </w:rPr>
        <w:t>.</w:t>
      </w:r>
    </w:p>
    <w:p w14:paraId="2F13968A"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Kalinienė, G., Lukšienė, D., Ustinavičienė, R., Škėmienė, L., and Januškevičius, V. (2021). The Burnout Syndrome among Women Working in the Retail Network in Associations with Psychosocial Work Environment Factors. </w:t>
      </w:r>
      <w:r w:rsidRPr="0064533C">
        <w:rPr>
          <w:rFonts w:ascii="Arial" w:eastAsia="Times New Roman" w:hAnsi="Arial"/>
          <w:i/>
          <w:iCs/>
          <w:szCs w:val="24"/>
          <w:lang w:val="en-US"/>
        </w:rPr>
        <w:t>International Journal of Environmental Research and Public Health</w:t>
      </w:r>
      <w:r w:rsidRPr="0064533C">
        <w:rPr>
          <w:rFonts w:ascii="Arial" w:eastAsia="Times New Roman" w:hAnsi="Arial"/>
          <w:szCs w:val="24"/>
          <w:lang w:val="en-US"/>
        </w:rPr>
        <w:t xml:space="preserve">, 18(11), 5603. doi: </w:t>
      </w:r>
      <w:hyperlink r:id="rId27" w:tgtFrame="_blank" w:history="1">
        <w:r w:rsidRPr="0064533C">
          <w:rPr>
            <w:rStyle w:val="Hyperlink"/>
            <w:rFonts w:ascii="Arial" w:eastAsia="Times New Roman" w:hAnsi="Arial"/>
            <w:szCs w:val="24"/>
            <w:lang w:val="en-US"/>
          </w:rPr>
          <w:t>https://doi.org/10.3390/ijerph18115603</w:t>
        </w:r>
      </w:hyperlink>
      <w:r w:rsidRPr="0064533C">
        <w:rPr>
          <w:rFonts w:ascii="Arial" w:eastAsia="Times New Roman" w:hAnsi="Arial"/>
          <w:szCs w:val="24"/>
          <w:lang w:val="en-US"/>
        </w:rPr>
        <w:t>.</w:t>
      </w:r>
    </w:p>
    <w:p w14:paraId="1D82F125"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Kline, R. B. (2015). </w:t>
      </w:r>
      <w:r w:rsidRPr="0064533C">
        <w:rPr>
          <w:rFonts w:ascii="Arial" w:eastAsia="Times New Roman" w:hAnsi="Arial"/>
          <w:i/>
          <w:iCs/>
          <w:szCs w:val="24"/>
          <w:lang w:val="en-US"/>
        </w:rPr>
        <w:t>Principles and practice of structural equation modeling</w:t>
      </w:r>
      <w:r w:rsidRPr="0064533C">
        <w:rPr>
          <w:rFonts w:ascii="Arial" w:eastAsia="Times New Roman" w:hAnsi="Arial"/>
          <w:szCs w:val="24"/>
          <w:lang w:val="en-US"/>
        </w:rPr>
        <w:t>. 4th ed. New York: Guilford publications.</w:t>
      </w:r>
    </w:p>
    <w:p w14:paraId="4369D715"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Kopuz, K., Turgut, M., and Aydın, G. Ç. (2025). Technostress among nurses: boon or bane? The moderated mediation model. </w:t>
      </w:r>
      <w:r w:rsidRPr="0064533C">
        <w:rPr>
          <w:rFonts w:ascii="Arial" w:eastAsia="Times New Roman" w:hAnsi="Arial"/>
          <w:i/>
          <w:iCs/>
          <w:szCs w:val="24"/>
          <w:lang w:val="en-US"/>
        </w:rPr>
        <w:t>BMC Nursing</w:t>
      </w:r>
      <w:r w:rsidRPr="0064533C">
        <w:rPr>
          <w:rFonts w:ascii="Arial" w:eastAsia="Times New Roman" w:hAnsi="Arial"/>
          <w:szCs w:val="24"/>
          <w:lang w:val="en-US"/>
        </w:rPr>
        <w:t xml:space="preserve">, 24(1). doi: </w:t>
      </w:r>
      <w:hyperlink r:id="rId28" w:tgtFrame="_blank" w:history="1">
        <w:r w:rsidRPr="0064533C">
          <w:rPr>
            <w:rStyle w:val="Hyperlink"/>
            <w:rFonts w:ascii="Arial" w:eastAsia="Times New Roman" w:hAnsi="Arial"/>
            <w:szCs w:val="24"/>
            <w:lang w:val="en-US"/>
          </w:rPr>
          <w:t>https://doi.org/10.1186/s12912-025-03721-6</w:t>
        </w:r>
      </w:hyperlink>
      <w:r w:rsidRPr="0064533C">
        <w:rPr>
          <w:rFonts w:ascii="Arial" w:eastAsia="Times New Roman" w:hAnsi="Arial"/>
          <w:szCs w:val="24"/>
          <w:lang w:val="en-US"/>
        </w:rPr>
        <w:t>.</w:t>
      </w:r>
    </w:p>
    <w:p w14:paraId="4E6D14C6"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Kumar, R. (2015). </w:t>
      </w:r>
      <w:r w:rsidRPr="0064533C">
        <w:rPr>
          <w:rFonts w:ascii="Arial" w:eastAsia="Times New Roman" w:hAnsi="Arial"/>
          <w:i/>
          <w:iCs/>
          <w:szCs w:val="24"/>
          <w:lang w:val="en-US"/>
        </w:rPr>
        <w:t>Research methodology: A step-by-step guide for beginners</w:t>
      </w:r>
      <w:r w:rsidRPr="0064533C">
        <w:rPr>
          <w:rFonts w:ascii="Arial" w:eastAsia="Times New Roman" w:hAnsi="Arial"/>
          <w:szCs w:val="24"/>
          <w:lang w:val="en-US"/>
        </w:rPr>
        <w:t>. 4th ed. London: Sage.</w:t>
      </w:r>
    </w:p>
    <w:p w14:paraId="49C2C918"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Kumprang, K., and Suriyankietkaew, S. (2024). Mechanisms of Organizational Mindfulness on Employee Well-Being and Engagement: A Multi-Level Analysis. </w:t>
      </w:r>
      <w:r w:rsidRPr="0064533C">
        <w:rPr>
          <w:rFonts w:ascii="Arial" w:eastAsia="Times New Roman" w:hAnsi="Arial"/>
          <w:i/>
          <w:iCs/>
          <w:szCs w:val="24"/>
          <w:lang w:val="en-US"/>
        </w:rPr>
        <w:t>Administrative Sciences</w:t>
      </w:r>
      <w:r w:rsidRPr="0064533C">
        <w:rPr>
          <w:rFonts w:ascii="Arial" w:eastAsia="Times New Roman" w:hAnsi="Arial"/>
          <w:szCs w:val="24"/>
          <w:lang w:val="en-US"/>
        </w:rPr>
        <w:t xml:space="preserve">, 14(6), 121. doi: </w:t>
      </w:r>
      <w:hyperlink r:id="rId29" w:tgtFrame="_blank" w:history="1">
        <w:r w:rsidRPr="0064533C">
          <w:rPr>
            <w:rStyle w:val="Hyperlink"/>
            <w:rFonts w:ascii="Arial" w:eastAsia="Times New Roman" w:hAnsi="Arial"/>
            <w:szCs w:val="24"/>
            <w:lang w:val="en-US"/>
          </w:rPr>
          <w:t>https://doi.org/10.3390/admsci14060121</w:t>
        </w:r>
      </w:hyperlink>
      <w:r w:rsidRPr="0064533C">
        <w:rPr>
          <w:rFonts w:ascii="Arial" w:eastAsia="Times New Roman" w:hAnsi="Arial"/>
          <w:szCs w:val="24"/>
          <w:lang w:val="en-US"/>
        </w:rPr>
        <w:t>.</w:t>
      </w:r>
    </w:p>
    <w:p w14:paraId="50A97D67"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Levin, K. A. (2006). Study design III: Cross-sectional studies. </w:t>
      </w:r>
      <w:r w:rsidRPr="0064533C">
        <w:rPr>
          <w:rFonts w:ascii="Arial" w:eastAsia="Times New Roman" w:hAnsi="Arial"/>
          <w:i/>
          <w:iCs/>
          <w:szCs w:val="24"/>
          <w:lang w:val="en-US"/>
        </w:rPr>
        <w:t>Evidence-Based Dentistry</w:t>
      </w:r>
      <w:r w:rsidRPr="0064533C">
        <w:rPr>
          <w:rFonts w:ascii="Arial" w:eastAsia="Times New Roman" w:hAnsi="Arial"/>
          <w:szCs w:val="24"/>
          <w:lang w:val="en-US"/>
        </w:rPr>
        <w:t xml:space="preserve">, 7(1), pp. 24-25. doi: </w:t>
      </w:r>
      <w:hyperlink r:id="rId30" w:tgtFrame="_blank" w:history="1">
        <w:r w:rsidRPr="0064533C">
          <w:rPr>
            <w:rStyle w:val="Hyperlink"/>
            <w:rFonts w:ascii="Arial" w:eastAsia="Times New Roman" w:hAnsi="Arial"/>
            <w:szCs w:val="24"/>
            <w:lang w:val="en-US"/>
          </w:rPr>
          <w:t>https://doi.org/10.1038/sj.ebd.6400375</w:t>
        </w:r>
      </w:hyperlink>
      <w:r w:rsidRPr="0064533C">
        <w:rPr>
          <w:rFonts w:ascii="Arial" w:eastAsia="Times New Roman" w:hAnsi="Arial"/>
          <w:szCs w:val="24"/>
          <w:lang w:val="en-US"/>
        </w:rPr>
        <w:t>.</w:t>
      </w:r>
    </w:p>
    <w:p w14:paraId="113CB089"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Liu, C., Lin, W.-P., and Ng, Y.-L. (2025). Exploring the relationship between emotional labour and work engagement through a three-phase framework, incorporating mediation </w:t>
      </w:r>
      <w:r w:rsidRPr="0064533C">
        <w:rPr>
          <w:rFonts w:ascii="Arial" w:eastAsia="Times New Roman" w:hAnsi="Arial"/>
          <w:szCs w:val="24"/>
          <w:lang w:val="en-US"/>
        </w:rPr>
        <w:lastRenderedPageBreak/>
        <w:t xml:space="preserve">and moderation analyses. </w:t>
      </w:r>
      <w:r w:rsidRPr="0064533C">
        <w:rPr>
          <w:rFonts w:ascii="Arial" w:eastAsia="Times New Roman" w:hAnsi="Arial"/>
          <w:i/>
          <w:iCs/>
          <w:szCs w:val="24"/>
          <w:lang w:val="en-US"/>
        </w:rPr>
        <w:t>International Journal of Hospitality Management</w:t>
      </w:r>
      <w:r w:rsidRPr="0064533C">
        <w:rPr>
          <w:rFonts w:ascii="Arial" w:eastAsia="Times New Roman" w:hAnsi="Arial"/>
          <w:szCs w:val="24"/>
          <w:lang w:val="en-US"/>
        </w:rPr>
        <w:t xml:space="preserve">, 126, 104089. doi: </w:t>
      </w:r>
      <w:hyperlink r:id="rId31" w:tgtFrame="_blank" w:history="1">
        <w:r w:rsidRPr="0064533C">
          <w:rPr>
            <w:rStyle w:val="Hyperlink"/>
            <w:rFonts w:ascii="Arial" w:eastAsia="Times New Roman" w:hAnsi="Arial"/>
            <w:szCs w:val="24"/>
            <w:lang w:val="en-US"/>
          </w:rPr>
          <w:t>https://doi.org/10.1016/j.ijhm.2025.104089</w:t>
        </w:r>
      </w:hyperlink>
      <w:r w:rsidRPr="0064533C">
        <w:rPr>
          <w:rFonts w:ascii="Arial" w:eastAsia="Times New Roman" w:hAnsi="Arial"/>
          <w:szCs w:val="24"/>
          <w:lang w:val="en-US"/>
        </w:rPr>
        <w:t>.</w:t>
      </w:r>
    </w:p>
    <w:p w14:paraId="604D429F"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Maalouf, N. J. A., Rizk, N., Ramadan, M., Baydoun, H., Zakhem, N. B., Elia, J., Daouk, A., Sawaya, C., and Boutros, F. (2023). The Effect of Human Resource Management Practices on Employee Retention in Private Universities in Lebanon. </w:t>
      </w:r>
      <w:r w:rsidRPr="0064533C">
        <w:rPr>
          <w:rFonts w:ascii="Arial" w:eastAsia="Times New Roman" w:hAnsi="Arial"/>
          <w:i/>
          <w:iCs/>
          <w:szCs w:val="24"/>
          <w:lang w:val="en-US"/>
        </w:rPr>
        <w:t>International Journal of Professional Business Review</w:t>
      </w:r>
      <w:r w:rsidRPr="0064533C">
        <w:rPr>
          <w:rFonts w:ascii="Arial" w:eastAsia="Times New Roman" w:hAnsi="Arial"/>
          <w:szCs w:val="24"/>
          <w:lang w:val="en-US"/>
        </w:rPr>
        <w:t xml:space="preserve">, 8(9). doi: </w:t>
      </w:r>
      <w:hyperlink r:id="rId32" w:tgtFrame="_blank" w:history="1">
        <w:r w:rsidRPr="0064533C">
          <w:rPr>
            <w:rStyle w:val="Hyperlink"/>
            <w:rFonts w:ascii="Arial" w:eastAsia="Times New Roman" w:hAnsi="Arial"/>
            <w:szCs w:val="24"/>
            <w:lang w:val="en-US"/>
          </w:rPr>
          <w:t>https://doi.org/10.26668/businessreview/2023.v8i9.3556</w:t>
        </w:r>
      </w:hyperlink>
      <w:r w:rsidRPr="0064533C">
        <w:rPr>
          <w:rFonts w:ascii="Arial" w:eastAsia="Times New Roman" w:hAnsi="Arial"/>
          <w:szCs w:val="24"/>
          <w:lang w:val="en-US"/>
        </w:rPr>
        <w:t>.</w:t>
      </w:r>
    </w:p>
    <w:p w14:paraId="0F01B936"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MacKinnon, D. P., Fairchild, A. J. and Fritz, M. S. (2007). Mediation analysis. </w:t>
      </w:r>
      <w:r w:rsidRPr="0064533C">
        <w:rPr>
          <w:rFonts w:ascii="Arial" w:eastAsia="Times New Roman" w:hAnsi="Arial"/>
          <w:i/>
          <w:iCs/>
          <w:szCs w:val="24"/>
          <w:lang w:val="en-US"/>
        </w:rPr>
        <w:t>Annual Review of Psychology</w:t>
      </w:r>
      <w:r w:rsidRPr="0064533C">
        <w:rPr>
          <w:rFonts w:ascii="Arial" w:eastAsia="Times New Roman" w:hAnsi="Arial"/>
          <w:szCs w:val="24"/>
          <w:lang w:val="en-US"/>
        </w:rPr>
        <w:t xml:space="preserve">, 58, pp. 593-614. doi: </w:t>
      </w:r>
      <w:hyperlink r:id="rId33" w:tgtFrame="_blank" w:history="1">
        <w:r w:rsidRPr="0064533C">
          <w:rPr>
            <w:rStyle w:val="Hyperlink"/>
            <w:rFonts w:ascii="Arial" w:eastAsia="Times New Roman" w:hAnsi="Arial"/>
            <w:szCs w:val="24"/>
            <w:lang w:val="en-US"/>
          </w:rPr>
          <w:t>https://doi.org/10.1146/annurev.psych.58.110405.085542</w:t>
        </w:r>
      </w:hyperlink>
      <w:r w:rsidRPr="0064533C">
        <w:rPr>
          <w:rFonts w:ascii="Arial" w:eastAsia="Times New Roman" w:hAnsi="Arial"/>
          <w:szCs w:val="24"/>
          <w:lang w:val="en-US"/>
        </w:rPr>
        <w:t>.</w:t>
      </w:r>
    </w:p>
    <w:p w14:paraId="502B123A"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Martínez-Díaz, A., Díaz-Fúnez, P. A., Salvador-Ferrer, C. M., Hernández-Sánchez, B. R., García, J. C. S., and Mañas-Rodríguez, M. Á. (2023). Mediating effect of job crafting dimensions on influence of burnout at self-efficacy and performance: revisiting health-impairment process of JD-R theory in public administration. </w:t>
      </w:r>
      <w:r w:rsidRPr="0064533C">
        <w:rPr>
          <w:rFonts w:ascii="Arial" w:eastAsia="Times New Roman" w:hAnsi="Arial"/>
          <w:i/>
          <w:iCs/>
          <w:szCs w:val="24"/>
          <w:lang w:val="en-US"/>
        </w:rPr>
        <w:t>Frontiers in Psychology</w:t>
      </w:r>
      <w:r w:rsidRPr="0064533C">
        <w:rPr>
          <w:rFonts w:ascii="Arial" w:eastAsia="Times New Roman" w:hAnsi="Arial"/>
          <w:szCs w:val="24"/>
          <w:lang w:val="en-US"/>
        </w:rPr>
        <w:t xml:space="preserve">, 14. doi: </w:t>
      </w:r>
      <w:hyperlink r:id="rId34" w:tgtFrame="_blank" w:history="1">
        <w:r w:rsidRPr="0064533C">
          <w:rPr>
            <w:rStyle w:val="Hyperlink"/>
            <w:rFonts w:ascii="Arial" w:eastAsia="Times New Roman" w:hAnsi="Arial"/>
            <w:szCs w:val="24"/>
            <w:lang w:val="en-US"/>
          </w:rPr>
          <w:t>https://doi.org/10.3389/fpsyg.2023.1137012</w:t>
        </w:r>
      </w:hyperlink>
      <w:r w:rsidRPr="0064533C">
        <w:rPr>
          <w:rFonts w:ascii="Arial" w:eastAsia="Times New Roman" w:hAnsi="Arial"/>
          <w:szCs w:val="24"/>
          <w:lang w:val="en-US"/>
        </w:rPr>
        <w:t>.</w:t>
      </w:r>
    </w:p>
    <w:p w14:paraId="1F670B19"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Mayr, K., and Teller, C. (2023). Customer deviance in retailing: Managers’ emotional support and employees’ affective wellbeing. </w:t>
      </w:r>
      <w:r w:rsidRPr="0064533C">
        <w:rPr>
          <w:rFonts w:ascii="Arial" w:eastAsia="Times New Roman" w:hAnsi="Arial"/>
          <w:i/>
          <w:iCs/>
          <w:szCs w:val="24"/>
          <w:lang w:val="en-US"/>
        </w:rPr>
        <w:t>Journal of Retailing and Consumer Services</w:t>
      </w:r>
      <w:r w:rsidRPr="0064533C">
        <w:rPr>
          <w:rFonts w:ascii="Arial" w:eastAsia="Times New Roman" w:hAnsi="Arial"/>
          <w:szCs w:val="24"/>
          <w:lang w:val="en-US"/>
        </w:rPr>
        <w:t xml:space="preserve">, 72, 103291. doi: </w:t>
      </w:r>
      <w:hyperlink r:id="rId35" w:tgtFrame="_blank" w:history="1">
        <w:r w:rsidRPr="0064533C">
          <w:rPr>
            <w:rStyle w:val="Hyperlink"/>
            <w:rFonts w:ascii="Arial" w:eastAsia="Times New Roman" w:hAnsi="Arial"/>
            <w:szCs w:val="24"/>
            <w:lang w:val="en-US"/>
          </w:rPr>
          <w:t>https://doi.org/10.1016/j.jretconser.2023.103291</w:t>
        </w:r>
      </w:hyperlink>
      <w:r w:rsidRPr="0064533C">
        <w:rPr>
          <w:rFonts w:ascii="Arial" w:eastAsia="Times New Roman" w:hAnsi="Arial"/>
          <w:szCs w:val="24"/>
          <w:lang w:val="en-US"/>
        </w:rPr>
        <w:t>.</w:t>
      </w:r>
    </w:p>
    <w:p w14:paraId="4F217142"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Meyers, L. S., Gamst, G. and Guarino, A. J. (2016). </w:t>
      </w:r>
      <w:r w:rsidRPr="0064533C">
        <w:rPr>
          <w:rFonts w:ascii="Arial" w:eastAsia="Times New Roman" w:hAnsi="Arial"/>
          <w:i/>
          <w:iCs/>
          <w:szCs w:val="24"/>
          <w:lang w:val="en-US"/>
        </w:rPr>
        <w:t>Applied multivariate research: Design and interpretation</w:t>
      </w:r>
      <w:r w:rsidRPr="0064533C">
        <w:rPr>
          <w:rFonts w:ascii="Arial" w:eastAsia="Times New Roman" w:hAnsi="Arial"/>
          <w:szCs w:val="24"/>
          <w:lang w:val="en-US"/>
        </w:rPr>
        <w:t>. 3rd ed. Thousand Oaks, CA: Sage.</w:t>
      </w:r>
    </w:p>
    <w:p w14:paraId="5102CD23"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Muijs, D. (2010). </w:t>
      </w:r>
      <w:r w:rsidRPr="0064533C">
        <w:rPr>
          <w:rFonts w:ascii="Arial" w:eastAsia="Times New Roman" w:hAnsi="Arial"/>
          <w:i/>
          <w:iCs/>
          <w:szCs w:val="24"/>
          <w:lang w:val="en-US"/>
        </w:rPr>
        <w:t>Doing quantitative research in education with SPSS</w:t>
      </w:r>
      <w:r w:rsidRPr="0064533C">
        <w:rPr>
          <w:rFonts w:ascii="Arial" w:eastAsia="Times New Roman" w:hAnsi="Arial"/>
          <w:szCs w:val="24"/>
          <w:lang w:val="en-US"/>
        </w:rPr>
        <w:t>. 2nd ed. London: Sage.</w:t>
      </w:r>
    </w:p>
    <w:p w14:paraId="7384A196"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Myers, M. D. (2019). </w:t>
      </w:r>
      <w:r w:rsidRPr="0064533C">
        <w:rPr>
          <w:rFonts w:ascii="Arial" w:eastAsia="Times New Roman" w:hAnsi="Arial"/>
          <w:i/>
          <w:iCs/>
          <w:szCs w:val="24"/>
          <w:lang w:val="en-US"/>
        </w:rPr>
        <w:t>Qualitative research in business and management</w:t>
      </w:r>
      <w:r w:rsidRPr="0064533C">
        <w:rPr>
          <w:rFonts w:ascii="Arial" w:eastAsia="Times New Roman" w:hAnsi="Arial"/>
          <w:szCs w:val="24"/>
          <w:lang w:val="en-US"/>
        </w:rPr>
        <w:t>. 3rd ed. London: Sage.</w:t>
      </w:r>
    </w:p>
    <w:p w14:paraId="4237EA95"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Pienaar, J., Falkenberg, H., Ström, P., and Sverke, M. (2025). How do job demands and job resources relate to well-being, turnover intention and performance in retail? Insights </w:t>
      </w:r>
      <w:r w:rsidRPr="0064533C">
        <w:rPr>
          <w:rFonts w:ascii="Arial" w:eastAsia="Times New Roman" w:hAnsi="Arial"/>
          <w:szCs w:val="24"/>
          <w:lang w:val="en-US"/>
        </w:rPr>
        <w:lastRenderedPageBreak/>
        <w:t xml:space="preserve">from Swedish trade union members. </w:t>
      </w:r>
      <w:r w:rsidRPr="0064533C">
        <w:rPr>
          <w:rFonts w:ascii="Arial" w:eastAsia="Times New Roman" w:hAnsi="Arial"/>
          <w:i/>
          <w:iCs/>
          <w:szCs w:val="24"/>
          <w:lang w:val="en-US"/>
        </w:rPr>
        <w:t>The International Review of Retail Distribution and Consumer Research</w:t>
      </w:r>
      <w:r w:rsidRPr="0064533C">
        <w:rPr>
          <w:rFonts w:ascii="Arial" w:eastAsia="Times New Roman" w:hAnsi="Arial"/>
          <w:szCs w:val="24"/>
          <w:lang w:val="en-US"/>
        </w:rPr>
        <w:t xml:space="preserve">, 1. doi: </w:t>
      </w:r>
      <w:hyperlink r:id="rId36" w:tgtFrame="_blank" w:history="1">
        <w:r w:rsidRPr="0064533C">
          <w:rPr>
            <w:rStyle w:val="Hyperlink"/>
            <w:rFonts w:ascii="Arial" w:eastAsia="Times New Roman" w:hAnsi="Arial"/>
            <w:szCs w:val="24"/>
            <w:lang w:val="en-US"/>
          </w:rPr>
          <w:t>https://doi.org/10.1080/09593969.2025.2544929</w:t>
        </w:r>
      </w:hyperlink>
      <w:r w:rsidRPr="0064533C">
        <w:rPr>
          <w:rFonts w:ascii="Arial" w:eastAsia="Times New Roman" w:hAnsi="Arial"/>
          <w:szCs w:val="24"/>
          <w:lang w:val="en-US"/>
        </w:rPr>
        <w:t>.</w:t>
      </w:r>
    </w:p>
    <w:p w14:paraId="762F2FF7"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Plant, B., Leeuwen, M. L. van, Peters, P., and Heijden, B. van der. (2024). Train to sustain: a randomised controlled trial evaluation of a vitality training employing behaviour-change techniques. </w:t>
      </w:r>
      <w:r w:rsidRPr="0064533C">
        <w:rPr>
          <w:rFonts w:ascii="Arial" w:eastAsia="Times New Roman" w:hAnsi="Arial"/>
          <w:i/>
          <w:iCs/>
          <w:szCs w:val="24"/>
          <w:lang w:val="en-US"/>
        </w:rPr>
        <w:t>Frontiers in Psychology</w:t>
      </w:r>
      <w:r w:rsidRPr="0064533C">
        <w:rPr>
          <w:rFonts w:ascii="Arial" w:eastAsia="Times New Roman" w:hAnsi="Arial"/>
          <w:szCs w:val="24"/>
          <w:lang w:val="en-US"/>
        </w:rPr>
        <w:t xml:space="preserve">, 14. doi: </w:t>
      </w:r>
      <w:hyperlink r:id="rId37" w:tgtFrame="_blank" w:history="1">
        <w:r w:rsidRPr="0064533C">
          <w:rPr>
            <w:rStyle w:val="Hyperlink"/>
            <w:rFonts w:ascii="Arial" w:eastAsia="Times New Roman" w:hAnsi="Arial"/>
            <w:szCs w:val="24"/>
            <w:lang w:val="en-US"/>
          </w:rPr>
          <w:t>https://doi.org/10.3389/fpsyg.2023.1320826</w:t>
        </w:r>
      </w:hyperlink>
      <w:r w:rsidRPr="0064533C">
        <w:rPr>
          <w:rFonts w:ascii="Arial" w:eastAsia="Times New Roman" w:hAnsi="Arial"/>
          <w:szCs w:val="24"/>
          <w:lang w:val="en-US"/>
        </w:rPr>
        <w:t>.</w:t>
      </w:r>
    </w:p>
    <w:p w14:paraId="0B500EC5"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Podsakoff, P. M., MacKenzie, S. B., Lee, J. Y. and Podsakoff, N. P. (2003). Common method biases in behavioral research: A critical review of the literature and recommended remedies. </w:t>
      </w:r>
      <w:r w:rsidRPr="0064533C">
        <w:rPr>
          <w:rFonts w:ascii="Arial" w:eastAsia="Times New Roman" w:hAnsi="Arial"/>
          <w:i/>
          <w:iCs/>
          <w:szCs w:val="24"/>
          <w:lang w:val="en-US"/>
        </w:rPr>
        <w:t>Journal of Applied Psychology</w:t>
      </w:r>
      <w:r w:rsidRPr="0064533C">
        <w:rPr>
          <w:rFonts w:ascii="Arial" w:eastAsia="Times New Roman" w:hAnsi="Arial"/>
          <w:szCs w:val="24"/>
          <w:lang w:val="en-US"/>
        </w:rPr>
        <w:t xml:space="preserve">, 88(5), pp. 879-903. doi: </w:t>
      </w:r>
      <w:hyperlink r:id="rId38" w:tgtFrame="_blank" w:history="1">
        <w:r w:rsidRPr="0064533C">
          <w:rPr>
            <w:rStyle w:val="Hyperlink"/>
            <w:rFonts w:ascii="Arial" w:eastAsia="Times New Roman" w:hAnsi="Arial"/>
            <w:szCs w:val="24"/>
            <w:lang w:val="en-US"/>
          </w:rPr>
          <w:t>https://doi.org/10.1037/0021-9010.88.5.879</w:t>
        </w:r>
      </w:hyperlink>
      <w:r w:rsidRPr="0064533C">
        <w:rPr>
          <w:rFonts w:ascii="Arial" w:eastAsia="Times New Roman" w:hAnsi="Arial"/>
          <w:szCs w:val="24"/>
          <w:lang w:val="en-US"/>
        </w:rPr>
        <w:t>.</w:t>
      </w:r>
    </w:p>
    <w:p w14:paraId="19534EBF"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Quinlan, C., Babin, B., Carr, J. and Griffin, M. (2019). </w:t>
      </w:r>
      <w:r w:rsidRPr="0064533C">
        <w:rPr>
          <w:rFonts w:ascii="Arial" w:eastAsia="Times New Roman" w:hAnsi="Arial"/>
          <w:i/>
          <w:iCs/>
          <w:szCs w:val="24"/>
          <w:lang w:val="en-US"/>
        </w:rPr>
        <w:t>Business research methods</w:t>
      </w:r>
      <w:r w:rsidRPr="0064533C">
        <w:rPr>
          <w:rFonts w:ascii="Arial" w:eastAsia="Times New Roman" w:hAnsi="Arial"/>
          <w:szCs w:val="24"/>
          <w:lang w:val="en-US"/>
        </w:rPr>
        <w:t>. 2nd ed. Andover: Cengage Learning.</w:t>
      </w:r>
    </w:p>
    <w:p w14:paraId="2C00AB30"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Roesner, H., Neusius, T., Strametz, R., and Mira, J. J. (2024). Economic Value of Peer Support Program in German Hospitals. </w:t>
      </w:r>
      <w:r w:rsidRPr="0064533C">
        <w:rPr>
          <w:rFonts w:ascii="Arial" w:eastAsia="Times New Roman" w:hAnsi="Arial"/>
          <w:i/>
          <w:iCs/>
          <w:szCs w:val="24"/>
          <w:lang w:val="en-US"/>
        </w:rPr>
        <w:t>International Journal of Public Health</w:t>
      </w:r>
      <w:r w:rsidRPr="0064533C">
        <w:rPr>
          <w:rFonts w:ascii="Arial" w:eastAsia="Times New Roman" w:hAnsi="Arial"/>
          <w:szCs w:val="24"/>
          <w:lang w:val="en-US"/>
        </w:rPr>
        <w:t xml:space="preserve">, 69. doi: </w:t>
      </w:r>
      <w:hyperlink r:id="rId39" w:tgtFrame="_blank" w:history="1">
        <w:r w:rsidRPr="0064533C">
          <w:rPr>
            <w:rStyle w:val="Hyperlink"/>
            <w:rFonts w:ascii="Arial" w:eastAsia="Times New Roman" w:hAnsi="Arial"/>
            <w:szCs w:val="24"/>
            <w:lang w:val="en-US"/>
          </w:rPr>
          <w:t>https://doi.org/10.3389/ijph.2024.1607218</w:t>
        </w:r>
      </w:hyperlink>
      <w:r w:rsidRPr="0064533C">
        <w:rPr>
          <w:rFonts w:ascii="Arial" w:eastAsia="Times New Roman" w:hAnsi="Arial"/>
          <w:szCs w:val="24"/>
          <w:lang w:val="en-US"/>
        </w:rPr>
        <w:t>.</w:t>
      </w:r>
    </w:p>
    <w:p w14:paraId="30B413F3"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Sánchez</w:t>
      </w:r>
      <w:r w:rsidRPr="0064533C">
        <w:rPr>
          <w:rFonts w:ascii="Cambria Math" w:eastAsia="Times New Roman" w:hAnsi="Cambria Math" w:cs="Cambria Math"/>
          <w:szCs w:val="24"/>
          <w:lang w:val="en-US"/>
        </w:rPr>
        <w:t>‐</w:t>
      </w:r>
      <w:r w:rsidRPr="0064533C">
        <w:rPr>
          <w:rFonts w:ascii="Arial" w:eastAsia="Times New Roman" w:hAnsi="Arial"/>
          <w:szCs w:val="24"/>
          <w:lang w:val="en-US"/>
        </w:rPr>
        <w:t>Segura, M., Dugarte-Peña, G.-L., Medina</w:t>
      </w:r>
      <w:r w:rsidRPr="0064533C">
        <w:rPr>
          <w:rFonts w:ascii="Cambria Math" w:eastAsia="Times New Roman" w:hAnsi="Cambria Math" w:cs="Cambria Math"/>
          <w:szCs w:val="24"/>
          <w:lang w:val="en-US"/>
        </w:rPr>
        <w:t>‐</w:t>
      </w:r>
      <w:r w:rsidRPr="0064533C">
        <w:rPr>
          <w:rFonts w:ascii="Arial" w:eastAsia="Times New Roman" w:hAnsi="Arial"/>
          <w:szCs w:val="24"/>
          <w:lang w:val="en-US"/>
        </w:rPr>
        <w:t xml:space="preserve">Domínguez, F., Seco, A. de A., and Viso, R. M. (2023). Digital transformation in organizational health and safety to mitigate Burnout Syndrome. </w:t>
      </w:r>
      <w:r w:rsidRPr="0064533C">
        <w:rPr>
          <w:rFonts w:ascii="Arial" w:eastAsia="Times New Roman" w:hAnsi="Arial"/>
          <w:i/>
          <w:iCs/>
          <w:szCs w:val="24"/>
          <w:lang w:val="en-US"/>
        </w:rPr>
        <w:t>Frontiers in Public Health</w:t>
      </w:r>
      <w:r w:rsidRPr="0064533C">
        <w:rPr>
          <w:rFonts w:ascii="Arial" w:eastAsia="Times New Roman" w:hAnsi="Arial"/>
          <w:szCs w:val="24"/>
          <w:lang w:val="en-US"/>
        </w:rPr>
        <w:t xml:space="preserve">, 11. doi: </w:t>
      </w:r>
      <w:hyperlink r:id="rId40" w:tgtFrame="_blank" w:history="1">
        <w:r w:rsidRPr="0064533C">
          <w:rPr>
            <w:rStyle w:val="Hyperlink"/>
            <w:rFonts w:ascii="Arial" w:eastAsia="Times New Roman" w:hAnsi="Arial"/>
            <w:szCs w:val="24"/>
            <w:lang w:val="en-US"/>
          </w:rPr>
          <w:t>https://doi.org/10.3389/fpubh.2023.1080620</w:t>
        </w:r>
      </w:hyperlink>
      <w:r w:rsidRPr="0064533C">
        <w:rPr>
          <w:rFonts w:ascii="Arial" w:eastAsia="Times New Roman" w:hAnsi="Arial"/>
          <w:szCs w:val="24"/>
          <w:lang w:val="en-US"/>
        </w:rPr>
        <w:t>.</w:t>
      </w:r>
    </w:p>
    <w:p w14:paraId="076E1E02"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Saunders, M., Lewis, P. and Thornhill, A. (2019). </w:t>
      </w:r>
      <w:r w:rsidRPr="0064533C">
        <w:rPr>
          <w:rFonts w:ascii="Arial" w:eastAsia="Times New Roman" w:hAnsi="Arial"/>
          <w:i/>
          <w:iCs/>
          <w:szCs w:val="24"/>
          <w:lang w:val="en-US"/>
        </w:rPr>
        <w:t>Research methods for business students</w:t>
      </w:r>
      <w:r w:rsidRPr="0064533C">
        <w:rPr>
          <w:rFonts w:ascii="Arial" w:eastAsia="Times New Roman" w:hAnsi="Arial"/>
          <w:szCs w:val="24"/>
          <w:lang w:val="en-US"/>
        </w:rPr>
        <w:t>. 8th ed. Harlow: Pearson.</w:t>
      </w:r>
    </w:p>
    <w:p w14:paraId="2681E634"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Sekaran, U. and Bougie, R. (2019). </w:t>
      </w:r>
      <w:r w:rsidRPr="0064533C">
        <w:rPr>
          <w:rFonts w:ascii="Arial" w:eastAsia="Times New Roman" w:hAnsi="Arial"/>
          <w:i/>
          <w:iCs/>
          <w:szCs w:val="24"/>
          <w:lang w:val="en-US"/>
        </w:rPr>
        <w:t>Research methods for business: A skill building approach</w:t>
      </w:r>
      <w:r w:rsidRPr="0064533C">
        <w:rPr>
          <w:rFonts w:ascii="Arial" w:eastAsia="Times New Roman" w:hAnsi="Arial"/>
          <w:szCs w:val="24"/>
          <w:lang w:val="en-US"/>
        </w:rPr>
        <w:t>. 8th ed. Chichester: John Wiley and Sons.</w:t>
      </w:r>
    </w:p>
    <w:p w14:paraId="60692A90"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Spector, P. E. (2019). Do not cross me: Optimizing the use of cross-sectional designs. </w:t>
      </w:r>
      <w:r w:rsidRPr="0064533C">
        <w:rPr>
          <w:rFonts w:ascii="Arial" w:eastAsia="Times New Roman" w:hAnsi="Arial"/>
          <w:i/>
          <w:iCs/>
          <w:szCs w:val="24"/>
          <w:lang w:val="en-US"/>
        </w:rPr>
        <w:t>Journal of Business and Psychology</w:t>
      </w:r>
      <w:r w:rsidRPr="0064533C">
        <w:rPr>
          <w:rFonts w:ascii="Arial" w:eastAsia="Times New Roman" w:hAnsi="Arial"/>
          <w:szCs w:val="24"/>
          <w:lang w:val="en-US"/>
        </w:rPr>
        <w:t xml:space="preserve">, 34(2), pp. 125-137. doi: </w:t>
      </w:r>
      <w:hyperlink r:id="rId41" w:tgtFrame="_blank" w:history="1">
        <w:r w:rsidRPr="0064533C">
          <w:rPr>
            <w:rStyle w:val="Hyperlink"/>
            <w:rFonts w:ascii="Arial" w:eastAsia="Times New Roman" w:hAnsi="Arial"/>
            <w:szCs w:val="24"/>
            <w:lang w:val="en-US"/>
          </w:rPr>
          <w:t>https://doi.org/10.1007/s10869-018-9613-8</w:t>
        </w:r>
      </w:hyperlink>
      <w:r w:rsidRPr="0064533C">
        <w:rPr>
          <w:rFonts w:ascii="Arial" w:eastAsia="Times New Roman" w:hAnsi="Arial"/>
          <w:szCs w:val="24"/>
          <w:lang w:val="en-US"/>
        </w:rPr>
        <w:t>.</w:t>
      </w:r>
    </w:p>
    <w:p w14:paraId="3D92AFB4"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lastRenderedPageBreak/>
        <w:t xml:space="preserve">Taherdoost, H. (2016). Sampling methods in research methodology: How to choose a sampling technique for research. </w:t>
      </w:r>
      <w:r w:rsidRPr="0064533C">
        <w:rPr>
          <w:rFonts w:ascii="Arial" w:eastAsia="Times New Roman" w:hAnsi="Arial"/>
          <w:i/>
          <w:iCs/>
          <w:szCs w:val="24"/>
          <w:lang w:val="en-US"/>
        </w:rPr>
        <w:t>International Journal of Academic Research in Management</w:t>
      </w:r>
      <w:r w:rsidRPr="0064533C">
        <w:rPr>
          <w:rFonts w:ascii="Arial" w:eastAsia="Times New Roman" w:hAnsi="Arial"/>
          <w:szCs w:val="24"/>
          <w:lang w:val="en-US"/>
        </w:rPr>
        <w:t xml:space="preserve">, 5(2), pp. 18-27. doi: </w:t>
      </w:r>
      <w:hyperlink r:id="rId42" w:tgtFrame="_blank" w:history="1">
        <w:r w:rsidRPr="0064533C">
          <w:rPr>
            <w:rStyle w:val="Hyperlink"/>
            <w:rFonts w:ascii="Arial" w:eastAsia="Times New Roman" w:hAnsi="Arial"/>
            <w:szCs w:val="24"/>
            <w:lang w:val="en-US"/>
          </w:rPr>
          <w:t>https://doi.org/10.2139/ssrn.3205035</w:t>
        </w:r>
      </w:hyperlink>
      <w:r w:rsidRPr="0064533C">
        <w:rPr>
          <w:rFonts w:ascii="Arial" w:eastAsia="Times New Roman" w:hAnsi="Arial"/>
          <w:szCs w:val="24"/>
          <w:lang w:val="en-US"/>
        </w:rPr>
        <w:t>.</w:t>
      </w:r>
    </w:p>
    <w:p w14:paraId="3F6B5A9E"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Tavakol, M. and Dennick, R. (2011). Making sense of Cronbach's alpha. </w:t>
      </w:r>
      <w:r w:rsidRPr="0064533C">
        <w:rPr>
          <w:rFonts w:ascii="Arial" w:eastAsia="Times New Roman" w:hAnsi="Arial"/>
          <w:i/>
          <w:iCs/>
          <w:szCs w:val="24"/>
          <w:lang w:val="en-US"/>
        </w:rPr>
        <w:t>International Journal of Medical Education</w:t>
      </w:r>
      <w:r w:rsidRPr="0064533C">
        <w:rPr>
          <w:rFonts w:ascii="Arial" w:eastAsia="Times New Roman" w:hAnsi="Arial"/>
          <w:szCs w:val="24"/>
          <w:lang w:val="en-US"/>
        </w:rPr>
        <w:t xml:space="preserve">, 2, pp. 53-55. doi: </w:t>
      </w:r>
      <w:hyperlink r:id="rId43" w:tgtFrame="_blank" w:history="1">
        <w:r w:rsidRPr="0064533C">
          <w:rPr>
            <w:rStyle w:val="Hyperlink"/>
            <w:rFonts w:ascii="Arial" w:eastAsia="Times New Roman" w:hAnsi="Arial"/>
            <w:szCs w:val="24"/>
            <w:lang w:val="en-US"/>
          </w:rPr>
          <w:t>https://doi.org/10.5116/ijme.4dfb.8dfd</w:t>
        </w:r>
      </w:hyperlink>
      <w:r w:rsidRPr="0064533C">
        <w:rPr>
          <w:rFonts w:ascii="Arial" w:eastAsia="Times New Roman" w:hAnsi="Arial"/>
          <w:szCs w:val="24"/>
          <w:lang w:val="en-US"/>
        </w:rPr>
        <w:t>.</w:t>
      </w:r>
    </w:p>
    <w:p w14:paraId="14802B27"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Thomas, G. (2017). </w:t>
      </w:r>
      <w:r w:rsidRPr="0064533C">
        <w:rPr>
          <w:rFonts w:ascii="Arial" w:eastAsia="Times New Roman" w:hAnsi="Arial"/>
          <w:i/>
          <w:iCs/>
          <w:szCs w:val="24"/>
          <w:lang w:val="en-US"/>
        </w:rPr>
        <w:t>How to do your research project: A guide for students</w:t>
      </w:r>
      <w:r w:rsidRPr="0064533C">
        <w:rPr>
          <w:rFonts w:ascii="Arial" w:eastAsia="Times New Roman" w:hAnsi="Arial"/>
          <w:szCs w:val="24"/>
          <w:lang w:val="en-US"/>
        </w:rPr>
        <w:t>. 3rd ed. London: Sage.</w:t>
      </w:r>
    </w:p>
    <w:p w14:paraId="14044326"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Tsantila, F., Coppens, E., Witte, H. D., Arensman, E., Amann, B. L., Pashoja, A. C., Corcoran, P., Cresswell</w:t>
      </w:r>
      <w:r w:rsidRPr="0064533C">
        <w:rPr>
          <w:rFonts w:ascii="Cambria Math" w:eastAsia="Times New Roman" w:hAnsi="Cambria Math" w:cs="Cambria Math"/>
          <w:szCs w:val="24"/>
          <w:lang w:val="en-US"/>
        </w:rPr>
        <w:t>‐</w:t>
      </w:r>
      <w:r w:rsidRPr="0064533C">
        <w:rPr>
          <w:rFonts w:ascii="Arial" w:eastAsia="Times New Roman" w:hAnsi="Arial"/>
          <w:szCs w:val="24"/>
          <w:lang w:val="en-US"/>
        </w:rPr>
        <w:t xml:space="preserve">Smith, J., Cully, G., Tóth, M. D., Greiner, B. A., Griffin, E., Hegerl, U., Holland, C. K., Leduc, C., Leduc, M., Dhálaigh, D. N., O’Brien, C., Paterson, C., … Zsák, É. (2023). Outcome assessment of a complex mental health intervention in the workplace. Results from the MENTUPP pilot study. </w:t>
      </w:r>
      <w:r w:rsidRPr="0064533C">
        <w:rPr>
          <w:rFonts w:ascii="Arial" w:eastAsia="Times New Roman" w:hAnsi="Arial"/>
          <w:i/>
          <w:iCs/>
          <w:szCs w:val="24"/>
          <w:lang w:val="en-US"/>
        </w:rPr>
        <w:t>International Archives of Occupational and Environmental Health</w:t>
      </w:r>
      <w:r w:rsidRPr="0064533C">
        <w:rPr>
          <w:rFonts w:ascii="Arial" w:eastAsia="Times New Roman" w:hAnsi="Arial"/>
          <w:szCs w:val="24"/>
          <w:lang w:val="en-US"/>
        </w:rPr>
        <w:t xml:space="preserve">, 96(8), p. 1149. doi: </w:t>
      </w:r>
      <w:hyperlink r:id="rId44" w:tgtFrame="_blank" w:history="1">
        <w:r w:rsidRPr="0064533C">
          <w:rPr>
            <w:rStyle w:val="Hyperlink"/>
            <w:rFonts w:ascii="Arial" w:eastAsia="Times New Roman" w:hAnsi="Arial"/>
            <w:szCs w:val="24"/>
            <w:lang w:val="en-US"/>
          </w:rPr>
          <w:t>https://doi.org/10.1007/s00420-023-01996-3</w:t>
        </w:r>
      </w:hyperlink>
      <w:r w:rsidRPr="0064533C">
        <w:rPr>
          <w:rFonts w:ascii="Arial" w:eastAsia="Times New Roman" w:hAnsi="Arial"/>
          <w:szCs w:val="24"/>
          <w:lang w:val="en-US"/>
        </w:rPr>
        <w:t>.</w:t>
      </w:r>
    </w:p>
    <w:p w14:paraId="0290C354"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Varga, S., Mistry, T. G., Ali, F., and Çobanoğlu, C. (2021). Employee perceptions of wellness programs in the hospitality industry. </w:t>
      </w:r>
      <w:r w:rsidRPr="0064533C">
        <w:rPr>
          <w:rFonts w:ascii="Arial" w:eastAsia="Times New Roman" w:hAnsi="Arial"/>
          <w:i/>
          <w:iCs/>
          <w:szCs w:val="24"/>
          <w:lang w:val="en-US"/>
        </w:rPr>
        <w:t>International Journal of Contemporary Hospitality Management</w:t>
      </w:r>
      <w:r w:rsidRPr="0064533C">
        <w:rPr>
          <w:rFonts w:ascii="Arial" w:eastAsia="Times New Roman" w:hAnsi="Arial"/>
          <w:szCs w:val="24"/>
          <w:lang w:val="en-US"/>
        </w:rPr>
        <w:t xml:space="preserve">, 33(10), p. 3331. doi: </w:t>
      </w:r>
      <w:hyperlink r:id="rId45" w:tgtFrame="_blank" w:history="1">
        <w:r w:rsidRPr="0064533C">
          <w:rPr>
            <w:rStyle w:val="Hyperlink"/>
            <w:rFonts w:ascii="Arial" w:eastAsia="Times New Roman" w:hAnsi="Arial"/>
            <w:szCs w:val="24"/>
            <w:lang w:val="en-US"/>
          </w:rPr>
          <w:t>https://doi.org/10.1108/ijchm-12-2020-1417</w:t>
        </w:r>
      </w:hyperlink>
      <w:r w:rsidRPr="0064533C">
        <w:rPr>
          <w:rFonts w:ascii="Arial" w:eastAsia="Times New Roman" w:hAnsi="Arial"/>
          <w:szCs w:val="24"/>
          <w:lang w:val="en-US"/>
        </w:rPr>
        <w:t>.</w:t>
      </w:r>
    </w:p>
    <w:p w14:paraId="06A21BAD"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Wallace, E., and Coughlan, J. (2022). Burnout and counterproductive workplace behaviours among frontline hospitality employees: the effect of perceived contract precarity. </w:t>
      </w:r>
      <w:r w:rsidRPr="0064533C">
        <w:rPr>
          <w:rFonts w:ascii="Arial" w:eastAsia="Times New Roman" w:hAnsi="Arial"/>
          <w:i/>
          <w:iCs/>
          <w:szCs w:val="24"/>
          <w:lang w:val="en-US"/>
        </w:rPr>
        <w:t>International Journal of Contemporary Hospitality Management</w:t>
      </w:r>
      <w:r w:rsidRPr="0064533C">
        <w:rPr>
          <w:rFonts w:ascii="Arial" w:eastAsia="Times New Roman" w:hAnsi="Arial"/>
          <w:szCs w:val="24"/>
          <w:lang w:val="en-US"/>
        </w:rPr>
        <w:t xml:space="preserve">, 35(2), p. 451. doi: </w:t>
      </w:r>
      <w:hyperlink r:id="rId46" w:tgtFrame="_blank" w:history="1">
        <w:r w:rsidRPr="0064533C">
          <w:rPr>
            <w:rStyle w:val="Hyperlink"/>
            <w:rFonts w:ascii="Arial" w:eastAsia="Times New Roman" w:hAnsi="Arial"/>
            <w:szCs w:val="24"/>
            <w:lang w:val="en-US"/>
          </w:rPr>
          <w:t>https://doi.org/10.1108/ijchm-02-2022-0195</w:t>
        </w:r>
      </w:hyperlink>
      <w:r w:rsidRPr="0064533C">
        <w:rPr>
          <w:rFonts w:ascii="Arial" w:eastAsia="Times New Roman" w:hAnsi="Arial"/>
          <w:szCs w:val="24"/>
          <w:lang w:val="en-US"/>
        </w:rPr>
        <w:t>.</w:t>
      </w:r>
    </w:p>
    <w:p w14:paraId="140C6B22"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Wandelt, S., and Wang, K. (2024). Towards solving the airport ground workforce dilemma: A literature review on hiring, scheduling, retention, and digitalization in the airport industry. </w:t>
      </w:r>
      <w:r w:rsidRPr="0064533C">
        <w:rPr>
          <w:rFonts w:ascii="Arial" w:eastAsia="Times New Roman" w:hAnsi="Arial"/>
          <w:i/>
          <w:iCs/>
          <w:szCs w:val="24"/>
          <w:lang w:val="en-US"/>
        </w:rPr>
        <w:t>Journal of the Air Transport Research Society</w:t>
      </w:r>
      <w:r w:rsidRPr="0064533C">
        <w:rPr>
          <w:rFonts w:ascii="Arial" w:eastAsia="Times New Roman" w:hAnsi="Arial"/>
          <w:szCs w:val="24"/>
          <w:lang w:val="en-US"/>
        </w:rPr>
        <w:t xml:space="preserve">, 2, 100004. doi: </w:t>
      </w:r>
      <w:hyperlink r:id="rId47" w:tgtFrame="_blank" w:history="1">
        <w:r w:rsidRPr="0064533C">
          <w:rPr>
            <w:rStyle w:val="Hyperlink"/>
            <w:rFonts w:ascii="Arial" w:eastAsia="Times New Roman" w:hAnsi="Arial"/>
            <w:szCs w:val="24"/>
            <w:lang w:val="en-US"/>
          </w:rPr>
          <w:t>https://doi.org/10.1016/j.jatrs.2024.100004</w:t>
        </w:r>
      </w:hyperlink>
      <w:r w:rsidRPr="0064533C">
        <w:rPr>
          <w:rFonts w:ascii="Arial" w:eastAsia="Times New Roman" w:hAnsi="Arial"/>
          <w:szCs w:val="24"/>
          <w:lang w:val="en-US"/>
        </w:rPr>
        <w:t>.</w:t>
      </w:r>
    </w:p>
    <w:p w14:paraId="3B76B310"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lastRenderedPageBreak/>
        <w:t xml:space="preserve">Wiles, R., Crow, G., Heath, S. and Charles, V. (2008). The management of confidentiality and anonymity in social research. </w:t>
      </w:r>
      <w:r w:rsidRPr="0064533C">
        <w:rPr>
          <w:rFonts w:ascii="Arial" w:eastAsia="Times New Roman" w:hAnsi="Arial"/>
          <w:i/>
          <w:iCs/>
          <w:szCs w:val="24"/>
          <w:lang w:val="en-US"/>
        </w:rPr>
        <w:t>International Journal of Social Research Methodology</w:t>
      </w:r>
      <w:r w:rsidRPr="0064533C">
        <w:rPr>
          <w:rFonts w:ascii="Arial" w:eastAsia="Times New Roman" w:hAnsi="Arial"/>
          <w:szCs w:val="24"/>
          <w:lang w:val="en-US"/>
        </w:rPr>
        <w:t xml:space="preserve">, 11(5), pp. 417-428. doi: </w:t>
      </w:r>
      <w:hyperlink r:id="rId48" w:tgtFrame="_blank" w:history="1">
        <w:r w:rsidRPr="0064533C">
          <w:rPr>
            <w:rStyle w:val="Hyperlink"/>
            <w:rFonts w:ascii="Arial" w:eastAsia="Times New Roman" w:hAnsi="Arial"/>
            <w:szCs w:val="24"/>
            <w:lang w:val="en-US"/>
          </w:rPr>
          <w:t>https://doi.org/10.1080/13645570701622231</w:t>
        </w:r>
      </w:hyperlink>
      <w:r w:rsidRPr="0064533C">
        <w:rPr>
          <w:rFonts w:ascii="Arial" w:eastAsia="Times New Roman" w:hAnsi="Arial"/>
          <w:szCs w:val="24"/>
          <w:lang w:val="en-US"/>
        </w:rPr>
        <w:t>.</w:t>
      </w:r>
    </w:p>
    <w:p w14:paraId="53C02E7C"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Willems, K., Verhulst, N., Gauquier, L. D., and Brengman, M. (2022). Frontline employee expectations on working with physical robots in retailing. </w:t>
      </w:r>
      <w:r w:rsidRPr="0064533C">
        <w:rPr>
          <w:rFonts w:ascii="Arial" w:eastAsia="Times New Roman" w:hAnsi="Arial"/>
          <w:i/>
          <w:iCs/>
          <w:szCs w:val="24"/>
          <w:lang w:val="en-US"/>
        </w:rPr>
        <w:t>Journal of Service Management</w:t>
      </w:r>
      <w:r w:rsidRPr="0064533C">
        <w:rPr>
          <w:rFonts w:ascii="Arial" w:eastAsia="Times New Roman" w:hAnsi="Arial"/>
          <w:szCs w:val="24"/>
          <w:lang w:val="en-US"/>
        </w:rPr>
        <w:t xml:space="preserve">, 34(3), p. 467. doi: </w:t>
      </w:r>
      <w:hyperlink r:id="rId49" w:tgtFrame="_blank" w:history="1">
        <w:r w:rsidRPr="0064533C">
          <w:rPr>
            <w:rStyle w:val="Hyperlink"/>
            <w:rFonts w:ascii="Arial" w:eastAsia="Times New Roman" w:hAnsi="Arial"/>
            <w:szCs w:val="24"/>
            <w:lang w:val="en-US"/>
          </w:rPr>
          <w:t>https://doi.org/10.1108/josm-09-2020-0340</w:t>
        </w:r>
      </w:hyperlink>
      <w:r w:rsidRPr="0064533C">
        <w:rPr>
          <w:rFonts w:ascii="Arial" w:eastAsia="Times New Roman" w:hAnsi="Arial"/>
          <w:szCs w:val="24"/>
          <w:lang w:val="en-US"/>
        </w:rPr>
        <w:t>.</w:t>
      </w:r>
    </w:p>
    <w:p w14:paraId="0EC44017"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Yilmaz, K. (2013). Comparison of quantitative and qualitative research traditions: Epistemological, theoretical, and methodological differences. </w:t>
      </w:r>
      <w:r w:rsidRPr="0064533C">
        <w:rPr>
          <w:rFonts w:ascii="Arial" w:eastAsia="Times New Roman" w:hAnsi="Arial"/>
          <w:i/>
          <w:iCs/>
          <w:szCs w:val="24"/>
          <w:lang w:val="en-US"/>
        </w:rPr>
        <w:t>European Journal of Education</w:t>
      </w:r>
      <w:r w:rsidRPr="0064533C">
        <w:rPr>
          <w:rFonts w:ascii="Arial" w:eastAsia="Times New Roman" w:hAnsi="Arial"/>
          <w:szCs w:val="24"/>
          <w:lang w:val="en-US"/>
        </w:rPr>
        <w:t xml:space="preserve">, 48(2), pp. 311-325. doi: </w:t>
      </w:r>
      <w:hyperlink r:id="rId50" w:tgtFrame="_blank" w:history="1">
        <w:r w:rsidRPr="0064533C">
          <w:rPr>
            <w:rStyle w:val="Hyperlink"/>
            <w:rFonts w:ascii="Arial" w:eastAsia="Times New Roman" w:hAnsi="Arial"/>
            <w:szCs w:val="24"/>
            <w:lang w:val="en-US"/>
          </w:rPr>
          <w:t>https://doi.org/10.1111/ejed.12014</w:t>
        </w:r>
      </w:hyperlink>
      <w:r w:rsidRPr="0064533C">
        <w:rPr>
          <w:rFonts w:ascii="Arial" w:eastAsia="Times New Roman" w:hAnsi="Arial"/>
          <w:szCs w:val="24"/>
          <w:lang w:val="en-US"/>
        </w:rPr>
        <w:t>.</w:t>
      </w:r>
    </w:p>
    <w:p w14:paraId="19DB5B32"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Zhai, X., Rehman, S., Addas, A., Liu, Q., Rehman, E., and Khan, M. N. (2025). Emotional labor and empathic concern as predictors of exhaustion and disengagement in college teachers. </w:t>
      </w:r>
      <w:r w:rsidRPr="0064533C">
        <w:rPr>
          <w:rFonts w:ascii="Arial" w:eastAsia="Times New Roman" w:hAnsi="Arial"/>
          <w:i/>
          <w:iCs/>
          <w:szCs w:val="24"/>
          <w:lang w:val="en-US"/>
        </w:rPr>
        <w:t>Scientific Reports</w:t>
      </w:r>
      <w:r w:rsidRPr="0064533C">
        <w:rPr>
          <w:rFonts w:ascii="Arial" w:eastAsia="Times New Roman" w:hAnsi="Arial"/>
          <w:szCs w:val="24"/>
          <w:lang w:val="en-US"/>
        </w:rPr>
        <w:t xml:space="preserve">, 15(1), p. 26281. doi: </w:t>
      </w:r>
      <w:hyperlink r:id="rId51" w:tgtFrame="_blank" w:history="1">
        <w:r w:rsidRPr="0064533C">
          <w:rPr>
            <w:rStyle w:val="Hyperlink"/>
            <w:rFonts w:ascii="Arial" w:eastAsia="Times New Roman" w:hAnsi="Arial"/>
            <w:szCs w:val="24"/>
            <w:lang w:val="en-US"/>
          </w:rPr>
          <w:t>https://doi.org/10.1038/s41598-025-11304-3</w:t>
        </w:r>
      </w:hyperlink>
      <w:r w:rsidRPr="0064533C">
        <w:rPr>
          <w:rFonts w:ascii="Arial" w:eastAsia="Times New Roman" w:hAnsi="Arial"/>
          <w:szCs w:val="24"/>
          <w:lang w:val="en-US"/>
        </w:rPr>
        <w:t>.</w:t>
      </w:r>
    </w:p>
    <w:p w14:paraId="0F46406B"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Zhang, Q., Dai, W., Chen, J., Gu, Y., and Zhao, Y. (2025). The ‘side effects’ of digitalization: A study on role overload and job burnout of employees. </w:t>
      </w:r>
      <w:r w:rsidRPr="0064533C">
        <w:rPr>
          <w:rFonts w:ascii="Arial" w:eastAsia="Times New Roman" w:hAnsi="Arial"/>
          <w:i/>
          <w:iCs/>
          <w:szCs w:val="24"/>
          <w:lang w:val="en-US"/>
        </w:rPr>
        <w:t>PLoS ONE</w:t>
      </w:r>
      <w:r w:rsidRPr="0064533C">
        <w:rPr>
          <w:rFonts w:ascii="Arial" w:eastAsia="Times New Roman" w:hAnsi="Arial"/>
          <w:szCs w:val="24"/>
          <w:lang w:val="en-US"/>
        </w:rPr>
        <w:t xml:space="preserve">, 20(4). doi: </w:t>
      </w:r>
      <w:hyperlink r:id="rId52" w:tgtFrame="_blank" w:history="1">
        <w:r w:rsidRPr="0064533C">
          <w:rPr>
            <w:rStyle w:val="Hyperlink"/>
            <w:rFonts w:ascii="Arial" w:eastAsia="Times New Roman" w:hAnsi="Arial"/>
            <w:szCs w:val="24"/>
            <w:lang w:val="en-US"/>
          </w:rPr>
          <w:t>https://doi.org/10.1371/journal.pone.0322112</w:t>
        </w:r>
      </w:hyperlink>
      <w:r w:rsidRPr="0064533C">
        <w:rPr>
          <w:rFonts w:ascii="Arial" w:eastAsia="Times New Roman" w:hAnsi="Arial"/>
          <w:szCs w:val="24"/>
          <w:lang w:val="en-US"/>
        </w:rPr>
        <w:t>.</w:t>
      </w:r>
    </w:p>
    <w:p w14:paraId="152205A4"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Zhou, S., Slemp, G. R., and Vella</w:t>
      </w:r>
      <w:r w:rsidRPr="0064533C">
        <w:rPr>
          <w:rFonts w:ascii="Cambria Math" w:eastAsia="Times New Roman" w:hAnsi="Cambria Math" w:cs="Cambria Math"/>
          <w:szCs w:val="24"/>
          <w:lang w:val="en-US"/>
        </w:rPr>
        <w:t>‐</w:t>
      </w:r>
      <w:r w:rsidRPr="0064533C">
        <w:rPr>
          <w:rFonts w:ascii="Arial" w:eastAsia="Times New Roman" w:hAnsi="Arial"/>
          <w:szCs w:val="24"/>
          <w:lang w:val="en-US"/>
        </w:rPr>
        <w:t xml:space="preserve">Brodrick, D. (2024). Factors Associated with Teacher Wellbeing: A Meta-Analysis. </w:t>
      </w:r>
      <w:r w:rsidRPr="0064533C">
        <w:rPr>
          <w:rFonts w:ascii="Arial" w:eastAsia="Times New Roman" w:hAnsi="Arial"/>
          <w:i/>
          <w:iCs/>
          <w:szCs w:val="24"/>
          <w:lang w:val="en-US"/>
        </w:rPr>
        <w:t>Educational Psychology Review</w:t>
      </w:r>
      <w:r w:rsidRPr="0064533C">
        <w:rPr>
          <w:rFonts w:ascii="Arial" w:eastAsia="Times New Roman" w:hAnsi="Arial"/>
          <w:szCs w:val="24"/>
          <w:lang w:val="en-US"/>
        </w:rPr>
        <w:t xml:space="preserve">, 36(2). doi: </w:t>
      </w:r>
      <w:hyperlink r:id="rId53" w:tgtFrame="_blank" w:history="1">
        <w:r w:rsidRPr="0064533C">
          <w:rPr>
            <w:rStyle w:val="Hyperlink"/>
            <w:rFonts w:ascii="Arial" w:eastAsia="Times New Roman" w:hAnsi="Arial"/>
            <w:szCs w:val="24"/>
            <w:lang w:val="en-US"/>
          </w:rPr>
          <w:t>https://doi.org/10.1007/s10648-024-09886-x</w:t>
        </w:r>
      </w:hyperlink>
      <w:r w:rsidRPr="0064533C">
        <w:rPr>
          <w:rFonts w:ascii="Arial" w:eastAsia="Times New Roman" w:hAnsi="Arial"/>
          <w:szCs w:val="24"/>
          <w:lang w:val="en-US"/>
        </w:rPr>
        <w:t>.</w:t>
      </w:r>
    </w:p>
    <w:p w14:paraId="553F23F7"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 xml:space="preserve">Zikmund, W. G., Babin, B. J., Carr, J. C. and Griffin, M. (2013). </w:t>
      </w:r>
      <w:r w:rsidRPr="0064533C">
        <w:rPr>
          <w:rFonts w:ascii="Arial" w:eastAsia="Times New Roman" w:hAnsi="Arial"/>
          <w:i/>
          <w:iCs/>
          <w:szCs w:val="24"/>
          <w:lang w:val="en-US"/>
        </w:rPr>
        <w:t>Business research methods</w:t>
      </w:r>
      <w:r w:rsidRPr="0064533C">
        <w:rPr>
          <w:rFonts w:ascii="Arial" w:eastAsia="Times New Roman" w:hAnsi="Arial"/>
          <w:szCs w:val="24"/>
          <w:lang w:val="en-US"/>
        </w:rPr>
        <w:t>. 9th ed. Mason, OH: Cengage Learning.</w:t>
      </w:r>
    </w:p>
    <w:p w14:paraId="7253AE31" w14:textId="77777777" w:rsidR="000014F0" w:rsidRPr="0064533C" w:rsidRDefault="000014F0" w:rsidP="000014F0">
      <w:pPr>
        <w:widowControl/>
        <w:spacing w:before="100" w:beforeAutospacing="1" w:after="100" w:afterAutospacing="1"/>
        <w:rPr>
          <w:rFonts w:ascii="Arial" w:eastAsia="Times New Roman" w:hAnsi="Arial"/>
          <w:szCs w:val="24"/>
          <w:lang w:val="en-US"/>
        </w:rPr>
      </w:pPr>
      <w:r w:rsidRPr="0064533C">
        <w:rPr>
          <w:rFonts w:ascii="Arial" w:eastAsia="Times New Roman" w:hAnsi="Arial"/>
          <w:szCs w:val="24"/>
          <w:lang w:val="en-US"/>
        </w:rPr>
        <w:t>Zoghbi</w:t>
      </w:r>
      <w:r w:rsidRPr="0064533C">
        <w:rPr>
          <w:rFonts w:ascii="Cambria Math" w:eastAsia="Times New Roman" w:hAnsi="Cambria Math" w:cs="Cambria Math"/>
          <w:szCs w:val="24"/>
          <w:lang w:val="en-US"/>
        </w:rPr>
        <w:t>‐</w:t>
      </w:r>
      <w:r w:rsidRPr="0064533C">
        <w:rPr>
          <w:rFonts w:ascii="Arial" w:eastAsia="Times New Roman" w:hAnsi="Arial"/>
          <w:szCs w:val="24"/>
          <w:lang w:val="en-US"/>
        </w:rPr>
        <w:t>Manrique</w:t>
      </w:r>
      <w:r w:rsidRPr="0064533C">
        <w:rPr>
          <w:rFonts w:ascii="Cambria Math" w:eastAsia="Times New Roman" w:hAnsi="Cambria Math" w:cs="Cambria Math"/>
          <w:szCs w:val="24"/>
          <w:lang w:val="en-US"/>
        </w:rPr>
        <w:t>‐</w:t>
      </w:r>
      <w:r w:rsidRPr="0064533C">
        <w:rPr>
          <w:rFonts w:ascii="Arial" w:eastAsia="Times New Roman" w:hAnsi="Arial"/>
          <w:szCs w:val="24"/>
          <w:lang w:val="en-US"/>
        </w:rPr>
        <w:t>de</w:t>
      </w:r>
      <w:r w:rsidRPr="0064533C">
        <w:rPr>
          <w:rFonts w:ascii="Cambria Math" w:eastAsia="Times New Roman" w:hAnsi="Cambria Math" w:cs="Cambria Math"/>
          <w:szCs w:val="24"/>
          <w:lang w:val="en-US"/>
        </w:rPr>
        <w:t>‐</w:t>
      </w:r>
      <w:r w:rsidRPr="0064533C">
        <w:rPr>
          <w:rFonts w:ascii="Arial" w:eastAsia="Times New Roman" w:hAnsi="Arial"/>
          <w:szCs w:val="24"/>
          <w:lang w:val="en-US"/>
        </w:rPr>
        <w:t>Lara, P., Viera</w:t>
      </w:r>
      <w:r w:rsidRPr="0064533C">
        <w:rPr>
          <w:rFonts w:ascii="Cambria Math" w:eastAsia="Times New Roman" w:hAnsi="Cambria Math" w:cs="Cambria Math"/>
          <w:szCs w:val="24"/>
          <w:lang w:val="en-US"/>
        </w:rPr>
        <w:t>‐</w:t>
      </w:r>
      <w:r w:rsidRPr="0064533C">
        <w:rPr>
          <w:rFonts w:ascii="Arial" w:eastAsia="Times New Roman" w:hAnsi="Arial"/>
          <w:szCs w:val="24"/>
          <w:lang w:val="en-US"/>
        </w:rPr>
        <w:t xml:space="preserve">Armas, M., and Blasio, G. de. (2019). Does supervisors’ mindfulness keep employees from engaging in cyberloafing out of compassion at work? </w:t>
      </w:r>
      <w:r w:rsidRPr="0064533C">
        <w:rPr>
          <w:rFonts w:ascii="Arial" w:eastAsia="Times New Roman" w:hAnsi="Arial"/>
          <w:i/>
          <w:iCs/>
          <w:szCs w:val="24"/>
          <w:lang w:val="en-US"/>
        </w:rPr>
        <w:t>Personnel Review</w:t>
      </w:r>
      <w:r w:rsidRPr="0064533C">
        <w:rPr>
          <w:rFonts w:ascii="Arial" w:eastAsia="Times New Roman" w:hAnsi="Arial"/>
          <w:szCs w:val="24"/>
          <w:lang w:val="en-US"/>
        </w:rPr>
        <w:t xml:space="preserve">, 49(2), p. 670. doi: </w:t>
      </w:r>
      <w:hyperlink r:id="rId54" w:tgtFrame="_blank" w:history="1">
        <w:r w:rsidRPr="0064533C">
          <w:rPr>
            <w:rStyle w:val="Hyperlink"/>
            <w:rFonts w:ascii="Arial" w:eastAsia="Times New Roman" w:hAnsi="Arial"/>
            <w:szCs w:val="24"/>
            <w:lang w:val="en-US"/>
          </w:rPr>
          <w:t>https://doi.org/10.1108/pr-12-2017-0384</w:t>
        </w:r>
      </w:hyperlink>
      <w:r w:rsidRPr="0064533C">
        <w:rPr>
          <w:rFonts w:ascii="Arial" w:eastAsia="Times New Roman" w:hAnsi="Arial"/>
          <w:szCs w:val="24"/>
          <w:lang w:val="en-US"/>
        </w:rPr>
        <w:t>.</w:t>
      </w:r>
    </w:p>
    <w:p w14:paraId="59EA3236" w14:textId="263467A3" w:rsidR="00DA1654" w:rsidRPr="0064533C" w:rsidRDefault="00DA1654" w:rsidP="000014F0">
      <w:pPr>
        <w:widowControl/>
        <w:spacing w:before="100" w:beforeAutospacing="1" w:after="100" w:afterAutospacing="1"/>
        <w:rPr>
          <w:rFonts w:ascii="Arial" w:eastAsia="Google Sans" w:hAnsi="Arial"/>
          <w:color w:val="1F1F1F"/>
        </w:rPr>
      </w:pPr>
    </w:p>
    <w:sectPr w:rsidR="00DA1654" w:rsidRPr="0064533C">
      <w:footerReference w:type="default" r:id="rId5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8BE5C" w14:textId="77777777" w:rsidR="00EC4C1C" w:rsidRDefault="00EC4C1C" w:rsidP="001D4272">
      <w:pPr>
        <w:spacing w:line="240" w:lineRule="auto"/>
      </w:pPr>
      <w:r>
        <w:separator/>
      </w:r>
    </w:p>
  </w:endnote>
  <w:endnote w:type="continuationSeparator" w:id="0">
    <w:p w14:paraId="13906FBE" w14:textId="77777777" w:rsidR="00EC4C1C" w:rsidRDefault="00EC4C1C" w:rsidP="001D42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56572235-5B4E-437E-B133-B16B7A60751A}"/>
    <w:embedItalic r:id="rId2" w:fontKey="{0ECBE4A6-ED86-4A60-9861-05CBB6214EF5}"/>
  </w:font>
  <w:font w:name="Georgia">
    <w:panose1 w:val="02040502050405020303"/>
    <w:charset w:val="00"/>
    <w:family w:val="roman"/>
    <w:pitch w:val="variable"/>
    <w:sig w:usb0="00000287" w:usb1="00000000" w:usb2="00000000" w:usb3="00000000" w:csb0="0000009F" w:csb1="00000000"/>
    <w:embedItalic r:id="rId3" w:fontKey="{EF9E3F3F-72E8-43D0-8BB4-61C14DED633A}"/>
  </w:font>
  <w:font w:name="Aptos">
    <w:charset w:val="00"/>
    <w:family w:val="swiss"/>
    <w:pitch w:val="variable"/>
    <w:sig w:usb0="20000287" w:usb1="00000003" w:usb2="00000000" w:usb3="00000000" w:csb0="0000019F" w:csb1="00000000"/>
    <w:embedRegular r:id="rId4" w:fontKey="{C9A44023-5F7F-47B0-AA76-560E95096894}"/>
  </w:font>
  <w:font w:name="Google Sans">
    <w:charset w:val="00"/>
    <w:family w:val="auto"/>
    <w:pitch w:val="default"/>
    <w:embedRegular r:id="rId5" w:fontKey="{6B96CDBB-3985-4FCE-B221-4B70417F35F7}"/>
    <w:embedBold r:id="rId6" w:fontKey="{D6B11992-A046-4CE1-96F5-A6F5391D9038}"/>
    <w:embedItalic r:id="rId7" w:fontKey="{277D0E87-0CB6-40B5-9712-F52F84ADEF7D}"/>
  </w:font>
  <w:font w:name="Cambria Math">
    <w:panose1 w:val="02040503050406030204"/>
    <w:charset w:val="00"/>
    <w:family w:val="roman"/>
    <w:pitch w:val="variable"/>
    <w:sig w:usb0="E00002FF" w:usb1="420024FF" w:usb2="00000000" w:usb3="00000000" w:csb0="0000019F" w:csb1="00000000"/>
    <w:embedRegular r:id="rId8" w:fontKey="{CBA96A9E-DE27-4198-996D-EA9A535BFA24}"/>
    <w:embedItalic r:id="rId9" w:fontKey="{EC2EC532-5667-44A2-84A3-C3B9B887CA0A}"/>
  </w:font>
  <w:font w:name="Cambria">
    <w:panose1 w:val="02040503050406030204"/>
    <w:charset w:val="00"/>
    <w:family w:val="roman"/>
    <w:pitch w:val="variable"/>
    <w:sig w:usb0="E00002FF" w:usb1="400004FF" w:usb2="00000000" w:usb3="00000000" w:csb0="0000019F" w:csb1="00000000"/>
    <w:embedRegular r:id="rId10" w:fontKey="{9ECA3ED0-9D98-433E-A31A-768612AF1F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4519316"/>
      <w:docPartObj>
        <w:docPartGallery w:val="Page Numbers (Bottom of Page)"/>
        <w:docPartUnique/>
      </w:docPartObj>
    </w:sdtPr>
    <w:sdtEndPr>
      <w:rPr>
        <w:noProof/>
      </w:rPr>
    </w:sdtEndPr>
    <w:sdtContent>
      <w:p w14:paraId="47820229" w14:textId="75F8B405" w:rsidR="001D4272" w:rsidRDefault="001D42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48E788" w14:textId="77777777" w:rsidR="001D4272" w:rsidRDefault="001D4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7831B" w14:textId="77777777" w:rsidR="00EC4C1C" w:rsidRDefault="00EC4C1C" w:rsidP="001D4272">
      <w:pPr>
        <w:spacing w:line="240" w:lineRule="auto"/>
      </w:pPr>
      <w:r>
        <w:separator/>
      </w:r>
    </w:p>
  </w:footnote>
  <w:footnote w:type="continuationSeparator" w:id="0">
    <w:p w14:paraId="0E81E32B" w14:textId="77777777" w:rsidR="00EC4C1C" w:rsidRDefault="00EC4C1C" w:rsidP="001D42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01BA"/>
    <w:multiLevelType w:val="multilevel"/>
    <w:tmpl w:val="C8785C42"/>
    <w:lvl w:ilvl="0">
      <w:start w:val="1"/>
      <w:numFmt w:val="bullet"/>
      <w:lvlText w:val=""/>
      <w:lvlJc w:val="left"/>
      <w:pPr>
        <w:ind w:left="840" w:hanging="360"/>
      </w:pPr>
      <w:rPr>
        <w:rFonts w:ascii="Symbol" w:hAnsi="Symbol"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4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0A117E9"/>
    <w:multiLevelType w:val="hybridMultilevel"/>
    <w:tmpl w:val="12826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E0B86"/>
    <w:multiLevelType w:val="multilevel"/>
    <w:tmpl w:val="A3BE62A6"/>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E461CFE"/>
    <w:multiLevelType w:val="multilevel"/>
    <w:tmpl w:val="D76842A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9485F53"/>
    <w:multiLevelType w:val="hybridMultilevel"/>
    <w:tmpl w:val="90CC6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480D8A"/>
    <w:multiLevelType w:val="multilevel"/>
    <w:tmpl w:val="266422EC"/>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449B2E72"/>
    <w:multiLevelType w:val="hybridMultilevel"/>
    <w:tmpl w:val="155A5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1A5093"/>
    <w:multiLevelType w:val="multilevel"/>
    <w:tmpl w:val="C83C2D58"/>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D750F9D"/>
    <w:multiLevelType w:val="multilevel"/>
    <w:tmpl w:val="9EAA6E46"/>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604E4ACD"/>
    <w:multiLevelType w:val="multilevel"/>
    <w:tmpl w:val="B900CD48"/>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66336E45"/>
    <w:multiLevelType w:val="multilevel"/>
    <w:tmpl w:val="4B0EBDC2"/>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67CC57E1"/>
    <w:multiLevelType w:val="multilevel"/>
    <w:tmpl w:val="18BE916A"/>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7F443817"/>
    <w:multiLevelType w:val="multilevel"/>
    <w:tmpl w:val="F440EBB2"/>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807555870">
    <w:abstractNumId w:val="5"/>
  </w:num>
  <w:num w:numId="2" w16cid:durableId="1748840064">
    <w:abstractNumId w:val="10"/>
  </w:num>
  <w:num w:numId="3" w16cid:durableId="390076400">
    <w:abstractNumId w:val="12"/>
  </w:num>
  <w:num w:numId="4" w16cid:durableId="401828024">
    <w:abstractNumId w:val="7"/>
  </w:num>
  <w:num w:numId="5" w16cid:durableId="756098984">
    <w:abstractNumId w:val="9"/>
  </w:num>
  <w:num w:numId="6" w16cid:durableId="1947928680">
    <w:abstractNumId w:val="2"/>
  </w:num>
  <w:num w:numId="7" w16cid:durableId="672223545">
    <w:abstractNumId w:val="3"/>
  </w:num>
  <w:num w:numId="8" w16cid:durableId="519972334">
    <w:abstractNumId w:val="11"/>
  </w:num>
  <w:num w:numId="9" w16cid:durableId="1701472877">
    <w:abstractNumId w:val="4"/>
  </w:num>
  <w:num w:numId="10" w16cid:durableId="1840272008">
    <w:abstractNumId w:val="0"/>
  </w:num>
  <w:num w:numId="11" w16cid:durableId="2055734225">
    <w:abstractNumId w:val="1"/>
  </w:num>
  <w:num w:numId="12" w16cid:durableId="191236918">
    <w:abstractNumId w:val="6"/>
  </w:num>
  <w:num w:numId="13" w16cid:durableId="286590694">
    <w:abstractNumId w:val="8"/>
  </w:num>
  <w:num w:numId="14" w16cid:durableId="2541752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54"/>
    <w:rsid w:val="000014F0"/>
    <w:rsid w:val="001D4272"/>
    <w:rsid w:val="002D5559"/>
    <w:rsid w:val="00303DAC"/>
    <w:rsid w:val="003E3228"/>
    <w:rsid w:val="003F6BBE"/>
    <w:rsid w:val="005C62D9"/>
    <w:rsid w:val="0064533C"/>
    <w:rsid w:val="00793EA0"/>
    <w:rsid w:val="007F0F1C"/>
    <w:rsid w:val="00804D47"/>
    <w:rsid w:val="008E3643"/>
    <w:rsid w:val="00920A8B"/>
    <w:rsid w:val="00920B7D"/>
    <w:rsid w:val="009C2F99"/>
    <w:rsid w:val="009C50FC"/>
    <w:rsid w:val="00A43232"/>
    <w:rsid w:val="00A51B44"/>
    <w:rsid w:val="00B46C31"/>
    <w:rsid w:val="00C53764"/>
    <w:rsid w:val="00CE479A"/>
    <w:rsid w:val="00D1167F"/>
    <w:rsid w:val="00D44CC1"/>
    <w:rsid w:val="00DA1654"/>
    <w:rsid w:val="00DD67AF"/>
    <w:rsid w:val="00E03F8B"/>
    <w:rsid w:val="00E30FDC"/>
    <w:rsid w:val="00E535A9"/>
    <w:rsid w:val="00EC4C1C"/>
    <w:rsid w:val="00EF1F53"/>
    <w:rsid w:val="00FB5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ED53"/>
  <w15:docId w15:val="{115B36BF-5248-4D6A-A1C7-E35CBFC5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79A"/>
    <w:pPr>
      <w:spacing w:line="360" w:lineRule="auto"/>
      <w:jc w:val="both"/>
    </w:pPr>
    <w:rPr>
      <w:rFonts w:ascii="Times New Roman" w:hAnsi="Times New Roman"/>
      <w:sz w:val="24"/>
      <w:lang w:val="en-GB"/>
    </w:rPr>
  </w:style>
  <w:style w:type="paragraph" w:styleId="Heading1">
    <w:name w:val="heading 1"/>
    <w:basedOn w:val="Normal"/>
    <w:next w:val="Normal"/>
    <w:autoRedefine/>
    <w:uiPriority w:val="9"/>
    <w:qFormat/>
    <w:rsid w:val="003F6BBE"/>
    <w:pPr>
      <w:numPr>
        <w:numId w:val="13"/>
      </w:numPr>
      <w:pBdr>
        <w:top w:val="nil"/>
        <w:left w:val="nil"/>
        <w:bottom w:val="nil"/>
        <w:right w:val="nil"/>
        <w:between w:val="nil"/>
      </w:pBdr>
      <w:spacing w:before="240" w:after="240"/>
      <w:outlineLvl w:val="0"/>
    </w:pPr>
    <w:rPr>
      <w:b/>
      <w:bCs/>
      <w:sz w:val="32"/>
      <w:szCs w:val="48"/>
    </w:rPr>
  </w:style>
  <w:style w:type="paragraph" w:styleId="Heading2">
    <w:name w:val="heading 2"/>
    <w:basedOn w:val="Normal"/>
    <w:next w:val="Normal"/>
    <w:autoRedefine/>
    <w:uiPriority w:val="9"/>
    <w:unhideWhenUsed/>
    <w:qFormat/>
    <w:rsid w:val="00CE479A"/>
    <w:pPr>
      <w:numPr>
        <w:ilvl w:val="1"/>
        <w:numId w:val="13"/>
      </w:numPr>
      <w:pBdr>
        <w:top w:val="nil"/>
        <w:left w:val="nil"/>
        <w:bottom w:val="nil"/>
        <w:right w:val="nil"/>
        <w:between w:val="nil"/>
      </w:pBdr>
      <w:spacing w:before="225" w:after="225"/>
      <w:outlineLvl w:val="1"/>
    </w:pPr>
    <w:rPr>
      <w:b/>
      <w:bCs/>
      <w:sz w:val="28"/>
      <w:szCs w:val="36"/>
    </w:rPr>
  </w:style>
  <w:style w:type="paragraph" w:styleId="Heading3">
    <w:name w:val="heading 3"/>
    <w:basedOn w:val="Normal"/>
    <w:next w:val="Normal"/>
    <w:autoRedefine/>
    <w:uiPriority w:val="9"/>
    <w:unhideWhenUsed/>
    <w:qFormat/>
    <w:rsid w:val="00CE479A"/>
    <w:pPr>
      <w:numPr>
        <w:ilvl w:val="2"/>
        <w:numId w:val="13"/>
      </w:numPr>
      <w:pBdr>
        <w:top w:val="nil"/>
        <w:left w:val="nil"/>
        <w:bottom w:val="nil"/>
        <w:right w:val="nil"/>
        <w:between w:val="nil"/>
      </w:pBdr>
      <w:spacing w:before="240" w:after="240"/>
      <w:outlineLvl w:val="2"/>
    </w:pPr>
    <w:rPr>
      <w:b/>
      <w:bCs/>
      <w:szCs w:val="28"/>
    </w:rPr>
  </w:style>
  <w:style w:type="paragraph" w:styleId="Heading4">
    <w:name w:val="heading 4"/>
    <w:basedOn w:val="Normal"/>
    <w:next w:val="Normal"/>
    <w:autoRedefine/>
    <w:uiPriority w:val="9"/>
    <w:unhideWhenUsed/>
    <w:qFormat/>
    <w:rsid w:val="00CE479A"/>
    <w:pPr>
      <w:numPr>
        <w:ilvl w:val="3"/>
        <w:numId w:val="13"/>
      </w:numPr>
      <w:pBdr>
        <w:top w:val="nil"/>
        <w:left w:val="nil"/>
        <w:bottom w:val="nil"/>
        <w:right w:val="nil"/>
        <w:between w:val="nil"/>
      </w:pBdr>
      <w:spacing w:before="255" w:after="255"/>
      <w:outlineLvl w:val="3"/>
    </w:pPr>
    <w:rPr>
      <w:b/>
      <w:bCs/>
      <w:i/>
      <w:szCs w:val="24"/>
    </w:rPr>
  </w:style>
  <w:style w:type="paragraph" w:styleId="Heading5">
    <w:name w:val="heading 5"/>
    <w:basedOn w:val="Normal"/>
    <w:next w:val="Normal"/>
    <w:uiPriority w:val="9"/>
    <w:semiHidden/>
    <w:unhideWhenUsed/>
    <w:qFormat/>
    <w:pPr>
      <w:numPr>
        <w:ilvl w:val="4"/>
        <w:numId w:val="13"/>
      </w:num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numPr>
        <w:ilvl w:val="5"/>
        <w:numId w:val="13"/>
      </w:numPr>
      <w:pBdr>
        <w:top w:val="nil"/>
        <w:left w:val="nil"/>
        <w:bottom w:val="nil"/>
        <w:right w:val="nil"/>
        <w:between w:val="nil"/>
      </w:pBdr>
      <w:spacing w:before="360" w:after="360"/>
      <w:outlineLvl w:val="5"/>
    </w:pPr>
    <w:rPr>
      <w:b/>
      <w:bCs/>
      <w:sz w:val="16"/>
      <w:szCs w:val="16"/>
    </w:rPr>
  </w:style>
  <w:style w:type="paragraph" w:styleId="Heading7">
    <w:name w:val="heading 7"/>
    <w:basedOn w:val="Normal"/>
    <w:next w:val="Normal"/>
    <w:link w:val="Heading7Char"/>
    <w:uiPriority w:val="9"/>
    <w:semiHidden/>
    <w:unhideWhenUsed/>
    <w:qFormat/>
    <w:rsid w:val="003F6BBE"/>
    <w:pPr>
      <w:keepNext/>
      <w:keepLines/>
      <w:numPr>
        <w:ilvl w:val="6"/>
        <w:numId w:val="1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F6BBE"/>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F6BBE"/>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Caption">
    <w:name w:val="caption"/>
    <w:basedOn w:val="Normal"/>
    <w:next w:val="Normal"/>
    <w:uiPriority w:val="35"/>
    <w:unhideWhenUsed/>
    <w:qFormat/>
    <w:rsid w:val="009C2F99"/>
    <w:pPr>
      <w:spacing w:after="200" w:line="240" w:lineRule="auto"/>
    </w:pPr>
    <w:rPr>
      <w:i/>
      <w:iCs/>
      <w:color w:val="1F497D" w:themeColor="text2"/>
      <w:sz w:val="18"/>
      <w:szCs w:val="18"/>
    </w:rPr>
  </w:style>
  <w:style w:type="paragraph" w:styleId="ListParagraph">
    <w:name w:val="List Paragraph"/>
    <w:basedOn w:val="Normal"/>
    <w:uiPriority w:val="34"/>
    <w:qFormat/>
    <w:rsid w:val="009C50FC"/>
    <w:pPr>
      <w:ind w:left="720"/>
      <w:contextualSpacing/>
    </w:pPr>
  </w:style>
  <w:style w:type="paragraph" w:styleId="Header">
    <w:name w:val="header"/>
    <w:basedOn w:val="Normal"/>
    <w:link w:val="HeaderChar"/>
    <w:uiPriority w:val="99"/>
    <w:unhideWhenUsed/>
    <w:rsid w:val="001D4272"/>
    <w:pPr>
      <w:tabs>
        <w:tab w:val="center" w:pos="4680"/>
        <w:tab w:val="right" w:pos="9360"/>
      </w:tabs>
      <w:spacing w:line="240" w:lineRule="auto"/>
    </w:pPr>
  </w:style>
  <w:style w:type="character" w:customStyle="1" w:styleId="HeaderChar">
    <w:name w:val="Header Char"/>
    <w:basedOn w:val="DefaultParagraphFont"/>
    <w:link w:val="Header"/>
    <w:uiPriority w:val="99"/>
    <w:rsid w:val="001D4272"/>
    <w:rPr>
      <w:rFonts w:ascii="Times New Roman" w:hAnsi="Times New Roman"/>
      <w:sz w:val="24"/>
      <w:lang w:val="en-GB"/>
    </w:rPr>
  </w:style>
  <w:style w:type="paragraph" w:styleId="Footer">
    <w:name w:val="footer"/>
    <w:basedOn w:val="Normal"/>
    <w:link w:val="FooterChar"/>
    <w:uiPriority w:val="99"/>
    <w:unhideWhenUsed/>
    <w:rsid w:val="001D4272"/>
    <w:pPr>
      <w:tabs>
        <w:tab w:val="center" w:pos="4680"/>
        <w:tab w:val="right" w:pos="9360"/>
      </w:tabs>
      <w:spacing w:line="240" w:lineRule="auto"/>
    </w:pPr>
  </w:style>
  <w:style w:type="character" w:customStyle="1" w:styleId="FooterChar">
    <w:name w:val="Footer Char"/>
    <w:basedOn w:val="DefaultParagraphFont"/>
    <w:link w:val="Footer"/>
    <w:uiPriority w:val="99"/>
    <w:rsid w:val="001D4272"/>
    <w:rPr>
      <w:rFonts w:ascii="Times New Roman" w:hAnsi="Times New Roman"/>
      <w:sz w:val="24"/>
      <w:lang w:val="en-GB"/>
    </w:rPr>
  </w:style>
  <w:style w:type="character" w:customStyle="1" w:styleId="TitleChar">
    <w:name w:val="Title Char"/>
    <w:basedOn w:val="DefaultParagraphFont"/>
    <w:link w:val="Title"/>
    <w:uiPriority w:val="10"/>
    <w:rsid w:val="008E3643"/>
    <w:rPr>
      <w:rFonts w:ascii="Times New Roman" w:hAnsi="Times New Roman"/>
      <w:b/>
      <w:bCs/>
      <w:sz w:val="72"/>
      <w:szCs w:val="72"/>
      <w:lang w:val="en-GB"/>
    </w:rPr>
  </w:style>
  <w:style w:type="paragraph" w:styleId="TOCHeading">
    <w:name w:val="TOC Heading"/>
    <w:basedOn w:val="Heading1"/>
    <w:next w:val="Normal"/>
    <w:uiPriority w:val="39"/>
    <w:unhideWhenUsed/>
    <w:qFormat/>
    <w:rsid w:val="008E3643"/>
    <w:pPr>
      <w:keepNext/>
      <w:keepLines/>
      <w:widowControl/>
      <w:pBdr>
        <w:top w:val="none" w:sz="0" w:space="0" w:color="auto"/>
        <w:left w:val="none" w:sz="0" w:space="0" w:color="auto"/>
        <w:bottom w:val="none" w:sz="0" w:space="0" w:color="auto"/>
        <w:right w:val="none" w:sz="0" w:space="0" w:color="auto"/>
        <w:between w:val="none" w:sz="0" w:space="0" w:color="auto"/>
      </w:pBdr>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2">
    <w:name w:val="toc 2"/>
    <w:basedOn w:val="Normal"/>
    <w:next w:val="Normal"/>
    <w:autoRedefine/>
    <w:uiPriority w:val="39"/>
    <w:unhideWhenUsed/>
    <w:rsid w:val="008E3643"/>
    <w:pPr>
      <w:spacing w:after="100"/>
      <w:ind w:left="240"/>
    </w:pPr>
  </w:style>
  <w:style w:type="paragraph" w:styleId="TOC1">
    <w:name w:val="toc 1"/>
    <w:basedOn w:val="Normal"/>
    <w:next w:val="Normal"/>
    <w:autoRedefine/>
    <w:uiPriority w:val="39"/>
    <w:unhideWhenUsed/>
    <w:rsid w:val="003F6BBE"/>
    <w:pPr>
      <w:tabs>
        <w:tab w:val="left" w:pos="480"/>
        <w:tab w:val="right" w:leader="dot" w:pos="9350"/>
      </w:tabs>
      <w:spacing w:after="100"/>
    </w:pPr>
  </w:style>
  <w:style w:type="paragraph" w:styleId="TOC3">
    <w:name w:val="toc 3"/>
    <w:basedOn w:val="Normal"/>
    <w:next w:val="Normal"/>
    <w:autoRedefine/>
    <w:uiPriority w:val="39"/>
    <w:unhideWhenUsed/>
    <w:rsid w:val="008E3643"/>
    <w:pPr>
      <w:spacing w:after="100"/>
      <w:ind w:left="480"/>
    </w:pPr>
  </w:style>
  <w:style w:type="character" w:styleId="Hyperlink">
    <w:name w:val="Hyperlink"/>
    <w:basedOn w:val="DefaultParagraphFont"/>
    <w:uiPriority w:val="99"/>
    <w:unhideWhenUsed/>
    <w:rsid w:val="008E3643"/>
    <w:rPr>
      <w:color w:val="0000FF" w:themeColor="hyperlink"/>
      <w:u w:val="single"/>
    </w:rPr>
  </w:style>
  <w:style w:type="character" w:styleId="UnresolvedMention">
    <w:name w:val="Unresolved Mention"/>
    <w:basedOn w:val="DefaultParagraphFont"/>
    <w:uiPriority w:val="99"/>
    <w:semiHidden/>
    <w:unhideWhenUsed/>
    <w:rsid w:val="000014F0"/>
    <w:rPr>
      <w:color w:val="605E5C"/>
      <w:shd w:val="clear" w:color="auto" w:fill="E1DFDD"/>
    </w:rPr>
  </w:style>
  <w:style w:type="character" w:customStyle="1" w:styleId="Heading7Char">
    <w:name w:val="Heading 7 Char"/>
    <w:basedOn w:val="DefaultParagraphFont"/>
    <w:link w:val="Heading7"/>
    <w:uiPriority w:val="9"/>
    <w:semiHidden/>
    <w:rsid w:val="003F6BBE"/>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3F6BBE"/>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3F6BBE"/>
    <w:rPr>
      <w:rFonts w:asciiTheme="majorHAnsi" w:eastAsiaTheme="majorEastAsia" w:hAnsiTheme="majorHAnsi" w:cstheme="majorBidi"/>
      <w:i/>
      <w:iCs/>
      <w:color w:val="272727" w:themeColor="text1" w:themeTint="D8"/>
      <w:sz w:val="21"/>
      <w:szCs w:val="21"/>
      <w:lang w:val="en-GB"/>
    </w:rPr>
  </w:style>
  <w:style w:type="paragraph" w:styleId="TableofFigures">
    <w:name w:val="table of figures"/>
    <w:basedOn w:val="Normal"/>
    <w:next w:val="Normal"/>
    <w:uiPriority w:val="99"/>
    <w:unhideWhenUsed/>
    <w:rsid w:val="003F6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37/ocp0000056" TargetMode="External"/><Relationship Id="rId18" Type="http://schemas.openxmlformats.org/officeDocument/2006/relationships/hyperlink" Target="https://www.google.com/search?q=https://doi.org/11648/j.ajtas.20160501.11" TargetMode="External"/><Relationship Id="rId26" Type="http://schemas.openxmlformats.org/officeDocument/2006/relationships/hyperlink" Target="https://doi.org/10.1371/journal.pone.0191332" TargetMode="External"/><Relationship Id="rId39" Type="http://schemas.openxmlformats.org/officeDocument/2006/relationships/hyperlink" Target="https://doi.org/10.3389/ijph.2024.1607218" TargetMode="External"/><Relationship Id="rId21" Type="http://schemas.openxmlformats.org/officeDocument/2006/relationships/hyperlink" Target="https://doi.org/10.1016/j.jik.2025.100844" TargetMode="External"/><Relationship Id="rId34" Type="http://schemas.openxmlformats.org/officeDocument/2006/relationships/hyperlink" Target="https://doi.org/10.3389/fpsyg.2023.1137012" TargetMode="External"/><Relationship Id="rId42" Type="http://schemas.openxmlformats.org/officeDocument/2006/relationships/hyperlink" Target="https://doi.org/10.2139/ssrn.3205035" TargetMode="External"/><Relationship Id="rId47" Type="http://schemas.openxmlformats.org/officeDocument/2006/relationships/hyperlink" Target="https://doi.org/10.1016/j.jatrs.2024.100004" TargetMode="External"/><Relationship Id="rId50" Type="http://schemas.openxmlformats.org/officeDocument/2006/relationships/hyperlink" Target="https://doi.org/10.1111/ejed.12014"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36/bmjopen-2022-071203" TargetMode="External"/><Relationship Id="rId29" Type="http://schemas.openxmlformats.org/officeDocument/2006/relationships/hyperlink" Target="https://doi.org/10.3390/admsci14060121" TargetMode="External"/><Relationship Id="rId11" Type="http://schemas.openxmlformats.org/officeDocument/2006/relationships/hyperlink" Target="https://doi.org/10.51594/ijarss.v5i10.635" TargetMode="External"/><Relationship Id="rId24" Type="http://schemas.openxmlformats.org/officeDocument/2006/relationships/hyperlink" Target="https://doi.org/10.1207/s15327906mbr2603_7" TargetMode="External"/><Relationship Id="rId32" Type="http://schemas.openxmlformats.org/officeDocument/2006/relationships/hyperlink" Target="https://doi.org/10.26668/businessreview/2023.v8i9.3556" TargetMode="External"/><Relationship Id="rId37" Type="http://schemas.openxmlformats.org/officeDocument/2006/relationships/hyperlink" Target="https://doi.org/10.3389/fpsyg.2023.1320826" TargetMode="External"/><Relationship Id="rId40" Type="http://schemas.openxmlformats.org/officeDocument/2006/relationships/hyperlink" Target="https://doi.org/10.3389/fpubh.2023.1080620" TargetMode="External"/><Relationship Id="rId45" Type="http://schemas.openxmlformats.org/officeDocument/2006/relationships/hyperlink" Target="https://doi.org/10.1108/ijchm-12-2020-1417" TargetMode="External"/><Relationship Id="rId53" Type="http://schemas.openxmlformats.org/officeDocument/2006/relationships/hyperlink" Target="https://doi.org/10.1007/s10648-024-09886-x" TargetMode="External"/><Relationship Id="rId5" Type="http://schemas.openxmlformats.org/officeDocument/2006/relationships/webSettings" Target="webSettings.xml"/><Relationship Id="rId19" Type="http://schemas.openxmlformats.org/officeDocument/2006/relationships/hyperlink" Target="https://doi.org/10.1080/09585192.2016.114678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2671-024-02375-w" TargetMode="External"/><Relationship Id="rId22" Type="http://schemas.openxmlformats.org/officeDocument/2006/relationships/hyperlink" Target="https://doi.org/10.3390/admsci13050121" TargetMode="External"/><Relationship Id="rId27" Type="http://schemas.openxmlformats.org/officeDocument/2006/relationships/hyperlink" Target="https://doi.org/10.3390/ijerph18115603" TargetMode="External"/><Relationship Id="rId30" Type="http://schemas.openxmlformats.org/officeDocument/2006/relationships/hyperlink" Target="https://doi.org/10.1038/sj.ebd.6400375" TargetMode="External"/><Relationship Id="rId35" Type="http://schemas.openxmlformats.org/officeDocument/2006/relationships/hyperlink" Target="https://doi.org/10.1016/j.jretconser.2023.103291" TargetMode="External"/><Relationship Id="rId43" Type="http://schemas.openxmlformats.org/officeDocument/2006/relationships/hyperlink" Target="https://doi.org/10.5116/ijme.4dfb.8dfd" TargetMode="External"/><Relationship Id="rId48" Type="http://schemas.openxmlformats.org/officeDocument/2006/relationships/hyperlink" Target="https://doi.org/10.1080/13645570701622231"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38/s41598-025-11304-3" TargetMode="External"/><Relationship Id="rId3" Type="http://schemas.openxmlformats.org/officeDocument/2006/relationships/styles" Target="styles.xml"/><Relationship Id="rId12" Type="http://schemas.openxmlformats.org/officeDocument/2006/relationships/hyperlink" Target="https://doi.org/10.5465/amp.24.2.48" TargetMode="External"/><Relationship Id="rId17" Type="http://schemas.openxmlformats.org/officeDocument/2006/relationships/hyperlink" Target="https://doi.org/10.1016/j.jbusres.2025.115296" TargetMode="External"/><Relationship Id="rId25" Type="http://schemas.openxmlformats.org/officeDocument/2006/relationships/hyperlink" Target="https://doi.org/10.1108/er-03-2021-0096" TargetMode="External"/><Relationship Id="rId33" Type="http://schemas.openxmlformats.org/officeDocument/2006/relationships/hyperlink" Target="https://doi.org/10.1146/annurev.psych.58.110405.085542" TargetMode="External"/><Relationship Id="rId38" Type="http://schemas.openxmlformats.org/officeDocument/2006/relationships/hyperlink" Target="https://doi.org/10.1037/0021-9010.88.5.879" TargetMode="External"/><Relationship Id="rId46" Type="http://schemas.openxmlformats.org/officeDocument/2006/relationships/hyperlink" Target="https://doi.org/10.1108/ijchm-02-2022-0195" TargetMode="External"/><Relationship Id="rId20" Type="http://schemas.openxmlformats.org/officeDocument/2006/relationships/hyperlink" Target="https://doi.org/10.1111/1467-8551.12565" TargetMode="External"/><Relationship Id="rId41" Type="http://schemas.openxmlformats.org/officeDocument/2006/relationships/hyperlink" Target="https://www.google.com/search?q=https://doi.org/10.1007/s10869-018-9613-8" TargetMode="External"/><Relationship Id="rId54" Type="http://schemas.openxmlformats.org/officeDocument/2006/relationships/hyperlink" Target="https://doi.org/10.1108/pr-12-2017-038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ijhm.2025.104440" TargetMode="External"/><Relationship Id="rId23" Type="http://schemas.openxmlformats.org/officeDocument/2006/relationships/hyperlink" Target="https://doi.org/10.5093/jwop2022a15" TargetMode="External"/><Relationship Id="rId28" Type="http://schemas.openxmlformats.org/officeDocument/2006/relationships/hyperlink" Target="https://doi.org/10.1186/s12912-025-03721-6" TargetMode="External"/><Relationship Id="rId36" Type="http://schemas.openxmlformats.org/officeDocument/2006/relationships/hyperlink" Target="https://doi.org/10.1080/09593969.2025.2544929" TargetMode="External"/><Relationship Id="rId49" Type="http://schemas.openxmlformats.org/officeDocument/2006/relationships/hyperlink" Target="https://doi.org/10.1108/josm-09-2020-0340"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doi.org/10.1016/j.ijhm.2025.104089" TargetMode="External"/><Relationship Id="rId44" Type="http://schemas.openxmlformats.org/officeDocument/2006/relationships/hyperlink" Target="https://doi.org/10.1007/s00420-023-01996-3" TargetMode="External"/><Relationship Id="rId52" Type="http://schemas.openxmlformats.org/officeDocument/2006/relationships/hyperlink" Target="https://doi.org/10.1371/journal.pone.0322112"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E06DA-B236-4ACF-842F-ED82C7D77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32</Pages>
  <Words>9427</Words>
  <Characters>53735</Characters>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2026-03-29T21:30:00Z</dcterms:created>
  <dcterms:modified xsi:type="dcterms:W3CDTF">2026-03-29T23:07:00Z</dcterms:modified>
</cp:coreProperties>
</file>