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D7176" w:rsidRDefault="00BD4FD5">
      <w:r>
        <w:t xml:space="preserve">The focus of this document report will be an extract from what has been deemed Hammurabi’s Law Code. The monument had been taken to Susa by the Elamite King </w:t>
      </w:r>
      <w:proofErr w:type="spellStart"/>
      <w:r>
        <w:t>Shutruk</w:t>
      </w:r>
      <w:proofErr w:type="spellEnd"/>
      <w:r>
        <w:t xml:space="preserve"> </w:t>
      </w:r>
      <w:proofErr w:type="spellStart"/>
      <w:r>
        <w:t>Nahhunte</w:t>
      </w:r>
      <w:proofErr w:type="spellEnd"/>
      <w:r>
        <w:t xml:space="preserve"> in the 12 cent</w:t>
      </w:r>
      <w:r w:rsidR="00E22BA5">
        <w:t>ury BC, and was uncovered there</w:t>
      </w:r>
      <w:r>
        <w:t xml:space="preserve"> in modern day Iran in the early twentieth </w:t>
      </w:r>
      <w:r w:rsidR="00134351">
        <w:t>century. The</w:t>
      </w:r>
      <w:r>
        <w:t xml:space="preserve"> Babylonian King Hammurabi ruled from around 1792 BC to 1750 BC according to an unknown author, these dates, however, have also been mentioned by Mario </w:t>
      </w:r>
      <w:proofErr w:type="spellStart"/>
      <w:r>
        <w:t>Liverani</w:t>
      </w:r>
      <w:proofErr w:type="spellEnd"/>
      <w:r>
        <w:t xml:space="preserve"> in 2014. Around 1780 BC Hammurabi had his code of laws inscribed on a “near-cylindrical basalt stele” (Gates, 2004: 61) which stands at 2.1 meters in height. Within the context of the time in which it was erected this stele does not “cover all areas of jurisprudence” (</w:t>
      </w:r>
      <w:proofErr w:type="spellStart"/>
      <w:r>
        <w:t>Leick</w:t>
      </w:r>
      <w:proofErr w:type="spellEnd"/>
      <w:r>
        <w:t>, 2007: 158), or even all areas of daily life during the reign of Hammurabi, meaning that it is no longer acceptable to id</w:t>
      </w:r>
      <w:r w:rsidR="00F50D36">
        <w:t xml:space="preserve">entify the stele as a Law Code, however throughout this report I will refer to it as thus for convenience sake. </w:t>
      </w:r>
      <w:r>
        <w:t>The laws that were inscribed on the stele were not a predetermined set of laws, but rather a case by case illustration “of how justly Babylonia was ruled under” (</w:t>
      </w:r>
      <w:proofErr w:type="spellStart"/>
      <w:r>
        <w:t>Liverani</w:t>
      </w:r>
      <w:proofErr w:type="spellEnd"/>
      <w:r>
        <w:t>, 2014: 247) Hammurabi. The codex Hammurabi is now thought of as a representation of “Hammurabi as a king of Justice, listing some legal decisions, without being a complete code of laws” (</w:t>
      </w:r>
      <w:proofErr w:type="spellStart"/>
      <w:r>
        <w:t>Leick</w:t>
      </w:r>
      <w:proofErr w:type="spellEnd"/>
      <w:r>
        <w:t xml:space="preserve">, 2007: 158, </w:t>
      </w:r>
      <w:proofErr w:type="spellStart"/>
      <w:r>
        <w:t>Bottéro</w:t>
      </w:r>
      <w:proofErr w:type="spellEnd"/>
      <w:r>
        <w:t xml:space="preserve"> 1992: 156-184). This is illustrated by the fact that within the prologue and epilogue of the monument Hammurabi states that he was chosen by the gods “to govern and to regulate the law” (</w:t>
      </w:r>
      <w:proofErr w:type="spellStart"/>
      <w:r>
        <w:t>Leick</w:t>
      </w:r>
      <w:proofErr w:type="spellEnd"/>
      <w:r>
        <w:t>, 2007: 158).</w:t>
      </w:r>
    </w:p>
    <w:p w:rsidR="00DD7176" w:rsidRDefault="00DD7176"/>
    <w:p w:rsidR="00DD7176" w:rsidRDefault="00BD4FD5">
      <w:r>
        <w:t xml:space="preserve">The extract from Hammurabi’s Law Code, which is a translated version of Law Code’s 137 to 152, that is the focus of this document report can be split into six separate sections. The first section </w:t>
      </w:r>
      <w:r w:rsidR="00134351">
        <w:t>encompasses</w:t>
      </w:r>
      <w:r>
        <w:t xml:space="preserve"> the first 4 laws which deal with the putting away of a woman. Law Code 137 details how a man can put away a woman, whether concubine or wife, that had </w:t>
      </w:r>
      <w:proofErr w:type="spellStart"/>
      <w:r>
        <w:t>bore</w:t>
      </w:r>
      <w:proofErr w:type="spellEnd"/>
      <w:r>
        <w:t xml:space="preserve"> him children. The way in which he could do this was to make sure that the children would be well provided for by giving the woman a “field, </w:t>
      </w:r>
      <w:r w:rsidR="00144EFC">
        <w:t>orchard, and property</w:t>
      </w:r>
      <w:r>
        <w:t>” (</w:t>
      </w:r>
      <w:proofErr w:type="spellStart"/>
      <w:r>
        <w:t>Stol</w:t>
      </w:r>
      <w:proofErr w:type="spellEnd"/>
      <w:r>
        <w:t>, Richardson and Richardson, 2016</w:t>
      </w:r>
      <w:r w:rsidR="00144EFC">
        <w:t>: 182</w:t>
      </w:r>
      <w:r>
        <w:t>), and also to return to the woman her dowry. This first Law Code also deals with inheritance, meaning that when the children were full grown they were to present their mother with what would equate to the amount a son would inherit from his father and then she would be free to marry a man of her choice. Laws 138 to 140 describe how much a man should pay a wife who had not given him children so that he could put her away. From these we can deduce that the woman's dowry is always repaid to her family if she is to be put away, but if there was no agreed marriage settlement, or bride price, then she was to be given either one mana of silver, or if he was a free man then only one third of that. The next section of laws include laws 141 to 143, which highlight what should be done in the cases of adultery. Law 141 documents what should be done if a wife commits adultery without cause, if the man divorces her she is to be given nothing, if he does not and the husband takes another wife she will remain a</w:t>
      </w:r>
      <w:r w:rsidR="00E22BA5">
        <w:t>s a maid-servant. The next two l</w:t>
      </w:r>
      <w:r>
        <w:t xml:space="preserve">aws could have been consulted if it had been the man that had been adulterous, then the women would receive her dowry and the couple would be divorced, however during this time if she had not been faithful </w:t>
      </w:r>
      <w:r w:rsidR="00134351">
        <w:t>as well</w:t>
      </w:r>
      <w:r>
        <w:t xml:space="preserve"> then she would </w:t>
      </w:r>
      <w:r w:rsidR="00134351">
        <w:t xml:space="preserve">be </w:t>
      </w:r>
      <w:r>
        <w:t>thrown into a river. The third section of the extract covers laws 144 to 147, and these laws would be considered in reference to disputes concerning concubines and maid servants and the bearing of children. These laws seem to illustrate how “a woman with children was well protected under Babylonian law” (</w:t>
      </w:r>
      <w:proofErr w:type="spellStart"/>
      <w:r>
        <w:t>Stol</w:t>
      </w:r>
      <w:proofErr w:type="spellEnd"/>
      <w:r>
        <w:t>, Richardson and Richardson, 2016</w:t>
      </w:r>
      <w:r w:rsidR="00144EFC">
        <w:t>: 182</w:t>
      </w:r>
      <w:r>
        <w:t>). Which we can see from the fact that if the maid-servant given to the husband by his wife had children then the husband could not bring in a concubine. This same maid-servant could one day have the same rank as her mistress and could not be sold for money. However</w:t>
      </w:r>
      <w:r w:rsidR="00CD6A92">
        <w:t>,</w:t>
      </w:r>
      <w:r>
        <w:t xml:space="preserve"> if the maid-servant did not bear children then she could be sold. Also if there was no maid-servant given and no children </w:t>
      </w:r>
      <w:r>
        <w:lastRenderedPageBreak/>
        <w:t xml:space="preserve">born then he could bring in a concubine although she would not have the same rank as his wife. The next two laws of the fourth section detail how to deal with the situation of a sick wife. The man may take another as his wife but he </w:t>
      </w:r>
      <w:r w:rsidR="00134351">
        <w:t>cannot</w:t>
      </w:r>
      <w:r>
        <w:t xml:space="preserve"> put away his first wife, however if she chooses to leave then her dowry will be returned to her and she will go. Again it seems that unless the wife is at fault, in the way of adultery, then she will always receive her dowry if she is to be put away. Law 150 is all that comprises of the fifth section of this extract of Hammurabi’s Law Code. This ‘law’ deals with matters of inheritance, in respect to when the husband dies first. If it was his will that his wife would inherit his estate then his sons cannot dispute this, even if this goes against the norm of Babylonian society were the sons would automatically inherit their father’s estate. However, this meant that it was then under the widows discretion to bequest the estate upon her death to any male relative of her choosing. From this law we can see that there is no mention of leaving the estate to a female relative, this could be interpreted to mean that if was not legally, or more to the point socially, acceptable that a female would have the authority to bequest such things to anyone she liked, even if a male would have this opport</w:t>
      </w:r>
      <w:r w:rsidR="00CD6A92">
        <w:t>unity. The last two laws, 151 and</w:t>
      </w:r>
      <w:r>
        <w:t xml:space="preserve"> 152, details how to deal with situations that involve debt. These laws tell us how if an individual is in debt before marriage then their new spouse is not responsible for it in any way, however unless they have a specific agreement, or contract, excluding a spouse from the others debt that was gathered after a marriage had begun then a spouse could be responsible for the others debt.</w:t>
      </w:r>
    </w:p>
    <w:p w:rsidR="00DD7176" w:rsidRDefault="00DD7176">
      <w:pPr>
        <w:rPr>
          <w:b/>
        </w:rPr>
      </w:pPr>
    </w:p>
    <w:p w:rsidR="00DD7176" w:rsidRDefault="00BD4FD5">
      <w:r>
        <w:t>In regards to how reliable the Codex Hammurabi is in terms of historical, social and economic context it has been said that it “only provides a glimpse of Hammurabi’s period” (</w:t>
      </w:r>
      <w:proofErr w:type="spellStart"/>
      <w:r>
        <w:t>Liverani</w:t>
      </w:r>
      <w:proofErr w:type="spellEnd"/>
      <w:r>
        <w:t>, 2014: 244). The inscriptions on the stele of Hammurabi only illustrate certain situations that are difficult to apply or compare to other places and time periods. Although the text only provides a glimpse of this particular time in Babylonian history this does not mean that the text is unreliable. In fact, the code describes some aspects of the time that have been attested throughout Mesopotamian history, thus enabling us to come to the conclusion that the text could be said to be a reliable one. One of the aspects mentioned within the text would be the “three different classes or social conditions” (</w:t>
      </w:r>
      <w:proofErr w:type="spellStart"/>
      <w:r>
        <w:t>Liverani</w:t>
      </w:r>
      <w:proofErr w:type="spellEnd"/>
      <w:r>
        <w:t xml:space="preserve">, 2014: 244, 245) of the time period, that of the </w:t>
      </w:r>
      <w:proofErr w:type="spellStart"/>
      <w:r w:rsidRPr="00144EFC">
        <w:rPr>
          <w:i/>
        </w:rPr>
        <w:t>awīlum</w:t>
      </w:r>
      <w:proofErr w:type="spellEnd"/>
      <w:r>
        <w:t xml:space="preserve"> (free man), the </w:t>
      </w:r>
      <w:proofErr w:type="spellStart"/>
      <w:r w:rsidRPr="00144EFC">
        <w:rPr>
          <w:i/>
        </w:rPr>
        <w:t>muškēnum</w:t>
      </w:r>
      <w:proofErr w:type="spellEnd"/>
      <w:r>
        <w:t xml:space="preserve"> (dependent of the palace), and the </w:t>
      </w:r>
      <w:proofErr w:type="spellStart"/>
      <w:r w:rsidRPr="00144EFC">
        <w:rPr>
          <w:i/>
        </w:rPr>
        <w:t>wardum</w:t>
      </w:r>
      <w:proofErr w:type="spellEnd"/>
      <w:r>
        <w:t xml:space="preserve"> (slave). The ‘free man’ or </w:t>
      </w:r>
      <w:proofErr w:type="spellStart"/>
      <w:r w:rsidRPr="00144EFC">
        <w:rPr>
          <w:i/>
        </w:rPr>
        <w:t>awīlum</w:t>
      </w:r>
      <w:proofErr w:type="spellEnd"/>
      <w:r>
        <w:t>, mentioned above in the previous section of this report, is known to have been an economically independent individual who was either a landowner “in the traditional sense” (</w:t>
      </w:r>
      <w:proofErr w:type="spellStart"/>
      <w:r>
        <w:t>Liverani</w:t>
      </w:r>
      <w:proofErr w:type="spellEnd"/>
      <w:r>
        <w:t xml:space="preserve">, 2014: 247), or was a middle to high ranking royal or religious functionary who managed the lands that were once assigned to them. Those dependent for the state’s support were known as the </w:t>
      </w:r>
      <w:proofErr w:type="spellStart"/>
      <w:r w:rsidRPr="00144EFC">
        <w:rPr>
          <w:i/>
        </w:rPr>
        <w:t>muškēnum</w:t>
      </w:r>
      <w:proofErr w:type="spellEnd"/>
      <w:r>
        <w:t>, and these individuals could be said to be economically “‘semi-free’” (</w:t>
      </w:r>
      <w:proofErr w:type="spellStart"/>
      <w:r>
        <w:t>Liverani</w:t>
      </w:r>
      <w:proofErr w:type="spellEnd"/>
      <w:r>
        <w:t xml:space="preserve">, 2014: 247) men. Even if thought to be economically semi-free, this was not the legal position that they were thought to occupy as the code and other sources from that period within Babylonia report that the </w:t>
      </w:r>
      <w:proofErr w:type="spellStart"/>
      <w:r w:rsidRPr="00144EFC">
        <w:rPr>
          <w:i/>
        </w:rPr>
        <w:t>muškēnum</w:t>
      </w:r>
      <w:proofErr w:type="spellEnd"/>
      <w:r>
        <w:t xml:space="preserve"> were lower in status to “that of the </w:t>
      </w:r>
      <w:proofErr w:type="spellStart"/>
      <w:r>
        <w:t>free men</w:t>
      </w:r>
      <w:proofErr w:type="spellEnd"/>
      <w:r>
        <w:t xml:space="preserve"> and that they were under the protection of the king and subordinate to him” (</w:t>
      </w:r>
      <w:proofErr w:type="spellStart"/>
      <w:r>
        <w:t>Liverani</w:t>
      </w:r>
      <w:proofErr w:type="spellEnd"/>
      <w:r>
        <w:t xml:space="preserve">, 2014: 247). The individuals that were the property of others were the </w:t>
      </w:r>
      <w:proofErr w:type="spellStart"/>
      <w:r w:rsidRPr="00144EFC">
        <w:rPr>
          <w:i/>
        </w:rPr>
        <w:t>wardum</w:t>
      </w:r>
      <w:proofErr w:type="spellEnd"/>
      <w:r>
        <w:t>, or the slaves of the Babylonian time period, these people were either acquired by war or “brought from foreign lands” (</w:t>
      </w:r>
      <w:proofErr w:type="spellStart"/>
      <w:r>
        <w:t>Liverani</w:t>
      </w:r>
      <w:proofErr w:type="spellEnd"/>
      <w:r>
        <w:t xml:space="preserve">, 2014: 244, 245). Individuals of free status could not become a slave, however they could become someone’s debt servant, who would then work for that person until the debt was satisfied. The Code provides us with a picture of the legal conflicts of the time, and also how these conflicts were resolved. In terms of criminal law, some disputes called for physical punishments which had been emphasised throughout Mesopotamia, however in terms </w:t>
      </w:r>
      <w:r w:rsidR="00940817">
        <w:t xml:space="preserve">of </w:t>
      </w:r>
      <w:r>
        <w:lastRenderedPageBreak/>
        <w:t xml:space="preserve">civil law a financial compensation was sufficient enough to settle the dispute. Both of these solutions that have been put forward to punish those that break the common law at the time can been seen to have implemented within the code of Hammurabi. In terms of the </w:t>
      </w:r>
      <w:proofErr w:type="spellStart"/>
      <w:r>
        <w:t>talion</w:t>
      </w:r>
      <w:proofErr w:type="spellEnd"/>
      <w:r>
        <w:t xml:space="preserve"> law punishment, or physical punishment, law code 143 speaks of throwing a woman into the water. In regards to the monetary compensation, this can be seen through those law codes that speak of the woman’s dowry or bride price. These punishments mostly come across as deterrents to the ‘crimes’ committed, whether criminal or civil. The code of Hammurabi does not bring any new practices into play, rather it puts a “royal seal of approval” (</w:t>
      </w:r>
      <w:proofErr w:type="spellStart"/>
      <w:r>
        <w:t>Liverani</w:t>
      </w:r>
      <w:proofErr w:type="spellEnd"/>
      <w:r>
        <w:t>, 2014: 247) upon the practices of law already in place, which would certainly incline judges to implement them when handling disputes. As we already know the Code of Hammurabi is not a Law Code per se, but an illustration of how certain situations within Babylonian criminal and civil law are h</w:t>
      </w:r>
      <w:r w:rsidR="00940817">
        <w:t>andled</w:t>
      </w:r>
      <w:r w:rsidR="00CD6A92">
        <w:t>,</w:t>
      </w:r>
      <w:bookmarkStart w:id="0" w:name="_GoBack"/>
      <w:bookmarkEnd w:id="0"/>
      <w:r>
        <w:t xml:space="preserve"> and through other sources</w:t>
      </w:r>
      <w:r w:rsidR="00940817">
        <w:t>,</w:t>
      </w:r>
      <w:r>
        <w:t xml:space="preserve"> elements within the text, it can be fair to say, are reliable accounts of how these situations would be handled during at least the reign of Hammurabi, if not beyond. </w:t>
      </w:r>
    </w:p>
    <w:p w:rsidR="00DD7176" w:rsidRDefault="00DD7176"/>
    <w:p w:rsidR="00DD7176" w:rsidRDefault="00BD4FD5">
      <w:r>
        <w:t xml:space="preserve">The Stele of Hammurabi was dedicated to both the oppressed and the future king, thus giving us the specific audience for which the monument was erected. However, because the placing of this Stele, which </w:t>
      </w:r>
      <w:proofErr w:type="spellStart"/>
      <w:r>
        <w:t>Liverani</w:t>
      </w:r>
      <w:proofErr w:type="spellEnd"/>
      <w:r>
        <w:t xml:space="preserve"> suggests, was within the Temple of Shamash it would also mean that the inscription was meant for a wider audience, so that most if not all of Hammurabi’s subjects knew that he was chosen by the gods to be the king of justice. Although the stele was not the first ‘law code’, “it was repeatedly copied for well over a thousand years” (</w:t>
      </w:r>
      <w:proofErr w:type="spellStart"/>
      <w:r>
        <w:t>Collon</w:t>
      </w:r>
      <w:proofErr w:type="spellEnd"/>
      <w:r>
        <w:t>, 1995: 99), meaning that it was probably copied out by those who were learning to read and write, perhaps scribes or even those that would go on to higher positions within Mesopotamian society. This would mean that Hammurabi’s Law Code “would have played a role in the intellectual and ideological formation of generations of educated Babylonians” (</w:t>
      </w:r>
      <w:proofErr w:type="spellStart"/>
      <w:r>
        <w:t>Slanski</w:t>
      </w:r>
      <w:proofErr w:type="spellEnd"/>
      <w:r>
        <w:t>, 2012: 103, 104), furthermore fragments of the Law Code, either full copies or excerpts were found in cities throughout Mesopotamia. From this we could say that Hammurabi’s Stele impacted a wider audience for a longer period of time, which it could also be said that that was the point of its erection, at least in regards to the length of time that Hammurabi’s Law Code was recognized. This is illustrated by the fact that the monument was dedicated to the future king “so that he may not change the clauses of the stele” (</w:t>
      </w:r>
      <w:proofErr w:type="spellStart"/>
      <w:r>
        <w:t>Liverani</w:t>
      </w:r>
      <w:proofErr w:type="spellEnd"/>
      <w:r>
        <w:t>, 2014: 247).</w:t>
      </w:r>
    </w:p>
    <w:p w:rsidR="00DD7176" w:rsidRDefault="00DD7176"/>
    <w:p w:rsidR="00DD7176" w:rsidRDefault="00BD4FD5">
      <w:r>
        <w:t>In conclusion, this extract from Hammurabi’s Law Code illustrates to us that “the ancient Mesopotamians believed that the family was of central importance to the stability of society” (</w:t>
      </w:r>
      <w:proofErr w:type="spellStart"/>
      <w:r>
        <w:t>Bertman</w:t>
      </w:r>
      <w:proofErr w:type="spellEnd"/>
      <w:r>
        <w:t>, 2003: 275). In fact almost one fourth of the codes 282 laws “are devoted to family law” (</w:t>
      </w:r>
      <w:proofErr w:type="spellStart"/>
      <w:r>
        <w:t>Bertman</w:t>
      </w:r>
      <w:proofErr w:type="spellEnd"/>
      <w:r>
        <w:t>, 2004: 275). The importance of the family is indeed highlighted by the fact that the breaking up of family would have financial consequences to the authority involved, meaning the husband, and as the women would not actually receive her dowry herself as it would be given back to her father, then it would seem her part in this would be social movement, from one house to the other. However, if there were children involved then it was socially expected that the father of the children would make sure that they were provided for. This shows that future generations were very important to the state, as it was the king who had the power to decide “the accepted forms of social or civilised behaviour” (</w:t>
      </w:r>
      <w:proofErr w:type="spellStart"/>
      <w:r>
        <w:t>Leick</w:t>
      </w:r>
      <w:proofErr w:type="spellEnd"/>
      <w:r>
        <w:t>, 2007</w:t>
      </w:r>
      <w:r w:rsidR="00144EFC">
        <w:t>: 159</w:t>
      </w:r>
      <w:r>
        <w:t>). All in all, it is quite easy to see how this extract could be historically reliable in terms of the economics, the movement of money through dowries for example, and the social norms of the time, what was expected of people in certain situations. It w</w:t>
      </w:r>
      <w:r w:rsidR="00134351">
        <w:t xml:space="preserve">ould be reasonable to </w:t>
      </w:r>
      <w:r w:rsidR="00134351">
        <w:lastRenderedPageBreak/>
        <w:t xml:space="preserve">conclude that, </w:t>
      </w:r>
      <w:r>
        <w:t>since the stele’s decipherment in the early twentieth century, the Law Code of Hammur</w:t>
      </w:r>
      <w:r w:rsidR="00F50D36">
        <w:t>abi has become an essential text to those studying Ancient Near Eastern Law.</w:t>
      </w:r>
    </w:p>
    <w:p w:rsidR="009472EC" w:rsidRDefault="009472EC"/>
    <w:p w:rsidR="009472EC" w:rsidRDefault="009472EC"/>
    <w:p w:rsidR="009472EC" w:rsidRDefault="009472EC"/>
    <w:p w:rsidR="009472EC" w:rsidRDefault="009472EC" w:rsidP="009472EC">
      <w:pPr>
        <w:jc w:val="center"/>
        <w:rPr>
          <w:b/>
          <w:u w:val="single"/>
        </w:rPr>
      </w:pPr>
      <w:r>
        <w:rPr>
          <w:b/>
          <w:u w:val="single"/>
        </w:rPr>
        <w:t>Reference List</w:t>
      </w:r>
    </w:p>
    <w:p w:rsidR="00E22BA5" w:rsidRDefault="00E22BA5" w:rsidP="00926152">
      <w:pPr>
        <w:pStyle w:val="NormalWeb"/>
        <w:numPr>
          <w:ilvl w:val="0"/>
          <w:numId w:val="2"/>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 xml:space="preserve">Anon. (2016). </w:t>
      </w:r>
      <w:r>
        <w:rPr>
          <w:rFonts w:ascii="Arial" w:hAnsi="Arial" w:cs="Arial"/>
          <w:i/>
          <w:iCs/>
          <w:color w:val="000000"/>
          <w:sz w:val="22"/>
          <w:szCs w:val="22"/>
        </w:rPr>
        <w:t>The World’s Oldest Writing</w:t>
      </w:r>
      <w:r>
        <w:rPr>
          <w:rFonts w:ascii="Arial" w:hAnsi="Arial" w:cs="Arial"/>
          <w:color w:val="000000"/>
          <w:sz w:val="22"/>
          <w:szCs w:val="22"/>
        </w:rPr>
        <w:t xml:space="preserve">. </w:t>
      </w:r>
      <w:r>
        <w:rPr>
          <w:rFonts w:ascii="Arial" w:hAnsi="Arial" w:cs="Arial"/>
          <w:i/>
          <w:iCs/>
          <w:color w:val="000000"/>
          <w:sz w:val="22"/>
          <w:szCs w:val="22"/>
        </w:rPr>
        <w:t>Archaeology</w:t>
      </w:r>
      <w:r>
        <w:rPr>
          <w:rFonts w:ascii="Arial" w:hAnsi="Arial" w:cs="Arial"/>
          <w:color w:val="000000"/>
          <w:sz w:val="22"/>
          <w:szCs w:val="22"/>
        </w:rPr>
        <w:t>, 69(3), pp.26–34.</w:t>
      </w:r>
    </w:p>
    <w:p w:rsidR="00926152" w:rsidRDefault="00926152" w:rsidP="00926152">
      <w:pPr>
        <w:pStyle w:val="NormalWeb"/>
        <w:numPr>
          <w:ilvl w:val="0"/>
          <w:numId w:val="2"/>
        </w:numPr>
        <w:spacing w:before="0" w:beforeAutospacing="0" w:after="0" w:afterAutospacing="0"/>
        <w:textAlignment w:val="baseline"/>
        <w:rPr>
          <w:rFonts w:ascii="Arial" w:hAnsi="Arial" w:cs="Arial"/>
          <w:color w:val="000000"/>
          <w:sz w:val="22"/>
          <w:szCs w:val="22"/>
        </w:rPr>
      </w:pPr>
      <w:proofErr w:type="spellStart"/>
      <w:r>
        <w:rPr>
          <w:rFonts w:ascii="Arial" w:hAnsi="Arial" w:cs="Arial"/>
          <w:color w:val="000000"/>
          <w:sz w:val="22"/>
          <w:szCs w:val="22"/>
        </w:rPr>
        <w:t>Bertman</w:t>
      </w:r>
      <w:proofErr w:type="spellEnd"/>
      <w:r>
        <w:rPr>
          <w:rFonts w:ascii="Arial" w:hAnsi="Arial" w:cs="Arial"/>
          <w:color w:val="000000"/>
          <w:sz w:val="22"/>
          <w:szCs w:val="22"/>
        </w:rPr>
        <w:t xml:space="preserve">, S. (2003). </w:t>
      </w:r>
      <w:r>
        <w:rPr>
          <w:rFonts w:ascii="Arial" w:hAnsi="Arial" w:cs="Arial"/>
          <w:i/>
          <w:iCs/>
          <w:color w:val="000000"/>
          <w:sz w:val="22"/>
          <w:szCs w:val="22"/>
        </w:rPr>
        <w:t>Handbook to life in ancient Mesopotamia</w:t>
      </w:r>
      <w:r>
        <w:rPr>
          <w:rFonts w:ascii="Arial" w:hAnsi="Arial" w:cs="Arial"/>
          <w:color w:val="000000"/>
          <w:sz w:val="22"/>
          <w:szCs w:val="22"/>
        </w:rPr>
        <w:t>. New York, NY: Oxford University Press.</w:t>
      </w:r>
    </w:p>
    <w:p w:rsidR="00926152" w:rsidRDefault="00926152" w:rsidP="00926152">
      <w:pPr>
        <w:pStyle w:val="NormalWeb"/>
        <w:numPr>
          <w:ilvl w:val="0"/>
          <w:numId w:val="2"/>
        </w:numPr>
        <w:spacing w:before="0" w:beforeAutospacing="0" w:after="0" w:afterAutospacing="0"/>
        <w:textAlignment w:val="baseline"/>
        <w:rPr>
          <w:rFonts w:ascii="Arial" w:hAnsi="Arial" w:cs="Arial"/>
          <w:color w:val="000000"/>
          <w:sz w:val="22"/>
          <w:szCs w:val="22"/>
        </w:rPr>
      </w:pPr>
      <w:proofErr w:type="spellStart"/>
      <w:r>
        <w:rPr>
          <w:rFonts w:ascii="Arial" w:hAnsi="Arial" w:cs="Arial"/>
          <w:color w:val="000000"/>
          <w:sz w:val="22"/>
          <w:szCs w:val="22"/>
        </w:rPr>
        <w:t>Collon</w:t>
      </w:r>
      <w:proofErr w:type="spellEnd"/>
      <w:r>
        <w:rPr>
          <w:rFonts w:ascii="Arial" w:hAnsi="Arial" w:cs="Arial"/>
          <w:color w:val="000000"/>
          <w:sz w:val="22"/>
          <w:szCs w:val="22"/>
        </w:rPr>
        <w:t xml:space="preserve">, D. (1995). </w:t>
      </w:r>
      <w:r>
        <w:rPr>
          <w:rFonts w:ascii="Arial" w:hAnsi="Arial" w:cs="Arial"/>
          <w:i/>
          <w:iCs/>
          <w:color w:val="000000"/>
          <w:sz w:val="22"/>
          <w:szCs w:val="22"/>
        </w:rPr>
        <w:t>Ancient Near Eastern art</w:t>
      </w:r>
      <w:r>
        <w:rPr>
          <w:rFonts w:ascii="Arial" w:hAnsi="Arial" w:cs="Arial"/>
          <w:color w:val="000000"/>
          <w:sz w:val="22"/>
          <w:szCs w:val="22"/>
        </w:rPr>
        <w:t>. London: British Museum Press for the Trustees of the British Museum.</w:t>
      </w:r>
    </w:p>
    <w:p w:rsidR="00926152" w:rsidRDefault="00926152" w:rsidP="00926152">
      <w:pPr>
        <w:pStyle w:val="NormalWeb"/>
        <w:numPr>
          <w:ilvl w:val="0"/>
          <w:numId w:val="2"/>
        </w:numPr>
        <w:spacing w:before="0" w:beforeAutospacing="0" w:after="0" w:afterAutospacing="0"/>
        <w:textAlignment w:val="baseline"/>
        <w:rPr>
          <w:rFonts w:ascii="Arial" w:hAnsi="Arial" w:cs="Arial"/>
          <w:color w:val="000000"/>
          <w:sz w:val="22"/>
          <w:szCs w:val="22"/>
        </w:rPr>
      </w:pPr>
      <w:r>
        <w:rPr>
          <w:rFonts w:ascii="Arial" w:hAnsi="Arial" w:cs="Arial"/>
          <w:color w:val="000000"/>
          <w:sz w:val="22"/>
          <w:szCs w:val="22"/>
        </w:rPr>
        <w:t xml:space="preserve">Gates, C. (2004). </w:t>
      </w:r>
      <w:r>
        <w:rPr>
          <w:rFonts w:ascii="Arial" w:hAnsi="Arial" w:cs="Arial"/>
          <w:i/>
          <w:iCs/>
          <w:color w:val="000000"/>
          <w:sz w:val="22"/>
          <w:szCs w:val="22"/>
        </w:rPr>
        <w:t>Ancient cities</w:t>
      </w:r>
      <w:r>
        <w:rPr>
          <w:rFonts w:ascii="Arial" w:hAnsi="Arial" w:cs="Arial"/>
          <w:color w:val="000000"/>
          <w:sz w:val="22"/>
          <w:szCs w:val="22"/>
        </w:rPr>
        <w:t>. London: Routledge.</w:t>
      </w:r>
    </w:p>
    <w:p w:rsidR="00926152" w:rsidRDefault="00926152" w:rsidP="00926152">
      <w:pPr>
        <w:pStyle w:val="NormalWeb"/>
        <w:numPr>
          <w:ilvl w:val="0"/>
          <w:numId w:val="2"/>
        </w:numPr>
        <w:spacing w:before="0" w:beforeAutospacing="0" w:after="0" w:afterAutospacing="0"/>
        <w:textAlignment w:val="baseline"/>
        <w:rPr>
          <w:rFonts w:ascii="Arial" w:hAnsi="Arial" w:cs="Arial"/>
          <w:color w:val="000000"/>
          <w:sz w:val="22"/>
          <w:szCs w:val="22"/>
        </w:rPr>
      </w:pPr>
      <w:proofErr w:type="spellStart"/>
      <w:r>
        <w:rPr>
          <w:rFonts w:ascii="Arial" w:hAnsi="Arial" w:cs="Arial"/>
          <w:color w:val="000000"/>
          <w:sz w:val="22"/>
          <w:szCs w:val="22"/>
        </w:rPr>
        <w:t>Leick</w:t>
      </w:r>
      <w:proofErr w:type="spellEnd"/>
      <w:r>
        <w:rPr>
          <w:rFonts w:ascii="Arial" w:hAnsi="Arial" w:cs="Arial"/>
          <w:color w:val="000000"/>
          <w:sz w:val="22"/>
          <w:szCs w:val="22"/>
        </w:rPr>
        <w:t xml:space="preserve">, G. (2007). </w:t>
      </w:r>
      <w:r>
        <w:rPr>
          <w:rFonts w:ascii="Arial" w:hAnsi="Arial" w:cs="Arial"/>
          <w:i/>
          <w:iCs/>
          <w:color w:val="000000"/>
          <w:sz w:val="22"/>
          <w:szCs w:val="22"/>
        </w:rPr>
        <w:t>The Babylonian world</w:t>
      </w:r>
      <w:r>
        <w:rPr>
          <w:rFonts w:ascii="Arial" w:hAnsi="Arial" w:cs="Arial"/>
          <w:color w:val="000000"/>
          <w:sz w:val="22"/>
          <w:szCs w:val="22"/>
        </w:rPr>
        <w:t>. New York and London: Routledge.</w:t>
      </w:r>
    </w:p>
    <w:p w:rsidR="00926152" w:rsidRDefault="00926152" w:rsidP="00926152">
      <w:pPr>
        <w:pStyle w:val="NormalWeb"/>
        <w:numPr>
          <w:ilvl w:val="0"/>
          <w:numId w:val="2"/>
        </w:numPr>
        <w:spacing w:before="0" w:beforeAutospacing="0" w:after="0" w:afterAutospacing="0"/>
        <w:textAlignment w:val="baseline"/>
        <w:rPr>
          <w:rFonts w:ascii="Arial" w:hAnsi="Arial" w:cs="Arial"/>
          <w:color w:val="000000"/>
          <w:sz w:val="22"/>
          <w:szCs w:val="22"/>
        </w:rPr>
      </w:pPr>
      <w:proofErr w:type="spellStart"/>
      <w:r>
        <w:rPr>
          <w:rFonts w:ascii="Arial" w:hAnsi="Arial" w:cs="Arial"/>
          <w:color w:val="000000"/>
          <w:sz w:val="22"/>
          <w:szCs w:val="22"/>
        </w:rPr>
        <w:t>Liverani</w:t>
      </w:r>
      <w:proofErr w:type="spellEnd"/>
      <w:r>
        <w:rPr>
          <w:rFonts w:ascii="Arial" w:hAnsi="Arial" w:cs="Arial"/>
          <w:color w:val="000000"/>
          <w:sz w:val="22"/>
          <w:szCs w:val="22"/>
        </w:rPr>
        <w:t xml:space="preserve">, M. (2014). </w:t>
      </w:r>
      <w:r>
        <w:rPr>
          <w:rFonts w:ascii="Arial" w:hAnsi="Arial" w:cs="Arial"/>
          <w:i/>
          <w:iCs/>
          <w:color w:val="000000"/>
          <w:sz w:val="22"/>
          <w:szCs w:val="22"/>
        </w:rPr>
        <w:t>The ancient Near East</w:t>
      </w:r>
      <w:r>
        <w:rPr>
          <w:rFonts w:ascii="Arial" w:hAnsi="Arial" w:cs="Arial"/>
          <w:color w:val="000000"/>
          <w:sz w:val="22"/>
          <w:szCs w:val="22"/>
        </w:rPr>
        <w:t>. London: Routledge.</w:t>
      </w:r>
    </w:p>
    <w:p w:rsidR="00926152" w:rsidRDefault="00926152" w:rsidP="00926152">
      <w:pPr>
        <w:pStyle w:val="NormalWeb"/>
        <w:numPr>
          <w:ilvl w:val="0"/>
          <w:numId w:val="2"/>
        </w:numPr>
        <w:spacing w:before="0" w:beforeAutospacing="0" w:after="0" w:afterAutospacing="0"/>
        <w:textAlignment w:val="baseline"/>
        <w:rPr>
          <w:rFonts w:ascii="Arial" w:hAnsi="Arial" w:cs="Arial"/>
          <w:color w:val="000000"/>
          <w:sz w:val="22"/>
          <w:szCs w:val="22"/>
        </w:rPr>
      </w:pPr>
      <w:proofErr w:type="spellStart"/>
      <w:r>
        <w:rPr>
          <w:rFonts w:ascii="Arial" w:hAnsi="Arial" w:cs="Arial"/>
          <w:color w:val="000000"/>
          <w:sz w:val="22"/>
          <w:szCs w:val="22"/>
        </w:rPr>
        <w:t>Slanski</w:t>
      </w:r>
      <w:proofErr w:type="spellEnd"/>
      <w:r>
        <w:rPr>
          <w:rFonts w:ascii="Arial" w:hAnsi="Arial" w:cs="Arial"/>
          <w:color w:val="000000"/>
          <w:sz w:val="22"/>
          <w:szCs w:val="22"/>
        </w:rPr>
        <w:t xml:space="preserve">, Kathryn E. (2012) "The Law of Hammurabi and Its Audience," </w:t>
      </w:r>
      <w:r>
        <w:rPr>
          <w:rFonts w:ascii="Arial" w:hAnsi="Arial" w:cs="Arial"/>
          <w:i/>
          <w:iCs/>
          <w:color w:val="000000"/>
          <w:sz w:val="22"/>
          <w:szCs w:val="22"/>
        </w:rPr>
        <w:t>Yale Journal of Law &amp; the Humanities</w:t>
      </w:r>
      <w:r>
        <w:rPr>
          <w:rFonts w:ascii="Arial" w:hAnsi="Arial" w:cs="Arial"/>
          <w:color w:val="000000"/>
          <w:sz w:val="22"/>
          <w:szCs w:val="22"/>
        </w:rPr>
        <w:t xml:space="preserve">: Vol. 24 : </w:t>
      </w:r>
      <w:proofErr w:type="spellStart"/>
      <w:r>
        <w:rPr>
          <w:rFonts w:ascii="Arial" w:hAnsi="Arial" w:cs="Arial"/>
          <w:color w:val="000000"/>
          <w:sz w:val="22"/>
          <w:szCs w:val="22"/>
        </w:rPr>
        <w:t>Iss</w:t>
      </w:r>
      <w:proofErr w:type="spellEnd"/>
      <w:r>
        <w:rPr>
          <w:rFonts w:ascii="Arial" w:hAnsi="Arial" w:cs="Arial"/>
          <w:color w:val="000000"/>
          <w:sz w:val="22"/>
          <w:szCs w:val="22"/>
        </w:rPr>
        <w:t>. 1 , Article 3.</w:t>
      </w:r>
    </w:p>
    <w:p w:rsidR="00926152" w:rsidRDefault="00926152" w:rsidP="00926152">
      <w:pPr>
        <w:pStyle w:val="NormalWeb"/>
        <w:numPr>
          <w:ilvl w:val="0"/>
          <w:numId w:val="2"/>
        </w:numPr>
        <w:spacing w:before="0" w:beforeAutospacing="0" w:after="0" w:afterAutospacing="0"/>
        <w:textAlignment w:val="baseline"/>
        <w:rPr>
          <w:rFonts w:ascii="Arial" w:hAnsi="Arial" w:cs="Arial"/>
          <w:color w:val="000000"/>
          <w:sz w:val="22"/>
          <w:szCs w:val="22"/>
        </w:rPr>
      </w:pPr>
      <w:proofErr w:type="spellStart"/>
      <w:r>
        <w:rPr>
          <w:rFonts w:ascii="Arial" w:hAnsi="Arial" w:cs="Arial"/>
          <w:color w:val="000000"/>
          <w:sz w:val="22"/>
          <w:szCs w:val="22"/>
        </w:rPr>
        <w:t>Stol</w:t>
      </w:r>
      <w:proofErr w:type="spellEnd"/>
      <w:r>
        <w:rPr>
          <w:rFonts w:ascii="Arial" w:hAnsi="Arial" w:cs="Arial"/>
          <w:color w:val="000000"/>
          <w:sz w:val="22"/>
          <w:szCs w:val="22"/>
        </w:rPr>
        <w:t xml:space="preserve">, M., Richardson, H. and Richardson, M. (2016). </w:t>
      </w:r>
      <w:r>
        <w:rPr>
          <w:rFonts w:ascii="Arial" w:hAnsi="Arial" w:cs="Arial"/>
          <w:i/>
          <w:iCs/>
          <w:color w:val="000000"/>
          <w:sz w:val="22"/>
          <w:szCs w:val="22"/>
        </w:rPr>
        <w:t>Women in the Ancient Near East</w:t>
      </w:r>
      <w:r>
        <w:rPr>
          <w:rFonts w:ascii="Arial" w:hAnsi="Arial" w:cs="Arial"/>
          <w:color w:val="000000"/>
          <w:sz w:val="22"/>
          <w:szCs w:val="22"/>
        </w:rPr>
        <w:t xml:space="preserve">. Boston/Berlin: Walter de </w:t>
      </w:r>
      <w:proofErr w:type="spellStart"/>
      <w:r>
        <w:rPr>
          <w:rFonts w:ascii="Arial" w:hAnsi="Arial" w:cs="Arial"/>
          <w:color w:val="000000"/>
          <w:sz w:val="22"/>
          <w:szCs w:val="22"/>
        </w:rPr>
        <w:t>Gruyter</w:t>
      </w:r>
      <w:proofErr w:type="spellEnd"/>
      <w:r>
        <w:rPr>
          <w:rFonts w:ascii="Arial" w:hAnsi="Arial" w:cs="Arial"/>
          <w:color w:val="000000"/>
          <w:sz w:val="22"/>
          <w:szCs w:val="22"/>
        </w:rPr>
        <w:t xml:space="preserve"> Inc.</w:t>
      </w:r>
    </w:p>
    <w:p w:rsidR="009472EC" w:rsidRPr="00926152" w:rsidRDefault="009472EC" w:rsidP="00926152">
      <w:pPr>
        <w:ind w:left="360"/>
        <w:rPr>
          <w:b/>
          <w:u w:val="single"/>
        </w:rPr>
      </w:pPr>
    </w:p>
    <w:sectPr w:rsidR="009472EC" w:rsidRPr="00926152">
      <w:headerReference w:type="default" r:id="rId7"/>
      <w:pgSz w:w="11909" w:h="16834"/>
      <w:pgMar w:top="1440" w:right="1440" w:bottom="1440" w:left="1440" w:header="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A7E0E" w:rsidRDefault="001A7E0E">
      <w:pPr>
        <w:spacing w:line="240" w:lineRule="auto"/>
      </w:pPr>
      <w:r>
        <w:separator/>
      </w:r>
    </w:p>
  </w:endnote>
  <w:endnote w:type="continuationSeparator" w:id="0">
    <w:p w:rsidR="001A7E0E" w:rsidRDefault="001A7E0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A7E0E" w:rsidRDefault="001A7E0E">
      <w:pPr>
        <w:spacing w:line="240" w:lineRule="auto"/>
      </w:pPr>
      <w:r>
        <w:separator/>
      </w:r>
    </w:p>
  </w:footnote>
  <w:footnote w:type="continuationSeparator" w:id="0">
    <w:p w:rsidR="001A7E0E" w:rsidRDefault="001A7E0E">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DD7176" w:rsidRDefault="00BD4FD5">
    <w:pPr>
      <w:pStyle w:val="Heading1"/>
      <w:keepNext w:val="0"/>
      <w:keepLines w:val="0"/>
      <w:spacing w:before="480"/>
      <w:rPr>
        <w:sz w:val="22"/>
        <w:szCs w:val="22"/>
      </w:rPr>
    </w:pPr>
    <w:bookmarkStart w:id="1" w:name="_1hrnp5foizny" w:colFirst="0" w:colLast="0"/>
    <w:bookmarkEnd w:id="1"/>
    <w:r>
      <w:rPr>
        <w:sz w:val="22"/>
        <w:szCs w:val="22"/>
      </w:rPr>
      <w:t xml:space="preserve"> AHAR5004: Hieroglyphs, Text and Society </w:t>
    </w:r>
    <w:r>
      <w:rPr>
        <w:sz w:val="22"/>
        <w:szCs w:val="22"/>
      </w:rPr>
      <w:tab/>
    </w:r>
    <w:r>
      <w:rPr>
        <w:sz w:val="22"/>
        <w:szCs w:val="22"/>
      </w:rPr>
      <w:tab/>
    </w:r>
    <w:r>
      <w:rPr>
        <w:sz w:val="22"/>
        <w:szCs w:val="22"/>
      </w:rPr>
      <w:tab/>
    </w:r>
    <w:r>
      <w:rPr>
        <w:sz w:val="22"/>
        <w:szCs w:val="22"/>
      </w:rPr>
      <w:tab/>
      <w:t>Tiarnach Leer 1600068</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0C41EC9"/>
    <w:multiLevelType w:val="hybridMultilevel"/>
    <w:tmpl w:val="6B7278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F21AC5"/>
    <w:multiLevelType w:val="multilevel"/>
    <w:tmpl w:val="70DAE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DD7176"/>
    <w:rsid w:val="00134351"/>
    <w:rsid w:val="00144EFC"/>
    <w:rsid w:val="001A7E0E"/>
    <w:rsid w:val="006C7457"/>
    <w:rsid w:val="00926152"/>
    <w:rsid w:val="00940817"/>
    <w:rsid w:val="009472EC"/>
    <w:rsid w:val="00BD4FD5"/>
    <w:rsid w:val="00CD6A92"/>
    <w:rsid w:val="00DD7176"/>
    <w:rsid w:val="00E22BA5"/>
    <w:rsid w:val="00F50D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1C5D3A5A-96F9-479C-ACE9-9393D33833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color w:val="000000"/>
        <w:sz w:val="22"/>
        <w:szCs w:val="22"/>
        <w:lang w:val="en-GB" w:eastAsia="en-GB" w:bidi="ar-SA"/>
      </w:rPr>
    </w:rPrDefault>
    <w:pPrDefault>
      <w:pPr>
        <w:pBdr>
          <w:top w:val="nil"/>
          <w:left w:val="nil"/>
          <w:bottom w:val="nil"/>
          <w:right w:val="nil"/>
          <w:between w:val="nil"/>
        </w:pBd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ListParagraph">
    <w:name w:val="List Paragraph"/>
    <w:basedOn w:val="Normal"/>
    <w:uiPriority w:val="34"/>
    <w:qFormat/>
    <w:rsid w:val="009472EC"/>
    <w:pPr>
      <w:ind w:left="720"/>
      <w:contextualSpacing/>
    </w:pPr>
  </w:style>
  <w:style w:type="paragraph" w:styleId="NormalWeb">
    <w:name w:val="Normal (Web)"/>
    <w:basedOn w:val="Normal"/>
    <w:uiPriority w:val="99"/>
    <w:semiHidden/>
    <w:unhideWhenUsed/>
    <w:rsid w:val="00926152"/>
    <w:pPr>
      <w:pBdr>
        <w:top w:val="none" w:sz="0" w:space="0" w:color="auto"/>
        <w:left w:val="none" w:sz="0" w:space="0" w:color="auto"/>
        <w:bottom w:val="none" w:sz="0" w:space="0" w:color="auto"/>
        <w:right w:val="none" w:sz="0" w:space="0" w:color="auto"/>
        <w:between w:val="none" w:sz="0" w:space="0" w:color="auto"/>
      </w:pBdr>
      <w:spacing w:before="100" w:beforeAutospacing="1" w:after="100" w:afterAutospacing="1" w:line="240" w:lineRule="auto"/>
    </w:pPr>
    <w:rPr>
      <w:rFonts w:ascii="Times New Roman" w:eastAsia="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886244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1968</Words>
  <Characters>11224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13166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Tiarnach Leer</cp:lastModifiedBy>
  <cp:revision>6</cp:revision>
  <dcterms:created xsi:type="dcterms:W3CDTF">2017-11-13T17:45:00Z</dcterms:created>
  <dcterms:modified xsi:type="dcterms:W3CDTF">2017-11-13T21:44:00Z</dcterms:modified>
</cp:coreProperties>
</file>