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52DD15" w14:textId="77777777" w:rsidR="005F3595" w:rsidRPr="00B552A2" w:rsidRDefault="005F3595" w:rsidP="005F3595">
      <w:pPr>
        <w:spacing w:line="360" w:lineRule="auto"/>
        <w:rPr>
          <w:rFonts w:ascii="Arial" w:hAnsi="Arial" w:cs="Arial"/>
          <w:sz w:val="24"/>
          <w:szCs w:val="24"/>
        </w:rPr>
      </w:pPr>
      <w:r w:rsidRPr="00B552A2">
        <w:rPr>
          <w:rFonts w:ascii="Arial" w:hAnsi="Arial" w:cs="Arial"/>
          <w:sz w:val="24"/>
          <w:szCs w:val="24"/>
        </w:rPr>
        <w:t xml:space="preserve">This piece will seek to discuss the importance of safeguarding policies and procedures as it relates to children. Theoretical frameworks will be drawn upon making relevant links to Working together to safeguard children 2018 as well as The Childrens Act 1989 forming discussions around how imperative it is the safeguard and promote the welfare of children and young people. Also, theoretical notions such as Cohen (1964) Moral Panic and Maslow’s (1943) Hierarchy of needs will be briefly discussed. Early intervention processes will be touched upon to highlight the processes or early help to safeguard children. Further to the above, Contextual Safeguarding will be discussed which seeks to recognise the harm that children can be made subject to adults or peers outside of the family home. In addition to the above, specific focus will be laid upon two high profile cases, those cases being Baby P and Arthur Labinjo-Huges. Critique will be offered to detail how Legislation and Policy have changed over time to ensure the safety of children equally arguments will be formulated as to how these Safeguarding policies and procedures have failed to keep so many children safe. Implications of Covid 19 will be drawn upon to highlight the possible impact the pandemic had on the way in which Arthur’s case was managed. </w:t>
      </w:r>
    </w:p>
    <w:p w14:paraId="3AF83895" w14:textId="77777777" w:rsidR="005F3595" w:rsidRPr="00B552A2" w:rsidRDefault="005F3595" w:rsidP="005F3595">
      <w:pPr>
        <w:spacing w:line="360" w:lineRule="auto"/>
        <w:rPr>
          <w:rFonts w:ascii="Arial" w:hAnsi="Arial" w:cs="Arial"/>
          <w:sz w:val="24"/>
          <w:szCs w:val="24"/>
        </w:rPr>
      </w:pPr>
    </w:p>
    <w:p w14:paraId="5F9F90AE" w14:textId="77777777" w:rsidR="005F3595" w:rsidRPr="00B552A2" w:rsidRDefault="005F3595" w:rsidP="005F3595">
      <w:pPr>
        <w:spacing w:line="360" w:lineRule="auto"/>
        <w:rPr>
          <w:rFonts w:ascii="Arial" w:hAnsi="Arial" w:cs="Arial"/>
          <w:sz w:val="24"/>
          <w:szCs w:val="24"/>
        </w:rPr>
      </w:pPr>
      <w:r w:rsidRPr="00B552A2">
        <w:rPr>
          <w:rFonts w:ascii="Arial" w:hAnsi="Arial" w:cs="Arial"/>
          <w:sz w:val="24"/>
          <w:szCs w:val="24"/>
        </w:rPr>
        <w:t xml:space="preserve">The discussion that follows will seek to explore the significance of inter-agency working to safeguard and promote the welfare of young people. The Working together to safeguard children 2018 policy points out that partnership work is essential in safeguarding and promoting the welfare of children. Undoubtedly,  as well as understanding the importance of partnership working, agencies should be aware of what is expected of them individually to ensuring that the intervention offered to children and families are effective. It is worth noting here that the tragic loss of a young child namely Victoria Climbe caused a major shift in regards to legislation and policy which was led by the Lord Lamming report. Indisputably, the inconsistencies with the care of Victoria Climbié in regards to assessing a child’s risk and professional decision making demonstrated a lack of child protection (Munro and Calder, 2005). </w:t>
      </w:r>
    </w:p>
    <w:p w14:paraId="077E5A47" w14:textId="77777777" w:rsidR="005F3595" w:rsidRPr="00B552A2" w:rsidRDefault="005F3595" w:rsidP="005F3595">
      <w:pPr>
        <w:spacing w:line="360" w:lineRule="auto"/>
        <w:rPr>
          <w:rFonts w:ascii="Arial" w:hAnsi="Arial" w:cs="Arial"/>
          <w:color w:val="000000"/>
          <w:sz w:val="24"/>
          <w:szCs w:val="24"/>
        </w:rPr>
      </w:pPr>
      <w:r w:rsidRPr="00B552A2">
        <w:rPr>
          <w:rFonts w:ascii="Arial" w:hAnsi="Arial" w:cs="Arial"/>
          <w:sz w:val="24"/>
          <w:szCs w:val="24"/>
        </w:rPr>
        <w:t xml:space="preserve">The safeguarding agenda has become so broad that those families who require help that did not relate to abuse are being missed with investigations concluding that the </w:t>
      </w:r>
      <w:r w:rsidRPr="00B552A2">
        <w:rPr>
          <w:rFonts w:ascii="Arial" w:hAnsi="Arial" w:cs="Arial"/>
          <w:sz w:val="24"/>
          <w:szCs w:val="24"/>
        </w:rPr>
        <w:lastRenderedPageBreak/>
        <w:t xml:space="preserve">child being investigate is not at risk of serious harm (Munro and Calder, 2005). Equally, there were several cases that discovered a number of families were in need of help and support though, they remained unsupported. It can be argued that early help is significant as those cases that are considered to be low level could in fact transpire to become very serious. It is important to highlight here what is meant by the term ‘early help.’ According to </w:t>
      </w:r>
      <w:r w:rsidRPr="00B552A2">
        <w:rPr>
          <w:rFonts w:ascii="Arial" w:hAnsi="Arial" w:cs="Arial"/>
          <w:color w:val="000000"/>
          <w:sz w:val="24"/>
          <w:szCs w:val="24"/>
        </w:rPr>
        <w:t>Frost, Abbott, &amp; Race (2015: 8)</w:t>
      </w:r>
      <w:r w:rsidRPr="00B552A2">
        <w:rPr>
          <w:rFonts w:ascii="Arial" w:hAnsi="Arial" w:cs="Arial"/>
          <w:sz w:val="24"/>
          <w:szCs w:val="24"/>
        </w:rPr>
        <w:t xml:space="preserve"> Early help is interventions of support that seeks to “</w:t>
      </w:r>
      <w:r w:rsidRPr="00B552A2">
        <w:rPr>
          <w:rFonts w:ascii="Arial" w:hAnsi="Arial" w:cs="Arial"/>
          <w:color w:val="000000"/>
          <w:sz w:val="24"/>
          <w:szCs w:val="24"/>
        </w:rPr>
        <w:t xml:space="preserve">fill a gap or bolster what an individual or family has, in order to resolve or alleviate problems’, to strengthen families existing forms of informal social support.” Whilst more generically Lucas and Archard (2020) realise that it is to intervene at the earliest stage to provide support for families who have miscellaneous needs prior to Section 17 involvement. </w:t>
      </w:r>
    </w:p>
    <w:p w14:paraId="1559FAF6" w14:textId="77777777" w:rsidR="005F3595" w:rsidRPr="00B552A2" w:rsidRDefault="005F3595" w:rsidP="005F3595">
      <w:pPr>
        <w:spacing w:line="360" w:lineRule="auto"/>
        <w:rPr>
          <w:rFonts w:ascii="Arial" w:hAnsi="Arial" w:cs="Arial"/>
          <w:color w:val="000000"/>
          <w:sz w:val="24"/>
          <w:szCs w:val="24"/>
        </w:rPr>
      </w:pPr>
      <w:r w:rsidRPr="00B552A2">
        <w:rPr>
          <w:rFonts w:ascii="Arial" w:hAnsi="Arial" w:cs="Arial"/>
          <w:color w:val="000000"/>
          <w:sz w:val="24"/>
          <w:szCs w:val="24"/>
        </w:rPr>
        <w:t xml:space="preserve">The Childrens Act 1989 outlines the importance of ensuring that a child’s Welfare is at the forefront when making decisions about their upbringing.  </w:t>
      </w:r>
      <w:r w:rsidRPr="00B552A2">
        <w:rPr>
          <w:rFonts w:ascii="Arial" w:hAnsi="Arial" w:cs="Arial"/>
          <w:color w:val="000000"/>
          <w:sz w:val="24"/>
          <w:szCs w:val="24"/>
          <w:lang w:val="en"/>
        </w:rPr>
        <w:t xml:space="preserve">Allen (2005) proposes that The Childrens Act 1989 stands out from the multitudes of other legislation and lays out the laws and responsibilities of protecting children. Where Section 17 is considered, it refers to a Child in Need and places wide-ranging duty on the Local authorities to safeguard and promote the welfare of children. Meanwhile, Section 47 relates to those children who are suffering or likely to suffer Risk of Serious Harm (ROSH) whereby, this places duty on the Local Authority to make enquiries and action to be taken ultimately, resulting in a Child Protection Plan. This brings us back to the early point made regarding early intervention whereby, if agencies were to intervene prior to a Section 17 the risk is less likely to escalate to a Section 47 where they are at risk of imminent harm. </w:t>
      </w:r>
    </w:p>
    <w:p w14:paraId="37FD6671" w14:textId="77777777" w:rsidR="005F3595" w:rsidRPr="00B552A2" w:rsidRDefault="005F3595" w:rsidP="005F3595">
      <w:pPr>
        <w:spacing w:line="360" w:lineRule="auto"/>
        <w:rPr>
          <w:rFonts w:ascii="Arial" w:hAnsi="Arial" w:cs="Arial"/>
          <w:sz w:val="24"/>
          <w:szCs w:val="24"/>
        </w:rPr>
      </w:pPr>
      <w:r w:rsidRPr="00B552A2">
        <w:rPr>
          <w:rFonts w:ascii="Arial" w:hAnsi="Arial" w:cs="Arial"/>
          <w:sz w:val="24"/>
          <w:szCs w:val="24"/>
        </w:rPr>
        <w:t xml:space="preserve">When working with children and families, it is imperative to support them according to their needs and identified risks ensuring that effective plans are put in place to promote their welfare however, Munro and Calder (2005) argue that inadequate focus is laid upon the shortages within child protection. Instead, agencies concentrate too much on anticipatory services. It is worth noting that professionals within children’s’ services have much responsibility in various areas which makes it much more difficult for agencies to recognise those children who are at risk of harm. In regards to historical context, Every Child Matters was put in place as a result of children’s’ services inability to protect children from abuse. Every child matter’s seeked to reduce the abuse children endured at the hands of people who are supposed to care about them and while the Lord Laming report pre-empted that this  would be a defining moment pledging that children will be protected, this did not appear to be the case. There have been a number of children since the tragic death of Victoria Climbe that have died due to the lack of protection from agencies and there continues to be failings. The above statement is reinforced by  Munro (2011) who agrees that within the health and social care sectors, there continues to be systemic failings. </w:t>
      </w:r>
    </w:p>
    <w:p w14:paraId="0F4FC3F0" w14:textId="77777777" w:rsidR="005F3595" w:rsidRPr="00B552A2" w:rsidRDefault="005F3595" w:rsidP="005F3595">
      <w:pPr>
        <w:spacing w:line="360" w:lineRule="auto"/>
        <w:rPr>
          <w:rFonts w:ascii="Arial" w:eastAsia="Times New Roman" w:hAnsi="Arial" w:cs="Arial"/>
          <w:sz w:val="24"/>
          <w:szCs w:val="24"/>
          <w:lang w:val="en" w:eastAsia="en-GB"/>
        </w:rPr>
      </w:pPr>
      <w:r w:rsidRPr="00B552A2">
        <w:rPr>
          <w:rFonts w:ascii="Arial" w:hAnsi="Arial" w:cs="Arial"/>
          <w:sz w:val="24"/>
          <w:szCs w:val="24"/>
        </w:rPr>
        <w:t xml:space="preserve">The argument that follows will further explain the failures of child protection services in relation to the more recent deaths of both Baby P and Arthur Labinjo-Huges. In 2007 came the tragic loss of a 17-month-old baby boy who became known as Baby P. Baby P was exposed to abuse which was missed by social workers and health visitors. I was reported that Baby P cause of death was familial homicide which brings us to the point of Contextual Safeguarding. Contextual safeguarding is an approach which recognises that children and young people are at ROSH through abuse beyond their families. The Contextual Safeguarding framework was modified to further develop an enhanced safeguarding response to a number of extra-familial risks which are thought to compromise  the welfare and safety of young people in educational spaces, public spaces, and peer groups (Firmin, 2016). Nonetheless this does not dismiss the fact that children are at risk of significant harm from those adults within the family home. When considering Contextual Safeguarding, it is imperative to note that this framework is embedded with core values which collaboratively take into consideration the need for collaborative working in conjunction with Working Together to Safeguard Young People 2018. Contextual Safeguarding takes into consideration the responsibility parents have to keep children and young people safe and their capacity to do so, responsibility is placed on wider agencies to not only promote safe spaces but to also share pertinent information with one another and sharing information relating to harm and risk. It also submits that focus should be laid upon relationships which include peer friendships but also interaction with family members. </w:t>
      </w:r>
      <w:r w:rsidRPr="00B552A2">
        <w:rPr>
          <w:rFonts w:ascii="Arial" w:eastAsia="Times New Roman" w:hAnsi="Arial" w:cs="Arial"/>
          <w:sz w:val="24"/>
          <w:szCs w:val="24"/>
          <w:lang w:val="en" w:eastAsia="en-GB"/>
        </w:rPr>
        <w:t>Firmin and Lloyd (2020).</w:t>
      </w:r>
    </w:p>
    <w:p w14:paraId="021C7B39" w14:textId="77777777" w:rsidR="005F3595" w:rsidRPr="00B552A2" w:rsidRDefault="005F3595" w:rsidP="005F3595">
      <w:pPr>
        <w:spacing w:line="360" w:lineRule="auto"/>
        <w:rPr>
          <w:rFonts w:ascii="Arial" w:eastAsia="Times New Roman" w:hAnsi="Arial" w:cs="Arial"/>
          <w:sz w:val="24"/>
          <w:szCs w:val="24"/>
          <w:lang w:val="en" w:eastAsia="en-GB"/>
        </w:rPr>
      </w:pPr>
      <w:r w:rsidRPr="00B552A2">
        <w:rPr>
          <w:rFonts w:ascii="Arial" w:eastAsia="Times New Roman" w:hAnsi="Arial" w:cs="Arial"/>
          <w:sz w:val="24"/>
          <w:szCs w:val="24"/>
          <w:lang w:val="en" w:eastAsia="en-GB"/>
        </w:rPr>
        <w:t xml:space="preserve">There have been ongoing concerns and deliberations regarding the level of protection put in place for children. Firmin and Lloyd (2020) recommend that there appear to be inconsistencies in thresholds as to how young people at risk of extra-familial harm are managed across multi-agency partnerships. It is worth mentioning here that it is only when there are concerns relating to parenting in conjunction with extra familial harm that they are place on a Child Protection plan. Whilst the use of Child in Need plans is utilized when there are no parenting concerns. Evidently, this demonstrated how those children that are at risk of significant harm can be missed and made more susceptible to abuse and maltreatment as the relevant signs are not recognized withholding the support that they require.  </w:t>
      </w:r>
    </w:p>
    <w:p w14:paraId="19AFF38E" w14:textId="77777777" w:rsidR="005F3595" w:rsidRPr="00B552A2" w:rsidRDefault="005F3595" w:rsidP="005F3595">
      <w:pPr>
        <w:shd w:val="clear" w:color="auto" w:fill="FFFFFF"/>
        <w:spacing w:after="288" w:line="360" w:lineRule="auto"/>
        <w:rPr>
          <w:rFonts w:ascii="Arial" w:eastAsia="Times New Roman" w:hAnsi="Arial" w:cs="Arial"/>
          <w:color w:val="222222"/>
          <w:sz w:val="24"/>
          <w:szCs w:val="24"/>
          <w:lang w:eastAsia="en-GB"/>
        </w:rPr>
      </w:pPr>
      <w:r w:rsidRPr="003E335E">
        <w:rPr>
          <w:rFonts w:ascii="Arial" w:eastAsia="Times New Roman" w:hAnsi="Arial" w:cs="Arial"/>
          <w:color w:val="222222"/>
          <w:sz w:val="24"/>
          <w:szCs w:val="24"/>
          <w:lang w:val="en" w:eastAsia="en-GB"/>
        </w:rPr>
        <w:t xml:space="preserve">Moreover, the discussion to follow will aim to discuss the failures of keeping Arthur </w:t>
      </w:r>
      <w:r w:rsidRPr="003E335E">
        <w:rPr>
          <w:rFonts w:ascii="Arial" w:eastAsia="Times New Roman" w:hAnsi="Arial" w:cs="Arial"/>
          <w:color w:val="222222"/>
          <w:sz w:val="24"/>
          <w:szCs w:val="24"/>
          <w:lang w:eastAsia="en-GB"/>
        </w:rPr>
        <w:t xml:space="preserve">Labinjo-Huges safe. The six-year-old boy suffered any months of pain inflicted by his father and his father’s partner which led to his death in 2020. Due to the lack of input from services to protect this young boy a national review was called to determine how agencies could better improve services to safeguard and protect children from harm. The case review seeked to scrutinise the duty that social workers have in safeguarding and promoting the welfare of children. It has been mentioned within reports that Arthur’s grandmother had raised concerns in regards to Arthur’s safety which promoted a visit from social workers prior to his death however, the conclusion was that they found no cause for concern. It transpired that the bruising on Arthur were missed and not followed up despite social workers sighting this bruise, it was overlooked. Preston (2020) indicates that Arthur’s death and the management of his care has sparked prevalent discussions within the media in regards to the child protection system and its processes in addition to questions being raise as to why Arthur was not successfully safeguarded from his abusers. </w:t>
      </w:r>
    </w:p>
    <w:p w14:paraId="0E1F4AC2" w14:textId="77777777" w:rsidR="005F3595" w:rsidRPr="00B552A2" w:rsidRDefault="005F3595" w:rsidP="005F3595">
      <w:pPr>
        <w:shd w:val="clear" w:color="auto" w:fill="FFFFFF"/>
        <w:spacing w:after="288" w:line="360" w:lineRule="auto"/>
        <w:rPr>
          <w:rFonts w:ascii="Arial" w:eastAsia="Times New Roman" w:hAnsi="Arial" w:cs="Arial"/>
          <w:color w:val="222222"/>
          <w:sz w:val="24"/>
          <w:szCs w:val="24"/>
          <w:lang w:eastAsia="en-GB"/>
        </w:rPr>
      </w:pPr>
      <w:r w:rsidRPr="00B552A2">
        <w:rPr>
          <w:rFonts w:ascii="Arial" w:eastAsia="Times New Roman" w:hAnsi="Arial" w:cs="Arial"/>
          <w:color w:val="222222"/>
          <w:sz w:val="24"/>
          <w:szCs w:val="24"/>
          <w:lang w:eastAsia="en-GB"/>
        </w:rPr>
        <w:t xml:space="preserve">In addition to the above-mentioned case of Arthur, it is worth mentioning the difficulties to see families face to face in the height of the pandemic due to restrictions that were put in place. Visitors were forbidden, professionals were advised to work from home and of course lockdown was implanted in the initial stages of the Covid – 19 pandemic of March 2020 (Department for Education, 2020). It was highlighted by Cook and Zschomler (2020) that social workers were to see families virtually whilst decisions were made by management that those children who were place on Child Protection Plans were to be visited face to face. One of the key questions is this, why are social workers not using creative and innovate ways to engage these children and families despite the restrictions that occurred due to the pandemic? The case of Arthur undeniably, calls for the necessity for better understanding of likely occurrences and restrictions that attempt to prohibit interactions with children who are at significant harm and social workers/professionals (Ferguson et al 2022). Yet, it must be noted that other professionals are creative in their way of thinking and find ways of overcoming such barriers by  improvising and finding alternative ways to engage children and support families via technology or conducting walking interviews in outdoor spaces beyond the family home (Ferguson et al, 2022). </w:t>
      </w:r>
    </w:p>
    <w:p w14:paraId="6183B97C" w14:textId="77777777" w:rsidR="005F3595" w:rsidRPr="00B552A2" w:rsidRDefault="005F3595" w:rsidP="005F3595">
      <w:pPr>
        <w:spacing w:line="360" w:lineRule="auto"/>
        <w:rPr>
          <w:rFonts w:ascii="Arial" w:hAnsi="Arial" w:cs="Arial"/>
          <w:color w:val="747F8B"/>
          <w:sz w:val="24"/>
          <w:szCs w:val="24"/>
          <w:lang w:val="en"/>
        </w:rPr>
      </w:pPr>
    </w:p>
    <w:p w14:paraId="156FAF0E" w14:textId="77777777" w:rsidR="005F3595" w:rsidRPr="00B552A2" w:rsidRDefault="005F3595" w:rsidP="005F3595">
      <w:pPr>
        <w:spacing w:line="360" w:lineRule="auto"/>
        <w:rPr>
          <w:rFonts w:ascii="Arial" w:hAnsi="Arial" w:cs="Arial"/>
          <w:sz w:val="24"/>
          <w:szCs w:val="24"/>
        </w:rPr>
      </w:pPr>
      <w:r w:rsidRPr="00B552A2">
        <w:rPr>
          <w:rFonts w:ascii="Arial" w:eastAsia="Times New Roman" w:hAnsi="Arial" w:cs="Arial"/>
          <w:color w:val="222222"/>
          <w:sz w:val="24"/>
          <w:szCs w:val="24"/>
          <w:lang w:eastAsia="en-GB"/>
        </w:rPr>
        <w:t xml:space="preserve">It appears that there are similarities with the case of Baby P and Arthur as they were placed at significant risk by family members which demonstrated the ongoing concerns around child familial homicide. </w:t>
      </w:r>
      <w:r w:rsidRPr="00B552A2">
        <w:rPr>
          <w:rFonts w:ascii="Arial" w:hAnsi="Arial" w:cs="Arial"/>
          <w:sz w:val="24"/>
          <w:szCs w:val="24"/>
        </w:rPr>
        <w:t xml:space="preserve">Historically, Nigel Parton (1985) defined familial child homicide as ‘Moral Panic’ when considering the death of Maria Colwell in 1973. The theory of Moral Panic was first discussed by Stanley Cohen in his book Folk Devils and Moral Panic (1964) which seeked to focus on the public reactions in regard to the youth subculture groups Mods and the Rockers. Cohen described Moral Panic as being threats to social order and things that create panic within society. In the case of Baby P moral panic was created around abuse inflicted by adults who are genetically aligned with this child whereby, public and children’s’ services became fearful of abuse and homicide inflicted by family. </w:t>
      </w:r>
    </w:p>
    <w:p w14:paraId="789B59DD" w14:textId="77777777" w:rsidR="005F3595" w:rsidRPr="00B552A2" w:rsidRDefault="005F3595" w:rsidP="005F3595">
      <w:pPr>
        <w:tabs>
          <w:tab w:val="left" w:pos="2750"/>
        </w:tabs>
        <w:spacing w:line="360" w:lineRule="auto"/>
        <w:rPr>
          <w:rFonts w:ascii="Arial" w:hAnsi="Arial" w:cs="Arial"/>
          <w:sz w:val="24"/>
          <w:szCs w:val="24"/>
        </w:rPr>
      </w:pPr>
    </w:p>
    <w:p w14:paraId="7AD372CF" w14:textId="77777777" w:rsidR="005F3595" w:rsidRPr="00B552A2" w:rsidRDefault="005F3595" w:rsidP="005F3595">
      <w:pPr>
        <w:tabs>
          <w:tab w:val="left" w:pos="2750"/>
        </w:tabs>
        <w:spacing w:line="360" w:lineRule="auto"/>
        <w:rPr>
          <w:rFonts w:ascii="Arial" w:hAnsi="Arial" w:cs="Arial"/>
          <w:sz w:val="24"/>
          <w:szCs w:val="24"/>
          <w:lang w:val="en"/>
        </w:rPr>
      </w:pPr>
      <w:r w:rsidRPr="00B552A2">
        <w:rPr>
          <w:rFonts w:ascii="Arial" w:hAnsi="Arial" w:cs="Arial"/>
          <w:sz w:val="24"/>
          <w:szCs w:val="24"/>
        </w:rPr>
        <w:t xml:space="preserve">It is ghastly to think that poor support services are not being highlighted and headlined in newspapers or on social media but instead, critical headlines are being triggered by the death of a child </w:t>
      </w:r>
      <w:r w:rsidRPr="00B552A2">
        <w:rPr>
          <w:rFonts w:ascii="Arial" w:hAnsi="Arial" w:cs="Arial"/>
          <w:sz w:val="24"/>
          <w:szCs w:val="24"/>
          <w:lang w:val="en"/>
        </w:rPr>
        <w:t xml:space="preserve">Munro and Calder (2005). Despite the change in Legislation and Policy it has been difficult to grasp which of the countless changes are going to in fact make a positive impact on protecting victims of abuse. The Common Assessment Framework has been introduced to ensure that a thorough assessment is completed to address and identify all needs of children that come to professionals’ attention. Another reason behind CAF completion is to better improve interprofessional collaboration. Notwithstanding, professionals are not to utilise CAF in child abuse cases as Munro and Calder (2005) quite rightly point out that this assessment does not clearly assist with helping professionals come to a decision as to whether a child in need should be considered a case in need of protection.  </w:t>
      </w:r>
    </w:p>
    <w:p w14:paraId="1CE87566" w14:textId="77777777" w:rsidR="005F3595" w:rsidRPr="00B552A2" w:rsidRDefault="005F3595" w:rsidP="005F3595">
      <w:pPr>
        <w:tabs>
          <w:tab w:val="left" w:pos="2750"/>
        </w:tabs>
        <w:spacing w:line="360" w:lineRule="auto"/>
        <w:rPr>
          <w:rFonts w:ascii="Arial" w:hAnsi="Arial" w:cs="Arial"/>
          <w:sz w:val="24"/>
          <w:szCs w:val="24"/>
          <w:shd w:val="clear" w:color="auto" w:fill="FFFF00"/>
          <w:lang w:val="en"/>
        </w:rPr>
      </w:pPr>
      <w:r w:rsidRPr="00B552A2">
        <w:rPr>
          <w:rFonts w:ascii="Arial" w:hAnsi="Arial" w:cs="Arial"/>
          <w:sz w:val="24"/>
          <w:szCs w:val="24"/>
          <w:lang w:val="en"/>
        </w:rPr>
        <w:t xml:space="preserve">Furthermore, several changes have been made to social care which focus on risk of harm which have often been initiated by high-profile child welfare cases. This means that the independent review into children’s social care have the ability to redesign the system in a way that effectively responds to the needs of children and families now and in the future (Parton, 2014). By redesigning the way in which professionals respond this would possibly reduce the number of deaths amongst children and further safeguard them from harm.  </w:t>
      </w:r>
    </w:p>
    <w:p w14:paraId="1CEC89D2" w14:textId="77777777" w:rsidR="005F3595" w:rsidRPr="00B552A2" w:rsidRDefault="005F3595" w:rsidP="005F3595">
      <w:pPr>
        <w:tabs>
          <w:tab w:val="left" w:pos="2750"/>
        </w:tabs>
        <w:spacing w:line="360" w:lineRule="auto"/>
        <w:rPr>
          <w:rFonts w:ascii="Arial" w:hAnsi="Arial" w:cs="Arial"/>
          <w:sz w:val="24"/>
          <w:szCs w:val="24"/>
          <w:lang w:val="en"/>
        </w:rPr>
      </w:pPr>
      <w:r w:rsidRPr="00B552A2">
        <w:rPr>
          <w:rFonts w:ascii="Arial" w:hAnsi="Arial" w:cs="Arial"/>
          <w:sz w:val="24"/>
          <w:szCs w:val="24"/>
          <w:lang w:val="en"/>
        </w:rPr>
        <w:t xml:space="preserve">It is important to recognize that if families were supported to meet their basic needs this would too reduce the effects of poverty therefore, social services should also make an effort to ensure that children and families are adequately clothed, have housing and have reliable funds for food (Loman and Siegel, 2012). This relates to Maslow’s (1943) five tier model Hierarchy of needs whereby Maslow discusses the need to meet the basic needs which include food, water, and warmth in order to move to the next stage in the hierarchy. Maslow </w:t>
      </w:r>
      <w:r w:rsidRPr="00B552A2">
        <w:rPr>
          <w:rFonts w:ascii="Arial" w:hAnsi="Arial" w:cs="Arial"/>
          <w:sz w:val="24"/>
          <w:szCs w:val="24"/>
        </w:rPr>
        <w:t xml:space="preserve">(1987, p71) </w:t>
      </w:r>
      <w:r w:rsidRPr="00B552A2">
        <w:rPr>
          <w:rFonts w:ascii="Arial" w:hAnsi="Arial" w:cs="Arial"/>
          <w:sz w:val="24"/>
          <w:szCs w:val="24"/>
          <w:lang w:val="en"/>
        </w:rPr>
        <w:t>progresses to state that “</w:t>
      </w:r>
      <w:r w:rsidRPr="00B552A2">
        <w:rPr>
          <w:rFonts w:ascii="Arial" w:hAnsi="Arial" w:cs="Arial"/>
          <w:sz w:val="24"/>
          <w:szCs w:val="24"/>
        </w:rPr>
        <w:t>most behaviour is multi-motivated and noted that “any behaviour tends to be determined by several or all of the basic needs simultaneously rather than by only one of them.”</w:t>
      </w:r>
    </w:p>
    <w:p w14:paraId="397006DF" w14:textId="77777777" w:rsidR="005F3595" w:rsidRPr="00B552A2" w:rsidRDefault="005F3595" w:rsidP="005F3595">
      <w:pPr>
        <w:spacing w:line="360" w:lineRule="auto"/>
        <w:rPr>
          <w:rFonts w:ascii="Arial" w:hAnsi="Arial" w:cs="Arial"/>
          <w:sz w:val="24"/>
          <w:szCs w:val="24"/>
          <w:lang w:val="en"/>
        </w:rPr>
      </w:pPr>
    </w:p>
    <w:p w14:paraId="19C45ABA" w14:textId="77777777" w:rsidR="005F3595" w:rsidRPr="00B552A2" w:rsidRDefault="005F3595" w:rsidP="005F3595">
      <w:pPr>
        <w:spacing w:line="360" w:lineRule="auto"/>
        <w:rPr>
          <w:rFonts w:ascii="Arial" w:hAnsi="Arial" w:cs="Arial"/>
          <w:b/>
          <w:bCs/>
          <w:sz w:val="24"/>
          <w:szCs w:val="24"/>
          <w:u w:val="single"/>
        </w:rPr>
      </w:pPr>
      <w:r w:rsidRPr="00B552A2">
        <w:rPr>
          <w:rFonts w:ascii="Arial" w:hAnsi="Arial" w:cs="Arial"/>
          <w:b/>
          <w:bCs/>
          <w:sz w:val="24"/>
          <w:szCs w:val="24"/>
          <w:u w:val="single"/>
        </w:rPr>
        <w:t xml:space="preserve">Conclusion </w:t>
      </w:r>
    </w:p>
    <w:p w14:paraId="1CD95083" w14:textId="77777777" w:rsidR="005F3595" w:rsidRPr="00B552A2" w:rsidRDefault="005F3595" w:rsidP="005F3595">
      <w:pPr>
        <w:spacing w:line="360" w:lineRule="auto"/>
        <w:rPr>
          <w:rFonts w:ascii="Arial" w:hAnsi="Arial" w:cs="Arial"/>
          <w:sz w:val="24"/>
          <w:szCs w:val="24"/>
        </w:rPr>
      </w:pPr>
      <w:r w:rsidRPr="00B552A2">
        <w:rPr>
          <w:rFonts w:ascii="Arial" w:hAnsi="Arial" w:cs="Arial"/>
          <w:sz w:val="24"/>
          <w:szCs w:val="24"/>
        </w:rPr>
        <w:t xml:space="preserve">In conclusion this piece has successfully made relevant links to a safeguarding policies and legislation making mention to theoretical concepts such a Moral Panic, Maslow’s hierarchy of needs and the Common Assessment framework. It has made successful links to The Childrens Act 1989, Working together to safeguard children 2018 as well as extensive discussions around contextual safeguarding as it related to the two chosen cases of abuse. Pertinent links have been made to the Victoria Climbie case which seeked to set historical context and how this case impacted legislation such as the Lord Laming Report and Every Child Matters framework. Critique has been offered throughout this piece in terms of the implications of Covid 19 on Arthur’s case and the how Social Workers could have found innovative ways to manage this case better further supported by authors. Links were made to child familial homicide to both cases mentioned in this piece to highlight and raise awareness of how children can be at significant harm within their family homes. </w:t>
      </w:r>
    </w:p>
    <w:p w14:paraId="57F27B3E" w14:textId="77777777" w:rsidR="005F3595" w:rsidRPr="00B552A2" w:rsidRDefault="005F3595" w:rsidP="005F3595">
      <w:pPr>
        <w:spacing w:line="360" w:lineRule="auto"/>
        <w:rPr>
          <w:rFonts w:ascii="Arial" w:hAnsi="Arial" w:cs="Arial"/>
          <w:b/>
          <w:bCs/>
          <w:sz w:val="24"/>
          <w:szCs w:val="24"/>
          <w:u w:val="single"/>
        </w:rPr>
      </w:pPr>
    </w:p>
    <w:p w14:paraId="0C6EE892" w14:textId="77777777" w:rsidR="005F3595" w:rsidRPr="00B552A2" w:rsidRDefault="005F3595" w:rsidP="005F3595">
      <w:pPr>
        <w:spacing w:line="360" w:lineRule="auto"/>
        <w:rPr>
          <w:rFonts w:ascii="Arial" w:hAnsi="Arial" w:cs="Arial"/>
          <w:b/>
          <w:bCs/>
          <w:sz w:val="24"/>
          <w:szCs w:val="24"/>
          <w:u w:val="single"/>
        </w:rPr>
      </w:pPr>
    </w:p>
    <w:p w14:paraId="15DCE3DC" w14:textId="77777777" w:rsidR="005F3595" w:rsidRPr="00B552A2" w:rsidRDefault="005F3595" w:rsidP="005F3595">
      <w:pPr>
        <w:spacing w:line="360" w:lineRule="auto"/>
        <w:rPr>
          <w:rFonts w:ascii="Arial" w:hAnsi="Arial" w:cs="Arial"/>
          <w:b/>
          <w:bCs/>
          <w:sz w:val="24"/>
          <w:szCs w:val="24"/>
          <w:u w:val="single"/>
        </w:rPr>
      </w:pPr>
    </w:p>
    <w:p w14:paraId="561E38F3" w14:textId="77777777" w:rsidR="005F3595" w:rsidRPr="00B552A2" w:rsidRDefault="005F3595" w:rsidP="005F3595">
      <w:pPr>
        <w:spacing w:line="360" w:lineRule="auto"/>
        <w:rPr>
          <w:rFonts w:ascii="Arial" w:hAnsi="Arial" w:cs="Arial"/>
          <w:b/>
          <w:bCs/>
          <w:sz w:val="24"/>
          <w:szCs w:val="24"/>
          <w:u w:val="single"/>
        </w:rPr>
      </w:pPr>
    </w:p>
    <w:p w14:paraId="607BADCC" w14:textId="77777777" w:rsidR="005F3595" w:rsidRPr="00B552A2" w:rsidRDefault="005F3595" w:rsidP="005F3595">
      <w:pPr>
        <w:spacing w:line="360" w:lineRule="auto"/>
        <w:rPr>
          <w:rFonts w:ascii="Arial" w:hAnsi="Arial" w:cs="Arial"/>
          <w:b/>
          <w:bCs/>
          <w:sz w:val="24"/>
          <w:szCs w:val="24"/>
          <w:u w:val="single"/>
        </w:rPr>
      </w:pPr>
    </w:p>
    <w:p w14:paraId="03C75E0E" w14:textId="77777777" w:rsidR="005F3595" w:rsidRPr="00B552A2" w:rsidRDefault="005F3595" w:rsidP="005F3595">
      <w:pPr>
        <w:spacing w:line="360" w:lineRule="auto"/>
        <w:rPr>
          <w:rFonts w:ascii="Arial" w:hAnsi="Arial" w:cs="Arial"/>
          <w:b/>
          <w:bCs/>
          <w:sz w:val="24"/>
          <w:szCs w:val="24"/>
          <w:u w:val="single"/>
        </w:rPr>
      </w:pPr>
    </w:p>
    <w:p w14:paraId="126FE4A1" w14:textId="77777777" w:rsidR="005F3595" w:rsidRPr="00B552A2" w:rsidRDefault="005F3595" w:rsidP="005F3595">
      <w:pPr>
        <w:spacing w:line="360" w:lineRule="auto"/>
        <w:rPr>
          <w:rFonts w:ascii="Arial" w:hAnsi="Arial" w:cs="Arial"/>
          <w:b/>
          <w:bCs/>
          <w:sz w:val="24"/>
          <w:szCs w:val="24"/>
          <w:u w:val="single"/>
        </w:rPr>
      </w:pPr>
    </w:p>
    <w:p w14:paraId="69A2A809" w14:textId="77777777" w:rsidR="005F3595" w:rsidRPr="00B552A2" w:rsidRDefault="005F3595" w:rsidP="005F3595">
      <w:pPr>
        <w:spacing w:line="360" w:lineRule="auto"/>
        <w:rPr>
          <w:rFonts w:ascii="Arial" w:hAnsi="Arial" w:cs="Arial"/>
          <w:b/>
          <w:bCs/>
          <w:sz w:val="24"/>
          <w:szCs w:val="24"/>
          <w:u w:val="single"/>
        </w:rPr>
      </w:pPr>
    </w:p>
    <w:p w14:paraId="20156046" w14:textId="77777777" w:rsidR="005F3595" w:rsidRPr="00B552A2" w:rsidRDefault="005F3595" w:rsidP="005F3595">
      <w:pPr>
        <w:spacing w:line="360" w:lineRule="auto"/>
        <w:rPr>
          <w:rFonts w:ascii="Arial" w:hAnsi="Arial" w:cs="Arial"/>
          <w:b/>
          <w:bCs/>
          <w:sz w:val="24"/>
          <w:szCs w:val="24"/>
          <w:u w:val="single"/>
        </w:rPr>
      </w:pPr>
    </w:p>
    <w:p w14:paraId="6F1B32B2" w14:textId="77777777" w:rsidR="005F3595" w:rsidRPr="00B552A2" w:rsidRDefault="005F3595" w:rsidP="005F3595">
      <w:pPr>
        <w:spacing w:line="360" w:lineRule="auto"/>
        <w:rPr>
          <w:rFonts w:ascii="Arial" w:hAnsi="Arial" w:cs="Arial"/>
          <w:b/>
          <w:bCs/>
          <w:sz w:val="24"/>
          <w:szCs w:val="24"/>
          <w:u w:val="single"/>
        </w:rPr>
      </w:pPr>
    </w:p>
    <w:p w14:paraId="5E585677" w14:textId="77777777" w:rsidR="008F08E8" w:rsidRDefault="005F3595"/>
    <w:sectPr w:rsidR="008F08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3595"/>
    <w:rsid w:val="0007249C"/>
    <w:rsid w:val="001D4742"/>
    <w:rsid w:val="003A61FA"/>
    <w:rsid w:val="005F3595"/>
    <w:rsid w:val="00683D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63391"/>
  <w15:chartTrackingRefBased/>
  <w15:docId w15:val="{DDF1BD71-3206-452F-A0B5-E01CB12EF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359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2246</Words>
  <Characters>12806</Characters>
  <Application>Microsoft Office Word</Application>
  <DocSecurity>0</DocSecurity>
  <Lines>106</Lines>
  <Paragraphs>30</Paragraphs>
  <ScaleCrop>false</ScaleCrop>
  <Company/>
  <LinksUpToDate>false</LinksUpToDate>
  <CharactersWithSpaces>15022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Charnelle Ricketts</dc:creator>
  <cp:keywords/>
  <dc:description/>
  <cp:lastModifiedBy>Charnelle Ricketts</cp:lastModifiedBy>
  <cp:revision>1</cp:revision>
  <dcterms:created xsi:type="dcterms:W3CDTF">2022-11-18T14:27:00Z</dcterms:created>
  <dcterms:modified xsi:type="dcterms:W3CDTF">2022-11-18T14:27:00Z</dcterms:modified>
</cp:coreProperties>
</file>