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0" w:line="276"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2">
      <w:pPr>
        <w:spacing w:after="0" w:line="276"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3">
      <w:pPr>
        <w:spacing w:after="0" w:line="276"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4">
      <w:pPr>
        <w:spacing w:after="0" w:line="276"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5">
      <w:pPr>
        <w:spacing w:after="0" w:line="276"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6">
      <w:pPr>
        <w:spacing w:after="0" w:line="276"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7">
      <w:pPr>
        <w:spacing w:after="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3795713" cy="1330391"/>
            <wp:effectExtent b="0" l="0" r="0" t="0"/>
            <wp:docPr id="17" name="image18.png"/>
            <a:graphic>
              <a:graphicData uri="http://schemas.openxmlformats.org/drawingml/2006/picture">
                <pic:pic>
                  <pic:nvPicPr>
                    <pic:cNvPr id="0" name="image18.png"/>
                    <pic:cNvPicPr preferRelativeResize="0"/>
                  </pic:nvPicPr>
                  <pic:blipFill>
                    <a:blip r:embed="rId6"/>
                    <a:srcRect b="0" l="0" r="0" t="0"/>
                    <a:stretch>
                      <a:fillRect/>
                    </a:stretch>
                  </pic:blipFill>
                  <pic:spPr>
                    <a:xfrm>
                      <a:off x="0" y="0"/>
                      <a:ext cx="3795713" cy="1330391"/>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spacing w:after="0" w:line="276" w:lineRule="auto"/>
        <w:jc w:val="left"/>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9">
      <w:pPr>
        <w:spacing w:after="0" w:line="276" w:lineRule="auto"/>
        <w:jc w:val="center"/>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0A">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Student Name:  Varsha Garo</w:t>
      </w:r>
    </w:p>
    <w:p w:rsidR="00000000" w:rsidDel="00000000" w:rsidP="00000000" w:rsidRDefault="00000000" w:rsidRPr="00000000" w14:paraId="0000000B">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 </w:t>
      </w:r>
    </w:p>
    <w:p w:rsidR="00000000" w:rsidDel="00000000" w:rsidP="00000000" w:rsidRDefault="00000000" w:rsidRPr="00000000" w14:paraId="0000000C">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Student ID: 2538416</w:t>
      </w:r>
    </w:p>
    <w:p w:rsidR="00000000" w:rsidDel="00000000" w:rsidP="00000000" w:rsidRDefault="00000000" w:rsidRPr="00000000" w14:paraId="0000000D">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tl w:val="0"/>
        </w:rPr>
      </w:r>
    </w:p>
    <w:p w:rsidR="00000000" w:rsidDel="00000000" w:rsidP="00000000" w:rsidRDefault="00000000" w:rsidRPr="00000000" w14:paraId="0000000E">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Chosen company: PPHE</w:t>
      </w:r>
    </w:p>
    <w:p w:rsidR="00000000" w:rsidDel="00000000" w:rsidP="00000000" w:rsidRDefault="00000000" w:rsidRPr="00000000" w14:paraId="0000000F">
      <w:pPr>
        <w:spacing w:after="0" w:line="276" w:lineRule="auto"/>
        <w:jc w:val="cente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10">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Programme: Master of Business administration</w:t>
      </w:r>
    </w:p>
    <w:p w:rsidR="00000000" w:rsidDel="00000000" w:rsidP="00000000" w:rsidRDefault="00000000" w:rsidRPr="00000000" w14:paraId="00000011">
      <w:pPr>
        <w:spacing w:after="0" w:line="276" w:lineRule="auto"/>
        <w:jc w:val="center"/>
        <w:rPr>
          <w:rFonts w:ascii="Times New Roman" w:cs="Times New Roman" w:eastAsia="Times New Roman" w:hAnsi="Times New Roman"/>
          <w:color w:val="000000"/>
          <w:sz w:val="28"/>
          <w:szCs w:val="28"/>
        </w:rPr>
      </w:pPr>
      <w:r w:rsidDel="00000000" w:rsidR="00000000" w:rsidRPr="00000000">
        <w:rPr>
          <w:rtl w:val="0"/>
        </w:rPr>
      </w:r>
    </w:p>
    <w:p w:rsidR="00000000" w:rsidDel="00000000" w:rsidP="00000000" w:rsidRDefault="00000000" w:rsidRPr="00000000" w14:paraId="00000012">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Module Name:  Financial Management</w:t>
      </w:r>
    </w:p>
    <w:p w:rsidR="00000000" w:rsidDel="00000000" w:rsidP="00000000" w:rsidRDefault="00000000" w:rsidRPr="00000000" w14:paraId="00000013">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tl w:val="0"/>
        </w:rPr>
      </w:r>
    </w:p>
    <w:p w:rsidR="00000000" w:rsidDel="00000000" w:rsidP="00000000" w:rsidRDefault="00000000" w:rsidRPr="00000000" w14:paraId="00000014">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Module Code:LCMB7002 </w:t>
      </w:r>
    </w:p>
    <w:p w:rsidR="00000000" w:rsidDel="00000000" w:rsidP="00000000" w:rsidRDefault="00000000" w:rsidRPr="00000000" w14:paraId="00000015">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tl w:val="0"/>
        </w:rPr>
      </w:r>
    </w:p>
    <w:p w:rsidR="00000000" w:rsidDel="00000000" w:rsidP="00000000" w:rsidRDefault="00000000" w:rsidRPr="00000000" w14:paraId="00000016">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Lecturer’s Name: M. D Kalam</w:t>
      </w:r>
    </w:p>
    <w:p w:rsidR="00000000" w:rsidDel="00000000" w:rsidP="00000000" w:rsidRDefault="00000000" w:rsidRPr="00000000" w14:paraId="00000017">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tl w:val="0"/>
        </w:rPr>
      </w:r>
    </w:p>
    <w:p w:rsidR="00000000" w:rsidDel="00000000" w:rsidP="00000000" w:rsidRDefault="00000000" w:rsidRPr="00000000" w14:paraId="00000018">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Submission deadline: 13th August 2026</w:t>
      </w:r>
    </w:p>
    <w:p w:rsidR="00000000" w:rsidDel="00000000" w:rsidP="00000000" w:rsidRDefault="00000000" w:rsidRPr="00000000" w14:paraId="00000019">
      <w:pPr>
        <w:spacing w:after="0" w:line="276" w:lineRule="auto"/>
        <w:jc w:val="left"/>
        <w:rPr>
          <w:rFonts w:ascii="Times New Roman" w:cs="Times New Roman" w:eastAsia="Times New Roman" w:hAnsi="Times New Roman"/>
          <w:b w:val="1"/>
          <w:bCs w:val="1"/>
          <w:color w:val="000000"/>
          <w:sz w:val="28"/>
          <w:szCs w:val="28"/>
        </w:rPr>
      </w:pPr>
      <w:r w:rsidDel="00000000" w:rsidR="00000000" w:rsidRPr="00000000">
        <w:rPr>
          <w:rtl w:val="0"/>
        </w:rPr>
      </w:r>
    </w:p>
    <w:p w:rsidR="00000000" w:rsidDel="00000000" w:rsidP="00000000" w:rsidRDefault="00000000" w:rsidRPr="00000000" w14:paraId="0000001A">
      <w:pPr>
        <w:spacing w:after="0" w:line="276" w:lineRule="auto"/>
        <w:jc w:val="center"/>
        <w:rPr>
          <w:rFonts w:ascii="Times New Roman" w:cs="Times New Roman" w:eastAsia="Times New Roman" w:hAnsi="Times New Roman"/>
          <w:b w:val="1"/>
          <w:bCs w:val="1"/>
          <w:color w:val="000000"/>
          <w:sz w:val="28"/>
          <w:szCs w:val="28"/>
        </w:rPr>
      </w:pPr>
      <w:r w:rsidDel="00000000" w:rsidR="00000000" w:rsidRPr="00000000">
        <w:rPr>
          <w:rFonts w:ascii="Times New Roman" w:cs="Times New Roman" w:eastAsia="Times New Roman" w:hAnsi="Times New Roman"/>
          <w:b w:val="1"/>
          <w:bCs w:val="1"/>
          <w:color w:val="000000"/>
          <w:sz w:val="28"/>
          <w:szCs w:val="28"/>
          <w:rtl w:val="0"/>
        </w:rPr>
        <w:t xml:space="preserve">Work Count: 4778</w:t>
      </w:r>
    </w:p>
    <w:p w:rsidR="00000000" w:rsidDel="00000000" w:rsidP="00000000" w:rsidRDefault="00000000" w:rsidRPr="00000000" w14:paraId="0000001B">
      <w:pPr>
        <w:spacing w:after="0" w:line="276" w:lineRule="auto"/>
        <w:jc w:val="center"/>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1C">
      <w:pPr>
        <w:spacing w:after="0" w:line="276" w:lineRule="auto"/>
        <w:jc w:val="center"/>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1D">
      <w:pPr>
        <w:spacing w:after="0" w:line="276" w:lineRule="auto"/>
        <w:jc w:val="center"/>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1E">
      <w:pPr>
        <w:spacing w:after="0" w:line="276" w:lineRule="auto"/>
        <w:jc w:val="center"/>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1F">
      <w:pPr>
        <w:spacing w:after="0" w:line="276" w:lineRule="auto"/>
        <w:jc w:val="center"/>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20">
      <w:pPr>
        <w:spacing w:after="480" w:line="276" w:lineRule="auto"/>
        <w:rPr>
          <w:rFonts w:ascii="Times New Roman" w:cs="Times New Roman" w:eastAsia="Times New Roman" w:hAnsi="Times New Roman"/>
          <w:color w:val="000000"/>
        </w:rPr>
        <w:sectPr>
          <w:pgSz w:h="16838" w:w="11906" w:orient="portrait"/>
          <w:pgMar w:bottom="1440" w:top="1440" w:left="1440" w:right="1440" w:header="709" w:footer="709"/>
          <w:pgNumType w:start="1"/>
        </w:sectPr>
      </w:pPr>
      <w:r w:rsidDel="00000000" w:rsidR="00000000" w:rsidRPr="00000000">
        <w:rPr>
          <w:rtl w:val="0"/>
        </w:rPr>
      </w:r>
    </w:p>
    <w:p w:rsidR="00000000" w:rsidDel="00000000" w:rsidP="00000000" w:rsidRDefault="00000000" w:rsidRPr="00000000" w14:paraId="00000021">
      <w:pPr>
        <w:spacing w:line="276" w:lineRule="auto"/>
        <w:rPr>
          <w:rFonts w:ascii="Times New Roman" w:cs="Times New Roman" w:eastAsia="Times New Roman" w:hAnsi="Times New Roman"/>
          <w:b w:val="1"/>
          <w:bCs w:val="1"/>
          <w:color w:val="000000"/>
        </w:rPr>
      </w:pPr>
      <w:r w:rsidDel="00000000" w:rsidR="00000000" w:rsidRPr="00000000">
        <w:rPr>
          <w:rFonts w:ascii="Times New Roman" w:cs="Times New Roman" w:eastAsia="Times New Roman" w:hAnsi="Times New Roman"/>
          <w:b w:val="1"/>
          <w:bCs w:val="1"/>
          <w:color w:val="000000"/>
          <w:rtl w:val="0"/>
        </w:rPr>
        <w:t xml:space="preserve">Table of Contents</w:t>
      </w:r>
    </w:p>
    <w:sdt>
      <w:sdtPr>
        <w:id w:val="1436407256"/>
        <w:docPartObj>
          <w:docPartGallery w:val="Table of Contents"/>
          <w:docPartUnique w:val="1"/>
        </w:docPartObj>
      </w:sdtPr>
      <w:sdtContent>
        <w:p w:rsidR="00000000" w:rsidDel="00000000" w:rsidP="00000000" w:rsidRDefault="00000000" w:rsidRPr="00000000" w14:paraId="00000022">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2,1,Heading 3,2,Heading 6,6,"</w:instrText>
            <w:fldChar w:fldCharType="separate"/>
          </w:r>
          <w:hyperlink w:anchor="_p12rdm29llua">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Executive Summary</w:t>
              <w:tab/>
              <w:t xml:space="preserve">4</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hz56iho0297h">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1. Introduction</w:t>
              <w:tab/>
              <w:t xml:space="preserve">5</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d3n8hgjq799k">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2. Financial Health Check</w:t>
              <w:tab/>
              <w:t xml:space="preserve">5</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3vg7sfdefjy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2.1 Basis of analysis and headline performance</w:t>
              <w:tab/>
              <w:t xml:space="preserve">5</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jpgop08ui95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2.2 Profitability and cash-flow quality</w:t>
              <w:tab/>
              <w:t xml:space="preserve">6</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hdn0oz8kzqd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2.3 Liquidity and industry comparison</w:t>
              <w:tab/>
              <w:t xml:space="preserve">7</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ysnrj4k2yfm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2.4 Efficiency, leverage and investment ratios</w:t>
              <w:tab/>
              <w:t xml:space="preserve">8</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4hww7bjj9w0a">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3. Working Capital Management Analysis</w:t>
              <w:tab/>
              <w:t xml:space="preserve">9</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b0z3rx6hqsty">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3.1 Cash operating cycle</w:t>
              <w:tab/>
              <w:t xml:space="preserve">9</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ggdhn9dhvl5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3.2 Recommended reforms</w:t>
              <w:tab/>
              <w:t xml:space="preserve">10</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typ9ts8yfyg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3.3 Short-term versus long-term finance</w:t>
              <w:tab/>
              <w:t xml:space="preserve">10</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navchxma2zkd">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4. Strategic Financial Restructuring Plan</w:t>
              <w:tab/>
              <w:t xml:space="preserve">11</w:t>
            </w:r>
          </w:hyperlink>
          <w:r w:rsidDel="00000000" w:rsidR="00000000" w:rsidRPr="00000000">
            <w:rPr>
              <w:rtl w:val="0"/>
            </w:rPr>
          </w:r>
        </w:p>
        <w:p w:rsidR="00000000" w:rsidDel="00000000" w:rsidP="00000000" w:rsidRDefault="00000000" w:rsidRPr="00000000" w14:paraId="0000002E">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449wp22wog5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4.1 Recommended sequence</w:t>
              <w:tab/>
              <w:t xml:space="preserve">11</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feud4brssg0o">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4.2 International, ethical and shareholder considerations</w:t>
              <w:tab/>
              <w:t xml:space="preserve">12</w:t>
            </w:r>
          </w:hyperlink>
          <w:r w:rsidDel="00000000" w:rsidR="00000000" w:rsidRPr="00000000">
            <w:rPr>
              <w:rtl w:val="0"/>
            </w:rPr>
          </w:r>
        </w:p>
        <w:p w:rsidR="00000000" w:rsidDel="00000000" w:rsidP="00000000" w:rsidRDefault="00000000" w:rsidRPr="00000000" w14:paraId="00000030">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r4xw78bd9o09">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5. Investment Appraisal and Capital Budgeting</w:t>
              <w:tab/>
              <w:t xml:space="preserve">12</w:t>
            </w:r>
          </w:hyperlink>
          <w:r w:rsidDel="00000000" w:rsidR="00000000" w:rsidRPr="00000000">
            <w:rPr>
              <w:rtl w:val="0"/>
            </w:rPr>
          </w:r>
        </w:p>
        <w:p w:rsidR="00000000" w:rsidDel="00000000" w:rsidP="00000000" w:rsidRDefault="00000000" w:rsidRPr="00000000" w14:paraId="00000031">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x7nxzhjav0f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5.1 Method and assumptions</w:t>
              <w:tab/>
              <w:t xml:space="preserve">12</w:t>
            </w:r>
          </w:hyperlink>
          <w:r w:rsidDel="00000000" w:rsidR="00000000" w:rsidRPr="00000000">
            <w:rPr>
              <w:rtl w:val="0"/>
            </w:rPr>
          </w:r>
        </w:p>
        <w:p w:rsidR="00000000" w:rsidDel="00000000" w:rsidP="00000000" w:rsidRDefault="00000000" w:rsidRPr="00000000" w14:paraId="00000032">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r22o07jnvlp3">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5.2 Interpretation of the three projects</w:t>
              <w:tab/>
              <w:t xml:space="preserve">13</w:t>
            </w:r>
          </w:hyperlink>
          <w:r w:rsidDel="00000000" w:rsidR="00000000" w:rsidRPr="00000000">
            <w:rPr>
              <w:rtl w:val="0"/>
            </w:rPr>
          </w:r>
        </w:p>
        <w:p w:rsidR="00000000" w:rsidDel="00000000" w:rsidP="00000000" w:rsidRDefault="00000000" w:rsidRPr="00000000" w14:paraId="00000033">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q3g1m0pvblf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5.3 Fit with PPHE's financial position and non-financial risk</w:t>
              <w:tab/>
              <w:t xml:space="preserve">14</w:t>
            </w:r>
          </w:hyperlink>
          <w:r w:rsidDel="00000000" w:rsidR="00000000" w:rsidRPr="00000000">
            <w:rPr>
              <w:rtl w:val="0"/>
            </w:rPr>
          </w:r>
        </w:p>
        <w:p w:rsidR="00000000" w:rsidDel="00000000" w:rsidP="00000000" w:rsidRDefault="00000000" w:rsidRPr="00000000" w14:paraId="00000034">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nfx8j4pi25h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5.4 Capital rationing under the £100 million maximum</w:t>
              <w:tab/>
              <w:t xml:space="preserve">15</w:t>
            </w:r>
          </w:hyperlink>
          <w:r w:rsidDel="00000000" w:rsidR="00000000" w:rsidRPr="00000000">
            <w:rPr>
              <w:rtl w:val="0"/>
            </w:rPr>
          </w:r>
        </w:p>
        <w:p w:rsidR="00000000" w:rsidDel="00000000" w:rsidP="00000000" w:rsidRDefault="00000000" w:rsidRPr="00000000" w14:paraId="00000035">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4r2robqiecw1">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6. Critical Reflection on AI Usage</w:t>
              <w:tab/>
              <w:t xml:space="preserve">15</w:t>
            </w:r>
          </w:hyperlink>
          <w:r w:rsidDel="00000000" w:rsidR="00000000" w:rsidRPr="00000000">
            <w:rPr>
              <w:rtl w:val="0"/>
            </w:rPr>
          </w:r>
        </w:p>
        <w:p w:rsidR="00000000" w:rsidDel="00000000" w:rsidP="00000000" w:rsidRDefault="00000000" w:rsidRPr="00000000" w14:paraId="00000036">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1k3yrhd262b">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6.1 Tool Disclosure and Contribution</w:t>
              <w:tab/>
              <w:t xml:space="preserve">15</w:t>
            </w:r>
          </w:hyperlink>
          <w:r w:rsidDel="00000000" w:rsidR="00000000" w:rsidRPr="00000000">
            <w:rPr>
              <w:rtl w:val="0"/>
            </w:rPr>
          </w:r>
        </w:p>
        <w:p w:rsidR="00000000" w:rsidDel="00000000" w:rsidP="00000000" w:rsidRDefault="00000000" w:rsidRPr="00000000" w14:paraId="00000037">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k9cvqyqrd6zy">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6.2 Verification and Independent Evaluation</w:t>
              <w:tab/>
              <w:t xml:space="preserve">16</w:t>
            </w:r>
          </w:hyperlink>
          <w:r w:rsidDel="00000000" w:rsidR="00000000" w:rsidRPr="00000000">
            <w:rPr>
              <w:rtl w:val="0"/>
            </w:rPr>
          </w:r>
        </w:p>
        <w:p w:rsidR="00000000" w:rsidDel="00000000" w:rsidP="00000000" w:rsidRDefault="00000000" w:rsidRPr="00000000" w14:paraId="00000038">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oehwyht70yk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6.3 Ethical and Professional Reflection</w:t>
              <w:tab/>
              <w:t xml:space="preserve">16</w:t>
            </w:r>
          </w:hyperlink>
          <w:r w:rsidDel="00000000" w:rsidR="00000000" w:rsidRPr="00000000">
            <w:rPr>
              <w:rtl w:val="0"/>
            </w:rPr>
          </w:r>
        </w:p>
        <w:p w:rsidR="00000000" w:rsidDel="00000000" w:rsidP="00000000" w:rsidRDefault="00000000" w:rsidRPr="00000000" w14:paraId="00000039">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puxffaavo78c">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7. Conclusion</w:t>
              <w:tab/>
              <w:t xml:space="preserve">17</w:t>
            </w:r>
          </w:hyperlink>
          <w:r w:rsidDel="00000000" w:rsidR="00000000" w:rsidRPr="00000000">
            <w:rPr>
              <w:rtl w:val="0"/>
            </w:rPr>
          </w:r>
        </w:p>
        <w:p w:rsidR="00000000" w:rsidDel="00000000" w:rsidP="00000000" w:rsidRDefault="00000000" w:rsidRPr="00000000" w14:paraId="0000003A">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v71jwt33rxm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References</w:t>
              <w:tab/>
              <w:t xml:space="preserve">17</w:t>
            </w:r>
          </w:hyperlink>
          <w:r w:rsidDel="00000000" w:rsidR="00000000" w:rsidRPr="00000000">
            <w:rPr>
              <w:rtl w:val="0"/>
            </w:rPr>
          </w:r>
        </w:p>
        <w:p w:rsidR="00000000" w:rsidDel="00000000" w:rsidP="00000000" w:rsidRDefault="00000000" w:rsidRPr="00000000" w14:paraId="0000003B">
          <w:pPr>
            <w:widowControl w:val="0"/>
            <w:tabs>
              <w:tab w:val="right" w:leader="dot" w:pos="12000"/>
            </w:tabs>
            <w:spacing w:after="0" w:before="60" w:line="240" w:lineRule="auto"/>
            <w:jc w:val="left"/>
            <w:rPr>
              <w:rFonts w:ascii="Arial" w:cs="Arial" w:eastAsia="Arial" w:hAnsi="Arial"/>
              <w:b w:val="1"/>
              <w:bCs w:val="1"/>
              <w:i w:val="0"/>
              <w:iCs w:val="0"/>
              <w:smallCaps w:val="0"/>
              <w:strike w:val="0"/>
              <w:color w:val="000000"/>
              <w:sz w:val="22"/>
              <w:szCs w:val="22"/>
              <w:u w:val="none"/>
              <w:shd w:fill="auto" w:val="clear"/>
              <w:vertAlign w:val="baseline"/>
            </w:rPr>
          </w:pPr>
          <w:hyperlink w:anchor="_9d0d8yt2wzxm">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tl w:val="0"/>
              </w:rPr>
              <w:t xml:space="preserve">Appendices</w:t>
              <w:tab/>
              <w:t xml:space="preserve">20</w:t>
            </w:r>
          </w:hyperlink>
          <w:r w:rsidDel="00000000" w:rsidR="00000000" w:rsidRPr="00000000">
            <w:rPr>
              <w:rtl w:val="0"/>
            </w:rPr>
          </w:r>
        </w:p>
        <w:p w:rsidR="00000000" w:rsidDel="00000000" w:rsidP="00000000" w:rsidRDefault="00000000" w:rsidRPr="00000000" w14:paraId="0000003C">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j8p4htiqbfl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A: Five-Year Ratio Tables</w:t>
              <w:tab/>
              <w:t xml:space="preserve">20</w:t>
            </w:r>
          </w:hyperlink>
          <w:r w:rsidDel="00000000" w:rsidR="00000000" w:rsidRPr="00000000">
            <w:rPr>
              <w:rtl w:val="0"/>
            </w:rPr>
          </w:r>
        </w:p>
        <w:p w:rsidR="00000000" w:rsidDel="00000000" w:rsidP="00000000" w:rsidRDefault="00000000" w:rsidRPr="00000000" w14:paraId="0000003D">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b1tf9zym8xl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B: Liquidity and Working-Capital Evidence</w:t>
              <w:tab/>
              <w:t xml:space="preserve">21</w:t>
            </w:r>
          </w:hyperlink>
          <w:r w:rsidDel="00000000" w:rsidR="00000000" w:rsidRPr="00000000">
            <w:rPr>
              <w:rtl w:val="0"/>
            </w:rPr>
          </w:r>
        </w:p>
        <w:p w:rsidR="00000000" w:rsidDel="00000000" w:rsidP="00000000" w:rsidRDefault="00000000" w:rsidRPr="00000000" w14:paraId="0000003E">
          <w:pPr>
            <w:widowControl w:val="0"/>
            <w:tabs>
              <w:tab w:val="right" w:leader="dot" w:pos="12000"/>
            </w:tabs>
            <w:spacing w:after="0" w:before="60" w:line="240" w:lineRule="auto"/>
            <w:ind w:left="360" w:firstLine="0"/>
            <w:jc w:val="left"/>
            <w:rPr>
              <w:rFonts w:ascii="Arial" w:cs="Arial" w:eastAsia="Arial" w:hAnsi="Arial"/>
              <w:b w:val="0"/>
              <w:bCs w:val="0"/>
              <w:i w:val="0"/>
              <w:iCs w:val="0"/>
              <w:smallCaps w:val="0"/>
              <w:strike w:val="0"/>
              <w:color w:val="000000"/>
              <w:sz w:val="22"/>
              <w:szCs w:val="22"/>
              <w:u w:val="none"/>
              <w:shd w:fill="auto" w:val="clear"/>
              <w:vertAlign w:val="baseline"/>
            </w:rPr>
          </w:pPr>
          <w:hyperlink w:anchor="_rofgusdgpq5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Appendix C: Investment-Appraisal Calculations</w:t>
              <w:tab/>
              <w:t xml:space="preserve">22</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F">
      <w:pPr>
        <w:spacing w:line="276" w:lineRule="auto"/>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40">
      <w:pPr>
        <w:spacing w:line="276" w:lineRule="auto"/>
        <w:rPr>
          <w:rFonts w:ascii="Times New Roman" w:cs="Times New Roman" w:eastAsia="Times New Roman" w:hAnsi="Times New Roman"/>
          <w:b w:val="1"/>
          <w:bCs w:val="1"/>
          <w:color w:val="000000"/>
        </w:rPr>
      </w:pPr>
      <w:r w:rsidDel="00000000" w:rsidR="00000000" w:rsidRPr="00000000">
        <w:rPr>
          <w:rFonts w:ascii="Times New Roman" w:cs="Times New Roman" w:eastAsia="Times New Roman" w:hAnsi="Times New Roman"/>
          <w:b w:val="1"/>
          <w:bCs w:val="1"/>
          <w:color w:val="000000"/>
          <w:rtl w:val="0"/>
        </w:rPr>
        <w:t xml:space="preserve">List of Tables</w:t>
      </w:r>
    </w:p>
    <w:sdt>
      <w:sdtPr>
        <w:id w:val="-867544076"/>
        <w:docPartObj>
          <w:docPartGallery w:val="Table of Contents"/>
          <w:docPartUnique w:val="1"/>
        </w:docPartObj>
      </w:sdtPr>
      <w:sdtContent>
        <w:p w:rsidR="00000000" w:rsidDel="00000000" w:rsidP="00000000" w:rsidRDefault="00000000" w:rsidRPr="00000000" w14:paraId="00000041">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r w:rsidDel="00000000" w:rsidR="00000000" w:rsidRPr="00000000">
            <w:fldChar w:fldCharType="begin"/>
            <w:instrText xml:space="preserve"> TOC \h \u \z \t "Heading 1,1,Heading 4,2,Heading 6,6,"</w:instrText>
            <w:fldChar w:fldCharType="separate"/>
          </w:r>
          <w:hyperlink w:anchor="_l7c1glriu9bg">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1. Five-year headline financial performance</w:t>
              <w:tab/>
              <w:t xml:space="preserve">6</w:t>
            </w:r>
          </w:hyperlink>
          <w:r w:rsidDel="00000000" w:rsidR="00000000" w:rsidRPr="00000000">
            <w:rPr>
              <w:rtl w:val="0"/>
            </w:rPr>
          </w:r>
        </w:p>
        <w:p w:rsidR="00000000" w:rsidDel="00000000" w:rsidP="00000000" w:rsidRDefault="00000000" w:rsidRPr="00000000" w14:paraId="00000042">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dckeqgx824gx">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2. FY2025 liquidity benchmark</w:t>
              <w:tab/>
              <w:t xml:space="preserve">8</w:t>
            </w:r>
          </w:hyperlink>
          <w:r w:rsidDel="00000000" w:rsidR="00000000" w:rsidRPr="00000000">
            <w:rPr>
              <w:rtl w:val="0"/>
            </w:rPr>
          </w:r>
        </w:p>
        <w:p w:rsidR="00000000" w:rsidDel="00000000" w:rsidP="00000000" w:rsidRDefault="00000000" w:rsidRPr="00000000" w14:paraId="00000043">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h4mpf2qc2wy9">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3. Restructuring option evaluation</w:t>
              <w:tab/>
              <w:t xml:space="preserve">12</w:t>
            </w:r>
          </w:hyperlink>
          <w:r w:rsidDel="00000000" w:rsidR="00000000" w:rsidRPr="00000000">
            <w:rPr>
              <w:rtl w:val="0"/>
            </w:rPr>
          </w:r>
        </w:p>
        <w:p w:rsidR="00000000" w:rsidDel="00000000" w:rsidP="00000000" w:rsidRDefault="00000000" w:rsidRPr="00000000" w14:paraId="00000044">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riwvoruejq75">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4. Investment appraisal results</w:t>
              <w:tab/>
              <w:t xml:space="preserve">13</w:t>
            </w:r>
          </w:hyperlink>
          <w:r w:rsidDel="00000000" w:rsidR="00000000" w:rsidRPr="00000000">
            <w:rPr>
              <w:rtl w:val="0"/>
            </w:rPr>
          </w:r>
        </w:p>
        <w:p w:rsidR="00000000" w:rsidDel="00000000" w:rsidP="00000000" w:rsidRDefault="00000000" w:rsidRPr="00000000" w14:paraId="00000045">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5sxtw9a3j0rh">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5. Capital-rationing decision</w:t>
              <w:tab/>
              <w:t xml:space="preserve">15</w:t>
            </w:r>
          </w:hyperlink>
          <w:r w:rsidDel="00000000" w:rsidR="00000000" w:rsidRPr="00000000">
            <w:rPr>
              <w:rtl w:val="0"/>
            </w:rPr>
          </w:r>
        </w:p>
        <w:p w:rsidR="00000000" w:rsidDel="00000000" w:rsidP="00000000" w:rsidRDefault="00000000" w:rsidRPr="00000000" w14:paraId="00000046">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u7hvbdaf4gvf">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6. Profitability ratios</w:t>
              <w:tab/>
              <w:t xml:space="preserve">20</w:t>
            </w:r>
          </w:hyperlink>
          <w:r w:rsidDel="00000000" w:rsidR="00000000" w:rsidRPr="00000000">
            <w:rPr>
              <w:rtl w:val="0"/>
            </w:rPr>
          </w:r>
        </w:p>
        <w:p w:rsidR="00000000" w:rsidDel="00000000" w:rsidP="00000000" w:rsidRDefault="00000000" w:rsidRPr="00000000" w14:paraId="00000047">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1yfvvnq2s0a7">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7. Liquidity ratios</w:t>
              <w:tab/>
              <w:t xml:space="preserve">20</w:t>
            </w:r>
          </w:hyperlink>
          <w:r w:rsidDel="00000000" w:rsidR="00000000" w:rsidRPr="00000000">
            <w:rPr>
              <w:rtl w:val="0"/>
            </w:rPr>
          </w:r>
        </w:p>
        <w:p w:rsidR="00000000" w:rsidDel="00000000" w:rsidP="00000000" w:rsidRDefault="00000000" w:rsidRPr="00000000" w14:paraId="00000048">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qz5rr6guldvw">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8. Efficiency ratios</w:t>
              <w:tab/>
              <w:t xml:space="preserve">20</w:t>
            </w:r>
          </w:hyperlink>
          <w:r w:rsidDel="00000000" w:rsidR="00000000" w:rsidRPr="00000000">
            <w:rPr>
              <w:rtl w:val="0"/>
            </w:rPr>
          </w:r>
        </w:p>
        <w:p w:rsidR="00000000" w:rsidDel="00000000" w:rsidP="00000000" w:rsidRDefault="00000000" w:rsidRPr="00000000" w14:paraId="00000049">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j2d6w47bie2f">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9. Leverage ratios</w:t>
              <w:tab/>
              <w:t xml:space="preserve">21</w:t>
            </w:r>
          </w:hyperlink>
          <w:r w:rsidDel="00000000" w:rsidR="00000000" w:rsidRPr="00000000">
            <w:rPr>
              <w:rtl w:val="0"/>
            </w:rPr>
          </w:r>
        </w:p>
        <w:p w:rsidR="00000000" w:rsidDel="00000000" w:rsidP="00000000" w:rsidRDefault="00000000" w:rsidRPr="00000000" w14:paraId="0000004A">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34ofr6debevd">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10. Investment and cash flow ratios</w:t>
              <w:tab/>
              <w:t xml:space="preserve">21</w:t>
            </w:r>
          </w:hyperlink>
          <w:r w:rsidDel="00000000" w:rsidR="00000000" w:rsidRPr="00000000">
            <w:rPr>
              <w:rtl w:val="0"/>
            </w:rPr>
          </w:r>
        </w:p>
        <w:p w:rsidR="00000000" w:rsidDel="00000000" w:rsidP="00000000" w:rsidRDefault="00000000" w:rsidRPr="00000000" w14:paraId="0000004B">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qdwzrxx68xbp">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11. Peer liquidity inputs and ratios</w:t>
              <w:tab/>
              <w:t xml:space="preserve">21</w:t>
            </w:r>
          </w:hyperlink>
          <w:r w:rsidDel="00000000" w:rsidR="00000000" w:rsidRPr="00000000">
            <w:rPr>
              <w:rtl w:val="0"/>
            </w:rPr>
          </w:r>
        </w:p>
        <w:p w:rsidR="00000000" w:rsidDel="00000000" w:rsidP="00000000" w:rsidRDefault="00000000" w:rsidRPr="00000000" w14:paraId="0000004C">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kpl6qw19xclt">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12. Working-capital driver bridge</w:t>
              <w:tab/>
              <w:t xml:space="preserve">22</w:t>
            </w:r>
          </w:hyperlink>
          <w:r w:rsidDel="00000000" w:rsidR="00000000" w:rsidRPr="00000000">
            <w:rPr>
              <w:rtl w:val="0"/>
            </w:rPr>
          </w:r>
        </w:p>
        <w:p w:rsidR="00000000" w:rsidDel="00000000" w:rsidP="00000000" w:rsidRDefault="00000000" w:rsidRPr="00000000" w14:paraId="0000004D">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u2ojv3fvff1q">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13. Project cash-flow profiles (£m)</w:t>
              <w:tab/>
              <w:t xml:space="preserve">22</w:t>
            </w:r>
          </w:hyperlink>
          <w:r w:rsidDel="00000000" w:rsidR="00000000" w:rsidRPr="00000000">
            <w:rPr>
              <w:rtl w:val="0"/>
            </w:rPr>
          </w:r>
        </w:p>
        <w:p w:rsidR="00000000" w:rsidDel="00000000" w:rsidP="00000000" w:rsidRDefault="00000000" w:rsidRPr="00000000" w14:paraId="0000004E">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6wcckx1i2zet">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Table 14. Complete project and pair appraisal</w:t>
              <w:tab/>
              <w:t xml:space="preserve">23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F">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0">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1">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2">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3">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4">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5">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6">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7">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8">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9">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A">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B">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C">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D">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E">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5F">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0">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1">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2">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3">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4">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5">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6">
      <w:pPr>
        <w:spacing w:line="276" w:lineRule="auto"/>
        <w:rPr>
          <w:rFonts w:ascii="Times New Roman" w:cs="Times New Roman" w:eastAsia="Times New Roman" w:hAnsi="Times New Roman"/>
          <w:b w:val="1"/>
          <w:bCs w:val="1"/>
          <w:color w:val="000000"/>
        </w:rPr>
      </w:pPr>
      <w:r w:rsidDel="00000000" w:rsidR="00000000" w:rsidRPr="00000000">
        <w:rPr>
          <w:rtl w:val="0"/>
        </w:rPr>
      </w:r>
    </w:p>
    <w:p w:rsidR="00000000" w:rsidDel="00000000" w:rsidP="00000000" w:rsidRDefault="00000000" w:rsidRPr="00000000" w14:paraId="00000067">
      <w:pPr>
        <w:spacing w:line="276" w:lineRule="auto"/>
        <w:rPr>
          <w:rFonts w:ascii="Times New Roman" w:cs="Times New Roman" w:eastAsia="Times New Roman" w:hAnsi="Times New Roman"/>
          <w:b w:val="1"/>
          <w:bCs w:val="1"/>
          <w:color w:val="000000"/>
        </w:rPr>
      </w:pPr>
      <w:r w:rsidDel="00000000" w:rsidR="00000000" w:rsidRPr="00000000">
        <w:rPr>
          <w:rFonts w:ascii="Times New Roman" w:cs="Times New Roman" w:eastAsia="Times New Roman" w:hAnsi="Times New Roman"/>
          <w:b w:val="1"/>
          <w:bCs w:val="1"/>
          <w:color w:val="000000"/>
          <w:rtl w:val="0"/>
        </w:rPr>
        <w:t xml:space="preserve">List of Figures</w:t>
      </w:r>
    </w:p>
    <w:sdt>
      <w:sdtPr>
        <w:id w:val="688561397"/>
        <w:docPartObj>
          <w:docPartGallery w:val="Table of Contents"/>
          <w:docPartUnique w:val="1"/>
        </w:docPartObj>
      </w:sdtPr>
      <w:sdtContent>
        <w:p w:rsidR="00000000" w:rsidDel="00000000" w:rsidP="00000000" w:rsidRDefault="00000000" w:rsidRPr="00000000" w14:paraId="00000068">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r w:rsidDel="00000000" w:rsidR="00000000" w:rsidRPr="00000000">
            <w:fldChar w:fldCharType="begin"/>
            <w:instrText xml:space="preserve"> TOC \h \u \z \t "Heading 1,1,Heading 5,2,Heading 6,6,"</w:instrText>
            <w:fldChar w:fldCharType="separate"/>
          </w:r>
          <w:hyperlink w:anchor="_wast4glj01z0">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Figure 1. Profitability margins, FY2021-FY2025</w:t>
              <w:tab/>
              <w:t xml:space="preserve">7</w:t>
            </w:r>
          </w:hyperlink>
          <w:r w:rsidDel="00000000" w:rsidR="00000000" w:rsidRPr="00000000">
            <w:rPr>
              <w:rtl w:val="0"/>
            </w:rPr>
          </w:r>
        </w:p>
        <w:p w:rsidR="00000000" w:rsidDel="00000000" w:rsidP="00000000" w:rsidRDefault="00000000" w:rsidRPr="00000000" w14:paraId="00000069">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8durwm51pb2t">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Figure 2. PPHE liquidity relative to the peer median</w:t>
              <w:tab/>
              <w:t xml:space="preserve">8</w:t>
            </w:r>
          </w:hyperlink>
          <w:r w:rsidDel="00000000" w:rsidR="00000000" w:rsidRPr="00000000">
            <w:rPr>
              <w:rtl w:val="0"/>
            </w:rPr>
          </w:r>
        </w:p>
        <w:p w:rsidR="00000000" w:rsidDel="00000000" w:rsidP="00000000" w:rsidRDefault="00000000" w:rsidRPr="00000000" w14:paraId="0000006A">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ukcctf9cphpf">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Figure 3. Cash operating-cycle components, FY2021-FY2025</w:t>
              <w:tab/>
              <w:t xml:space="preserve">10</w:t>
            </w:r>
          </w:hyperlink>
          <w:r w:rsidDel="00000000" w:rsidR="00000000" w:rsidRPr="00000000">
            <w:rPr>
              <w:rtl w:val="0"/>
            </w:rPr>
          </w:r>
        </w:p>
        <w:p w:rsidR="00000000" w:rsidDel="00000000" w:rsidP="00000000" w:rsidRDefault="00000000" w:rsidRPr="00000000" w14:paraId="0000006B">
          <w:pPr>
            <w:widowControl w:val="0"/>
            <w:tabs>
              <w:tab w:val="right" w:leader="dot" w:pos="12000"/>
            </w:tabs>
            <w:spacing w:after="0" w:before="60" w:line="276" w:lineRule="auto"/>
            <w:ind w:left="360" w:firstLine="0"/>
            <w:jc w:val="left"/>
            <w:rPr>
              <w:rFonts w:ascii="Times New Roman" w:cs="Times New Roman" w:eastAsia="Times New Roman" w:hAnsi="Times New Roman"/>
              <w:i w:val="0"/>
              <w:iCs w:val="0"/>
              <w:smallCaps w:val="0"/>
              <w:strike w:val="0"/>
              <w:color w:val="000000"/>
              <w:u w:val="none"/>
              <w:shd w:fill="auto" w:val="clear"/>
              <w:vertAlign w:val="baseline"/>
            </w:rPr>
          </w:pPr>
          <w:hyperlink w:anchor="_qmkrfhny9c9p">
            <w:r w:rsidDel="00000000" w:rsidR="00000000" w:rsidRPr="00000000">
              <w:rPr>
                <w:rFonts w:ascii="Times New Roman" w:cs="Times New Roman" w:eastAsia="Times New Roman" w:hAnsi="Times New Roman"/>
                <w:i w:val="0"/>
                <w:iCs w:val="0"/>
                <w:smallCaps w:val="0"/>
                <w:strike w:val="0"/>
                <w:color w:val="000000"/>
                <w:u w:val="none"/>
                <w:shd w:fill="auto" w:val="clear"/>
                <w:vertAlign w:val="baseline"/>
                <w:rtl w:val="0"/>
              </w:rPr>
              <w:t xml:space="preserve">Figure 4. NPV comparison at an 8% discount rate</w:t>
              <w:tab/>
              <w:t xml:space="preserve">14</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6C">
      <w:pPr>
        <w:spacing w:line="276" w:lineRule="auto"/>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6D">
      <w:pPr>
        <w:pStyle w:val="Heading2"/>
        <w:spacing w:line="276" w:lineRule="auto"/>
        <w:rPr>
          <w:rFonts w:ascii="Times New Roman" w:cs="Times New Roman" w:eastAsia="Times New Roman" w:hAnsi="Times New Roman"/>
          <w:color w:val="000000"/>
          <w:sz w:val="24"/>
          <w:szCs w:val="24"/>
        </w:rPr>
      </w:pPr>
      <w:bookmarkStart w:colFirst="0" w:colLast="0" w:name="_hz56iho0297h" w:id="0"/>
      <w:bookmarkEnd w:id="0"/>
      <w:r w:rsidDel="00000000" w:rsidR="00000000" w:rsidRPr="00000000">
        <w:rPr>
          <w:rFonts w:ascii="Times New Roman" w:cs="Times New Roman" w:eastAsia="Times New Roman" w:hAnsi="Times New Roman"/>
          <w:color w:val="000000"/>
          <w:sz w:val="24"/>
          <w:szCs w:val="24"/>
          <w:rtl w:val="0"/>
        </w:rPr>
        <w:t xml:space="preserve">1. Introduction</w:t>
      </w:r>
    </w:p>
    <w:p w:rsidR="00000000" w:rsidDel="00000000" w:rsidP="00000000" w:rsidRDefault="00000000" w:rsidRPr="00000000" w14:paraId="0000006E">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report analyzes PPHE Hotel Group Limited as though it were prepared for the Board by the Chief Financial Officer. PPHE is an international real estate group within hospitality that develops, owns and operates hotels, resorts and campsites,  leading to a more asset intensive risk profile when compared to most franchise led hotel groups (PPHE Hotel Group, 2026a). The analysis is for the period FY2021 to FY2025 and is based on published audited consolidated statements, official results announcements, peer filings and formulae-linked Excel calculations. The analysis looks at financial health and working capital, cash cycling and financial restructuring. It also assesses three £50 million projects at an 8% discount rate, followed by critical reflection on the use of artificial intelligence.</w:t>
      </w:r>
    </w:p>
    <w:p w:rsidR="00000000" w:rsidDel="00000000" w:rsidP="00000000" w:rsidRDefault="00000000" w:rsidRPr="00000000" w14:paraId="0000006F">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Ratio analysis provides direction, relationships and funding pressure, but on its own does not provide causality or value. Comparability is affected by accounting policies, ownership of assets, exceptional items and a pandemic distorted FY2021 base (ACCA, 2026a; Metaxas, 2023). Therefore this report uses a variety of methods, including cash flow, operational interpretation, peer benchmarks and notes in the annual reports to support the ratios. All values are in pounds sterling and financial statement inputs are in £000 unless otherwise stated. The gross margin requested in the task is presented as an EBITDAR/revenue proxy because PPHE does not disclose a statutory gross profit.</w:t>
      </w:r>
      <w:r w:rsidDel="00000000" w:rsidR="00000000" w:rsidRPr="00000000">
        <w:rPr>
          <w:rtl w:val="0"/>
        </w:rPr>
      </w:r>
    </w:p>
    <w:p w:rsidR="00000000" w:rsidDel="00000000" w:rsidP="00000000" w:rsidRDefault="00000000" w:rsidRPr="00000000" w14:paraId="00000070">
      <w:pPr>
        <w:pStyle w:val="Heading2"/>
        <w:spacing w:line="276" w:lineRule="auto"/>
        <w:rPr>
          <w:rFonts w:ascii="Times New Roman" w:cs="Times New Roman" w:eastAsia="Times New Roman" w:hAnsi="Times New Roman"/>
          <w:color w:val="000000"/>
          <w:sz w:val="24"/>
          <w:szCs w:val="24"/>
        </w:rPr>
      </w:pPr>
      <w:bookmarkStart w:colFirst="0" w:colLast="0" w:name="_d3n8hgjq799k" w:id="1"/>
      <w:bookmarkEnd w:id="1"/>
      <w:r w:rsidDel="00000000" w:rsidR="00000000" w:rsidRPr="00000000">
        <w:rPr>
          <w:rFonts w:ascii="Times New Roman" w:cs="Times New Roman" w:eastAsia="Times New Roman" w:hAnsi="Times New Roman"/>
          <w:color w:val="000000"/>
          <w:sz w:val="24"/>
          <w:szCs w:val="24"/>
          <w:rtl w:val="0"/>
        </w:rPr>
        <w:t xml:space="preserve">2. Financial Health Check</w:t>
      </w:r>
    </w:p>
    <w:p w:rsidR="00000000" w:rsidDel="00000000" w:rsidP="00000000" w:rsidRDefault="00000000" w:rsidRPr="00000000" w14:paraId="00000071">
      <w:pPr>
        <w:pStyle w:val="Heading3"/>
        <w:spacing w:line="276" w:lineRule="auto"/>
        <w:rPr>
          <w:rFonts w:ascii="Times New Roman" w:cs="Times New Roman" w:eastAsia="Times New Roman" w:hAnsi="Times New Roman"/>
          <w:color w:val="000000"/>
        </w:rPr>
      </w:pPr>
      <w:bookmarkStart w:colFirst="0" w:colLast="0" w:name="_3vg7sfdefjyx" w:id="2"/>
      <w:bookmarkEnd w:id="2"/>
      <w:r w:rsidDel="00000000" w:rsidR="00000000" w:rsidRPr="00000000">
        <w:rPr>
          <w:rFonts w:ascii="Times New Roman" w:cs="Times New Roman" w:eastAsia="Times New Roman" w:hAnsi="Times New Roman"/>
          <w:color w:val="000000"/>
          <w:rtl w:val="0"/>
        </w:rPr>
        <w:t xml:space="preserve">2.1 Basis of analysis and headline performance</w:t>
      </w:r>
    </w:p>
    <w:p w:rsidR="00000000" w:rsidDel="00000000" w:rsidP="00000000" w:rsidRDefault="00000000" w:rsidRPr="00000000" w14:paraId="00000072">
      <w:pPr>
        <w:spacing w:after="12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five-year series reflects rapid revenue growth from £141.4 million in FY2021 to £466.4 million in FY2025. That level of growth should not be considered the business’s normal, organic growth since the restrictions from COVID-19 in FY2021 impacted it adversely. A better proxy is FY2025 showing 5.33% growth over FY2024. EBIT improved greatly from a loss of £18.2 million to a gain of £65.9 million. Meanwhile, statutory operating cash flow improved from £-9.6 million to £100.1 million. However, in FY2025, the reported profit before tax fell from £30.6 million to £1.5 million. PPHE states that £23.7 million of property impairment and increased finance costs explain this further, stating that profit before tax would have been £34.2 million rather than the reported loss. The reason for this is that the property impairment cost is a non cash cost, and a decrease in the expected value of the property does not justify ignoring the cost. </w:t>
      </w:r>
    </w:p>
    <w:p w:rsidR="00000000" w:rsidDel="00000000" w:rsidP="00000000" w:rsidRDefault="00000000" w:rsidRPr="00000000" w14:paraId="00000073">
      <w:pPr>
        <w:spacing w:after="12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accounting treatment of PPHE is also worth noting. PPHE integrates the ownership and development of hotels with hotel operation, therefore, the depreciation, revaluation of land, and lease accounting, as well as financing, are important from an economics standpoint rather than from a noise standpoint. The rest is accounting. As such, comparing EBITDAR (the operating capacity before the property and financing structure) to EBIT is not sufficient when judging the value a shareholder receives. In the same spirit, year-end balance sheet ratios should be interpreted with caution as they show a value that may be distorted by seasonal activities.  As noted earlier, average balance limits the use of working capital days. No ratio has been assessed against a “good” threshold. The evaluation of this evidence will address three points: context in PPHE’s five year history, context in the industry as a whole, and context for cash-flow and note disclosures. The approach avoids accounting ratios, which tend to bring a false sense of precision, in the absence of context regarding the business model and the reporting framework.</w:t>
      </w:r>
      <w:r w:rsidDel="00000000" w:rsidR="00000000" w:rsidRPr="00000000">
        <w:rPr>
          <w:rtl w:val="0"/>
        </w:rPr>
      </w:r>
    </w:p>
    <w:p w:rsidR="00000000" w:rsidDel="00000000" w:rsidP="00000000" w:rsidRDefault="00000000" w:rsidRPr="00000000" w14:paraId="00000074">
      <w:pPr>
        <w:pStyle w:val="Heading4"/>
        <w:keepNext w:val="1"/>
        <w:spacing w:after="60" w:before="80" w:line="276" w:lineRule="auto"/>
        <w:jc w:val="center"/>
        <w:rPr>
          <w:rFonts w:ascii="Times New Roman" w:cs="Times New Roman" w:eastAsia="Times New Roman" w:hAnsi="Times New Roman"/>
          <w:i w:val="0"/>
          <w:iCs w:val="0"/>
          <w:color w:val="000000"/>
        </w:rPr>
      </w:pPr>
      <w:bookmarkStart w:colFirst="0" w:colLast="0" w:name="_l7c1glriu9bg" w:id="3"/>
      <w:bookmarkEnd w:id="3"/>
      <w:r w:rsidDel="00000000" w:rsidR="00000000" w:rsidRPr="00000000">
        <w:rPr>
          <w:rFonts w:ascii="Times New Roman" w:cs="Times New Roman" w:eastAsia="Times New Roman" w:hAnsi="Times New Roman"/>
          <w:i w:val="0"/>
          <w:iCs w:val="0"/>
          <w:color w:val="000000"/>
          <w:vertAlign w:val="baseline"/>
          <w:rtl w:val="0"/>
        </w:rPr>
        <w:t xml:space="preserve">Table 1. Five-year headline financial performance</w:t>
      </w:r>
      <w:r w:rsidDel="00000000" w:rsidR="00000000" w:rsidRPr="00000000">
        <w:rPr>
          <w:rFonts w:ascii="Times New Roman" w:cs="Times New Roman" w:eastAsia="Times New Roman" w:hAnsi="Times New Roman"/>
          <w:i w:val="0"/>
          <w:iCs w:val="0"/>
          <w:color w:val="000000"/>
        </w:rPr>
        <w:drawing>
          <wp:inline distB="114300" distT="114300" distL="114300" distR="114300">
            <wp:extent cx="5731200" cy="2425700"/>
            <wp:effectExtent b="0" l="0" r="0" t="0"/>
            <wp:docPr id="15"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5731200" cy="242570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spacing w:after="6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Calculations from PPHE Hotel Group annual reports (2022; 2024; 2026a).</w:t>
      </w:r>
    </w:p>
    <w:p w:rsidR="00000000" w:rsidDel="00000000" w:rsidP="00000000" w:rsidRDefault="00000000" w:rsidRPr="00000000" w14:paraId="00000076">
      <w:pPr>
        <w:pStyle w:val="Heading3"/>
        <w:spacing w:line="276" w:lineRule="auto"/>
        <w:rPr>
          <w:rFonts w:ascii="Times New Roman" w:cs="Times New Roman" w:eastAsia="Times New Roman" w:hAnsi="Times New Roman"/>
          <w:color w:val="000000"/>
        </w:rPr>
      </w:pPr>
      <w:bookmarkStart w:colFirst="0" w:colLast="0" w:name="_jpgop08ui95j" w:id="4"/>
      <w:bookmarkEnd w:id="4"/>
      <w:r w:rsidDel="00000000" w:rsidR="00000000" w:rsidRPr="00000000">
        <w:rPr>
          <w:rFonts w:ascii="Times New Roman" w:cs="Times New Roman" w:eastAsia="Times New Roman" w:hAnsi="Times New Roman"/>
          <w:color w:val="000000"/>
          <w:rtl w:val="0"/>
        </w:rPr>
        <w:t xml:space="preserve">2.2 Profitability and cash-flow quality</w:t>
      </w:r>
    </w:p>
    <w:p w:rsidR="00000000" w:rsidDel="00000000" w:rsidP="00000000" w:rsidRDefault="00000000" w:rsidRPr="00000000" w14:paraId="00000077">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EBITDAR/revenue proxy improved from 19.50% in FY2021 to 30.10% in FY2025 and peaked at 31.48% in FY2023. This suggests that the estate that has been recovered can generate a significant operating surplus before rent, depreciation, and financing. However, the proxy eased in both FY2024 and FY2025 and may be attributable to cost inflation and the recovery and first use of newly opened assets. Operating margin recovered from -12.89% in FY2021 to 20.19% in FY2024 but fell by 6.06 percentage points to 14.13% in FY2025. Adjusting for only the disclosed £23.7 million impairment suggests an operating margin of 19.21%. This suggests that operations were more robust than the reported result and also signaled that the asset value and the cash that could be anticipated in the future was declining.</w:t>
      </w:r>
    </w:p>
    <w:p w:rsidR="00000000" w:rsidDel="00000000" w:rsidP="00000000" w:rsidRDefault="00000000" w:rsidRPr="00000000" w14:paraId="00000078">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Net margin is more fragile. It rose from -37.14% in FY2021 to 6.55% in FY2023 and then collapsed from 6.26% in FY2024 to 0.13% in FY2025. Parent-attributable profit was £13.2 million, yet consolidated profit was only £0.6 million, as non-controlling interests absorbed a £12.6 million loss. As such, the group net margin and the shareholder EPS answered different questions and should not be mixed. ROCE improved from -1.16% to a peak of 5.17% in FY2024 before declining to 3.75% in FY2025. For An Asset - Heavy Group, This Return is Thin Relative to the Financing and Property Risks; Hotel Default Research Indicates That Profitability, Leverage, Liquidity and Operating Efficiency Factors Combine Rather Than Being Independent (Metaxas, 2023). Management Should Therefore Measure Each Property Against a Risk-Adjusted Hurdle Rate and Should Not Rely on Groups' Level EBITDA Growth Alone.</w:t>
      </w:r>
    </w:p>
    <w:p w:rsidR="00000000" w:rsidDel="00000000" w:rsidP="00000000" w:rsidRDefault="00000000" w:rsidRPr="00000000" w14:paraId="00000079">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Cash Conversion is the Primary Strength in this case. Operating Cash Flow Margin increased from -6.77% in FY2021 to 21.46% in FY2025, and Operating Cash Flow /Current Liabilities reached 0.615 times. The gap between PPHE's reported £100.1 million statutory net cash from operating activities and £155.2 million 'positive operational cash flow' demonstrates why statutory and alternative performance measures need to be labeled rather than blended (PPHE Hotel Group, 2026b). Cash is needed for interest, amortisation, maintenance capital expenditure and dividends. Therefore, strong operating cash generation does not eliminate balance sheet risk.</w:t>
      </w:r>
      <w:r w:rsidDel="00000000" w:rsidR="00000000" w:rsidRPr="00000000">
        <w:rPr>
          <w:rtl w:val="0"/>
        </w:rPr>
      </w:r>
    </w:p>
    <w:p w:rsidR="00000000" w:rsidDel="00000000" w:rsidP="00000000" w:rsidRDefault="00000000" w:rsidRPr="00000000" w14:paraId="0000007A">
      <w:pPr>
        <w:pStyle w:val="Heading5"/>
        <w:keepNext w:val="1"/>
        <w:spacing w:after="60" w:before="80" w:line="276" w:lineRule="auto"/>
        <w:jc w:val="center"/>
        <w:rPr>
          <w:rFonts w:ascii="Times New Roman" w:cs="Times New Roman" w:eastAsia="Times New Roman" w:hAnsi="Times New Roman"/>
          <w:color w:val="000000"/>
        </w:rPr>
      </w:pPr>
      <w:bookmarkStart w:colFirst="0" w:colLast="0" w:name="_wast4glj01z0" w:id="5"/>
      <w:bookmarkEnd w:id="5"/>
      <w:r w:rsidDel="00000000" w:rsidR="00000000" w:rsidRPr="00000000">
        <w:rPr>
          <w:rFonts w:ascii="Times New Roman" w:cs="Times New Roman" w:eastAsia="Times New Roman" w:hAnsi="Times New Roman"/>
          <w:b w:val="1"/>
          <w:bCs w:val="1"/>
          <w:color w:val="000000"/>
          <w:rtl w:val="0"/>
        </w:rPr>
        <w:t xml:space="preserve">Figure 1. Profitability margins, FY2021-FY2025</w:t>
      </w:r>
      <w:r w:rsidDel="00000000" w:rsidR="00000000" w:rsidRPr="00000000">
        <w:rPr>
          <w:rtl w:val="0"/>
        </w:rPr>
      </w:r>
    </w:p>
    <w:p w:rsidR="00000000" w:rsidDel="00000000" w:rsidP="00000000" w:rsidRDefault="00000000" w:rsidRPr="00000000" w14:paraId="0000007B">
      <w:pPr>
        <w:keepNext w:val="1"/>
        <w:spacing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0" distT="0" distL="114300" distR="114300">
            <wp:extent cx="5623560" cy="1947317"/>
            <wp:effectExtent b="0" l="0" r="0" t="0"/>
            <wp:docPr descr="Image: image2.png" id="11" name="image15.png"/>
            <a:graphic>
              <a:graphicData uri="http://schemas.openxmlformats.org/drawingml/2006/picture">
                <pic:pic>
                  <pic:nvPicPr>
                    <pic:cNvPr descr="Image: image2.png" id="0" name="image15.png"/>
                    <pic:cNvPicPr preferRelativeResize="0"/>
                  </pic:nvPicPr>
                  <pic:blipFill>
                    <a:blip r:embed="rId8"/>
                    <a:srcRect b="0" l="0" r="0" t="0"/>
                    <a:stretch>
                      <a:fillRect/>
                    </a:stretch>
                  </pic:blipFill>
                  <pic:spPr>
                    <a:xfrm>
                      <a:off x="0" y="0"/>
                      <a:ext cx="5623560" cy="1947317"/>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Excel analysis of PPHE Hotel Group annual reports (2022; 2024; 2026a). </w:t>
      </w:r>
    </w:p>
    <w:p w:rsidR="00000000" w:rsidDel="00000000" w:rsidP="00000000" w:rsidRDefault="00000000" w:rsidRPr="00000000" w14:paraId="0000007D">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Gross margin is an EBITDAR/revenue proxy.</w:t>
      </w:r>
    </w:p>
    <w:p w:rsidR="00000000" w:rsidDel="00000000" w:rsidP="00000000" w:rsidRDefault="00000000" w:rsidRPr="00000000" w14:paraId="0000007E">
      <w:pPr>
        <w:pStyle w:val="Heading3"/>
        <w:spacing w:line="276" w:lineRule="auto"/>
        <w:rPr>
          <w:rFonts w:ascii="Times New Roman" w:cs="Times New Roman" w:eastAsia="Times New Roman" w:hAnsi="Times New Roman"/>
          <w:color w:val="000000"/>
        </w:rPr>
      </w:pPr>
      <w:bookmarkStart w:colFirst="0" w:colLast="0" w:name="_hdn0oz8kzqd2" w:id="6"/>
      <w:bookmarkEnd w:id="6"/>
      <w:r w:rsidDel="00000000" w:rsidR="00000000" w:rsidRPr="00000000">
        <w:rPr>
          <w:rFonts w:ascii="Times New Roman" w:cs="Times New Roman" w:eastAsia="Times New Roman" w:hAnsi="Times New Roman"/>
          <w:color w:val="000000"/>
          <w:rtl w:val="0"/>
        </w:rPr>
        <w:t xml:space="preserve">2.3 Liquidity and industry comparison</w:t>
      </w:r>
    </w:p>
    <w:p w:rsidR="00000000" w:rsidDel="00000000" w:rsidP="00000000" w:rsidRDefault="00000000" w:rsidRPr="00000000" w14:paraId="0000007F">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 PPHE's current ratio declined consistently from 1.57 times in FY2021 to 1.00 in FY2025; the quick ratio fell from 1.55 to 0.99 and the cash ratio from 1.26 to 0.76. The near-one current ratio indicates that reporting current assets just cover current liabilities. Because inventory is structurally small, the quick ratio is almost the same as the current ratio. A stricter cash plus trade receivables measure is approximately 0.84 times, showing that the 0.99 quick ratio includes other current assets that may not be rapidly realisable. The decline is therefore a genuine reduction in liquidity headroom even though it is not evidence of immediate insolvency.</w:t>
      </w:r>
      <w:r w:rsidDel="00000000" w:rsidR="00000000" w:rsidRPr="00000000">
        <w:rPr>
          <w:rtl w:val="0"/>
        </w:rPr>
      </w:r>
    </w:p>
    <w:p w:rsidR="00000000" w:rsidDel="00000000" w:rsidP="00000000" w:rsidRDefault="00000000" w:rsidRPr="00000000" w14:paraId="00000080">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When comparing to IHG, Accor and Whitbread, different insights come to light. PPHE is slightly above the peer median on all three measures. PPHE is 0.028X on the current ratio, 0.013X on the quick ratio and 0.221X on the cash ratio. IHG and Accor have a more asset-light structure, while Whitbread is more asset heavy, so the median is a broad hospitality comparator rather than a universal standard. Cross-company ratios depend on reporting dates, current asset composition, and business model. It can be seen that PPHE is generally consistent with its peers, though has lost a considerable amount of its historical buffer.</w:t>
      </w:r>
    </w:p>
    <w:p w:rsidR="00000000" w:rsidDel="00000000" w:rsidP="00000000" w:rsidRDefault="00000000" w:rsidRPr="00000000" w14:paraId="00000081">
      <w:pPr>
        <w:spacing w:line="276"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82">
      <w:pPr>
        <w:spacing w:line="276"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83">
      <w:pPr>
        <w:spacing w:line="276"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84">
      <w:pPr>
        <w:spacing w:line="276"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85">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dckeqgx824gx" w:id="7"/>
      <w:bookmarkEnd w:id="7"/>
      <w:r w:rsidDel="00000000" w:rsidR="00000000" w:rsidRPr="00000000">
        <w:rPr>
          <w:rFonts w:ascii="Times New Roman" w:cs="Times New Roman" w:eastAsia="Times New Roman" w:hAnsi="Times New Roman"/>
          <w:i w:val="0"/>
          <w:iCs w:val="0"/>
          <w:color w:val="000000"/>
          <w:vertAlign w:val="baseline"/>
          <w:rtl w:val="0"/>
        </w:rPr>
        <w:t xml:space="preserve">Table 2. FY2025 liquidity benchmark</w:t>
      </w:r>
    </w:p>
    <w:p w:rsidR="00000000" w:rsidDel="00000000" w:rsidP="00000000" w:rsidRDefault="00000000" w:rsidRPr="00000000" w14:paraId="00000086">
      <w:pPr>
        <w:spacing w:after="6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676400"/>
            <wp:effectExtent b="0" l="0" r="0" t="0"/>
            <wp:docPr id="16"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731200" cy="16764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PPHE Hotel Group (2026a), IHG (2026), Accor (2026) and Whitbread (2025).</w:t>
      </w:r>
    </w:p>
    <w:p w:rsidR="00000000" w:rsidDel="00000000" w:rsidP="00000000" w:rsidRDefault="00000000" w:rsidRPr="00000000" w14:paraId="00000087">
      <w:pPr>
        <w:pStyle w:val="Heading5"/>
        <w:spacing w:after="60" w:before="80" w:line="276" w:lineRule="auto"/>
        <w:jc w:val="center"/>
        <w:rPr>
          <w:rFonts w:ascii="Times New Roman" w:cs="Times New Roman" w:eastAsia="Times New Roman" w:hAnsi="Times New Roman"/>
          <w:color w:val="000000"/>
        </w:rPr>
      </w:pPr>
      <w:bookmarkStart w:colFirst="0" w:colLast="0" w:name="_8durwm51pb2t" w:id="8"/>
      <w:bookmarkEnd w:id="8"/>
      <w:r w:rsidDel="00000000" w:rsidR="00000000" w:rsidRPr="00000000">
        <w:rPr>
          <w:rFonts w:ascii="Times New Roman" w:cs="Times New Roman" w:eastAsia="Times New Roman" w:hAnsi="Times New Roman"/>
          <w:b w:val="1"/>
          <w:bCs w:val="1"/>
          <w:color w:val="000000"/>
          <w:rtl w:val="0"/>
        </w:rPr>
        <w:t xml:space="preserve">Figure 2. PPHE liquidity relative to the peer median</w:t>
      </w:r>
      <w:r w:rsidDel="00000000" w:rsidR="00000000" w:rsidRPr="00000000">
        <w:rPr>
          <w:rtl w:val="0"/>
        </w:rPr>
      </w:r>
    </w:p>
    <w:p w:rsidR="00000000" w:rsidDel="00000000" w:rsidP="00000000" w:rsidRDefault="00000000" w:rsidRPr="00000000" w14:paraId="00000088">
      <w:pPr>
        <w:keepNext w:val="1"/>
        <w:spacing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0" distT="0" distL="114300" distR="114300">
            <wp:extent cx="5623560" cy="1947317"/>
            <wp:effectExtent b="0" l="0" r="0" t="0"/>
            <wp:docPr descr="Image: image3.png" id="10" name="image9.png"/>
            <a:graphic>
              <a:graphicData uri="http://schemas.openxmlformats.org/drawingml/2006/picture">
                <pic:pic>
                  <pic:nvPicPr>
                    <pic:cNvPr descr="Image: image3.png" id="0" name="image9.png"/>
                    <pic:cNvPicPr preferRelativeResize="0"/>
                  </pic:nvPicPr>
                  <pic:blipFill>
                    <a:blip r:embed="rId10"/>
                    <a:srcRect b="0" l="0" r="0" t="0"/>
                    <a:stretch>
                      <a:fillRect/>
                    </a:stretch>
                  </pic:blipFill>
                  <pic:spPr>
                    <a:xfrm>
                      <a:off x="0" y="0"/>
                      <a:ext cx="5623560" cy="1947317"/>
                    </a:xfrm>
                    <a:prstGeom prst="rect"/>
                    <a:ln/>
                  </pic:spPr>
                </pic:pic>
              </a:graphicData>
            </a:graphic>
          </wp:inline>
        </w:drawing>
      </w:r>
      <w:r w:rsidDel="00000000" w:rsidR="00000000" w:rsidRPr="00000000">
        <w:rPr>
          <w:rtl w:val="0"/>
        </w:rPr>
      </w:r>
    </w:p>
    <w:p w:rsidR="00000000" w:rsidDel="00000000" w:rsidP="00000000" w:rsidRDefault="00000000" w:rsidRPr="00000000" w14:paraId="00000089">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Excel analysis of official FY2025 peer filings.</w:t>
      </w:r>
    </w:p>
    <w:p w:rsidR="00000000" w:rsidDel="00000000" w:rsidP="00000000" w:rsidRDefault="00000000" w:rsidRPr="00000000" w14:paraId="0000008A">
      <w:pPr>
        <w:pStyle w:val="Heading3"/>
        <w:spacing w:line="276" w:lineRule="auto"/>
        <w:rPr>
          <w:rFonts w:ascii="Times New Roman" w:cs="Times New Roman" w:eastAsia="Times New Roman" w:hAnsi="Times New Roman"/>
          <w:color w:val="000000"/>
        </w:rPr>
      </w:pPr>
      <w:bookmarkStart w:colFirst="0" w:colLast="0" w:name="_ysnrj4k2yfmd" w:id="9"/>
      <w:bookmarkEnd w:id="9"/>
      <w:r w:rsidDel="00000000" w:rsidR="00000000" w:rsidRPr="00000000">
        <w:rPr>
          <w:rFonts w:ascii="Times New Roman" w:cs="Times New Roman" w:eastAsia="Times New Roman" w:hAnsi="Times New Roman"/>
          <w:color w:val="000000"/>
          <w:rtl w:val="0"/>
        </w:rPr>
        <w:t xml:space="preserve">2.4 Efficiency, leverage and investment ratios</w:t>
      </w:r>
    </w:p>
    <w:p w:rsidR="00000000" w:rsidDel="00000000" w:rsidP="00000000" w:rsidRDefault="00000000" w:rsidRPr="00000000" w14:paraId="0000008B">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There have been improvements in operating efficiency, though has come at the cost of increased payables. There have been improvements in inventory days which went from 6.57 to 3.03, and a small improvement in receivable days which went from 13.28 to 12.76 after hitting 16.03 in FY2023. These improvements are positive for a hotel group who has limited physical inventory and high card, online travel agent, corporate and event receivables. The major concern is days payable outstanding, which dropped from 37.13 to 10.90. This 26.23 day drop caused the cash conversion cycle to improve from -17.28 to +4.89. While this shouldn’t be deemed inefficient, it is concern to some degree, because younger payable days can erode the cash of the suppliers and ultimately Credit A is modifying the liquidity of PPHE.</w:t>
      </w:r>
    </w:p>
    <w:p w:rsidR="00000000" w:rsidDel="00000000" w:rsidP="00000000" w:rsidRDefault="00000000" w:rsidRPr="00000000" w14:paraId="0000008C">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Leverage is the most pressing financial risk. FY2025 showed an increase in bank debt/total assets (from 45.85% to 47.53%) and debt/equity (from 171.76% to 178.21%). Total liabilities remained at 73.33% of total assets. Though interest cover normalized from negative in FY2021 to 2.30 times in FY2023, it again weakened to 1.37 times in FY2025 due to a decline in EBIT and a rise in finance expense to £48.1 million. In global hotel research, it was found that conservative capital structure management builds resilience to severe shocks as hotel cash flows exhibit high cyclicality and operational gearing (Nguyen et al., 2023). A 1.37-times cover is a thin margin for absorbing further impairments or refinancing costs or weakened occupancy.</w:t>
      </w:r>
    </w:p>
    <w:p w:rsidR="00000000" w:rsidDel="00000000" w:rsidP="00000000" w:rsidRDefault="00000000" w:rsidRPr="00000000" w14:paraId="0000008D">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Financial ratios indicate volatility in statutory earnings and cash flows. The recovery of EPS from -£1.23 in FY2021 to £0.67 in FY2024 was reversed to £0.32 in FY2025. The P/E ratio, while meaningless in FY2021, rose to about 57.0 times in FY2025 from 21.0 times in FY2024. This is not indicative of an expensive operating business as the denominator was impacted by impairments and non-controlling interest. Dividend yield recovered from zero to 3.00% in FY2023, lowering to 2.17% in FY2025. In the absence of a statutory basis and earnings adjustments, IAS 33 and the IFRS Foundation (2021) support the use of weighted average shares for basic EPS.</w:t>
      </w:r>
    </w:p>
    <w:p w:rsidR="00000000" w:rsidDel="00000000" w:rsidP="00000000" w:rsidRDefault="00000000" w:rsidRPr="00000000" w14:paraId="0000008E">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PPHE’s strengths include its scale recovery, robust EBITDAR capacity, cash generation and cash ratio that is above the broad peer median. The weaknesses include weak reported return on capital, declining liquidity headroom, high bank leverage, low interest cover and impaired property value. The main financial problem therefore is not revenue challenge, but converting a large asset base and record revenue into long-term post-finance returns and maintaining liquidity.</w:t>
      </w:r>
      <w:r w:rsidDel="00000000" w:rsidR="00000000" w:rsidRPr="00000000">
        <w:rPr>
          <w:rtl w:val="0"/>
        </w:rPr>
      </w:r>
    </w:p>
    <w:p w:rsidR="00000000" w:rsidDel="00000000" w:rsidP="00000000" w:rsidRDefault="00000000" w:rsidRPr="00000000" w14:paraId="0000008F">
      <w:pPr>
        <w:pStyle w:val="Heading2"/>
        <w:spacing w:line="276" w:lineRule="auto"/>
        <w:rPr>
          <w:rFonts w:ascii="Times New Roman" w:cs="Times New Roman" w:eastAsia="Times New Roman" w:hAnsi="Times New Roman"/>
          <w:color w:val="000000"/>
          <w:sz w:val="24"/>
          <w:szCs w:val="24"/>
        </w:rPr>
      </w:pPr>
      <w:bookmarkStart w:colFirst="0" w:colLast="0" w:name="_4hww7bjj9w0a" w:id="10"/>
      <w:bookmarkEnd w:id="10"/>
      <w:r w:rsidDel="00000000" w:rsidR="00000000" w:rsidRPr="00000000">
        <w:rPr>
          <w:rFonts w:ascii="Times New Roman" w:cs="Times New Roman" w:eastAsia="Times New Roman" w:hAnsi="Times New Roman"/>
          <w:color w:val="000000"/>
          <w:sz w:val="24"/>
          <w:szCs w:val="24"/>
          <w:rtl w:val="0"/>
        </w:rPr>
        <w:t xml:space="preserve">3. Working Capital Management Analysis</w:t>
      </w:r>
    </w:p>
    <w:p w:rsidR="00000000" w:rsidDel="00000000" w:rsidP="00000000" w:rsidRDefault="00000000" w:rsidRPr="00000000" w14:paraId="00000090">
      <w:pPr>
        <w:pStyle w:val="Heading3"/>
        <w:spacing w:line="276" w:lineRule="auto"/>
        <w:rPr>
          <w:rFonts w:ascii="Times New Roman" w:cs="Times New Roman" w:eastAsia="Times New Roman" w:hAnsi="Times New Roman"/>
          <w:color w:val="000000"/>
        </w:rPr>
      </w:pPr>
      <w:bookmarkStart w:colFirst="0" w:colLast="0" w:name="_b0z3rx6hqsty" w:id="11"/>
      <w:bookmarkEnd w:id="11"/>
      <w:r w:rsidDel="00000000" w:rsidR="00000000" w:rsidRPr="00000000">
        <w:rPr>
          <w:rFonts w:ascii="Times New Roman" w:cs="Times New Roman" w:eastAsia="Times New Roman" w:hAnsi="Times New Roman"/>
          <w:color w:val="000000"/>
          <w:rtl w:val="0"/>
        </w:rPr>
        <w:t xml:space="preserve">3.1 Cash operating cycle</w:t>
      </w:r>
    </w:p>
    <w:p w:rsidR="00000000" w:rsidDel="00000000" w:rsidP="00000000" w:rsidRDefault="00000000" w:rsidRPr="00000000" w14:paraId="00000091">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cash operating cycle is the period of time defined by the number of days in inventory, receivable and payable (ACCA, 2026b). PPHE improved over time from a cycle of -17.28 days in FY2021 to -5.71 days in FY2022, +1.96 days in FY2023, +4.33 days in FY2024 and +4.89 days in FY2025. A negative cycle means cash is collected before the supplier is paid, while a positive cycle means there is a need for a small operating cash requirement. FY2021 was an atypical pandemic base, but the direction of the cycle is relevant and illustrates an improvement. The supplier days falling is the main reason for the deterioration in cash cycle, while the inventory and receivables days have improved. Evidence from the hospitality sector suggests the relationship between working capital and performance is non-linear; maximizing or minimizing working capital may be inferior when compared to maintaining an optimal level (Chambers and Cifter, 2022). Therefore, the aim is to improve cash timing without having a negative impact on the guests or failing to sustain supply.</w:t>
      </w:r>
      <w:r w:rsidDel="00000000" w:rsidR="00000000" w:rsidRPr="00000000">
        <w:rPr>
          <w:rtl w:val="0"/>
        </w:rPr>
      </w:r>
    </w:p>
    <w:p w:rsidR="00000000" w:rsidDel="00000000" w:rsidP="00000000" w:rsidRDefault="00000000" w:rsidRPr="00000000" w14:paraId="00000092">
      <w:pPr>
        <w:pStyle w:val="Heading5"/>
        <w:spacing w:after="60" w:before="80" w:line="276" w:lineRule="auto"/>
        <w:jc w:val="center"/>
        <w:rPr>
          <w:rFonts w:ascii="Times New Roman" w:cs="Times New Roman" w:eastAsia="Times New Roman" w:hAnsi="Times New Roman"/>
          <w:color w:val="000000"/>
        </w:rPr>
      </w:pPr>
      <w:bookmarkStart w:colFirst="0" w:colLast="0" w:name="_ukcctf9cphpf" w:id="12"/>
      <w:bookmarkEnd w:id="12"/>
      <w:r w:rsidDel="00000000" w:rsidR="00000000" w:rsidRPr="00000000">
        <w:rPr>
          <w:rFonts w:ascii="Times New Roman" w:cs="Times New Roman" w:eastAsia="Times New Roman" w:hAnsi="Times New Roman"/>
          <w:b w:val="1"/>
          <w:bCs w:val="1"/>
          <w:color w:val="000000"/>
          <w:rtl w:val="0"/>
        </w:rPr>
        <w:t xml:space="preserve">Figure 3. Cash operating-cycle components, FY2021-FY2025</w:t>
      </w:r>
      <w:r w:rsidDel="00000000" w:rsidR="00000000" w:rsidRPr="00000000">
        <w:rPr>
          <w:rtl w:val="0"/>
        </w:rPr>
      </w:r>
    </w:p>
    <w:p w:rsidR="00000000" w:rsidDel="00000000" w:rsidP="00000000" w:rsidRDefault="00000000" w:rsidRPr="00000000" w14:paraId="00000093">
      <w:pPr>
        <w:keepNext w:val="1"/>
        <w:spacing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0" distT="0" distL="114300" distR="114300">
            <wp:extent cx="5623560" cy="1947317"/>
            <wp:effectExtent b="0" l="0" r="0" t="0"/>
            <wp:docPr descr="Image: image4.png" id="14" name="image13.png"/>
            <a:graphic>
              <a:graphicData uri="http://schemas.openxmlformats.org/drawingml/2006/picture">
                <pic:pic>
                  <pic:nvPicPr>
                    <pic:cNvPr descr="Image: image4.png" id="0" name="image13.png"/>
                    <pic:cNvPicPr preferRelativeResize="0"/>
                  </pic:nvPicPr>
                  <pic:blipFill>
                    <a:blip r:embed="rId11"/>
                    <a:srcRect b="0" l="0" r="0" t="0"/>
                    <a:stretch>
                      <a:fillRect/>
                    </a:stretch>
                  </pic:blipFill>
                  <pic:spPr>
                    <a:xfrm>
                      <a:off x="0" y="0"/>
                      <a:ext cx="5623560" cy="1947317"/>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Excel analysis of PPHE Hotel Group annual reports (2022; 2024; 2026a).</w:t>
      </w:r>
    </w:p>
    <w:p w:rsidR="00000000" w:rsidDel="00000000" w:rsidP="00000000" w:rsidRDefault="00000000" w:rsidRPr="00000000" w14:paraId="00000095">
      <w:pPr>
        <w:pStyle w:val="Heading3"/>
        <w:spacing w:line="276" w:lineRule="auto"/>
        <w:rPr>
          <w:rFonts w:ascii="Times New Roman" w:cs="Times New Roman" w:eastAsia="Times New Roman" w:hAnsi="Times New Roman"/>
          <w:color w:val="000000"/>
        </w:rPr>
      </w:pPr>
      <w:bookmarkStart w:colFirst="0" w:colLast="0" w:name="_ggdhn9dhvl50" w:id="13"/>
      <w:bookmarkEnd w:id="13"/>
      <w:r w:rsidDel="00000000" w:rsidR="00000000" w:rsidRPr="00000000">
        <w:rPr>
          <w:rFonts w:ascii="Times New Roman" w:cs="Times New Roman" w:eastAsia="Times New Roman" w:hAnsi="Times New Roman"/>
          <w:color w:val="000000"/>
          <w:rtl w:val="0"/>
        </w:rPr>
        <w:t xml:space="preserve">3.2 Recommended reforms</w:t>
      </w:r>
    </w:p>
    <w:p w:rsidR="00000000" w:rsidDel="00000000" w:rsidP="00000000" w:rsidRDefault="00000000" w:rsidRPr="00000000" w14:paraId="00000096">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First, PPHE should develop a 13-week cash forecast at the property and currency level, which is reconciled weekly with actual receipts, payroll, tax, supplier payments, interest, and restricted cash. The forecast should be stress-tested for occupancy, average room rate, settlement delays, and a 100–200 bps shock to financing. This would help to predict the cash trough, and adequately size the committed revolver without maintaining excessive idle cash.</w:t>
      </w:r>
    </w:p>
    <w:p w:rsidR="00000000" w:rsidDel="00000000" w:rsidP="00000000" w:rsidRDefault="00000000" w:rsidRPr="00000000" w14:paraId="00000097">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Second, receivables should be segmented by payment channel. Card and online travel agent receivables should be explicitly reported as exceptions. Corporate accounts and events accounts should have credit limits, automated invoicing, ownership of disputes, and collections cycle management. Direct bookings should be used to reduce intermediation costs, but should be used with caution due to consumer refunds, cancels, and consumer protection laws.</w:t>
      </w:r>
    </w:p>
    <w:p w:rsidR="00000000" w:rsidDel="00000000" w:rsidP="00000000" w:rsidRDefault="00000000" w:rsidRPr="00000000" w14:paraId="00000098">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Third, supplier payment terms should be based on the risk criticality of the procured goods and the supplier’s payment term flexibility. PPHE should evaluate differences between contracted and actual payment terms, and negotiate longer payment terms with large healthy suppliers, but preserve prompt payment for small or vulnerable suppliers. A broad-based extension of payment terms would improve cash position, but would likely harm food quality and maintenance, and ESG position. Procurement should maintain a low cycle of food, beverage, and amenities to reduce waste.</w:t>
      </w:r>
      <w:r w:rsidDel="00000000" w:rsidR="00000000" w:rsidRPr="00000000">
        <w:rPr>
          <w:rtl w:val="0"/>
        </w:rPr>
      </w:r>
    </w:p>
    <w:p w:rsidR="00000000" w:rsidDel="00000000" w:rsidP="00000000" w:rsidRDefault="00000000" w:rsidRPr="00000000" w14:paraId="00000099">
      <w:pPr>
        <w:pStyle w:val="Heading3"/>
        <w:spacing w:line="276" w:lineRule="auto"/>
        <w:rPr>
          <w:rFonts w:ascii="Times New Roman" w:cs="Times New Roman" w:eastAsia="Times New Roman" w:hAnsi="Times New Roman"/>
          <w:color w:val="000000"/>
        </w:rPr>
      </w:pPr>
      <w:bookmarkStart w:colFirst="0" w:colLast="0" w:name="_typ9ts8yfygp" w:id="14"/>
      <w:bookmarkEnd w:id="14"/>
      <w:r w:rsidDel="00000000" w:rsidR="00000000" w:rsidRPr="00000000">
        <w:rPr>
          <w:rFonts w:ascii="Times New Roman" w:cs="Times New Roman" w:eastAsia="Times New Roman" w:hAnsi="Times New Roman"/>
          <w:color w:val="000000"/>
          <w:rtl w:val="0"/>
        </w:rPr>
        <w:t xml:space="preserve">3.3 Short-term versus long-term finance</w:t>
      </w:r>
    </w:p>
    <w:p w:rsidR="00000000" w:rsidDel="00000000" w:rsidP="00000000" w:rsidRDefault="00000000" w:rsidRPr="00000000" w14:paraId="0000009A">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Flexible short-term financing options include trade credit, overdrafts, revolving credit facilities and receivables facilities. While these options are useful for short-term working capital needs, PPHE Group exposes itself to the risk of repricing, covenants and rolling over these facilities. Long-Term funding options include long-term term loans, asset-backed facilities, bonds, or equity financing. While these options provide committed long-term funding, they attract fees, provide security, require covenants or provide funding by dilution (https://tuition.accaglobal.com/scc-fm, 2026). The permanent minimum working capital requirement and long-term assets should be funded using committed long-term financing. Revolver should be used only to meet long-term working capital needs due to seasonality. This matching financing policy should be used as the fixed cost on most of the debt that is refinanced in 2025 will increase after 2026 (PPHE Hotel Group, 2026, a). Restricted cash should not be treated as unrestricted cash.</w:t>
      </w:r>
      <w:r w:rsidDel="00000000" w:rsidR="00000000" w:rsidRPr="00000000">
        <w:rPr>
          <w:rtl w:val="0"/>
        </w:rPr>
      </w:r>
    </w:p>
    <w:p w:rsidR="00000000" w:rsidDel="00000000" w:rsidP="00000000" w:rsidRDefault="00000000" w:rsidRPr="00000000" w14:paraId="0000009B">
      <w:pPr>
        <w:pStyle w:val="Heading2"/>
        <w:spacing w:line="276" w:lineRule="auto"/>
        <w:rPr>
          <w:rFonts w:ascii="Times New Roman" w:cs="Times New Roman" w:eastAsia="Times New Roman" w:hAnsi="Times New Roman"/>
          <w:color w:val="000000"/>
          <w:sz w:val="24"/>
          <w:szCs w:val="24"/>
        </w:rPr>
      </w:pPr>
      <w:bookmarkStart w:colFirst="0" w:colLast="0" w:name="_navchxma2zkd" w:id="15"/>
      <w:bookmarkEnd w:id="15"/>
      <w:r w:rsidDel="00000000" w:rsidR="00000000" w:rsidRPr="00000000">
        <w:rPr>
          <w:rFonts w:ascii="Times New Roman" w:cs="Times New Roman" w:eastAsia="Times New Roman" w:hAnsi="Times New Roman"/>
          <w:color w:val="000000"/>
          <w:sz w:val="24"/>
          <w:szCs w:val="24"/>
          <w:rtl w:val="0"/>
        </w:rPr>
        <w:t xml:space="preserve">4. Strategic Financial Restructuring Plan</w:t>
      </w:r>
    </w:p>
    <w:p w:rsidR="00000000" w:rsidDel="00000000" w:rsidP="00000000" w:rsidRDefault="00000000" w:rsidRPr="00000000" w14:paraId="0000009C">
      <w:pPr>
        <w:pStyle w:val="Heading3"/>
        <w:spacing w:line="276" w:lineRule="auto"/>
        <w:rPr>
          <w:rFonts w:ascii="Times New Roman" w:cs="Times New Roman" w:eastAsia="Times New Roman" w:hAnsi="Times New Roman"/>
          <w:color w:val="000000"/>
        </w:rPr>
      </w:pPr>
      <w:bookmarkStart w:colFirst="0" w:colLast="0" w:name="_449wp22wog58" w:id="16"/>
      <w:bookmarkEnd w:id="16"/>
      <w:r w:rsidDel="00000000" w:rsidR="00000000" w:rsidRPr="00000000">
        <w:rPr>
          <w:rFonts w:ascii="Times New Roman" w:cs="Times New Roman" w:eastAsia="Times New Roman" w:hAnsi="Times New Roman"/>
          <w:color w:val="000000"/>
          <w:rtl w:val="0"/>
        </w:rPr>
        <w:t xml:space="preserve">4.1 Recommended sequence</w:t>
      </w:r>
    </w:p>
    <w:p w:rsidR="00000000" w:rsidDel="00000000" w:rsidP="00000000" w:rsidRDefault="00000000" w:rsidRPr="00000000" w14:paraId="0000009D">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suggested restructuring is a focused divestment and debt reduction plan, to be followed by asset light growth. A sale process for the entire company was concluded on the 2nd of July, 2026 without any offers, therefore the Board of Directors should not rely on takeover probability for liquidity or shareholder value (PPHE Hotel Group, 2026, c). Each owned asset should be assessed based on unlevered cash yield, strategic brand role, climate exposure and market value, with assets having the poorest risk adjusted returns and capital expenditure needs being sold.</w:t>
      </w:r>
    </w:p>
    <w:p w:rsidR="00000000" w:rsidDel="00000000" w:rsidP="00000000" w:rsidRDefault="00000000" w:rsidRPr="00000000" w14:paraId="0000009E">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If £100 million net proceeds from disposals was used to pay bank debt, then workbook sensitivity would reduce borrowings from £913.5 million to £813.5 million. Assuming the disposal was at book value, the debt/assets ratio would decrease from 47.53% to 44.65%, and debt/equity from 158.70%. Illustratively, on an annual basis, at 5% margin, pre-tax interest savings would be £5 million, and interest coverage would improve from 1.37 to 1.53. These values are indicative and not forecasts. The actual results will depend on the lost property EBITDA, the sale price, taxes, fees, terms of debt prepayment, the timing of the proceeds, etc. A sale at an economic value below the selling price or a sale and lease-back would replace debt with a locked-in lease obligation and would therefore decrease flexibility.</w:t>
      </w:r>
    </w:p>
    <w:p w:rsidR="00000000" w:rsidDel="00000000" w:rsidP="00000000" w:rsidRDefault="00000000" w:rsidRPr="00000000" w14:paraId="0000009F">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Additional equity would likely strengthen the balance sheet further. In a similar £100 million scenario, equity raises and debt repays would reduce debt/assets to 42.33% and debt/equity to 132.79%. However, EPS would be £0.32 and an equity raise at a discount would dilute existing holders and potentially change control. Equity would therefore be a contingent second step, ideally a pre-emptive rights issue or a strategic property-level minority investment with an explicit debt reduction and growth plan. A leveraged merger or acquisition would not be reasonable while interest coverage is at 1.37. Only low-capital contracting or partnership management would be reasonable until interest coverage is improved.</w:t>
      </w:r>
      <w:r w:rsidDel="00000000" w:rsidR="00000000" w:rsidRPr="00000000">
        <w:rPr>
          <w:rtl w:val="0"/>
        </w:rPr>
      </w:r>
    </w:p>
    <w:p w:rsidR="00000000" w:rsidDel="00000000" w:rsidP="00000000" w:rsidRDefault="00000000" w:rsidRPr="00000000" w14:paraId="000000A0">
      <w:pPr>
        <w:spacing w:after="120" w:line="276" w:lineRule="auto"/>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A1">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h4mpf2qc2wy9" w:id="17"/>
      <w:bookmarkEnd w:id="17"/>
      <w:r w:rsidDel="00000000" w:rsidR="00000000" w:rsidRPr="00000000">
        <w:rPr>
          <w:rFonts w:ascii="Times New Roman" w:cs="Times New Roman" w:eastAsia="Times New Roman" w:hAnsi="Times New Roman"/>
          <w:i w:val="0"/>
          <w:iCs w:val="0"/>
          <w:color w:val="000000"/>
          <w:vertAlign w:val="baseline"/>
          <w:rtl w:val="0"/>
        </w:rPr>
        <w:t xml:space="preserve">Table 3. Restructuring option evaluation</w:t>
      </w:r>
    </w:p>
    <w:p w:rsidR="00000000" w:rsidDel="00000000" w:rsidP="00000000" w:rsidRDefault="00000000" w:rsidRPr="00000000" w14:paraId="000000A2">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2273300"/>
            <wp:effectExtent b="0" l="0" r="0" t="0"/>
            <wp:docPr id="18" name="image11.png"/>
            <a:graphic>
              <a:graphicData uri="http://schemas.openxmlformats.org/drawingml/2006/picture">
                <pic:pic>
                  <pic:nvPicPr>
                    <pic:cNvPr id="0" name="image11.png"/>
                    <pic:cNvPicPr preferRelativeResize="0"/>
                  </pic:nvPicPr>
                  <pic:blipFill>
                    <a:blip r:embed="rId12"/>
                    <a:srcRect b="0" l="0" r="0" t="0"/>
                    <a:stretch>
                      <a:fillRect/>
                    </a:stretch>
                  </pic:blipFill>
                  <pic:spPr>
                    <a:xfrm>
                      <a:off x="0" y="0"/>
                      <a:ext cx="5731200" cy="2273300"/>
                    </a:xfrm>
                    <a:prstGeom prst="rect"/>
                    <a:ln/>
                  </pic:spPr>
                </pic:pic>
              </a:graphicData>
            </a:graphic>
          </wp:inline>
        </w:drawing>
      </w:r>
      <w:r w:rsidDel="00000000" w:rsidR="00000000" w:rsidRPr="00000000">
        <w:rPr>
          <w:rtl w:val="0"/>
        </w:rPr>
      </w:r>
    </w:p>
    <w:p w:rsidR="00000000" w:rsidDel="00000000" w:rsidP="00000000" w:rsidRDefault="00000000" w:rsidRPr="00000000" w14:paraId="000000A3">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Analysis using PPHE Hotel Group (2026a), ACCA (2024) and OECD (2023).</w:t>
      </w:r>
    </w:p>
    <w:p w:rsidR="00000000" w:rsidDel="00000000" w:rsidP="00000000" w:rsidRDefault="00000000" w:rsidRPr="00000000" w14:paraId="000000A4">
      <w:pPr>
        <w:pStyle w:val="Heading3"/>
        <w:spacing w:line="276" w:lineRule="auto"/>
        <w:rPr>
          <w:rFonts w:ascii="Times New Roman" w:cs="Times New Roman" w:eastAsia="Times New Roman" w:hAnsi="Times New Roman"/>
          <w:color w:val="000000"/>
        </w:rPr>
      </w:pPr>
      <w:bookmarkStart w:colFirst="0" w:colLast="0" w:name="_feud4brssg0o" w:id="18"/>
      <w:bookmarkEnd w:id="18"/>
      <w:r w:rsidDel="00000000" w:rsidR="00000000" w:rsidRPr="00000000">
        <w:rPr>
          <w:rFonts w:ascii="Times New Roman" w:cs="Times New Roman" w:eastAsia="Times New Roman" w:hAnsi="Times New Roman"/>
          <w:color w:val="000000"/>
          <w:rtl w:val="0"/>
        </w:rPr>
        <w:t xml:space="preserve">4.2 International, ethical and shareholder considerations</w:t>
      </w:r>
    </w:p>
    <w:p w:rsidR="00000000" w:rsidDel="00000000" w:rsidP="00000000" w:rsidRDefault="00000000" w:rsidRPr="00000000" w14:paraId="000000A5">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International Execution means dealing with specific taxes and policies applicable to each country, such as property taxes, capital gains taxes, withholding taxes, etc. Some aspects of international transactions are tax driven. A sale in sterling may be used to retire euro debt, but this creates basis risk. The proceeds should be used to pay the debt currency or be hedged. When considering inflation and interest rate assumptions for international transactions, the likely value of the power and the wages should cover room rates and likely exposure to costs of business and energy. The OECD Guidelines mandate ESG impact due diligence on employees and communities and suppliers, which should be conducted prior to the transaction as opposed to treating ESG as a post-deal issue (OECD, 2023). PPHE should adopt the recommended employment consultation and guest data protection practices, maintain supplier relationships, estimate the cost of decarbonization, and disclose related-party or major-shareholder conflicts. The failed sale also supports the case for an independent committee and improved minority-shareholder treatment. Sustainability diligence would help manage the risk of a superficially attractive transaction that could leave investors or communities with hidden transition liabilities (ACCA, 2024).</w:t>
      </w:r>
      <w:r w:rsidDel="00000000" w:rsidR="00000000" w:rsidRPr="00000000">
        <w:rPr>
          <w:rtl w:val="0"/>
        </w:rPr>
      </w:r>
    </w:p>
    <w:p w:rsidR="00000000" w:rsidDel="00000000" w:rsidP="00000000" w:rsidRDefault="00000000" w:rsidRPr="00000000" w14:paraId="000000A6">
      <w:pPr>
        <w:pStyle w:val="Heading2"/>
        <w:spacing w:line="276" w:lineRule="auto"/>
        <w:rPr>
          <w:rFonts w:ascii="Times New Roman" w:cs="Times New Roman" w:eastAsia="Times New Roman" w:hAnsi="Times New Roman"/>
          <w:color w:val="000000"/>
          <w:sz w:val="24"/>
          <w:szCs w:val="24"/>
        </w:rPr>
      </w:pPr>
      <w:bookmarkStart w:colFirst="0" w:colLast="0" w:name="_r4xw78bd9o09" w:id="19"/>
      <w:bookmarkEnd w:id="19"/>
      <w:r w:rsidDel="00000000" w:rsidR="00000000" w:rsidRPr="00000000">
        <w:rPr>
          <w:rFonts w:ascii="Times New Roman" w:cs="Times New Roman" w:eastAsia="Times New Roman" w:hAnsi="Times New Roman"/>
          <w:color w:val="000000"/>
          <w:sz w:val="24"/>
          <w:szCs w:val="24"/>
          <w:rtl w:val="0"/>
        </w:rPr>
        <w:t xml:space="preserve">5. Investment Appraisal and Capital Budgeting</w:t>
      </w:r>
    </w:p>
    <w:p w:rsidR="00000000" w:rsidDel="00000000" w:rsidP="00000000" w:rsidRDefault="00000000" w:rsidRPr="00000000" w14:paraId="000000A7">
      <w:pPr>
        <w:pStyle w:val="Heading3"/>
        <w:spacing w:line="276" w:lineRule="auto"/>
        <w:rPr>
          <w:rFonts w:ascii="Times New Roman" w:cs="Times New Roman" w:eastAsia="Times New Roman" w:hAnsi="Times New Roman"/>
          <w:color w:val="000000"/>
        </w:rPr>
      </w:pPr>
      <w:bookmarkStart w:colFirst="0" w:colLast="0" w:name="_x7nxzhjav0f4" w:id="20"/>
      <w:bookmarkEnd w:id="20"/>
      <w:r w:rsidDel="00000000" w:rsidR="00000000" w:rsidRPr="00000000">
        <w:rPr>
          <w:rFonts w:ascii="Times New Roman" w:cs="Times New Roman" w:eastAsia="Times New Roman" w:hAnsi="Times New Roman"/>
          <w:color w:val="000000"/>
          <w:rtl w:val="0"/>
        </w:rPr>
        <w:t xml:space="preserve">5.1 Method and assumptions</w:t>
      </w:r>
    </w:p>
    <w:p w:rsidR="00000000" w:rsidDel="00000000" w:rsidP="00000000" w:rsidRDefault="00000000" w:rsidRPr="00000000" w14:paraId="000000A8">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Each project requires £50 million at time zero and has zero residual value. They generate five equal year-end cash inflows and typical $10 million costs each year. There are no tax or working capital adjustments and the discount rate is 8%. Payback measures liquidity risk; ARR uses accounting profit; NPV measures value added; PI measures return on capital Invested; and IRR is the discount rate at which NPV is zero. Of the five metrics, NPV is the most important as it incorporates the time value of money and value creation. The other metrics ignore cash flow timing (Berk and DeMarzo, 2023; ACCA, 2026d). IRR is intuitive. However, it may give a misleading ranking on mutually exclusive alternatives and may become especially difficult with non-standard cash flows. Fortunately, the cash flows for our alternatives demonstrate an initial outflow (as they must) followed by positive inflows. Thus, IRR can serve as a check with these alternatives (ACCA, 2026e).</w:t>
      </w:r>
      <w:r w:rsidDel="00000000" w:rsidR="00000000" w:rsidRPr="00000000">
        <w:rPr>
          <w:rtl w:val="0"/>
        </w:rPr>
      </w:r>
    </w:p>
    <w:p w:rsidR="00000000" w:rsidDel="00000000" w:rsidP="00000000" w:rsidRDefault="00000000" w:rsidRPr="00000000" w14:paraId="000000A9">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riwvoruejq75" w:id="21"/>
      <w:bookmarkEnd w:id="21"/>
      <w:r w:rsidDel="00000000" w:rsidR="00000000" w:rsidRPr="00000000">
        <w:rPr>
          <w:rFonts w:ascii="Times New Roman" w:cs="Times New Roman" w:eastAsia="Times New Roman" w:hAnsi="Times New Roman"/>
          <w:i w:val="0"/>
          <w:iCs w:val="0"/>
          <w:color w:val="000000"/>
          <w:vertAlign w:val="baseline"/>
          <w:rtl w:val="0"/>
        </w:rPr>
        <w:t xml:space="preserve">Table </w:t>
      </w:r>
      <w:r w:rsidDel="00000000" w:rsidR="00000000" w:rsidRPr="00000000">
        <w:rPr>
          <w:rFonts w:ascii="Times New Roman" w:cs="Times New Roman" w:eastAsia="Times New Roman" w:hAnsi="Times New Roman"/>
          <w:i w:val="0"/>
          <w:iCs w:val="0"/>
          <w:color w:val="000000"/>
          <w:vertAlign w:val="baseline"/>
          <w:rtl w:val="0"/>
        </w:rPr>
        <w:t xml:space="preserve">4. Investment appraisal results</w:t>
      </w:r>
    </w:p>
    <w:p w:rsidR="00000000" w:rsidDel="00000000" w:rsidP="00000000" w:rsidRDefault="00000000" w:rsidRPr="00000000" w14:paraId="000000AA">
      <w:pPr>
        <w:pStyle w:val="Heading4"/>
        <w:keepNext w:val="1"/>
        <w:spacing w:after="60" w:before="80" w:line="276" w:lineRule="auto"/>
        <w:jc w:val="center"/>
        <w:rPr>
          <w:rFonts w:ascii="Times New Roman" w:cs="Times New Roman" w:eastAsia="Times New Roman" w:hAnsi="Times New Roman"/>
          <w:i w:val="0"/>
          <w:iCs w:val="0"/>
          <w:color w:val="000000"/>
        </w:rPr>
      </w:pPr>
      <w:bookmarkStart w:colFirst="0" w:colLast="0" w:name="_5rczwzmein8z" w:id="22"/>
      <w:bookmarkEnd w:id="22"/>
      <w:r w:rsidDel="00000000" w:rsidR="00000000" w:rsidRPr="00000000">
        <w:rPr>
          <w:rFonts w:ascii="Times New Roman" w:cs="Times New Roman" w:eastAsia="Times New Roman" w:hAnsi="Times New Roman"/>
          <w:i w:val="0"/>
          <w:iCs w:val="0"/>
          <w:color w:val="000000"/>
        </w:rPr>
        <w:drawing>
          <wp:inline distB="114300" distT="114300" distL="114300" distR="114300">
            <wp:extent cx="5562600" cy="1381125"/>
            <wp:effectExtent b="0" l="0" r="0" t="0"/>
            <wp:docPr id="5" name="image3.png"/>
            <a:graphic>
              <a:graphicData uri="http://schemas.openxmlformats.org/drawingml/2006/picture">
                <pic:pic>
                  <pic:nvPicPr>
                    <pic:cNvPr id="0" name="image3.png"/>
                    <pic:cNvPicPr preferRelativeResize="0"/>
                  </pic:nvPicPr>
                  <pic:blipFill>
                    <a:blip r:embed="rId13"/>
                    <a:srcRect b="0" l="0" r="0" t="0"/>
                    <a:stretch>
                      <a:fillRect/>
                    </a:stretch>
                  </pic:blipFill>
                  <pic:spPr>
                    <a:xfrm>
                      <a:off x="0" y="0"/>
                      <a:ext cx="5562600" cy="1381125"/>
                    </a:xfrm>
                    <a:prstGeom prst="rect"/>
                    <a:ln/>
                  </pic:spPr>
                </pic:pic>
              </a:graphicData>
            </a:graphic>
          </wp:inline>
        </w:drawing>
      </w:r>
      <w:r w:rsidDel="00000000" w:rsidR="00000000" w:rsidRPr="00000000">
        <w:rPr>
          <w:rtl w:val="0"/>
        </w:rPr>
      </w:r>
    </w:p>
    <w:p w:rsidR="00000000" w:rsidDel="00000000" w:rsidP="00000000" w:rsidRDefault="00000000" w:rsidRPr="00000000" w14:paraId="000000AB">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Excel calculations from the project cash flows in UWTSD (2026). </w:t>
      </w:r>
    </w:p>
    <w:p w:rsidR="00000000" w:rsidDel="00000000" w:rsidP="00000000" w:rsidRDefault="00000000" w:rsidRPr="00000000" w14:paraId="000000AC">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ARR uses initial cost; average-investment sensitivity is shown in Appendix C.</w:t>
      </w:r>
    </w:p>
    <w:p w:rsidR="00000000" w:rsidDel="00000000" w:rsidP="00000000" w:rsidRDefault="00000000" w:rsidRPr="00000000" w14:paraId="000000AD">
      <w:pPr>
        <w:pStyle w:val="Heading3"/>
        <w:spacing w:line="276" w:lineRule="auto"/>
        <w:rPr>
          <w:rFonts w:ascii="Times New Roman" w:cs="Times New Roman" w:eastAsia="Times New Roman" w:hAnsi="Times New Roman"/>
          <w:color w:val="000000"/>
        </w:rPr>
      </w:pPr>
      <w:bookmarkStart w:colFirst="0" w:colLast="0" w:name="_r22o07jnvlp3" w:id="23"/>
      <w:bookmarkEnd w:id="23"/>
      <w:r w:rsidDel="00000000" w:rsidR="00000000" w:rsidRPr="00000000">
        <w:rPr>
          <w:rFonts w:ascii="Times New Roman" w:cs="Times New Roman" w:eastAsia="Times New Roman" w:hAnsi="Times New Roman"/>
          <w:color w:val="000000"/>
          <w:rtl w:val="0"/>
        </w:rPr>
        <w:t xml:space="preserve">5.2 Interpretation of the three projects</w:t>
      </w:r>
    </w:p>
    <w:p w:rsidR="00000000" w:rsidDel="00000000" w:rsidP="00000000" w:rsidRDefault="00000000" w:rsidRPr="00000000" w14:paraId="000000AE">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Project A gives a £54 million nominal return; however, the discounted inflows will be £43.456 million. It also has a long 4.50 year payback, with ARR of 1.60%, PI of 0.869 and IRR at 2.72%. This alternative will erode £6.544 million at the required return. Alternative B, while giving £55 million on a nominal basis, also suffers from the same long payback due to £11 million constant inflows which are also inadequate after discounting. It also has a long 4.55 year payback, a negative NPV at -£6.080 million and an IRR at 3.26%. Just being less volatile will not help if the returns are also not sufficient.</w:t>
      </w:r>
    </w:p>
    <w:p w:rsidR="00000000" w:rsidDel="00000000" w:rsidP="00000000" w:rsidRDefault="00000000" w:rsidRPr="00000000" w14:paraId="000000AF">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Project C has a value stream which is back-loaded in years 3 and 4 at £65 million nominal, making it the most likely to be selected due to the shortest payback at 3.60 years, the highest ARR of 6.00%, a PI greater than 1 and an IRR at 8.59%. It is the only alternative of the three which has a positive NPV at £0.858 million, but the margin of safety is very low at only 1.72% of the initial investment, and IRR clears the required return hurdle by only 0.59 percentage points. A slight increase in cost, item cash flow delays or a shortfall in required occupancy would result in an alternative with a positive NPV. Therefore, Project C may only be selected if firm assurance is given on the completion of the risk adjusted cash flow work, tax, inflation and scope assurance. Contractual milestones with Board reapproval before significant expenditure would preserve the right to forfeit.</w:t>
      </w:r>
      <w:r w:rsidDel="00000000" w:rsidR="00000000" w:rsidRPr="00000000">
        <w:rPr>
          <w:rtl w:val="0"/>
        </w:rPr>
      </w:r>
    </w:p>
    <w:p w:rsidR="00000000" w:rsidDel="00000000" w:rsidP="00000000" w:rsidRDefault="00000000" w:rsidRPr="00000000" w14:paraId="000000B0">
      <w:pPr>
        <w:pStyle w:val="Heading5"/>
        <w:spacing w:after="60" w:before="80" w:line="276" w:lineRule="auto"/>
        <w:jc w:val="center"/>
        <w:rPr>
          <w:rFonts w:ascii="Times New Roman" w:cs="Times New Roman" w:eastAsia="Times New Roman" w:hAnsi="Times New Roman"/>
          <w:color w:val="000000"/>
        </w:rPr>
      </w:pPr>
      <w:bookmarkStart w:colFirst="0" w:colLast="0" w:name="_qmkrfhny9c9p" w:id="24"/>
      <w:bookmarkEnd w:id="24"/>
      <w:r w:rsidDel="00000000" w:rsidR="00000000" w:rsidRPr="00000000">
        <w:rPr>
          <w:rFonts w:ascii="Times New Roman" w:cs="Times New Roman" w:eastAsia="Times New Roman" w:hAnsi="Times New Roman"/>
          <w:b w:val="1"/>
          <w:bCs w:val="1"/>
          <w:color w:val="000000"/>
          <w:rtl w:val="0"/>
        </w:rPr>
        <w:t xml:space="preserve">Figure 4. NPV comparison at an 8% discount rate</w:t>
      </w:r>
      <w:r w:rsidDel="00000000" w:rsidR="00000000" w:rsidRPr="00000000">
        <w:rPr>
          <w:rtl w:val="0"/>
        </w:rPr>
      </w:r>
    </w:p>
    <w:p w:rsidR="00000000" w:rsidDel="00000000" w:rsidP="00000000" w:rsidRDefault="00000000" w:rsidRPr="00000000" w14:paraId="000000B1">
      <w:pPr>
        <w:keepNext w:val="1"/>
        <w:spacing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0" distT="0" distL="114300" distR="114300">
            <wp:extent cx="5623560" cy="2015134"/>
            <wp:effectExtent b="0" l="0" r="0" t="0"/>
            <wp:docPr descr="Image: image5.png" id="12" name="image16.png"/>
            <a:graphic>
              <a:graphicData uri="http://schemas.openxmlformats.org/drawingml/2006/picture">
                <pic:pic>
                  <pic:nvPicPr>
                    <pic:cNvPr descr="Image: image5.png" id="0" name="image16.png"/>
                    <pic:cNvPicPr preferRelativeResize="0"/>
                  </pic:nvPicPr>
                  <pic:blipFill>
                    <a:blip r:embed="rId14"/>
                    <a:srcRect b="0" l="0" r="0" t="0"/>
                    <a:stretch>
                      <a:fillRect/>
                    </a:stretch>
                  </pic:blipFill>
                  <pic:spPr>
                    <a:xfrm>
                      <a:off x="0" y="0"/>
                      <a:ext cx="5623560" cy="2015134"/>
                    </a:xfrm>
                    <a:prstGeom prst="rect"/>
                    <a:ln/>
                  </pic:spPr>
                </pic:pic>
              </a:graphicData>
            </a:graphic>
          </wp:inline>
        </w:drawing>
      </w:r>
      <w:r w:rsidDel="00000000" w:rsidR="00000000" w:rsidRPr="00000000">
        <w:rPr>
          <w:rtl w:val="0"/>
        </w:rPr>
      </w:r>
    </w:p>
    <w:p w:rsidR="00000000" w:rsidDel="00000000" w:rsidP="00000000" w:rsidRDefault="00000000" w:rsidRPr="00000000" w14:paraId="000000B2">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Excel investment-appraisal model based on UWTSD (2026).</w:t>
      </w:r>
    </w:p>
    <w:p w:rsidR="00000000" w:rsidDel="00000000" w:rsidP="00000000" w:rsidRDefault="00000000" w:rsidRPr="00000000" w14:paraId="000000B3">
      <w:pPr>
        <w:pStyle w:val="Heading3"/>
        <w:spacing w:line="276" w:lineRule="auto"/>
        <w:rPr>
          <w:rFonts w:ascii="Times New Roman" w:cs="Times New Roman" w:eastAsia="Times New Roman" w:hAnsi="Times New Roman"/>
          <w:color w:val="000000"/>
        </w:rPr>
      </w:pPr>
      <w:bookmarkStart w:colFirst="0" w:colLast="0" w:name="_q3g1m0pvblfd" w:id="25"/>
      <w:bookmarkEnd w:id="25"/>
      <w:r w:rsidDel="00000000" w:rsidR="00000000" w:rsidRPr="00000000">
        <w:rPr>
          <w:rFonts w:ascii="Times New Roman" w:cs="Times New Roman" w:eastAsia="Times New Roman" w:hAnsi="Times New Roman"/>
          <w:color w:val="000000"/>
          <w:rtl w:val="0"/>
        </w:rPr>
        <w:t xml:space="preserve">5.3 Fit with PPHE's financial position and non-financial risk</w:t>
      </w:r>
    </w:p>
    <w:p w:rsidR="00000000" w:rsidDel="00000000" w:rsidP="00000000" w:rsidRDefault="00000000" w:rsidRPr="00000000" w14:paraId="000000B4">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balance sheet must be analyzed to make the recommendation. For FY2025, PPHE shows strong cash generation, but the current ratio is 1.00, bank borrowings are 913.5 million pounds, interest cover is 1.37 times. Considering the shorter payback and positive NPV of Project C, the recommendation is to fund C over A or B. However, funding C with new debt would negatively impact leverage, and the small NPV would become exposed to risk from changes in financing costs. The preference is to fund with project-specific sales or cash generated after preserving the cash cushion to meet the liquidity needs. The project discount rate is elevated if the country, currency or development risk is higher than the assumed corporate risk of PPHE.</w:t>
      </w:r>
    </w:p>
    <w:p w:rsidR="00000000" w:rsidDel="00000000" w:rsidP="00000000" w:rsidRDefault="00000000" w:rsidRPr="00000000" w14:paraId="000000B5">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Non-financial due diligence should evaluate political and regulatory risk, the award of planning permission, the relationship between hotel VAT and business rates, labor supply, inflation, climate change, data protection, and brand fit, as well as customer loyalty. For a high-end hotel group, service disruptions or brand proposition inconsistency would result in declining customer loyalty, despite positive cash flow noted on the project financials. Customer loyalty and channel economics should be expressed in occupancy and rate sensitivity and the cost of customer acquisition, rather than simply stating the risks are generic. A one-year project completion delay, with a concurrent decrease in inflows in year three or four, should be evaluated in the due diligence. Project C is especially sensitive to timing.</w:t>
      </w:r>
    </w:p>
    <w:p w:rsidR="00000000" w:rsidDel="00000000" w:rsidP="00000000" w:rsidRDefault="00000000" w:rsidRPr="00000000" w14:paraId="000000B6">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Approval should occur before Project C funds can be released. The Board should allow management to implement Project C without further permission so long as documentation is submitted by management narrating the base case, case of delay, case of inflation, identification of the accountable project sponsor, and establishing planning consent stop/go threshold, fixed-price procurement stop/go threshold, and pre-opening demand stop/go threshold. Monthly reporting should provide evidence of cash commitments and estimates to complete the work. If the revised NPV is less than zero, the project should not be continued; only sunk costs and the exit budget should be considered. This governance framework is most important when the risk of execution can overwhelm the positive margin in a project.</w:t>
      </w:r>
      <w:r w:rsidDel="00000000" w:rsidR="00000000" w:rsidRPr="00000000">
        <w:rPr>
          <w:rtl w:val="0"/>
        </w:rPr>
      </w:r>
    </w:p>
    <w:p w:rsidR="00000000" w:rsidDel="00000000" w:rsidP="00000000" w:rsidRDefault="00000000" w:rsidRPr="00000000" w14:paraId="000000B7">
      <w:pPr>
        <w:pStyle w:val="Heading3"/>
        <w:spacing w:line="276" w:lineRule="auto"/>
        <w:rPr>
          <w:rFonts w:ascii="Times New Roman" w:cs="Times New Roman" w:eastAsia="Times New Roman" w:hAnsi="Times New Roman"/>
          <w:color w:val="000000"/>
        </w:rPr>
      </w:pPr>
      <w:bookmarkStart w:colFirst="0" w:colLast="0" w:name="_nfx8j4pi25hc" w:id="26"/>
      <w:bookmarkEnd w:id="26"/>
      <w:r w:rsidDel="00000000" w:rsidR="00000000" w:rsidRPr="00000000">
        <w:rPr>
          <w:rFonts w:ascii="Times New Roman" w:cs="Times New Roman" w:eastAsia="Times New Roman" w:hAnsi="Times New Roman"/>
          <w:color w:val="000000"/>
          <w:rtl w:val="0"/>
        </w:rPr>
        <w:t xml:space="preserve">5.4 Capital rationing under the £100 million maximum</w:t>
      </w:r>
    </w:p>
    <w:p w:rsidR="00000000" w:rsidDel="00000000" w:rsidP="00000000" w:rsidRDefault="00000000" w:rsidRPr="00000000" w14:paraId="000000B8">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word ‘maximum’ is critical. With indivisible projects and a £100 million cap, the intention is to select the feasible set with the highest total NPV, and not to waste the budget. Project C yields +£0.858 million and leaves £50 million unallocated. Each of the two-project combinations has a negative NPV: A+B = -£12.624 million, A+C = -£5.686 million, B+C = -£5.222 million. Therefore, C is the value-maximizing project. The £50 million should be set aside to maintain cash available for the repayment of debt or for a better project opportunity.</w:t>
      </w:r>
    </w:p>
    <w:p w:rsidR="00000000" w:rsidDel="00000000" w:rsidP="00000000" w:rsidRDefault="00000000" w:rsidRPr="00000000" w14:paraId="000000B9">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If the Board dictated that a minimum of £100 million must be spent, then B+C would be the least damaging selection because it has the highest combined NPV (-£5.222 million), PI (0.948), and IRR (6.10%). It should still be rejected as it has an IRR that is less than 8% and it creates a value loss. Capital rationing will not turn a negative-NPV project into a positive-NPV one. With that in mind, the appropriate response to this challenge is either to renegotiate the price, redesign the cash flows, or seek out new opportunities.</w:t>
      </w:r>
      <w:r w:rsidDel="00000000" w:rsidR="00000000" w:rsidRPr="00000000">
        <w:rPr>
          <w:rtl w:val="0"/>
        </w:rPr>
      </w:r>
    </w:p>
    <w:p w:rsidR="00000000" w:rsidDel="00000000" w:rsidP="00000000" w:rsidRDefault="00000000" w:rsidRPr="00000000" w14:paraId="000000BA">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5sxtw9a3j0rh" w:id="27"/>
      <w:bookmarkEnd w:id="27"/>
      <w:r w:rsidDel="00000000" w:rsidR="00000000" w:rsidRPr="00000000">
        <w:rPr>
          <w:rFonts w:ascii="Times New Roman" w:cs="Times New Roman" w:eastAsia="Times New Roman" w:hAnsi="Times New Roman"/>
          <w:i w:val="0"/>
          <w:iCs w:val="0"/>
          <w:color w:val="000000"/>
          <w:vertAlign w:val="baseline"/>
          <w:rtl w:val="0"/>
        </w:rPr>
        <w:t xml:space="preserve">Table </w:t>
      </w:r>
      <w:r w:rsidDel="00000000" w:rsidR="00000000" w:rsidRPr="00000000">
        <w:rPr>
          <w:rFonts w:ascii="Times New Roman" w:cs="Times New Roman" w:eastAsia="Times New Roman" w:hAnsi="Times New Roman"/>
          <w:i w:val="0"/>
          <w:iCs w:val="0"/>
          <w:color w:val="000000"/>
          <w:vertAlign w:val="baseline"/>
          <w:rtl w:val="0"/>
        </w:rPr>
        <w:t xml:space="preserve">5. Capital-rationing decision</w:t>
      </w:r>
    </w:p>
    <w:p w:rsidR="00000000" w:rsidDel="00000000" w:rsidP="00000000" w:rsidRDefault="00000000" w:rsidRPr="00000000" w14:paraId="000000BB">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219200"/>
            <wp:effectExtent b="0" l="0" r="0" t="0"/>
            <wp:docPr id="19" name="image10.png"/>
            <a:graphic>
              <a:graphicData uri="http://schemas.openxmlformats.org/drawingml/2006/picture">
                <pic:pic>
                  <pic:nvPicPr>
                    <pic:cNvPr id="0" name="image10.png"/>
                    <pic:cNvPicPr preferRelativeResize="0"/>
                  </pic:nvPicPr>
                  <pic:blipFill>
                    <a:blip r:embed="rId15"/>
                    <a:srcRect b="0" l="0" r="0" t="0"/>
                    <a:stretch>
                      <a:fillRect/>
                    </a:stretch>
                  </pic:blipFill>
                  <pic:spPr>
                    <a:xfrm>
                      <a:off x="0" y="0"/>
                      <a:ext cx="5731200" cy="12192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w:t>
      </w:r>
    </w:p>
    <w:p w:rsidR="00000000" w:rsidDel="00000000" w:rsidP="00000000" w:rsidRDefault="00000000" w:rsidRPr="00000000" w14:paraId="000000BC">
      <w:pPr>
        <w:pStyle w:val="Heading2"/>
        <w:spacing w:line="276" w:lineRule="auto"/>
        <w:rPr>
          <w:rFonts w:ascii="Times New Roman" w:cs="Times New Roman" w:eastAsia="Times New Roman" w:hAnsi="Times New Roman"/>
          <w:color w:val="000000"/>
          <w:sz w:val="24"/>
          <w:szCs w:val="24"/>
        </w:rPr>
      </w:pPr>
      <w:bookmarkStart w:colFirst="0" w:colLast="0" w:name="_4r2robqiecw1" w:id="28"/>
      <w:bookmarkEnd w:id="28"/>
      <w:r w:rsidDel="00000000" w:rsidR="00000000" w:rsidRPr="00000000">
        <w:rPr>
          <w:rFonts w:ascii="Times New Roman" w:cs="Times New Roman" w:eastAsia="Times New Roman" w:hAnsi="Times New Roman"/>
          <w:color w:val="000000"/>
          <w:sz w:val="24"/>
          <w:szCs w:val="24"/>
          <w:rtl w:val="0"/>
        </w:rPr>
        <w:t xml:space="preserve">6. Critical Reflection on AI Usage</w:t>
      </w:r>
    </w:p>
    <w:p w:rsidR="00000000" w:rsidDel="00000000" w:rsidP="00000000" w:rsidRDefault="00000000" w:rsidRPr="00000000" w14:paraId="000000BD">
      <w:pPr>
        <w:pStyle w:val="Heading3"/>
        <w:keepNext w:val="0"/>
        <w:keepLines w:val="0"/>
        <w:spacing w:before="280" w:line="276" w:lineRule="auto"/>
        <w:rPr>
          <w:rFonts w:ascii="Times New Roman" w:cs="Times New Roman" w:eastAsia="Times New Roman" w:hAnsi="Times New Roman"/>
          <w:color w:val="000000"/>
        </w:rPr>
      </w:pPr>
      <w:bookmarkStart w:colFirst="0" w:colLast="0" w:name="_1k3yrhd262b" w:id="29"/>
      <w:bookmarkEnd w:id="29"/>
      <w:r w:rsidDel="00000000" w:rsidR="00000000" w:rsidRPr="00000000">
        <w:rPr>
          <w:rFonts w:ascii="Times New Roman" w:cs="Times New Roman" w:eastAsia="Times New Roman" w:hAnsi="Times New Roman"/>
          <w:color w:val="000000"/>
          <w:rtl w:val="0"/>
        </w:rPr>
        <w:t xml:space="preserve">6.1 Tool Disclosure and Contribution</w:t>
      </w:r>
    </w:p>
    <w:p w:rsidR="00000000" w:rsidDel="00000000" w:rsidP="00000000" w:rsidRDefault="00000000" w:rsidRPr="00000000" w14:paraId="000000BE">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ChatGPT was used on a limited basis during the preparation of this report. Its main purpose was to support the understanding of unfamiliar keywords, financial terminology and basic concepts encountered during the initial stages of the research. It was also used for preliminary topic searches to identify appropriate areas that required further investigation. For example, where terminology relating to financial ratios, working capital, investment appraisal or financial restructuring required clarification, ChatGPT was used to obtain a simple explanation before the relevant concept was examined through academic and professional sources.</w:t>
      </w:r>
    </w:p>
    <w:p w:rsidR="00000000" w:rsidDel="00000000" w:rsidP="00000000" w:rsidRDefault="00000000" w:rsidRPr="00000000" w14:paraId="000000BF">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use of ChatGPT did not extend to the major analytical components of the assessment. It was not used to perform the financial ratio calculations, investment appraisal calculations or Excel analysis. Similarly, it was not relied upon to determine the final interpretation of PPHE Hotel Group's financial performance, select the preferred restructuring strategy or make the final investment recommendation. These elements were completed through independent analysis of the financial information, calculations and evidence collected for the report.</w:t>
      </w:r>
    </w:p>
    <w:p w:rsidR="00000000" w:rsidDel="00000000" w:rsidP="00000000" w:rsidRDefault="00000000" w:rsidRPr="00000000" w14:paraId="000000C0">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principal sources of evidence remained PPHE Hotel Group's published financial statements, annual reports, peer-company information, academic literature and relevant professional sources. Therefore, ChatGPT functioned as a supplementary tool for understanding keywords and identifying basic areas for further research rather than as a substitute for independent academic work.</w:t>
      </w:r>
    </w:p>
    <w:p w:rsidR="00000000" w:rsidDel="00000000" w:rsidP="00000000" w:rsidRDefault="00000000" w:rsidRPr="00000000" w14:paraId="000000C1">
      <w:pPr>
        <w:pStyle w:val="Heading3"/>
        <w:keepNext w:val="0"/>
        <w:keepLines w:val="0"/>
        <w:spacing w:before="280" w:line="276" w:lineRule="auto"/>
        <w:rPr>
          <w:rFonts w:ascii="Times New Roman" w:cs="Times New Roman" w:eastAsia="Times New Roman" w:hAnsi="Times New Roman"/>
          <w:color w:val="000000"/>
        </w:rPr>
      </w:pPr>
      <w:bookmarkStart w:colFirst="0" w:colLast="0" w:name="_k9cvqyqrd6zy" w:id="30"/>
      <w:bookmarkEnd w:id="30"/>
      <w:r w:rsidDel="00000000" w:rsidR="00000000" w:rsidRPr="00000000">
        <w:rPr>
          <w:rFonts w:ascii="Times New Roman" w:cs="Times New Roman" w:eastAsia="Times New Roman" w:hAnsi="Times New Roman"/>
          <w:color w:val="000000"/>
          <w:rtl w:val="0"/>
        </w:rPr>
        <w:t xml:space="preserve">6.2 Verification and Independent Evaluation</w:t>
      </w:r>
    </w:p>
    <w:p w:rsidR="00000000" w:rsidDel="00000000" w:rsidP="00000000" w:rsidRDefault="00000000" w:rsidRPr="00000000" w14:paraId="000000C2">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An important consideration when using ChatGPT is that information generated by an AI system should not automatically be treated as accurate or authoritative. Any explanation obtained through ChatGPT was therefore treated only as an initial aid to understanding. Financial definitions, concepts and information relevant to the assessment were subsequently checked against appropriate academic, professional and company sources before being incorporated into the report.</w:t>
      </w:r>
    </w:p>
    <w:p w:rsidR="00000000" w:rsidDel="00000000" w:rsidP="00000000" w:rsidRDefault="00000000" w:rsidRPr="00000000" w14:paraId="000000C3">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financial analysis itself was conducted using the figures obtained from published financial statements and the calculations undertaken in Excel. This included the five-year financial ratios, liquidity comparison, working-capital analysis and investment-appraisal measures such as payback period, ARR, NPV, profitability index and IRR. The interpretation of these results was based on the calculated evidence and the financial circumstances of PPHE rather than on AI-generated conclusions.</w:t>
      </w:r>
    </w:p>
    <w:p w:rsidR="00000000" w:rsidDel="00000000" w:rsidP="00000000" w:rsidRDefault="00000000" w:rsidRPr="00000000" w14:paraId="000000C4">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This verification process was necessary because generative AI can occasionally provide incomplete, outdated or inaccurate explanations. Independent checking therefore remained essential throughout the assessment. Using ChatGPT only at the preliminary understanding stage reduced the risk of relying on unsupported information while still providing a useful way of understanding unfamiliar terminology before consulting more authoritative sources.</w:t>
      </w:r>
    </w:p>
    <w:p w:rsidR="00000000" w:rsidDel="00000000" w:rsidP="00000000" w:rsidRDefault="00000000" w:rsidRPr="00000000" w14:paraId="000000C5">
      <w:pPr>
        <w:pStyle w:val="Heading3"/>
        <w:keepNext w:val="0"/>
        <w:keepLines w:val="0"/>
        <w:spacing w:before="280" w:line="276" w:lineRule="auto"/>
        <w:rPr>
          <w:rFonts w:ascii="Times New Roman" w:cs="Times New Roman" w:eastAsia="Times New Roman" w:hAnsi="Times New Roman"/>
          <w:color w:val="000000"/>
        </w:rPr>
      </w:pPr>
      <w:bookmarkStart w:colFirst="0" w:colLast="0" w:name="_oehwyht70ykd" w:id="31"/>
      <w:bookmarkEnd w:id="31"/>
      <w:r w:rsidDel="00000000" w:rsidR="00000000" w:rsidRPr="00000000">
        <w:rPr>
          <w:rFonts w:ascii="Times New Roman" w:cs="Times New Roman" w:eastAsia="Times New Roman" w:hAnsi="Times New Roman"/>
          <w:color w:val="000000"/>
          <w:rtl w:val="0"/>
        </w:rPr>
        <w:t xml:space="preserve">6.3 Ethical and Professional Reflection</w:t>
      </w:r>
    </w:p>
    <w:p w:rsidR="00000000" w:rsidDel="00000000" w:rsidP="00000000" w:rsidRDefault="00000000" w:rsidRPr="00000000" w14:paraId="000000C6">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limited use of ChatGPT also raised important considerations relating to academic integrity and professional responsibility. AI tools can be useful for improving initial understanding and supporting basic topic exploration, but they should not replace critical thinking, independent analysis or professional judgement. This is particularly important within financial management, where recommendations may depend on the accurate interpretation of accounting information, financial calculations and organisational circumstances.</w:t>
      </w:r>
    </w:p>
    <w:p w:rsidR="00000000" w:rsidDel="00000000" w:rsidP="00000000" w:rsidRDefault="00000000" w:rsidRPr="00000000" w14:paraId="000000C7">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Lehner et al. (2022) identify several ethical concerns surrounding the application of artificial intelligence in accounting and decision-making, including transparency, accountability and reliability. Similarly, ICAEW (2024) emphasises that the growing use of AI does not remove the need for professional judgement, ethical conduct and appropriate scepticism. These principles were relevant to the approach adopted in this assessment.</w:t>
      </w:r>
    </w:p>
    <w:p w:rsidR="00000000" w:rsidDel="00000000" w:rsidP="00000000" w:rsidRDefault="00000000" w:rsidRPr="00000000" w14:paraId="000000C8">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No confidential guest, employee or commercially sensitive information was entered into ChatGPT. Its use was restricted to general keywords, concepts and basic topic searches. The financial evidence, calculations, evaluation, critical discussion, recommendations and conclusions presented in this report were developed independently from the relevant sources and analysis.</w:t>
      </w:r>
    </w:p>
    <w:p w:rsidR="00000000" w:rsidDel="00000000" w:rsidP="00000000" w:rsidRDefault="00000000" w:rsidRPr="00000000" w14:paraId="000000C9">
      <w:pPr>
        <w:spacing w:after="240" w:before="24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Overall, the experience demonstrated that ChatGPT can provide limited value as an introductory learning aid, particularly for understanding terminology and identifying keywords for further investigation. However, the major academic and analytical work should remain the responsibility of the researcher. In this report, AI was therefore used as a minor supporting resource rather than as a tool for producing the substantive analysis or final recommendations.</w:t>
      </w:r>
    </w:p>
    <w:p w:rsidR="00000000" w:rsidDel="00000000" w:rsidP="00000000" w:rsidRDefault="00000000" w:rsidRPr="00000000" w14:paraId="000000CA">
      <w:pPr>
        <w:pStyle w:val="Heading2"/>
        <w:spacing w:line="276" w:lineRule="auto"/>
        <w:rPr>
          <w:rFonts w:ascii="Times New Roman" w:cs="Times New Roman" w:eastAsia="Times New Roman" w:hAnsi="Times New Roman"/>
          <w:color w:val="000000"/>
          <w:sz w:val="24"/>
          <w:szCs w:val="24"/>
        </w:rPr>
      </w:pPr>
      <w:bookmarkStart w:colFirst="0" w:colLast="0" w:name="_puxffaavo78c" w:id="32"/>
      <w:bookmarkEnd w:id="32"/>
      <w:r w:rsidDel="00000000" w:rsidR="00000000" w:rsidRPr="00000000">
        <w:rPr>
          <w:rFonts w:ascii="Times New Roman" w:cs="Times New Roman" w:eastAsia="Times New Roman" w:hAnsi="Times New Roman"/>
          <w:color w:val="000000"/>
          <w:sz w:val="24"/>
          <w:szCs w:val="24"/>
          <w:rtl w:val="0"/>
        </w:rPr>
        <w:t xml:space="preserve">7. Conclusion</w:t>
      </w:r>
    </w:p>
    <w:p w:rsidR="00000000" w:rsidDel="00000000" w:rsidP="00000000" w:rsidRDefault="00000000" w:rsidRPr="00000000" w14:paraId="000000CB">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Although PPHE has improved its cash conversion capability, earnings in FY2025 will be heavily diluted by high revenues. As such, the balance sheet shows limited margin of safety. Cash flow is better than average among peers and slippages in previous cash buffers are partially resolved. Cash conversion improved due to supplier financing. Now cash needs to be managed with tight control on cash collections and cash governance to fair suppliers and maturity financing.</w:t>
      </w:r>
    </w:p>
    <w:p w:rsidR="00000000" w:rsidDel="00000000" w:rsidP="00000000" w:rsidRDefault="00000000" w:rsidRPr="00000000" w14:paraId="000000CC">
      <w:pPr>
        <w:spacing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In this context, the best strategy to reduce debt and improve coverage is the sale of non-core assets. This strategy has the added advantage of avoiding the risks of integration related to dilution through equity issuance or acquisitions. The sale of assets should meet value at risk, domestic equity, tax, ESG and stakeholder considerations. The only positive NPV project that should be considered is C within the given £100 million limit. Beyond C, if the remaining budget is spent on other negative NPV projects, then value maximization for shareholders would be negatively impacted. Overall, the focus will be on maintaining liquidity and an active strategy of deleveraging compared to growth.</w:t>
      </w:r>
    </w:p>
    <w:p w:rsidR="00000000" w:rsidDel="00000000" w:rsidP="00000000" w:rsidRDefault="00000000" w:rsidRPr="00000000" w14:paraId="000000CD">
      <w:pPr>
        <w:pStyle w:val="Heading2"/>
        <w:spacing w:line="276" w:lineRule="auto"/>
        <w:rPr>
          <w:rFonts w:ascii="Times New Roman" w:cs="Times New Roman" w:eastAsia="Times New Roman" w:hAnsi="Times New Roman"/>
          <w:color w:val="000000"/>
          <w:sz w:val="24"/>
          <w:szCs w:val="24"/>
        </w:rPr>
      </w:pPr>
      <w:bookmarkStart w:colFirst="0" w:colLast="0" w:name="_80tdbubiabnb" w:id="33"/>
      <w:bookmarkEnd w:id="33"/>
      <w:r w:rsidDel="00000000" w:rsidR="00000000" w:rsidRPr="00000000">
        <w:rPr>
          <w:rtl w:val="0"/>
        </w:rPr>
      </w:r>
    </w:p>
    <w:p w:rsidR="00000000" w:rsidDel="00000000" w:rsidP="00000000" w:rsidRDefault="00000000" w:rsidRPr="00000000" w14:paraId="000000CE">
      <w:pPr>
        <w:pStyle w:val="Heading2"/>
        <w:spacing w:line="276" w:lineRule="auto"/>
        <w:rPr>
          <w:rFonts w:ascii="Times New Roman" w:cs="Times New Roman" w:eastAsia="Times New Roman" w:hAnsi="Times New Roman"/>
          <w:color w:val="000000"/>
          <w:sz w:val="24"/>
          <w:szCs w:val="24"/>
        </w:rPr>
      </w:pPr>
      <w:bookmarkStart w:colFirst="0" w:colLast="0" w:name="_o6nadsxs195" w:id="34"/>
      <w:bookmarkEnd w:id="34"/>
      <w:r w:rsidDel="00000000" w:rsidR="00000000" w:rsidRPr="00000000">
        <w:rPr>
          <w:rtl w:val="0"/>
        </w:rPr>
      </w:r>
    </w:p>
    <w:p w:rsidR="00000000" w:rsidDel="00000000" w:rsidP="00000000" w:rsidRDefault="00000000" w:rsidRPr="00000000" w14:paraId="000000CF">
      <w:pPr>
        <w:rPr/>
      </w:pPr>
      <w:r w:rsidDel="00000000" w:rsidR="00000000" w:rsidRPr="00000000">
        <w:rPr>
          <w:rtl w:val="0"/>
        </w:rPr>
      </w:r>
    </w:p>
    <w:p w:rsidR="00000000" w:rsidDel="00000000" w:rsidP="00000000" w:rsidRDefault="00000000" w:rsidRPr="00000000" w14:paraId="000000D0">
      <w:pPr>
        <w:rPr/>
      </w:pPr>
      <w:r w:rsidDel="00000000" w:rsidR="00000000" w:rsidRPr="00000000">
        <w:rPr>
          <w:rtl w:val="0"/>
        </w:rPr>
      </w:r>
    </w:p>
    <w:p w:rsidR="00000000" w:rsidDel="00000000" w:rsidP="00000000" w:rsidRDefault="00000000" w:rsidRPr="00000000" w14:paraId="000000D1">
      <w:pPr>
        <w:rPr/>
      </w:pPr>
      <w:r w:rsidDel="00000000" w:rsidR="00000000" w:rsidRPr="00000000">
        <w:rPr>
          <w:rtl w:val="0"/>
        </w:rPr>
      </w:r>
    </w:p>
    <w:p w:rsidR="00000000" w:rsidDel="00000000" w:rsidP="00000000" w:rsidRDefault="00000000" w:rsidRPr="00000000" w14:paraId="000000D2">
      <w:pPr>
        <w:rPr/>
      </w:pPr>
      <w:r w:rsidDel="00000000" w:rsidR="00000000" w:rsidRPr="00000000">
        <w:rPr>
          <w:rtl w:val="0"/>
        </w:rPr>
      </w:r>
    </w:p>
    <w:p w:rsidR="00000000" w:rsidDel="00000000" w:rsidP="00000000" w:rsidRDefault="00000000" w:rsidRPr="00000000" w14:paraId="000000D3">
      <w:pPr>
        <w:rPr/>
      </w:pPr>
      <w:r w:rsidDel="00000000" w:rsidR="00000000" w:rsidRPr="00000000">
        <w:rPr>
          <w:rtl w:val="0"/>
        </w:rPr>
      </w:r>
    </w:p>
    <w:p w:rsidR="00000000" w:rsidDel="00000000" w:rsidP="00000000" w:rsidRDefault="00000000" w:rsidRPr="00000000" w14:paraId="000000D4">
      <w:pPr>
        <w:pStyle w:val="Heading2"/>
        <w:spacing w:line="276" w:lineRule="auto"/>
        <w:rPr>
          <w:rFonts w:ascii="Times New Roman" w:cs="Times New Roman" w:eastAsia="Times New Roman" w:hAnsi="Times New Roman"/>
          <w:color w:val="000000"/>
          <w:sz w:val="24"/>
          <w:szCs w:val="24"/>
        </w:rPr>
      </w:pPr>
      <w:bookmarkStart w:colFirst="0" w:colLast="0" w:name="_v71jwt33rxmr" w:id="35"/>
      <w:bookmarkEnd w:id="35"/>
      <w:r w:rsidDel="00000000" w:rsidR="00000000" w:rsidRPr="00000000">
        <w:rPr>
          <w:rFonts w:ascii="Times New Roman" w:cs="Times New Roman" w:eastAsia="Times New Roman" w:hAnsi="Times New Roman"/>
          <w:color w:val="000000"/>
          <w:sz w:val="24"/>
          <w:szCs w:val="24"/>
          <w:rtl w:val="0"/>
        </w:rPr>
        <w:t xml:space="preserve">References</w:t>
      </w:r>
    </w:p>
    <w:p w:rsidR="00000000" w:rsidDel="00000000" w:rsidP="00000000" w:rsidRDefault="00000000" w:rsidRPr="00000000" w14:paraId="000000D5">
      <w:pPr>
        <w:numPr>
          <w:ilvl w:val="0"/>
          <w:numId w:val="1"/>
        </w:numPr>
        <w:spacing w:after="0" w:afterAutospacing="0" w:before="24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ACCA (2024) </w:t>
      </w:r>
      <w:r w:rsidDel="00000000" w:rsidR="00000000" w:rsidRPr="00000000">
        <w:rPr>
          <w:rFonts w:ascii="Times New Roman" w:cs="Times New Roman" w:eastAsia="Times New Roman" w:hAnsi="Times New Roman"/>
          <w:i w:val="1"/>
          <w:iCs w:val="1"/>
          <w:color w:val="000000"/>
          <w:rtl w:val="0"/>
        </w:rPr>
        <w:t xml:space="preserve">Sustainability in transactions</w:t>
      </w:r>
      <w:r w:rsidDel="00000000" w:rsidR="00000000" w:rsidRPr="00000000">
        <w:rPr>
          <w:rFonts w:ascii="Times New Roman" w:cs="Times New Roman" w:eastAsia="Times New Roman" w:hAnsi="Times New Roman"/>
          <w:color w:val="000000"/>
          <w:rtl w:val="0"/>
        </w:rPr>
        <w:t xml:space="preserve">. London: Association of Chartered Certified Accountants.</w:t>
      </w:r>
      <w:hyperlink r:id="rId16">
        <w:r w:rsidDel="00000000" w:rsidR="00000000" w:rsidRPr="00000000">
          <w:rPr>
            <w:rFonts w:ascii="Times New Roman" w:cs="Times New Roman" w:eastAsia="Times New Roman" w:hAnsi="Times New Roman"/>
            <w:color w:val="000000"/>
            <w:rtl w:val="0"/>
          </w:rPr>
          <w:t xml:space="preserve"> </w:t>
        </w:r>
      </w:hyperlink>
      <w:hyperlink r:id="rId17">
        <w:r w:rsidDel="00000000" w:rsidR="00000000" w:rsidRPr="00000000">
          <w:rPr>
            <w:rFonts w:ascii="Times New Roman" w:cs="Times New Roman" w:eastAsia="Times New Roman" w:hAnsi="Times New Roman"/>
            <w:color w:val="1155cc"/>
            <w:rtl w:val="0"/>
          </w:rPr>
          <w:t xml:space="preserve">https://www.accaglobal.com/content/dam/ACCA_Global/professional-insights/sustainability-transactions/PI-SUSTAINABILITY-TRANSACTIONS%20v2.pdf</w:t>
        </w:r>
      </w:hyperlink>
      <w:r w:rsidDel="00000000" w:rsidR="00000000" w:rsidRPr="00000000">
        <w:rPr>
          <w:rtl w:val="0"/>
        </w:rPr>
      </w:r>
    </w:p>
    <w:p w:rsidR="00000000" w:rsidDel="00000000" w:rsidP="00000000" w:rsidRDefault="00000000" w:rsidRPr="00000000" w14:paraId="000000D6">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ACCA (2026a) </w:t>
      </w:r>
      <w:r w:rsidDel="00000000" w:rsidR="00000000" w:rsidRPr="00000000">
        <w:rPr>
          <w:rFonts w:ascii="Times New Roman" w:cs="Times New Roman" w:eastAsia="Times New Roman" w:hAnsi="Times New Roman"/>
          <w:i w:val="1"/>
          <w:iCs w:val="1"/>
          <w:color w:val="000000"/>
          <w:rtl w:val="0"/>
        </w:rPr>
        <w:t xml:space="preserve">Ratio analysis</w:t>
      </w:r>
      <w:r w:rsidDel="00000000" w:rsidR="00000000" w:rsidRPr="00000000">
        <w:rPr>
          <w:rFonts w:ascii="Times New Roman" w:cs="Times New Roman" w:eastAsia="Times New Roman" w:hAnsi="Times New Roman"/>
          <w:color w:val="000000"/>
          <w:rtl w:val="0"/>
        </w:rPr>
        <w:t xml:space="preserve">.</w:t>
      </w:r>
      <w:hyperlink r:id="rId18">
        <w:r w:rsidDel="00000000" w:rsidR="00000000" w:rsidRPr="00000000">
          <w:rPr>
            <w:rFonts w:ascii="Times New Roman" w:cs="Times New Roman" w:eastAsia="Times New Roman" w:hAnsi="Times New Roman"/>
            <w:color w:val="000000"/>
            <w:rtl w:val="0"/>
          </w:rPr>
          <w:t xml:space="preserve"> </w:t>
        </w:r>
      </w:hyperlink>
      <w:hyperlink r:id="rId19">
        <w:r w:rsidDel="00000000" w:rsidR="00000000" w:rsidRPr="00000000">
          <w:rPr>
            <w:rFonts w:ascii="Times New Roman" w:cs="Times New Roman" w:eastAsia="Times New Roman" w:hAnsi="Times New Roman"/>
            <w:color w:val="1155cc"/>
            <w:rtl w:val="0"/>
          </w:rPr>
          <w:t xml:space="preserve">https://www.accaglobal.com/gb/en/student/exam-support-resources/fundamentals-exams-study-resources/f2/technical-articles/ratio-analysis.html</w:t>
        </w:r>
      </w:hyperlink>
      <w:r w:rsidDel="00000000" w:rsidR="00000000" w:rsidRPr="00000000">
        <w:rPr>
          <w:rtl w:val="0"/>
        </w:rPr>
      </w:r>
    </w:p>
    <w:p w:rsidR="00000000" w:rsidDel="00000000" w:rsidP="00000000" w:rsidRDefault="00000000" w:rsidRPr="00000000" w14:paraId="000000D7">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ACCA (2026b) </w:t>
      </w:r>
      <w:r w:rsidDel="00000000" w:rsidR="00000000" w:rsidRPr="00000000">
        <w:rPr>
          <w:rFonts w:ascii="Times New Roman" w:cs="Times New Roman" w:eastAsia="Times New Roman" w:hAnsi="Times New Roman"/>
          <w:i w:val="1"/>
          <w:iCs w:val="1"/>
          <w:color w:val="000000"/>
          <w:rtl w:val="0"/>
        </w:rPr>
        <w:t xml:space="preserve">Working capital management</w:t>
      </w:r>
      <w:r w:rsidDel="00000000" w:rsidR="00000000" w:rsidRPr="00000000">
        <w:rPr>
          <w:rFonts w:ascii="Times New Roman" w:cs="Times New Roman" w:eastAsia="Times New Roman" w:hAnsi="Times New Roman"/>
          <w:color w:val="000000"/>
          <w:rtl w:val="0"/>
        </w:rPr>
        <w:t xml:space="preserve">.</w:t>
      </w:r>
      <w:hyperlink r:id="rId20">
        <w:r w:rsidDel="00000000" w:rsidR="00000000" w:rsidRPr="00000000">
          <w:rPr>
            <w:rFonts w:ascii="Times New Roman" w:cs="Times New Roman" w:eastAsia="Times New Roman" w:hAnsi="Times New Roman"/>
            <w:color w:val="000000"/>
            <w:rtl w:val="0"/>
          </w:rPr>
          <w:t xml:space="preserve"> </w:t>
        </w:r>
      </w:hyperlink>
      <w:hyperlink r:id="rId21">
        <w:r w:rsidDel="00000000" w:rsidR="00000000" w:rsidRPr="00000000">
          <w:rPr>
            <w:rFonts w:ascii="Times New Roman" w:cs="Times New Roman" w:eastAsia="Times New Roman" w:hAnsi="Times New Roman"/>
            <w:color w:val="1155cc"/>
            <w:rtl w:val="0"/>
          </w:rPr>
          <w:t xml:space="preserve">https://www.accaglobal.com/gb/en/student/exam-support-resources/fundamentals-exams-study-resources/f9/technical-articles/wcm.html</w:t>
        </w:r>
      </w:hyperlink>
      <w:r w:rsidDel="00000000" w:rsidR="00000000" w:rsidRPr="00000000">
        <w:rPr>
          <w:rtl w:val="0"/>
        </w:rPr>
      </w:r>
    </w:p>
    <w:p w:rsidR="00000000" w:rsidDel="00000000" w:rsidP="00000000" w:rsidRDefault="00000000" w:rsidRPr="00000000" w14:paraId="000000D8">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ACCA (2026c) </w:t>
      </w:r>
      <w:r w:rsidDel="00000000" w:rsidR="00000000" w:rsidRPr="00000000">
        <w:rPr>
          <w:rFonts w:ascii="Times New Roman" w:cs="Times New Roman" w:eastAsia="Times New Roman" w:hAnsi="Times New Roman"/>
          <w:i w:val="1"/>
          <w:iCs w:val="1"/>
          <w:color w:val="000000"/>
          <w:rtl w:val="0"/>
        </w:rPr>
        <w:t xml:space="preserve">Analysing the suitability of financing alternatives</w:t>
      </w:r>
      <w:r w:rsidDel="00000000" w:rsidR="00000000" w:rsidRPr="00000000">
        <w:rPr>
          <w:rFonts w:ascii="Times New Roman" w:cs="Times New Roman" w:eastAsia="Times New Roman" w:hAnsi="Times New Roman"/>
          <w:color w:val="000000"/>
          <w:rtl w:val="0"/>
        </w:rPr>
        <w:t xml:space="preserve">.</w:t>
      </w:r>
      <w:hyperlink r:id="rId22">
        <w:r w:rsidDel="00000000" w:rsidR="00000000" w:rsidRPr="00000000">
          <w:rPr>
            <w:rFonts w:ascii="Times New Roman" w:cs="Times New Roman" w:eastAsia="Times New Roman" w:hAnsi="Times New Roman"/>
            <w:color w:val="000000"/>
            <w:rtl w:val="0"/>
          </w:rPr>
          <w:t xml:space="preserve"> </w:t>
        </w:r>
      </w:hyperlink>
      <w:hyperlink r:id="rId23">
        <w:r w:rsidDel="00000000" w:rsidR="00000000" w:rsidRPr="00000000">
          <w:rPr>
            <w:rFonts w:ascii="Times New Roman" w:cs="Times New Roman" w:eastAsia="Times New Roman" w:hAnsi="Times New Roman"/>
            <w:color w:val="1155cc"/>
            <w:rtl w:val="0"/>
          </w:rPr>
          <w:t xml:space="preserve">https://www.accaglobal.com/gb/en/student/exam-support-resources/fundamentals-exams-study-resources/f9/technical-articles/suitability-financing-alternatives.html</w:t>
        </w:r>
      </w:hyperlink>
      <w:r w:rsidDel="00000000" w:rsidR="00000000" w:rsidRPr="00000000">
        <w:rPr>
          <w:rtl w:val="0"/>
        </w:rPr>
      </w:r>
    </w:p>
    <w:p w:rsidR="00000000" w:rsidDel="00000000" w:rsidP="00000000" w:rsidRDefault="00000000" w:rsidRPr="00000000" w14:paraId="000000D9">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ACCA (2026d) </w:t>
      </w:r>
      <w:r w:rsidDel="00000000" w:rsidR="00000000" w:rsidRPr="00000000">
        <w:rPr>
          <w:rFonts w:ascii="Times New Roman" w:cs="Times New Roman" w:eastAsia="Times New Roman" w:hAnsi="Times New Roman"/>
          <w:i w:val="1"/>
          <w:iCs w:val="1"/>
          <w:color w:val="000000"/>
          <w:rtl w:val="0"/>
        </w:rPr>
        <w:t xml:space="preserve">Investment appraisal</w:t>
      </w:r>
      <w:r w:rsidDel="00000000" w:rsidR="00000000" w:rsidRPr="00000000">
        <w:rPr>
          <w:rFonts w:ascii="Times New Roman" w:cs="Times New Roman" w:eastAsia="Times New Roman" w:hAnsi="Times New Roman"/>
          <w:color w:val="000000"/>
          <w:rtl w:val="0"/>
        </w:rPr>
        <w:t xml:space="preserve">.</w:t>
      </w:r>
      <w:hyperlink r:id="rId24">
        <w:r w:rsidDel="00000000" w:rsidR="00000000" w:rsidRPr="00000000">
          <w:rPr>
            <w:rFonts w:ascii="Times New Roman" w:cs="Times New Roman" w:eastAsia="Times New Roman" w:hAnsi="Times New Roman"/>
            <w:color w:val="000000"/>
            <w:rtl w:val="0"/>
          </w:rPr>
          <w:t xml:space="preserve"> </w:t>
        </w:r>
      </w:hyperlink>
      <w:hyperlink r:id="rId25">
        <w:r w:rsidDel="00000000" w:rsidR="00000000" w:rsidRPr="00000000">
          <w:rPr>
            <w:rFonts w:ascii="Times New Roman" w:cs="Times New Roman" w:eastAsia="Times New Roman" w:hAnsi="Times New Roman"/>
            <w:color w:val="1155cc"/>
            <w:rtl w:val="0"/>
          </w:rPr>
          <w:t xml:space="preserve">https://www.accaglobal.com/gb/en/student/exam-support-resources/prodipsust-study-resources/technical-articles/investment-appraisal.html</w:t>
        </w:r>
      </w:hyperlink>
      <w:r w:rsidDel="00000000" w:rsidR="00000000" w:rsidRPr="00000000">
        <w:rPr>
          <w:rtl w:val="0"/>
        </w:rPr>
      </w:r>
    </w:p>
    <w:p w:rsidR="00000000" w:rsidDel="00000000" w:rsidP="00000000" w:rsidRDefault="00000000" w:rsidRPr="00000000" w14:paraId="000000DA">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ACCA (2026e) </w:t>
      </w:r>
      <w:r w:rsidDel="00000000" w:rsidR="00000000" w:rsidRPr="00000000">
        <w:rPr>
          <w:rFonts w:ascii="Times New Roman" w:cs="Times New Roman" w:eastAsia="Times New Roman" w:hAnsi="Times New Roman"/>
          <w:i w:val="1"/>
          <w:iCs w:val="1"/>
          <w:color w:val="000000"/>
          <w:rtl w:val="0"/>
        </w:rPr>
        <w:t xml:space="preserve">The internal rate of return</w:t>
      </w:r>
      <w:r w:rsidDel="00000000" w:rsidR="00000000" w:rsidRPr="00000000">
        <w:rPr>
          <w:rFonts w:ascii="Times New Roman" w:cs="Times New Roman" w:eastAsia="Times New Roman" w:hAnsi="Times New Roman"/>
          <w:color w:val="000000"/>
          <w:rtl w:val="0"/>
        </w:rPr>
        <w:t xml:space="preserve">.</w:t>
      </w:r>
      <w:hyperlink r:id="rId26">
        <w:r w:rsidDel="00000000" w:rsidR="00000000" w:rsidRPr="00000000">
          <w:rPr>
            <w:rFonts w:ascii="Times New Roman" w:cs="Times New Roman" w:eastAsia="Times New Roman" w:hAnsi="Times New Roman"/>
            <w:color w:val="000000"/>
            <w:rtl w:val="0"/>
          </w:rPr>
          <w:t xml:space="preserve"> </w:t>
        </w:r>
      </w:hyperlink>
      <w:hyperlink r:id="rId27">
        <w:r w:rsidDel="00000000" w:rsidR="00000000" w:rsidRPr="00000000">
          <w:rPr>
            <w:rFonts w:ascii="Times New Roman" w:cs="Times New Roman" w:eastAsia="Times New Roman" w:hAnsi="Times New Roman"/>
            <w:color w:val="1155cc"/>
            <w:rtl w:val="0"/>
          </w:rPr>
          <w:t xml:space="preserve">https://www.accaglobal.com/gb/en/student/exam-support-resources/foundation-level-study-resources/ffm/ffm-technical-articles/the-internal-rate-of-return.html</w:t>
        </w:r>
      </w:hyperlink>
      <w:r w:rsidDel="00000000" w:rsidR="00000000" w:rsidRPr="00000000">
        <w:rPr>
          <w:rtl w:val="0"/>
        </w:rPr>
      </w:r>
    </w:p>
    <w:p w:rsidR="00000000" w:rsidDel="00000000" w:rsidP="00000000" w:rsidRDefault="00000000" w:rsidRPr="00000000" w14:paraId="000000DB">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Accor (2026) </w:t>
      </w:r>
      <w:r w:rsidDel="00000000" w:rsidR="00000000" w:rsidRPr="00000000">
        <w:rPr>
          <w:rFonts w:ascii="Times New Roman" w:cs="Times New Roman" w:eastAsia="Times New Roman" w:hAnsi="Times New Roman"/>
          <w:i w:val="1"/>
          <w:iCs w:val="1"/>
          <w:color w:val="000000"/>
          <w:rtl w:val="0"/>
        </w:rPr>
        <w:t xml:space="preserve">2025 consolidated financial statements and notes</w:t>
      </w:r>
      <w:r w:rsidDel="00000000" w:rsidR="00000000" w:rsidRPr="00000000">
        <w:rPr>
          <w:rFonts w:ascii="Times New Roman" w:cs="Times New Roman" w:eastAsia="Times New Roman" w:hAnsi="Times New Roman"/>
          <w:color w:val="000000"/>
          <w:rtl w:val="0"/>
        </w:rPr>
        <w:t xml:space="preserve">.</w:t>
      </w:r>
      <w:hyperlink r:id="rId28">
        <w:r w:rsidDel="00000000" w:rsidR="00000000" w:rsidRPr="00000000">
          <w:rPr>
            <w:rFonts w:ascii="Times New Roman" w:cs="Times New Roman" w:eastAsia="Times New Roman" w:hAnsi="Times New Roman"/>
            <w:color w:val="000000"/>
            <w:rtl w:val="0"/>
          </w:rPr>
          <w:t xml:space="preserve"> </w:t>
        </w:r>
      </w:hyperlink>
      <w:hyperlink r:id="rId29">
        <w:r w:rsidDel="00000000" w:rsidR="00000000" w:rsidRPr="00000000">
          <w:rPr>
            <w:rFonts w:ascii="Times New Roman" w:cs="Times New Roman" w:eastAsia="Times New Roman" w:hAnsi="Times New Roman"/>
            <w:color w:val="1155cc"/>
            <w:rtl w:val="0"/>
          </w:rPr>
          <w:t xml:space="preserve">https://assets.group.accor.com/yrj0orc8tx24/4il2zwx4sZhjt12PKcRaOQ/b79b3fe310c1e296d7149c608b1f2150/Accor-2025_Notes_to_Financial_Statements.pdf</w:t>
        </w:r>
      </w:hyperlink>
      <w:r w:rsidDel="00000000" w:rsidR="00000000" w:rsidRPr="00000000">
        <w:rPr>
          <w:rtl w:val="0"/>
        </w:rPr>
      </w:r>
    </w:p>
    <w:p w:rsidR="00000000" w:rsidDel="00000000" w:rsidP="00000000" w:rsidRDefault="00000000" w:rsidRPr="00000000" w14:paraId="000000DC">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Berk, J. and DeMarzo, P. (2023) </w:t>
      </w:r>
      <w:r w:rsidDel="00000000" w:rsidR="00000000" w:rsidRPr="00000000">
        <w:rPr>
          <w:rFonts w:ascii="Times New Roman" w:cs="Times New Roman" w:eastAsia="Times New Roman" w:hAnsi="Times New Roman"/>
          <w:i w:val="1"/>
          <w:iCs w:val="1"/>
          <w:color w:val="000000"/>
          <w:rtl w:val="0"/>
        </w:rPr>
        <w:t xml:space="preserve">Corporate finance</w:t>
      </w:r>
      <w:r w:rsidDel="00000000" w:rsidR="00000000" w:rsidRPr="00000000">
        <w:rPr>
          <w:rFonts w:ascii="Times New Roman" w:cs="Times New Roman" w:eastAsia="Times New Roman" w:hAnsi="Times New Roman"/>
          <w:color w:val="000000"/>
          <w:rtl w:val="0"/>
        </w:rPr>
        <w:t xml:space="preserve">. 6th edn. Harlow: Pearson.</w:t>
      </w:r>
    </w:p>
    <w:p w:rsidR="00000000" w:rsidDel="00000000" w:rsidP="00000000" w:rsidRDefault="00000000" w:rsidRPr="00000000" w14:paraId="000000DD">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Chambers, N. and Cifter, A. (2022) ‘Working capital management and firm performance in the hospitality and tourism industry’, </w:t>
      </w:r>
      <w:r w:rsidDel="00000000" w:rsidR="00000000" w:rsidRPr="00000000">
        <w:rPr>
          <w:rFonts w:ascii="Times New Roman" w:cs="Times New Roman" w:eastAsia="Times New Roman" w:hAnsi="Times New Roman"/>
          <w:i w:val="1"/>
          <w:iCs w:val="1"/>
          <w:color w:val="000000"/>
          <w:rtl w:val="0"/>
        </w:rPr>
        <w:t xml:space="preserve">International Journal of Hospitality Management</w:t>
      </w:r>
      <w:r w:rsidDel="00000000" w:rsidR="00000000" w:rsidRPr="00000000">
        <w:rPr>
          <w:rFonts w:ascii="Times New Roman" w:cs="Times New Roman" w:eastAsia="Times New Roman" w:hAnsi="Times New Roman"/>
          <w:color w:val="000000"/>
          <w:rtl w:val="0"/>
        </w:rPr>
        <w:t xml:space="preserve">, 102, 103144.</w:t>
      </w:r>
      <w:hyperlink r:id="rId30">
        <w:r w:rsidDel="00000000" w:rsidR="00000000" w:rsidRPr="00000000">
          <w:rPr>
            <w:rFonts w:ascii="Times New Roman" w:cs="Times New Roman" w:eastAsia="Times New Roman" w:hAnsi="Times New Roman"/>
            <w:color w:val="000000"/>
            <w:rtl w:val="0"/>
          </w:rPr>
          <w:t xml:space="preserve"> </w:t>
        </w:r>
      </w:hyperlink>
      <w:hyperlink r:id="rId31">
        <w:r w:rsidDel="00000000" w:rsidR="00000000" w:rsidRPr="00000000">
          <w:rPr>
            <w:rFonts w:ascii="Times New Roman" w:cs="Times New Roman" w:eastAsia="Times New Roman" w:hAnsi="Times New Roman"/>
            <w:color w:val="1155cc"/>
            <w:rtl w:val="0"/>
          </w:rPr>
          <w:t xml:space="preserve">https://doi.org/10.1016/j.ijhm.2022.103144</w:t>
        </w:r>
      </w:hyperlink>
      <w:r w:rsidDel="00000000" w:rsidR="00000000" w:rsidRPr="00000000">
        <w:rPr>
          <w:rtl w:val="0"/>
        </w:rPr>
      </w:r>
    </w:p>
    <w:p w:rsidR="00000000" w:rsidDel="00000000" w:rsidP="00000000" w:rsidRDefault="00000000" w:rsidRPr="00000000" w14:paraId="000000DE">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ICAEW (2024) </w:t>
      </w:r>
      <w:r w:rsidDel="00000000" w:rsidR="00000000" w:rsidRPr="00000000">
        <w:rPr>
          <w:rFonts w:ascii="Times New Roman" w:cs="Times New Roman" w:eastAsia="Times New Roman" w:hAnsi="Times New Roman"/>
          <w:i w:val="1"/>
          <w:iCs w:val="1"/>
          <w:color w:val="000000"/>
          <w:rtl w:val="0"/>
        </w:rPr>
        <w:t xml:space="preserve">Ethics and artificial intelligence (AI): Roundtable report</w:t>
      </w:r>
      <w:r w:rsidDel="00000000" w:rsidR="00000000" w:rsidRPr="00000000">
        <w:rPr>
          <w:rFonts w:ascii="Times New Roman" w:cs="Times New Roman" w:eastAsia="Times New Roman" w:hAnsi="Times New Roman"/>
          <w:color w:val="000000"/>
          <w:rtl w:val="0"/>
        </w:rPr>
        <w:t xml:space="preserve">. London: Institute of Chartered Accountants in England and Wales.</w:t>
      </w:r>
      <w:hyperlink r:id="rId32">
        <w:r w:rsidDel="00000000" w:rsidR="00000000" w:rsidRPr="00000000">
          <w:rPr>
            <w:rFonts w:ascii="Times New Roman" w:cs="Times New Roman" w:eastAsia="Times New Roman" w:hAnsi="Times New Roman"/>
            <w:color w:val="000000"/>
            <w:rtl w:val="0"/>
          </w:rPr>
          <w:t xml:space="preserve"> </w:t>
        </w:r>
      </w:hyperlink>
      <w:hyperlink r:id="rId33">
        <w:r w:rsidDel="00000000" w:rsidR="00000000" w:rsidRPr="00000000">
          <w:rPr>
            <w:rFonts w:ascii="Times New Roman" w:cs="Times New Roman" w:eastAsia="Times New Roman" w:hAnsi="Times New Roman"/>
            <w:color w:val="1155cc"/>
            <w:rtl w:val="0"/>
          </w:rPr>
          <w:t xml:space="preserve">https://www.icaew.com/-/media/corporate/files/technical/ethics/ethics-and-ai-roundtable-report-2024.ashx</w:t>
        </w:r>
      </w:hyperlink>
      <w:r w:rsidDel="00000000" w:rsidR="00000000" w:rsidRPr="00000000">
        <w:rPr>
          <w:rtl w:val="0"/>
        </w:rPr>
      </w:r>
    </w:p>
    <w:p w:rsidR="00000000" w:rsidDel="00000000" w:rsidP="00000000" w:rsidRDefault="00000000" w:rsidRPr="00000000" w14:paraId="000000DF">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IFRS Foundation (2021) </w:t>
      </w:r>
      <w:r w:rsidDel="00000000" w:rsidR="00000000" w:rsidRPr="00000000">
        <w:rPr>
          <w:rFonts w:ascii="Times New Roman" w:cs="Times New Roman" w:eastAsia="Times New Roman" w:hAnsi="Times New Roman"/>
          <w:i w:val="1"/>
          <w:iCs w:val="1"/>
          <w:color w:val="000000"/>
          <w:rtl w:val="0"/>
        </w:rPr>
        <w:t xml:space="preserve">IAS 33 earnings per share</w:t>
      </w:r>
      <w:r w:rsidDel="00000000" w:rsidR="00000000" w:rsidRPr="00000000">
        <w:rPr>
          <w:rFonts w:ascii="Times New Roman" w:cs="Times New Roman" w:eastAsia="Times New Roman" w:hAnsi="Times New Roman"/>
          <w:color w:val="000000"/>
          <w:rtl w:val="0"/>
        </w:rPr>
        <w:t xml:space="preserve">. London: IFRS Foundation.</w:t>
      </w:r>
      <w:hyperlink r:id="rId34">
        <w:r w:rsidDel="00000000" w:rsidR="00000000" w:rsidRPr="00000000">
          <w:rPr>
            <w:rFonts w:ascii="Times New Roman" w:cs="Times New Roman" w:eastAsia="Times New Roman" w:hAnsi="Times New Roman"/>
            <w:color w:val="000000"/>
            <w:rtl w:val="0"/>
          </w:rPr>
          <w:t xml:space="preserve"> </w:t>
        </w:r>
      </w:hyperlink>
      <w:hyperlink r:id="rId35">
        <w:r w:rsidDel="00000000" w:rsidR="00000000" w:rsidRPr="00000000">
          <w:rPr>
            <w:rFonts w:ascii="Times New Roman" w:cs="Times New Roman" w:eastAsia="Times New Roman" w:hAnsi="Times New Roman"/>
            <w:color w:val="1155cc"/>
            <w:rtl w:val="0"/>
          </w:rPr>
          <w:t xml:space="preserve">https://www.ifrs.org/content/dam/ifrs/publications/pdf-standards/english/2021/issued/part-a/ias-33-earnings-per-share.pdf</w:t>
        </w:r>
      </w:hyperlink>
      <w:r w:rsidDel="00000000" w:rsidR="00000000" w:rsidRPr="00000000">
        <w:rPr>
          <w:rtl w:val="0"/>
        </w:rPr>
      </w:r>
    </w:p>
    <w:p w:rsidR="00000000" w:rsidDel="00000000" w:rsidP="00000000" w:rsidRDefault="00000000" w:rsidRPr="00000000" w14:paraId="000000E0">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InterContinental Hotels Group (2026) </w:t>
      </w:r>
      <w:r w:rsidDel="00000000" w:rsidR="00000000" w:rsidRPr="00000000">
        <w:rPr>
          <w:rFonts w:ascii="Times New Roman" w:cs="Times New Roman" w:eastAsia="Times New Roman" w:hAnsi="Times New Roman"/>
          <w:i w:val="1"/>
          <w:iCs w:val="1"/>
          <w:color w:val="000000"/>
          <w:rtl w:val="0"/>
        </w:rPr>
        <w:t xml:space="preserve">Full year results to 31 December 2025</w:t>
      </w:r>
      <w:r w:rsidDel="00000000" w:rsidR="00000000" w:rsidRPr="00000000">
        <w:rPr>
          <w:rFonts w:ascii="Times New Roman" w:cs="Times New Roman" w:eastAsia="Times New Roman" w:hAnsi="Times New Roman"/>
          <w:color w:val="000000"/>
          <w:rtl w:val="0"/>
        </w:rPr>
        <w:t xml:space="preserve">.</w:t>
      </w:r>
      <w:hyperlink r:id="rId36">
        <w:r w:rsidDel="00000000" w:rsidR="00000000" w:rsidRPr="00000000">
          <w:rPr>
            <w:rFonts w:ascii="Times New Roman" w:cs="Times New Roman" w:eastAsia="Times New Roman" w:hAnsi="Times New Roman"/>
            <w:color w:val="000000"/>
            <w:rtl w:val="0"/>
          </w:rPr>
          <w:t xml:space="preserve"> </w:t>
        </w:r>
      </w:hyperlink>
      <w:hyperlink r:id="rId37">
        <w:r w:rsidDel="00000000" w:rsidR="00000000" w:rsidRPr="00000000">
          <w:rPr>
            <w:rFonts w:ascii="Times New Roman" w:cs="Times New Roman" w:eastAsia="Times New Roman" w:hAnsi="Times New Roman"/>
            <w:color w:val="1155cc"/>
            <w:rtl w:val="0"/>
          </w:rPr>
          <w:t xml:space="preserve">https://www.ihgplc.com/~/media/Files/I/Ihg-Plc/results/2026/full-year-2025/full-year-results-for-the-year-to-31-dec-2025.pdf</w:t>
        </w:r>
      </w:hyperlink>
      <w:r w:rsidDel="00000000" w:rsidR="00000000" w:rsidRPr="00000000">
        <w:rPr>
          <w:rtl w:val="0"/>
        </w:rPr>
      </w:r>
    </w:p>
    <w:p w:rsidR="00000000" w:rsidDel="00000000" w:rsidP="00000000" w:rsidRDefault="00000000" w:rsidRPr="00000000" w14:paraId="000000E1">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Lehner, O.M., Ittonen, K., Silvola, H., Ström, E. and Wührleitner, A. (2022) ‘Artificial intelligence-based decision-making in accounting and auditing: Ethical challenges and normative thinking’, </w:t>
      </w:r>
      <w:r w:rsidDel="00000000" w:rsidR="00000000" w:rsidRPr="00000000">
        <w:rPr>
          <w:rFonts w:ascii="Times New Roman" w:cs="Times New Roman" w:eastAsia="Times New Roman" w:hAnsi="Times New Roman"/>
          <w:i w:val="1"/>
          <w:iCs w:val="1"/>
          <w:color w:val="000000"/>
          <w:rtl w:val="0"/>
        </w:rPr>
        <w:t xml:space="preserve">Accounting, Auditing &amp; Accountability Journal</w:t>
      </w:r>
      <w:r w:rsidDel="00000000" w:rsidR="00000000" w:rsidRPr="00000000">
        <w:rPr>
          <w:rFonts w:ascii="Times New Roman" w:cs="Times New Roman" w:eastAsia="Times New Roman" w:hAnsi="Times New Roman"/>
          <w:color w:val="000000"/>
          <w:rtl w:val="0"/>
        </w:rPr>
        <w:t xml:space="preserve">, 35(9), pp. 109–135.</w:t>
      </w:r>
      <w:hyperlink r:id="rId38">
        <w:r w:rsidDel="00000000" w:rsidR="00000000" w:rsidRPr="00000000">
          <w:rPr>
            <w:rFonts w:ascii="Times New Roman" w:cs="Times New Roman" w:eastAsia="Times New Roman" w:hAnsi="Times New Roman"/>
            <w:color w:val="000000"/>
            <w:rtl w:val="0"/>
          </w:rPr>
          <w:t xml:space="preserve"> </w:t>
        </w:r>
      </w:hyperlink>
      <w:hyperlink r:id="rId39">
        <w:r w:rsidDel="00000000" w:rsidR="00000000" w:rsidRPr="00000000">
          <w:rPr>
            <w:rFonts w:ascii="Times New Roman" w:cs="Times New Roman" w:eastAsia="Times New Roman" w:hAnsi="Times New Roman"/>
            <w:color w:val="1155cc"/>
            <w:rtl w:val="0"/>
          </w:rPr>
          <w:t xml:space="preserve">https://doi.org/10.1108/AAAJ-09-2020-4934</w:t>
        </w:r>
      </w:hyperlink>
      <w:r w:rsidDel="00000000" w:rsidR="00000000" w:rsidRPr="00000000">
        <w:rPr>
          <w:rtl w:val="0"/>
        </w:rPr>
      </w:r>
    </w:p>
    <w:p w:rsidR="00000000" w:rsidDel="00000000" w:rsidP="00000000" w:rsidRDefault="00000000" w:rsidRPr="00000000" w14:paraId="000000E2">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Metaxas, T. (2023) ‘A literature review on the financial determinants of hotel default’, </w:t>
      </w:r>
      <w:r w:rsidDel="00000000" w:rsidR="00000000" w:rsidRPr="00000000">
        <w:rPr>
          <w:rFonts w:ascii="Times New Roman" w:cs="Times New Roman" w:eastAsia="Times New Roman" w:hAnsi="Times New Roman"/>
          <w:i w:val="1"/>
          <w:iCs w:val="1"/>
          <w:color w:val="000000"/>
          <w:rtl w:val="0"/>
        </w:rPr>
        <w:t xml:space="preserve">Journal of Risk and Financial Management</w:t>
      </w:r>
      <w:r w:rsidDel="00000000" w:rsidR="00000000" w:rsidRPr="00000000">
        <w:rPr>
          <w:rFonts w:ascii="Times New Roman" w:cs="Times New Roman" w:eastAsia="Times New Roman" w:hAnsi="Times New Roman"/>
          <w:color w:val="000000"/>
          <w:rtl w:val="0"/>
        </w:rPr>
        <w:t xml:space="preserve">, 16(7), 323.</w:t>
      </w:r>
      <w:hyperlink r:id="rId40">
        <w:r w:rsidDel="00000000" w:rsidR="00000000" w:rsidRPr="00000000">
          <w:rPr>
            <w:rFonts w:ascii="Times New Roman" w:cs="Times New Roman" w:eastAsia="Times New Roman" w:hAnsi="Times New Roman"/>
            <w:color w:val="000000"/>
            <w:rtl w:val="0"/>
          </w:rPr>
          <w:t xml:space="preserve"> </w:t>
        </w:r>
      </w:hyperlink>
      <w:hyperlink r:id="rId41">
        <w:r w:rsidDel="00000000" w:rsidR="00000000" w:rsidRPr="00000000">
          <w:rPr>
            <w:rFonts w:ascii="Times New Roman" w:cs="Times New Roman" w:eastAsia="Times New Roman" w:hAnsi="Times New Roman"/>
            <w:color w:val="1155cc"/>
            <w:rtl w:val="0"/>
          </w:rPr>
          <w:t xml:space="preserve">https://doi.org/10.3390/jrfm16070323</w:t>
        </w:r>
      </w:hyperlink>
      <w:r w:rsidDel="00000000" w:rsidR="00000000" w:rsidRPr="00000000">
        <w:rPr>
          <w:rtl w:val="0"/>
        </w:rPr>
      </w:r>
    </w:p>
    <w:p w:rsidR="00000000" w:rsidDel="00000000" w:rsidP="00000000" w:rsidRDefault="00000000" w:rsidRPr="00000000" w14:paraId="000000E3">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Nguyen, L.T.M., Le, D., Vu, K.T. and Tran, T.K. (2023) ‘The role of capital structure management in maintaining the financial stability of hotel firms during the pandemic: A global investigation’, </w:t>
      </w:r>
      <w:r w:rsidDel="00000000" w:rsidR="00000000" w:rsidRPr="00000000">
        <w:rPr>
          <w:rFonts w:ascii="Times New Roman" w:cs="Times New Roman" w:eastAsia="Times New Roman" w:hAnsi="Times New Roman"/>
          <w:i w:val="1"/>
          <w:iCs w:val="1"/>
          <w:color w:val="000000"/>
          <w:rtl w:val="0"/>
        </w:rPr>
        <w:t xml:space="preserve">International Journal of Hospitality Management</w:t>
      </w:r>
      <w:r w:rsidDel="00000000" w:rsidR="00000000" w:rsidRPr="00000000">
        <w:rPr>
          <w:rFonts w:ascii="Times New Roman" w:cs="Times New Roman" w:eastAsia="Times New Roman" w:hAnsi="Times New Roman"/>
          <w:color w:val="000000"/>
          <w:rtl w:val="0"/>
        </w:rPr>
        <w:t xml:space="preserve">, 109, 103366.</w:t>
      </w:r>
      <w:hyperlink r:id="rId42">
        <w:r w:rsidDel="00000000" w:rsidR="00000000" w:rsidRPr="00000000">
          <w:rPr>
            <w:rFonts w:ascii="Times New Roman" w:cs="Times New Roman" w:eastAsia="Times New Roman" w:hAnsi="Times New Roman"/>
            <w:color w:val="000000"/>
            <w:rtl w:val="0"/>
          </w:rPr>
          <w:t xml:space="preserve"> </w:t>
        </w:r>
      </w:hyperlink>
      <w:hyperlink r:id="rId43">
        <w:r w:rsidDel="00000000" w:rsidR="00000000" w:rsidRPr="00000000">
          <w:rPr>
            <w:rFonts w:ascii="Times New Roman" w:cs="Times New Roman" w:eastAsia="Times New Roman" w:hAnsi="Times New Roman"/>
            <w:color w:val="1155cc"/>
            <w:rtl w:val="0"/>
          </w:rPr>
          <w:t xml:space="preserve">https://doi.org/10.1016/j.ijhm.2022.103366</w:t>
        </w:r>
      </w:hyperlink>
      <w:r w:rsidDel="00000000" w:rsidR="00000000" w:rsidRPr="00000000">
        <w:rPr>
          <w:rtl w:val="0"/>
        </w:rPr>
      </w:r>
    </w:p>
    <w:p w:rsidR="00000000" w:rsidDel="00000000" w:rsidP="00000000" w:rsidRDefault="00000000" w:rsidRPr="00000000" w14:paraId="000000E4">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OECD (2023) </w:t>
      </w:r>
      <w:r w:rsidDel="00000000" w:rsidR="00000000" w:rsidRPr="00000000">
        <w:rPr>
          <w:rFonts w:ascii="Times New Roman" w:cs="Times New Roman" w:eastAsia="Times New Roman" w:hAnsi="Times New Roman"/>
          <w:i w:val="1"/>
          <w:iCs w:val="1"/>
          <w:color w:val="000000"/>
          <w:rtl w:val="0"/>
        </w:rPr>
        <w:t xml:space="preserve">OECD guidelines for multinational enterprises on responsible business conduct</w:t>
      </w:r>
      <w:r w:rsidDel="00000000" w:rsidR="00000000" w:rsidRPr="00000000">
        <w:rPr>
          <w:rFonts w:ascii="Times New Roman" w:cs="Times New Roman" w:eastAsia="Times New Roman" w:hAnsi="Times New Roman"/>
          <w:color w:val="000000"/>
          <w:rtl w:val="0"/>
        </w:rPr>
        <w:t xml:space="preserve">. Paris: OECD Publishing.</w:t>
      </w:r>
      <w:hyperlink r:id="rId44">
        <w:r w:rsidDel="00000000" w:rsidR="00000000" w:rsidRPr="00000000">
          <w:rPr>
            <w:rFonts w:ascii="Times New Roman" w:cs="Times New Roman" w:eastAsia="Times New Roman" w:hAnsi="Times New Roman"/>
            <w:color w:val="000000"/>
            <w:rtl w:val="0"/>
          </w:rPr>
          <w:t xml:space="preserve"> </w:t>
        </w:r>
      </w:hyperlink>
      <w:hyperlink r:id="rId45">
        <w:r w:rsidDel="00000000" w:rsidR="00000000" w:rsidRPr="00000000">
          <w:rPr>
            <w:rFonts w:ascii="Times New Roman" w:cs="Times New Roman" w:eastAsia="Times New Roman" w:hAnsi="Times New Roman"/>
            <w:color w:val="1155cc"/>
            <w:rtl w:val="0"/>
          </w:rPr>
          <w:t xml:space="preserve">https://www.oecd.org/content/dam/oecd/en/publications/reports/2023/06/oecd-guidelines-for-multinational-enterprises-on-responsible-business-conduct_a0b49990/81f92357-en.pdf</w:t>
        </w:r>
      </w:hyperlink>
      <w:r w:rsidDel="00000000" w:rsidR="00000000" w:rsidRPr="00000000">
        <w:rPr>
          <w:rtl w:val="0"/>
        </w:rPr>
      </w:r>
    </w:p>
    <w:p w:rsidR="00000000" w:rsidDel="00000000" w:rsidP="00000000" w:rsidRDefault="00000000" w:rsidRPr="00000000" w14:paraId="000000E5">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PPHE Hotel Group (2022) </w:t>
      </w:r>
      <w:r w:rsidDel="00000000" w:rsidR="00000000" w:rsidRPr="00000000">
        <w:rPr>
          <w:rFonts w:ascii="Times New Roman" w:cs="Times New Roman" w:eastAsia="Times New Roman" w:hAnsi="Times New Roman"/>
          <w:i w:val="1"/>
          <w:iCs w:val="1"/>
          <w:color w:val="000000"/>
          <w:rtl w:val="0"/>
        </w:rPr>
        <w:t xml:space="preserve">Annual report and accounts 2021</w:t>
      </w:r>
      <w:r w:rsidDel="00000000" w:rsidR="00000000" w:rsidRPr="00000000">
        <w:rPr>
          <w:rFonts w:ascii="Times New Roman" w:cs="Times New Roman" w:eastAsia="Times New Roman" w:hAnsi="Times New Roman"/>
          <w:color w:val="000000"/>
          <w:rtl w:val="0"/>
        </w:rPr>
        <w:t xml:space="preserve">.</w:t>
      </w:r>
      <w:hyperlink r:id="rId46">
        <w:r w:rsidDel="00000000" w:rsidR="00000000" w:rsidRPr="00000000">
          <w:rPr>
            <w:rFonts w:ascii="Times New Roman" w:cs="Times New Roman" w:eastAsia="Times New Roman" w:hAnsi="Times New Roman"/>
            <w:color w:val="000000"/>
            <w:rtl w:val="0"/>
          </w:rPr>
          <w:t xml:space="preserve"> </w:t>
        </w:r>
      </w:hyperlink>
      <w:hyperlink r:id="rId47">
        <w:r w:rsidDel="00000000" w:rsidR="00000000" w:rsidRPr="00000000">
          <w:rPr>
            <w:rFonts w:ascii="Times New Roman" w:cs="Times New Roman" w:eastAsia="Times New Roman" w:hAnsi="Times New Roman"/>
            <w:color w:val="1155cc"/>
            <w:rtl w:val="0"/>
          </w:rPr>
          <w:t xml:space="preserve">https://www.pphe.com/~/media/Files/P/PPHE-Corp/documents/Downloadcenter/2021/PPHE_Annual_Report_21_Web.pdf</w:t>
        </w:r>
      </w:hyperlink>
      <w:r w:rsidDel="00000000" w:rsidR="00000000" w:rsidRPr="00000000">
        <w:rPr>
          <w:rtl w:val="0"/>
        </w:rPr>
      </w:r>
    </w:p>
    <w:p w:rsidR="00000000" w:rsidDel="00000000" w:rsidP="00000000" w:rsidRDefault="00000000" w:rsidRPr="00000000" w14:paraId="000000E6">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PPHE Hotel Group (2024) </w:t>
      </w:r>
      <w:r w:rsidDel="00000000" w:rsidR="00000000" w:rsidRPr="00000000">
        <w:rPr>
          <w:rFonts w:ascii="Times New Roman" w:cs="Times New Roman" w:eastAsia="Times New Roman" w:hAnsi="Times New Roman"/>
          <w:i w:val="1"/>
          <w:iCs w:val="1"/>
          <w:color w:val="000000"/>
          <w:rtl w:val="0"/>
        </w:rPr>
        <w:t xml:space="preserve">Annual report and accounts 2023</w:t>
      </w:r>
      <w:r w:rsidDel="00000000" w:rsidR="00000000" w:rsidRPr="00000000">
        <w:rPr>
          <w:rFonts w:ascii="Times New Roman" w:cs="Times New Roman" w:eastAsia="Times New Roman" w:hAnsi="Times New Roman"/>
          <w:color w:val="000000"/>
          <w:rtl w:val="0"/>
        </w:rPr>
        <w:t xml:space="preserve">.</w:t>
      </w:r>
      <w:hyperlink r:id="rId48">
        <w:r w:rsidDel="00000000" w:rsidR="00000000" w:rsidRPr="00000000">
          <w:rPr>
            <w:rFonts w:ascii="Times New Roman" w:cs="Times New Roman" w:eastAsia="Times New Roman" w:hAnsi="Times New Roman"/>
            <w:color w:val="000000"/>
            <w:rtl w:val="0"/>
          </w:rPr>
          <w:t xml:space="preserve"> </w:t>
        </w:r>
      </w:hyperlink>
      <w:hyperlink r:id="rId49">
        <w:r w:rsidDel="00000000" w:rsidR="00000000" w:rsidRPr="00000000">
          <w:rPr>
            <w:rFonts w:ascii="Times New Roman" w:cs="Times New Roman" w:eastAsia="Times New Roman" w:hAnsi="Times New Roman"/>
            <w:color w:val="1155cc"/>
            <w:rtl w:val="0"/>
          </w:rPr>
          <w:t xml:space="preserve">https://ar23.pphe.com/wp-content/uploads/2024/02/PPHE_Annual_Report_2023.pdf</w:t>
        </w:r>
      </w:hyperlink>
      <w:r w:rsidDel="00000000" w:rsidR="00000000" w:rsidRPr="00000000">
        <w:rPr>
          <w:rtl w:val="0"/>
        </w:rPr>
      </w:r>
    </w:p>
    <w:p w:rsidR="00000000" w:rsidDel="00000000" w:rsidP="00000000" w:rsidRDefault="00000000" w:rsidRPr="00000000" w14:paraId="000000E7">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PPHE Hotel Group (2025) </w:t>
      </w:r>
      <w:r w:rsidDel="00000000" w:rsidR="00000000" w:rsidRPr="00000000">
        <w:rPr>
          <w:rFonts w:ascii="Times New Roman" w:cs="Times New Roman" w:eastAsia="Times New Roman" w:hAnsi="Times New Roman"/>
          <w:i w:val="1"/>
          <w:iCs w:val="1"/>
          <w:color w:val="000000"/>
          <w:rtl w:val="0"/>
        </w:rPr>
        <w:t xml:space="preserve">Annual report and accounts 2024</w:t>
      </w:r>
      <w:r w:rsidDel="00000000" w:rsidR="00000000" w:rsidRPr="00000000">
        <w:rPr>
          <w:rFonts w:ascii="Times New Roman" w:cs="Times New Roman" w:eastAsia="Times New Roman" w:hAnsi="Times New Roman"/>
          <w:color w:val="000000"/>
          <w:rtl w:val="0"/>
        </w:rPr>
        <w:t xml:space="preserve">.</w:t>
      </w:r>
      <w:hyperlink r:id="rId50">
        <w:r w:rsidDel="00000000" w:rsidR="00000000" w:rsidRPr="00000000">
          <w:rPr>
            <w:rFonts w:ascii="Times New Roman" w:cs="Times New Roman" w:eastAsia="Times New Roman" w:hAnsi="Times New Roman"/>
            <w:color w:val="000000"/>
            <w:rtl w:val="0"/>
          </w:rPr>
          <w:t xml:space="preserve"> </w:t>
        </w:r>
      </w:hyperlink>
      <w:hyperlink r:id="rId51">
        <w:r w:rsidDel="00000000" w:rsidR="00000000" w:rsidRPr="00000000">
          <w:rPr>
            <w:rFonts w:ascii="Times New Roman" w:cs="Times New Roman" w:eastAsia="Times New Roman" w:hAnsi="Times New Roman"/>
            <w:color w:val="1155cc"/>
            <w:rtl w:val="0"/>
          </w:rPr>
          <w:t xml:space="preserve">https://ar24.pphe.com/wp-content/uploads/2025/02/PPHE_ARFull_2024.pdf</w:t>
        </w:r>
      </w:hyperlink>
      <w:r w:rsidDel="00000000" w:rsidR="00000000" w:rsidRPr="00000000">
        <w:rPr>
          <w:rtl w:val="0"/>
        </w:rPr>
      </w:r>
    </w:p>
    <w:p w:rsidR="00000000" w:rsidDel="00000000" w:rsidP="00000000" w:rsidRDefault="00000000" w:rsidRPr="00000000" w14:paraId="000000E8">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PPHE Hotel Group (2026a) </w:t>
      </w:r>
      <w:r w:rsidDel="00000000" w:rsidR="00000000" w:rsidRPr="00000000">
        <w:rPr>
          <w:rFonts w:ascii="Times New Roman" w:cs="Times New Roman" w:eastAsia="Times New Roman" w:hAnsi="Times New Roman"/>
          <w:i w:val="1"/>
          <w:iCs w:val="1"/>
          <w:color w:val="000000"/>
          <w:rtl w:val="0"/>
        </w:rPr>
        <w:t xml:space="preserve">Annual report and accounts 2025</w:t>
      </w:r>
      <w:r w:rsidDel="00000000" w:rsidR="00000000" w:rsidRPr="00000000">
        <w:rPr>
          <w:rFonts w:ascii="Times New Roman" w:cs="Times New Roman" w:eastAsia="Times New Roman" w:hAnsi="Times New Roman"/>
          <w:color w:val="000000"/>
          <w:rtl w:val="0"/>
        </w:rPr>
        <w:t xml:space="preserve">.</w:t>
      </w:r>
      <w:hyperlink r:id="rId52">
        <w:r w:rsidDel="00000000" w:rsidR="00000000" w:rsidRPr="00000000">
          <w:rPr>
            <w:rFonts w:ascii="Times New Roman" w:cs="Times New Roman" w:eastAsia="Times New Roman" w:hAnsi="Times New Roman"/>
            <w:color w:val="000000"/>
            <w:rtl w:val="0"/>
          </w:rPr>
          <w:t xml:space="preserve"> </w:t>
        </w:r>
      </w:hyperlink>
      <w:hyperlink r:id="rId53">
        <w:r w:rsidDel="00000000" w:rsidR="00000000" w:rsidRPr="00000000">
          <w:rPr>
            <w:rFonts w:ascii="Times New Roman" w:cs="Times New Roman" w:eastAsia="Times New Roman" w:hAnsi="Times New Roman"/>
            <w:color w:val="1155cc"/>
            <w:rtl w:val="0"/>
          </w:rPr>
          <w:t xml:space="preserve">https://www.pphe.com/~/media/Files/P/PPHE-Corp/documents/Downloadcenter/2026/PPHE_AR_2025.pdf</w:t>
        </w:r>
      </w:hyperlink>
      <w:r w:rsidDel="00000000" w:rsidR="00000000" w:rsidRPr="00000000">
        <w:rPr>
          <w:rtl w:val="0"/>
        </w:rPr>
      </w:r>
    </w:p>
    <w:p w:rsidR="00000000" w:rsidDel="00000000" w:rsidP="00000000" w:rsidRDefault="00000000" w:rsidRPr="00000000" w14:paraId="000000E9">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PPHE Hotel Group (2026b) </w:t>
      </w:r>
      <w:r w:rsidDel="00000000" w:rsidR="00000000" w:rsidRPr="00000000">
        <w:rPr>
          <w:rFonts w:ascii="Times New Roman" w:cs="Times New Roman" w:eastAsia="Times New Roman" w:hAnsi="Times New Roman"/>
          <w:i w:val="1"/>
          <w:iCs w:val="1"/>
          <w:color w:val="000000"/>
          <w:rtl w:val="0"/>
        </w:rPr>
        <w:t xml:space="preserve">2025 annual results</w:t>
      </w:r>
      <w:r w:rsidDel="00000000" w:rsidR="00000000" w:rsidRPr="00000000">
        <w:rPr>
          <w:rFonts w:ascii="Times New Roman" w:cs="Times New Roman" w:eastAsia="Times New Roman" w:hAnsi="Times New Roman"/>
          <w:color w:val="000000"/>
          <w:rtl w:val="0"/>
        </w:rPr>
        <w:t xml:space="preserve">.</w:t>
      </w:r>
      <w:hyperlink r:id="rId54">
        <w:r w:rsidDel="00000000" w:rsidR="00000000" w:rsidRPr="00000000">
          <w:rPr>
            <w:rFonts w:ascii="Times New Roman" w:cs="Times New Roman" w:eastAsia="Times New Roman" w:hAnsi="Times New Roman"/>
            <w:color w:val="000000"/>
            <w:rtl w:val="0"/>
          </w:rPr>
          <w:t xml:space="preserve"> </w:t>
        </w:r>
      </w:hyperlink>
      <w:hyperlink r:id="rId55">
        <w:r w:rsidDel="00000000" w:rsidR="00000000" w:rsidRPr="00000000">
          <w:rPr>
            <w:rFonts w:ascii="Times New Roman" w:cs="Times New Roman" w:eastAsia="Times New Roman" w:hAnsi="Times New Roman"/>
            <w:color w:val="1155cc"/>
            <w:rtl w:val="0"/>
          </w:rPr>
          <w:t xml:space="preserve">https://www.pphe.com/~/media/Files/P/PPHE-Corp/documents/Downloadcenter/2026/260226%20-%20PPHE%20Hotel%20Group%20-%202025%20Annual%20Results.pdf</w:t>
        </w:r>
      </w:hyperlink>
      <w:r w:rsidDel="00000000" w:rsidR="00000000" w:rsidRPr="00000000">
        <w:rPr>
          <w:rtl w:val="0"/>
        </w:rPr>
      </w:r>
    </w:p>
    <w:p w:rsidR="00000000" w:rsidDel="00000000" w:rsidP="00000000" w:rsidRDefault="00000000" w:rsidRPr="00000000" w14:paraId="000000EA">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PPHE Hotel Group (2026c) </w:t>
      </w:r>
      <w:r w:rsidDel="00000000" w:rsidR="00000000" w:rsidRPr="00000000">
        <w:rPr>
          <w:rFonts w:ascii="Times New Roman" w:cs="Times New Roman" w:eastAsia="Times New Roman" w:hAnsi="Times New Roman"/>
          <w:i w:val="1"/>
          <w:iCs w:val="1"/>
          <w:color w:val="000000"/>
          <w:rtl w:val="0"/>
        </w:rPr>
        <w:t xml:space="preserve">Conclusion of the strategic review and formal sale process</w:t>
      </w:r>
      <w:r w:rsidDel="00000000" w:rsidR="00000000" w:rsidRPr="00000000">
        <w:rPr>
          <w:rFonts w:ascii="Times New Roman" w:cs="Times New Roman" w:eastAsia="Times New Roman" w:hAnsi="Times New Roman"/>
          <w:color w:val="000000"/>
          <w:rtl w:val="0"/>
        </w:rPr>
        <w:t xml:space="preserve">, 2 July.</w:t>
      </w:r>
      <w:hyperlink r:id="rId56">
        <w:r w:rsidDel="00000000" w:rsidR="00000000" w:rsidRPr="00000000">
          <w:rPr>
            <w:rFonts w:ascii="Times New Roman" w:cs="Times New Roman" w:eastAsia="Times New Roman" w:hAnsi="Times New Roman"/>
            <w:color w:val="000000"/>
            <w:rtl w:val="0"/>
          </w:rPr>
          <w:t xml:space="preserve"> </w:t>
        </w:r>
      </w:hyperlink>
      <w:hyperlink r:id="rId57">
        <w:r w:rsidDel="00000000" w:rsidR="00000000" w:rsidRPr="00000000">
          <w:rPr>
            <w:rFonts w:ascii="Times New Roman" w:cs="Times New Roman" w:eastAsia="Times New Roman" w:hAnsi="Times New Roman"/>
            <w:color w:val="1155cc"/>
            <w:rtl w:val="0"/>
          </w:rPr>
          <w:t xml:space="preserve">https://www.investegate.co.uk/announcement/rns/pphe-hotel-group-ltd--pph/conclusion-of-strategic-review-and-sale-process/9649466</w:t>
        </w:r>
      </w:hyperlink>
      <w:r w:rsidDel="00000000" w:rsidR="00000000" w:rsidRPr="00000000">
        <w:rPr>
          <w:rtl w:val="0"/>
        </w:rPr>
      </w:r>
    </w:p>
    <w:p w:rsidR="00000000" w:rsidDel="00000000" w:rsidP="00000000" w:rsidRDefault="00000000" w:rsidRPr="00000000" w14:paraId="000000EB">
      <w:pPr>
        <w:numPr>
          <w:ilvl w:val="0"/>
          <w:numId w:val="1"/>
        </w:numPr>
        <w:spacing w:after="0" w:afterAutospacing="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UWTSD (2026) </w:t>
      </w:r>
      <w:r w:rsidDel="00000000" w:rsidR="00000000" w:rsidRPr="00000000">
        <w:rPr>
          <w:rFonts w:ascii="Times New Roman" w:cs="Times New Roman" w:eastAsia="Times New Roman" w:hAnsi="Times New Roman"/>
          <w:i w:val="1"/>
          <w:iCs w:val="1"/>
          <w:color w:val="000000"/>
          <w:rtl w:val="0"/>
        </w:rPr>
        <w:t xml:space="preserve">LCMB7002 Financial Management: Assessment specification—financial performance and management</w:t>
      </w:r>
      <w:r w:rsidDel="00000000" w:rsidR="00000000" w:rsidRPr="00000000">
        <w:rPr>
          <w:rFonts w:ascii="Times New Roman" w:cs="Times New Roman" w:eastAsia="Times New Roman" w:hAnsi="Times New Roman"/>
          <w:color w:val="000000"/>
          <w:rtl w:val="0"/>
        </w:rPr>
        <w:t xml:space="preserve">. Unpublished module brief.</w:t>
      </w:r>
    </w:p>
    <w:p w:rsidR="00000000" w:rsidDel="00000000" w:rsidP="00000000" w:rsidRDefault="00000000" w:rsidRPr="00000000" w14:paraId="000000EC">
      <w:pPr>
        <w:numPr>
          <w:ilvl w:val="0"/>
          <w:numId w:val="1"/>
        </w:numPr>
        <w:spacing w:after="240" w:before="0" w:beforeAutospacing="0" w:line="276" w:lineRule="auto"/>
        <w:ind w:left="720" w:hanging="36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Whitbread (2025) </w:t>
      </w:r>
      <w:r w:rsidDel="00000000" w:rsidR="00000000" w:rsidRPr="00000000">
        <w:rPr>
          <w:rFonts w:ascii="Times New Roman" w:cs="Times New Roman" w:eastAsia="Times New Roman" w:hAnsi="Times New Roman"/>
          <w:i w:val="1"/>
          <w:iCs w:val="1"/>
          <w:color w:val="000000"/>
          <w:rtl w:val="0"/>
        </w:rPr>
        <w:t xml:space="preserve">FY25 results</w:t>
      </w:r>
      <w:r w:rsidDel="00000000" w:rsidR="00000000" w:rsidRPr="00000000">
        <w:rPr>
          <w:rFonts w:ascii="Times New Roman" w:cs="Times New Roman" w:eastAsia="Times New Roman" w:hAnsi="Times New Roman"/>
          <w:color w:val="000000"/>
          <w:rtl w:val="0"/>
        </w:rPr>
        <w:t xml:space="preserve">.</w:t>
      </w:r>
      <w:hyperlink r:id="rId58">
        <w:r w:rsidDel="00000000" w:rsidR="00000000" w:rsidRPr="00000000">
          <w:rPr>
            <w:rFonts w:ascii="Times New Roman" w:cs="Times New Roman" w:eastAsia="Times New Roman" w:hAnsi="Times New Roman"/>
            <w:color w:val="000000"/>
            <w:rtl w:val="0"/>
          </w:rPr>
          <w:t xml:space="preserve"> </w:t>
        </w:r>
      </w:hyperlink>
      <w:hyperlink r:id="rId59">
        <w:r w:rsidDel="00000000" w:rsidR="00000000" w:rsidRPr="00000000">
          <w:rPr>
            <w:rFonts w:ascii="Times New Roman" w:cs="Times New Roman" w:eastAsia="Times New Roman" w:hAnsi="Times New Roman"/>
            <w:color w:val="1155cc"/>
            <w:rtl w:val="0"/>
          </w:rPr>
          <w:t xml:space="preserve">https://cdn.whitbread.co.uk/media/2025/05/Whitbread-FY25-RNS.pdf</w:t>
        </w:r>
      </w:hyperlink>
      <w:r w:rsidDel="00000000" w:rsidR="00000000" w:rsidRPr="00000000">
        <w:rPr>
          <w:rtl w:val="0"/>
        </w:rPr>
      </w:r>
    </w:p>
    <w:p w:rsidR="00000000" w:rsidDel="00000000" w:rsidP="00000000" w:rsidRDefault="00000000" w:rsidRPr="00000000" w14:paraId="000000ED">
      <w:pPr>
        <w:spacing w:after="100" w:line="276" w:lineRule="auto"/>
        <w:ind w:left="0" w:firstLine="0"/>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EE">
      <w:pPr>
        <w:spacing w:line="276" w:lineRule="auto"/>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EF">
      <w:pPr>
        <w:pStyle w:val="Heading2"/>
        <w:spacing w:line="276" w:lineRule="auto"/>
        <w:rPr>
          <w:rFonts w:ascii="Times New Roman" w:cs="Times New Roman" w:eastAsia="Times New Roman" w:hAnsi="Times New Roman"/>
          <w:color w:val="000000"/>
          <w:sz w:val="24"/>
          <w:szCs w:val="24"/>
        </w:rPr>
      </w:pPr>
      <w:bookmarkStart w:colFirst="0" w:colLast="0" w:name="_9d0d8yt2wzxm" w:id="36"/>
      <w:bookmarkEnd w:id="36"/>
      <w:r w:rsidDel="00000000" w:rsidR="00000000" w:rsidRPr="00000000">
        <w:rPr>
          <w:rFonts w:ascii="Times New Roman" w:cs="Times New Roman" w:eastAsia="Times New Roman" w:hAnsi="Times New Roman"/>
          <w:color w:val="000000"/>
          <w:sz w:val="24"/>
          <w:szCs w:val="24"/>
          <w:rtl w:val="0"/>
        </w:rPr>
        <w:t xml:space="preserve">Appendices</w:t>
      </w:r>
    </w:p>
    <w:p w:rsidR="00000000" w:rsidDel="00000000" w:rsidP="00000000" w:rsidRDefault="00000000" w:rsidRPr="00000000" w14:paraId="000000F0">
      <w:pPr>
        <w:spacing w:after="12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The appendices reproduce the principal Excel outputs used in the report. The accompanying workbook retains the formula-linked calculations, source register and editable assumptions.</w:t>
      </w:r>
    </w:p>
    <w:p w:rsidR="00000000" w:rsidDel="00000000" w:rsidP="00000000" w:rsidRDefault="00000000" w:rsidRPr="00000000" w14:paraId="000000F1">
      <w:pPr>
        <w:pStyle w:val="Heading3"/>
        <w:spacing w:line="276" w:lineRule="auto"/>
        <w:rPr>
          <w:rFonts w:ascii="Times New Roman" w:cs="Times New Roman" w:eastAsia="Times New Roman" w:hAnsi="Times New Roman"/>
          <w:color w:val="000000"/>
        </w:rPr>
      </w:pPr>
      <w:bookmarkStart w:colFirst="0" w:colLast="0" w:name="_j8p4htiqbfl2" w:id="37"/>
      <w:bookmarkEnd w:id="37"/>
      <w:r w:rsidDel="00000000" w:rsidR="00000000" w:rsidRPr="00000000">
        <w:rPr>
          <w:rFonts w:ascii="Times New Roman" w:cs="Times New Roman" w:eastAsia="Times New Roman" w:hAnsi="Times New Roman"/>
          <w:color w:val="000000"/>
          <w:rtl w:val="0"/>
        </w:rPr>
        <w:t xml:space="preserve">Appendix A: Five-Year Ratio Tables</w:t>
      </w:r>
    </w:p>
    <w:p w:rsidR="00000000" w:rsidDel="00000000" w:rsidP="00000000" w:rsidRDefault="00000000" w:rsidRPr="00000000" w14:paraId="000000F2">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u7hvbdaf4gvf" w:id="38"/>
      <w:bookmarkEnd w:id="38"/>
      <w:r w:rsidDel="00000000" w:rsidR="00000000" w:rsidRPr="00000000">
        <w:rPr>
          <w:rFonts w:ascii="Times New Roman" w:cs="Times New Roman" w:eastAsia="Times New Roman" w:hAnsi="Times New Roman"/>
          <w:i w:val="0"/>
          <w:iCs w:val="0"/>
          <w:color w:val="000000"/>
          <w:vertAlign w:val="baseline"/>
          <w:rtl w:val="0"/>
        </w:rPr>
        <w:t xml:space="preserve">Table </w:t>
      </w:r>
      <w:r w:rsidDel="00000000" w:rsidR="00000000" w:rsidRPr="00000000">
        <w:rPr>
          <w:rFonts w:ascii="Times New Roman" w:cs="Times New Roman" w:eastAsia="Times New Roman" w:hAnsi="Times New Roman"/>
          <w:i w:val="0"/>
          <w:iCs w:val="0"/>
          <w:color w:val="000000"/>
          <w:vertAlign w:val="baseline"/>
          <w:rtl w:val="0"/>
        </w:rPr>
        <w:t xml:space="preserve">6. Profitability ratios</w:t>
      </w:r>
    </w:p>
    <w:p w:rsidR="00000000" w:rsidDel="00000000" w:rsidP="00000000" w:rsidRDefault="00000000" w:rsidRPr="00000000" w14:paraId="000000F3">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600200"/>
            <wp:effectExtent b="0" l="0" r="0" t="0"/>
            <wp:docPr id="2" name="image19.png"/>
            <a:graphic>
              <a:graphicData uri="http://schemas.openxmlformats.org/drawingml/2006/picture">
                <pic:pic>
                  <pic:nvPicPr>
                    <pic:cNvPr id="0" name="image19.png"/>
                    <pic:cNvPicPr preferRelativeResize="0"/>
                  </pic:nvPicPr>
                  <pic:blipFill>
                    <a:blip r:embed="rId60"/>
                    <a:srcRect b="0" l="0" r="0" t="0"/>
                    <a:stretch>
                      <a:fillRect/>
                    </a:stretch>
                  </pic:blipFill>
                  <pic:spPr>
                    <a:xfrm>
                      <a:off x="0" y="0"/>
                      <a:ext cx="5731200" cy="16002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 from PPHE annual reports.</w:t>
      </w:r>
    </w:p>
    <w:p w:rsidR="00000000" w:rsidDel="00000000" w:rsidP="00000000" w:rsidRDefault="00000000" w:rsidRPr="00000000" w14:paraId="000000F4">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1yfvvnq2s0a7" w:id="39"/>
      <w:bookmarkEnd w:id="39"/>
      <w:r w:rsidDel="00000000" w:rsidR="00000000" w:rsidRPr="00000000">
        <w:rPr>
          <w:rFonts w:ascii="Times New Roman" w:cs="Times New Roman" w:eastAsia="Times New Roman" w:hAnsi="Times New Roman"/>
          <w:i w:val="0"/>
          <w:iCs w:val="0"/>
          <w:color w:val="000000"/>
          <w:vertAlign w:val="baseline"/>
          <w:rtl w:val="0"/>
        </w:rPr>
        <w:t xml:space="preserve">Table </w:t>
      </w:r>
      <w:r w:rsidDel="00000000" w:rsidR="00000000" w:rsidRPr="00000000">
        <w:rPr>
          <w:rFonts w:ascii="Times New Roman" w:cs="Times New Roman" w:eastAsia="Times New Roman" w:hAnsi="Times New Roman"/>
          <w:i w:val="0"/>
          <w:iCs w:val="0"/>
          <w:color w:val="000000"/>
          <w:vertAlign w:val="baseline"/>
          <w:rtl w:val="0"/>
        </w:rPr>
        <w:t xml:space="preserve">7. Liquidity ratios</w:t>
      </w:r>
    </w:p>
    <w:p w:rsidR="00000000" w:rsidDel="00000000" w:rsidP="00000000" w:rsidRDefault="00000000" w:rsidRPr="00000000" w14:paraId="000000F5">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130300"/>
            <wp:effectExtent b="0" l="0" r="0" t="0"/>
            <wp:docPr id="1" name="image6.png"/>
            <a:graphic>
              <a:graphicData uri="http://schemas.openxmlformats.org/drawingml/2006/picture">
                <pic:pic>
                  <pic:nvPicPr>
                    <pic:cNvPr id="0" name="image6.png"/>
                    <pic:cNvPicPr preferRelativeResize="0"/>
                  </pic:nvPicPr>
                  <pic:blipFill>
                    <a:blip r:embed="rId61"/>
                    <a:srcRect b="0" l="0" r="0" t="0"/>
                    <a:stretch>
                      <a:fillRect/>
                    </a:stretch>
                  </pic:blipFill>
                  <pic:spPr>
                    <a:xfrm>
                      <a:off x="0" y="0"/>
                      <a:ext cx="5731200" cy="11303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 from PPHE annual reports.</w:t>
      </w:r>
    </w:p>
    <w:p w:rsidR="00000000" w:rsidDel="00000000" w:rsidP="00000000" w:rsidRDefault="00000000" w:rsidRPr="00000000" w14:paraId="000000F6">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qz5rr6guldvw" w:id="40"/>
      <w:bookmarkEnd w:id="40"/>
      <w:r w:rsidDel="00000000" w:rsidR="00000000" w:rsidRPr="00000000">
        <w:rPr>
          <w:rFonts w:ascii="Times New Roman" w:cs="Times New Roman" w:eastAsia="Times New Roman" w:hAnsi="Times New Roman"/>
          <w:i w:val="0"/>
          <w:iCs w:val="0"/>
          <w:color w:val="000000"/>
          <w:vertAlign w:val="baseline"/>
          <w:rtl w:val="0"/>
        </w:rPr>
        <w:t xml:space="preserve">Table </w:t>
      </w:r>
      <w:r w:rsidDel="00000000" w:rsidR="00000000" w:rsidRPr="00000000">
        <w:rPr>
          <w:rFonts w:ascii="Times New Roman" w:cs="Times New Roman" w:eastAsia="Times New Roman" w:hAnsi="Times New Roman"/>
          <w:i w:val="0"/>
          <w:iCs w:val="0"/>
          <w:color w:val="000000"/>
          <w:vertAlign w:val="baseline"/>
          <w:rtl w:val="0"/>
        </w:rPr>
        <w:t xml:space="preserve">8. Efficiency ratios</w:t>
      </w:r>
    </w:p>
    <w:p w:rsidR="00000000" w:rsidDel="00000000" w:rsidP="00000000" w:rsidRDefault="00000000" w:rsidRPr="00000000" w14:paraId="000000F7">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600200"/>
            <wp:effectExtent b="0" l="0" r="0" t="0"/>
            <wp:docPr id="13" name="image1.png"/>
            <a:graphic>
              <a:graphicData uri="http://schemas.openxmlformats.org/drawingml/2006/picture">
                <pic:pic>
                  <pic:nvPicPr>
                    <pic:cNvPr id="0" name="image1.png"/>
                    <pic:cNvPicPr preferRelativeResize="0"/>
                  </pic:nvPicPr>
                  <pic:blipFill>
                    <a:blip r:embed="rId62"/>
                    <a:srcRect b="0" l="0" r="0" t="0"/>
                    <a:stretch>
                      <a:fillRect/>
                    </a:stretch>
                  </pic:blipFill>
                  <pic:spPr>
                    <a:xfrm>
                      <a:off x="0" y="0"/>
                      <a:ext cx="5731200" cy="16002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 from PPHE annual reports.</w:t>
      </w:r>
    </w:p>
    <w:p w:rsidR="00000000" w:rsidDel="00000000" w:rsidP="00000000" w:rsidRDefault="00000000" w:rsidRPr="00000000" w14:paraId="000000F8">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j2d6w47bie2f" w:id="41"/>
      <w:bookmarkEnd w:id="41"/>
      <w:r w:rsidDel="00000000" w:rsidR="00000000" w:rsidRPr="00000000">
        <w:rPr>
          <w:rFonts w:ascii="Times New Roman" w:cs="Times New Roman" w:eastAsia="Times New Roman" w:hAnsi="Times New Roman"/>
          <w:i w:val="0"/>
          <w:iCs w:val="0"/>
          <w:color w:val="000000"/>
          <w:vertAlign w:val="baseline"/>
          <w:rtl w:val="0"/>
        </w:rPr>
        <w:t xml:space="preserve">Table 9. Leverage ratios</w:t>
      </w:r>
    </w:p>
    <w:p w:rsidR="00000000" w:rsidDel="00000000" w:rsidP="00000000" w:rsidRDefault="00000000" w:rsidRPr="00000000" w14:paraId="000000F9">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80" w:line="276" w:lineRule="auto"/>
        <w:ind w:left="0" w:right="0" w:firstLine="0"/>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485900"/>
            <wp:effectExtent b="0" l="0" r="0" t="0"/>
            <wp:docPr id="9" name="image12.png"/>
            <a:graphic>
              <a:graphicData uri="http://schemas.openxmlformats.org/drawingml/2006/picture">
                <pic:pic>
                  <pic:nvPicPr>
                    <pic:cNvPr id="0" name="image12.png"/>
                    <pic:cNvPicPr preferRelativeResize="0"/>
                  </pic:nvPicPr>
                  <pic:blipFill>
                    <a:blip r:embed="rId63"/>
                    <a:srcRect b="0" l="0" r="0" t="0"/>
                    <a:stretch>
                      <a:fillRect/>
                    </a:stretch>
                  </pic:blipFill>
                  <pic:spPr>
                    <a:xfrm>
                      <a:off x="0" y="0"/>
                      <a:ext cx="5731200" cy="14859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 from PPHE annual reports.</w:t>
      </w:r>
    </w:p>
    <w:p w:rsidR="00000000" w:rsidDel="00000000" w:rsidP="00000000" w:rsidRDefault="00000000" w:rsidRPr="00000000" w14:paraId="000000FA">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34ofr6debevd" w:id="42"/>
      <w:bookmarkEnd w:id="42"/>
      <w:r w:rsidDel="00000000" w:rsidR="00000000" w:rsidRPr="00000000">
        <w:rPr>
          <w:rFonts w:ascii="Times New Roman" w:cs="Times New Roman" w:eastAsia="Times New Roman" w:hAnsi="Times New Roman"/>
          <w:i w:val="0"/>
          <w:iCs w:val="0"/>
          <w:color w:val="000000"/>
          <w:vertAlign w:val="baseline"/>
          <w:rtl w:val="0"/>
        </w:rPr>
        <w:t xml:space="preserve">Table 10. Investment and cash flow ratios</w:t>
      </w:r>
    </w:p>
    <w:p w:rsidR="00000000" w:rsidDel="00000000" w:rsidP="00000000" w:rsidRDefault="00000000" w:rsidRPr="00000000" w14:paraId="000000FB">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80" w:line="276" w:lineRule="auto"/>
        <w:ind w:left="0" w:right="0" w:firstLine="0"/>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2044700"/>
            <wp:effectExtent b="0" l="0" r="0" t="0"/>
            <wp:docPr id="7" name="image14.png"/>
            <a:graphic>
              <a:graphicData uri="http://schemas.openxmlformats.org/drawingml/2006/picture">
                <pic:pic>
                  <pic:nvPicPr>
                    <pic:cNvPr id="0" name="image14.png"/>
                    <pic:cNvPicPr preferRelativeResize="0"/>
                  </pic:nvPicPr>
                  <pic:blipFill>
                    <a:blip r:embed="rId64"/>
                    <a:srcRect b="0" l="0" r="0" t="0"/>
                    <a:stretch>
                      <a:fillRect/>
                    </a:stretch>
                  </pic:blipFill>
                  <pic:spPr>
                    <a:xfrm>
                      <a:off x="0" y="0"/>
                      <a:ext cx="5731200" cy="20447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 from PPHE annual reports.</w:t>
      </w:r>
    </w:p>
    <w:p w:rsidR="00000000" w:rsidDel="00000000" w:rsidP="00000000" w:rsidRDefault="00000000" w:rsidRPr="00000000" w14:paraId="000000FC">
      <w:pPr>
        <w:pStyle w:val="Heading3"/>
        <w:spacing w:line="276" w:lineRule="auto"/>
        <w:jc w:val="left"/>
        <w:rPr>
          <w:rFonts w:ascii="Times New Roman" w:cs="Times New Roman" w:eastAsia="Times New Roman" w:hAnsi="Times New Roman"/>
          <w:color w:val="000000"/>
        </w:rPr>
      </w:pPr>
      <w:bookmarkStart w:colFirst="0" w:colLast="0" w:name="_b1tf9zym8xlz" w:id="43"/>
      <w:bookmarkEnd w:id="43"/>
      <w:r w:rsidDel="00000000" w:rsidR="00000000" w:rsidRPr="00000000">
        <w:rPr>
          <w:rFonts w:ascii="Times New Roman" w:cs="Times New Roman" w:eastAsia="Times New Roman" w:hAnsi="Times New Roman"/>
          <w:color w:val="000000"/>
          <w:rtl w:val="0"/>
        </w:rPr>
        <w:t xml:space="preserve">Appendix B: Liquidity and Working-Capital Evidence</w:t>
      </w:r>
    </w:p>
    <w:p w:rsidR="00000000" w:rsidDel="00000000" w:rsidP="00000000" w:rsidRDefault="00000000" w:rsidRPr="00000000" w14:paraId="000000FD">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qdwzrxx68xbp" w:id="44"/>
      <w:bookmarkEnd w:id="44"/>
      <w:r w:rsidDel="00000000" w:rsidR="00000000" w:rsidRPr="00000000">
        <w:rPr>
          <w:rFonts w:ascii="Times New Roman" w:cs="Times New Roman" w:eastAsia="Times New Roman" w:hAnsi="Times New Roman"/>
          <w:i w:val="0"/>
          <w:iCs w:val="0"/>
          <w:color w:val="000000"/>
          <w:vertAlign w:val="baseline"/>
          <w:rtl w:val="0"/>
        </w:rPr>
        <w:t xml:space="preserve">Table </w:t>
      </w:r>
      <w:r w:rsidDel="00000000" w:rsidR="00000000" w:rsidRPr="00000000">
        <w:rPr>
          <w:rFonts w:ascii="Times New Roman" w:cs="Times New Roman" w:eastAsia="Times New Roman" w:hAnsi="Times New Roman"/>
          <w:i w:val="0"/>
          <w:iCs w:val="0"/>
          <w:color w:val="000000"/>
          <w:vertAlign w:val="baseline"/>
          <w:rtl w:val="0"/>
        </w:rPr>
        <w:t xml:space="preserve">11. Peer liquidity inputs and ratios</w:t>
      </w:r>
    </w:p>
    <w:p w:rsidR="00000000" w:rsidDel="00000000" w:rsidP="00000000" w:rsidRDefault="00000000" w:rsidRPr="00000000" w14:paraId="000000FE">
      <w:pPr>
        <w:spacing w:line="276" w:lineRule="auto"/>
        <w:jc w:val="center"/>
        <w:rPr>
          <w:rFonts w:ascii="Times New Roman" w:cs="Times New Roman" w:eastAsia="Times New Roman" w:hAnsi="Times New Roman"/>
          <w:color w:val="000000"/>
          <w:vertAlign w:val="baseline"/>
        </w:rPr>
      </w:pPr>
      <w:r w:rsidDel="00000000" w:rsidR="00000000" w:rsidRPr="00000000">
        <w:rPr>
          <w:rFonts w:ascii="Times New Roman" w:cs="Times New Roman" w:eastAsia="Times New Roman" w:hAnsi="Times New Roman"/>
          <w:color w:val="000000"/>
        </w:rPr>
        <w:drawing>
          <wp:inline distB="114300" distT="114300" distL="114300" distR="114300">
            <wp:extent cx="5731200" cy="2540000"/>
            <wp:effectExtent b="0" l="0" r="0" t="0"/>
            <wp:docPr id="6" name="image8.png"/>
            <a:graphic>
              <a:graphicData uri="http://schemas.openxmlformats.org/drawingml/2006/picture">
                <pic:pic>
                  <pic:nvPicPr>
                    <pic:cNvPr id="0" name="image8.png"/>
                    <pic:cNvPicPr preferRelativeResize="0"/>
                  </pic:nvPicPr>
                  <pic:blipFill>
                    <a:blip r:embed="rId65"/>
                    <a:srcRect b="0" l="0" r="0" t="0"/>
                    <a:stretch>
                      <a:fillRect/>
                    </a:stretch>
                  </pic:blipFill>
                  <pic:spPr>
                    <a:xfrm>
                      <a:off x="0" y="0"/>
                      <a:ext cx="5731200" cy="2540000"/>
                    </a:xfrm>
                    <a:prstGeom prst="rect"/>
                    <a:ln/>
                  </pic:spPr>
                </pic:pic>
              </a:graphicData>
            </a:graphic>
          </wp:inline>
        </w:drawing>
      </w:r>
      <w:r w:rsidDel="00000000" w:rsidR="00000000" w:rsidRPr="00000000">
        <w:rPr>
          <w:rtl w:val="0"/>
        </w:rPr>
      </w:r>
    </w:p>
    <w:p w:rsidR="00000000" w:rsidDel="00000000" w:rsidP="00000000" w:rsidRDefault="00000000" w:rsidRPr="00000000" w14:paraId="000000FF">
      <w:pPr>
        <w:keepNext w:val="0"/>
        <w:spacing w:after="80" w:before="80" w:line="276" w:lineRule="auto"/>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Source: Official company filings listed in the References.</w:t>
      </w:r>
    </w:p>
    <w:p w:rsidR="00000000" w:rsidDel="00000000" w:rsidP="00000000" w:rsidRDefault="00000000" w:rsidRPr="00000000" w14:paraId="00000100">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kpl6qw19xclt" w:id="45"/>
      <w:bookmarkEnd w:id="45"/>
      <w:r w:rsidDel="00000000" w:rsidR="00000000" w:rsidRPr="00000000">
        <w:rPr>
          <w:rFonts w:ascii="Times New Roman" w:cs="Times New Roman" w:eastAsia="Times New Roman" w:hAnsi="Times New Roman"/>
          <w:i w:val="0"/>
          <w:iCs w:val="0"/>
          <w:color w:val="000000"/>
          <w:vertAlign w:val="baseline"/>
          <w:rtl w:val="0"/>
        </w:rPr>
        <w:t xml:space="preserve">Table 12. Working-capital driver bridge</w:t>
      </w:r>
    </w:p>
    <w:p w:rsidR="00000000" w:rsidDel="00000000" w:rsidP="00000000" w:rsidRDefault="00000000" w:rsidRPr="00000000" w14:paraId="00000101">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80" w:line="276" w:lineRule="auto"/>
        <w:ind w:left="0" w:right="0" w:firstLine="0"/>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943100"/>
            <wp:effectExtent b="0" l="0" r="0" t="0"/>
            <wp:docPr id="8" name="image4.png"/>
            <a:graphic>
              <a:graphicData uri="http://schemas.openxmlformats.org/drawingml/2006/picture">
                <pic:pic>
                  <pic:nvPicPr>
                    <pic:cNvPr id="0" name="image4.png"/>
                    <pic:cNvPicPr preferRelativeResize="0"/>
                  </pic:nvPicPr>
                  <pic:blipFill>
                    <a:blip r:embed="rId66"/>
                    <a:srcRect b="0" l="0" r="0" t="0"/>
                    <a:stretch>
                      <a:fillRect/>
                    </a:stretch>
                  </pic:blipFill>
                  <pic:spPr>
                    <a:xfrm>
                      <a:off x="0" y="0"/>
                      <a:ext cx="5731200" cy="19431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w:t>
      </w:r>
    </w:p>
    <w:p w:rsidR="00000000" w:rsidDel="00000000" w:rsidP="00000000" w:rsidRDefault="00000000" w:rsidRPr="00000000" w14:paraId="00000102">
      <w:pPr>
        <w:pStyle w:val="Heading3"/>
        <w:spacing w:line="276" w:lineRule="auto"/>
        <w:jc w:val="left"/>
        <w:rPr>
          <w:rFonts w:ascii="Times New Roman" w:cs="Times New Roman" w:eastAsia="Times New Roman" w:hAnsi="Times New Roman"/>
          <w:color w:val="000000"/>
        </w:rPr>
      </w:pPr>
      <w:bookmarkStart w:colFirst="0" w:colLast="0" w:name="_rofgusdgpq56" w:id="46"/>
      <w:bookmarkEnd w:id="46"/>
      <w:r w:rsidDel="00000000" w:rsidR="00000000" w:rsidRPr="00000000">
        <w:rPr>
          <w:rFonts w:ascii="Times New Roman" w:cs="Times New Roman" w:eastAsia="Times New Roman" w:hAnsi="Times New Roman"/>
          <w:color w:val="000000"/>
          <w:rtl w:val="0"/>
        </w:rPr>
        <w:t xml:space="preserve">Appendix C: Investment-Appraisal Calculations</w:t>
      </w:r>
    </w:p>
    <w:p w:rsidR="00000000" w:rsidDel="00000000" w:rsidP="00000000" w:rsidRDefault="00000000" w:rsidRPr="00000000" w14:paraId="00000103">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u2ojv3fvff1q" w:id="47"/>
      <w:bookmarkEnd w:id="47"/>
      <w:r w:rsidDel="00000000" w:rsidR="00000000" w:rsidRPr="00000000">
        <w:rPr>
          <w:rFonts w:ascii="Times New Roman" w:cs="Times New Roman" w:eastAsia="Times New Roman" w:hAnsi="Times New Roman"/>
          <w:i w:val="0"/>
          <w:iCs w:val="0"/>
          <w:color w:val="000000"/>
          <w:vertAlign w:val="baseline"/>
          <w:rtl w:val="0"/>
        </w:rPr>
        <w:t xml:space="preserve">Table 13. Project cash-flow profiles (£m)</w:t>
      </w:r>
    </w:p>
    <w:p w:rsidR="00000000" w:rsidDel="00000000" w:rsidP="00000000" w:rsidRDefault="00000000" w:rsidRPr="00000000" w14:paraId="00000104">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80" w:line="276" w:lineRule="auto"/>
        <w:ind w:left="0" w:right="0" w:firstLine="0"/>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1231900"/>
            <wp:effectExtent b="0" l="0" r="0" t="0"/>
            <wp:docPr id="3" name="image17.png"/>
            <a:graphic>
              <a:graphicData uri="http://schemas.openxmlformats.org/drawingml/2006/picture">
                <pic:pic>
                  <pic:nvPicPr>
                    <pic:cNvPr id="0" name="image17.png"/>
                    <pic:cNvPicPr preferRelativeResize="0"/>
                  </pic:nvPicPr>
                  <pic:blipFill>
                    <a:blip r:embed="rId67"/>
                    <a:srcRect b="0" l="0" r="0" t="0"/>
                    <a:stretch>
                      <a:fillRect/>
                    </a:stretch>
                  </pic:blipFill>
                  <pic:spPr>
                    <a:xfrm>
                      <a:off x="0" y="0"/>
                      <a:ext cx="5731200" cy="12319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UWTSD assessment brief (2026).</w:t>
      </w:r>
    </w:p>
    <w:p w:rsidR="00000000" w:rsidDel="00000000" w:rsidP="00000000" w:rsidRDefault="00000000" w:rsidRPr="00000000" w14:paraId="00000105">
      <w:pPr>
        <w:spacing w:line="276" w:lineRule="auto"/>
        <w:jc w:val="center"/>
        <w:rPr>
          <w:rFonts w:ascii="Times New Roman" w:cs="Times New Roman" w:eastAsia="Times New Roman" w:hAnsi="Times New Roman"/>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106">
      <w:pPr>
        <w:pStyle w:val="Heading4"/>
        <w:keepNext w:val="1"/>
        <w:spacing w:after="60" w:before="80" w:line="276" w:lineRule="auto"/>
        <w:jc w:val="center"/>
        <w:rPr>
          <w:rFonts w:ascii="Times New Roman" w:cs="Times New Roman" w:eastAsia="Times New Roman" w:hAnsi="Times New Roman"/>
          <w:i w:val="0"/>
          <w:iCs w:val="0"/>
          <w:color w:val="000000"/>
          <w:vertAlign w:val="baseline"/>
        </w:rPr>
      </w:pPr>
      <w:bookmarkStart w:colFirst="0" w:colLast="0" w:name="_6wcckx1i2zet" w:id="48"/>
      <w:bookmarkEnd w:id="48"/>
      <w:r w:rsidDel="00000000" w:rsidR="00000000" w:rsidRPr="00000000">
        <w:rPr>
          <w:rFonts w:ascii="Times New Roman" w:cs="Times New Roman" w:eastAsia="Times New Roman" w:hAnsi="Times New Roman"/>
          <w:i w:val="0"/>
          <w:iCs w:val="0"/>
          <w:color w:val="000000"/>
          <w:vertAlign w:val="baseline"/>
          <w:rtl w:val="0"/>
        </w:rPr>
        <w:t xml:space="preserve">Table 14. Complete project and pair appraisal</w:t>
      </w:r>
    </w:p>
    <w:p w:rsidR="00000000" w:rsidDel="00000000" w:rsidP="00000000" w:rsidRDefault="00000000" w:rsidRPr="00000000" w14:paraId="00000107">
      <w:pPr>
        <w:keepNext w:val="1"/>
        <w:keepLines w:val="0"/>
        <w:pageBreakBefore w:val="0"/>
        <w:widowControl w:val="1"/>
        <w:pBdr>
          <w:top w:space="0" w:sz="0" w:val="nil"/>
          <w:left w:space="0" w:sz="0" w:val="nil"/>
          <w:bottom w:space="0" w:sz="0" w:val="nil"/>
          <w:right w:space="0" w:sz="0" w:val="nil"/>
          <w:between w:space="0" w:sz="0" w:val="nil"/>
        </w:pBdr>
        <w:shd w:fill="auto" w:val="clear"/>
        <w:spacing w:after="60" w:before="80" w:line="276" w:lineRule="auto"/>
        <w:ind w:left="0" w:right="0" w:firstLine="0"/>
        <w:jc w:val="center"/>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Pr>
        <w:drawing>
          <wp:inline distB="114300" distT="114300" distL="114300" distR="114300">
            <wp:extent cx="5731200" cy="2438400"/>
            <wp:effectExtent b="0" l="0" r="0" t="0"/>
            <wp:docPr id="4" name="image7.png"/>
            <a:graphic>
              <a:graphicData uri="http://schemas.openxmlformats.org/drawingml/2006/picture">
                <pic:pic>
                  <pic:nvPicPr>
                    <pic:cNvPr id="0" name="image7.png"/>
                    <pic:cNvPicPr preferRelativeResize="0"/>
                  </pic:nvPicPr>
                  <pic:blipFill>
                    <a:blip r:embed="rId68"/>
                    <a:srcRect b="0" l="0" r="0" t="0"/>
                    <a:stretch>
                      <a:fillRect/>
                    </a:stretch>
                  </pic:blipFill>
                  <pic:spPr>
                    <a:xfrm>
                      <a:off x="0" y="0"/>
                      <a:ext cx="5731200" cy="2438400"/>
                    </a:xfrm>
                    <a:prstGeom prst="rect"/>
                    <a:ln/>
                  </pic:spPr>
                </pic:pic>
              </a:graphicData>
            </a:graphic>
          </wp:inline>
        </w:drawing>
      </w:r>
      <w:r w:rsidDel="00000000" w:rsidR="00000000" w:rsidRPr="00000000">
        <w:rPr>
          <w:rFonts w:ascii="Times New Roman" w:cs="Times New Roman" w:eastAsia="Times New Roman" w:hAnsi="Times New Roman"/>
          <w:color w:val="000000"/>
          <w:rtl w:val="0"/>
        </w:rPr>
        <w:t xml:space="preserve">Source: Excel calculations at 8%; straight-line depreciation to zero.</w:t>
      </w:r>
    </w:p>
    <w:p w:rsidR="00000000" w:rsidDel="00000000" w:rsidP="00000000" w:rsidRDefault="00000000" w:rsidRPr="00000000" w14:paraId="00000108">
      <w:pPr>
        <w:spacing w:after="120" w:line="276" w:lineRule="auto"/>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color w:val="000000"/>
          <w:rtl w:val="0"/>
        </w:rPr>
        <w:t xml:space="preserve">Formula conventions: NPV = -initial outlay + Σ[CFt/(1+0.08)^t]; PI = PV of inflows/initial outlay; IRR solves NPV = 0; ARR = average accounting profit/initial cost. Average-investment ARR sensitivity divides by half the initial cost because residual value is zero. Cash flows are pre-tax, year-end and exclude inflation, terminal value and additional working capital.</w:t>
      </w:r>
    </w:p>
    <w:sectPr>
      <w:headerReference r:id="rId69" w:type="default"/>
      <w:footerReference r:id="rId70" w:type="default"/>
      <w:type w:val="nextPage"/>
      <w:pgSz w:h="16838" w:w="11906" w:orient="portrait"/>
      <w:pgMar w:bottom="1440" w:top="1440" w:left="1440" w:right="1440" w:header="709" w:footer="709"/>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Arial" w:cs="Arial" w:eastAsia="Arial" w:hAnsi="Arial"/>
        <w:b w:val="0"/>
        <w:bCs w:val="0"/>
        <w:i w:val="0"/>
        <w:iCs w:val="0"/>
        <w:smallCaps w:val="0"/>
        <w:strike w:val="0"/>
        <w:color w:val="1f2937"/>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667085"/>
        <w:sz w:val="18"/>
        <w:szCs w:val="18"/>
        <w:u w:val="none"/>
        <w:shd w:fill="auto" w:val="clear"/>
        <w:vertAlign w:val="baseline"/>
        <w:rtl w:val="0"/>
      </w:rPr>
      <w:t xml:space="preserve">Page </w:t>
    </w:r>
    <w:r w:rsidDel="00000000" w:rsidR="00000000" w:rsidRPr="00000000">
      <w:rPr>
        <w:rFonts w:ascii="Arial" w:cs="Arial" w:eastAsia="Arial" w:hAnsi="Arial"/>
        <w:b w:val="0"/>
        <w:bCs w:val="0"/>
        <w:i w:val="0"/>
        <w:iCs w:val="0"/>
        <w:smallCaps w:val="0"/>
        <w:strike w:val="0"/>
        <w:color w:val="1f2937"/>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09">
    <w:pPr>
      <w:keepNext w:val="0"/>
      <w:keepLines w:val="0"/>
      <w:pageBreakBefore w:val="0"/>
      <w:widowControl w:val="1"/>
      <w:pBdr>
        <w:top w:space="0" w:sz="0" w:val="nil"/>
        <w:left w:space="0" w:sz="0" w:val="nil"/>
        <w:bottom w:color="e7e9ec" w:space="3" w:sz="5" w:val="single"/>
        <w:right w:space="0" w:sz="0" w:val="nil"/>
        <w:between w:space="0" w:sz="0" w:val="nil"/>
      </w:pBdr>
      <w:shd w:fill="auto" w:val="clear"/>
      <w:tabs>
        <w:tab w:val="center" w:leader="none" w:pos="4680"/>
        <w:tab w:val="right" w:leader="none" w:pos="9360"/>
      </w:tabs>
      <w:spacing w:after="40" w:before="0" w:line="240" w:lineRule="auto"/>
      <w:ind w:left="0" w:right="0" w:firstLine="0"/>
      <w:jc w:val="left"/>
      <w:rPr>
        <w:rFonts w:ascii="Arial" w:cs="Arial" w:eastAsia="Arial" w:hAnsi="Arial"/>
        <w:b w:val="0"/>
        <w:bCs w:val="0"/>
        <w:i w:val="0"/>
        <w:iCs w:val="0"/>
        <w:smallCaps w:val="0"/>
        <w:strike w:val="0"/>
        <w:color w:val="1f2937"/>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color w:val="1f2937"/>
        <w:sz w:val="24"/>
        <w:szCs w:val="24"/>
        <w:lang w:val="en"/>
      </w:rPr>
    </w:rPrDefault>
    <w:pPrDefault>
      <w:pPr>
        <w:spacing w:after="12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60" w:before="320" w:lineRule="auto"/>
    </w:pPr>
    <w:rPr>
      <w:rFonts w:ascii="Arial" w:cs="Arial" w:eastAsia="Arial" w:hAnsi="Arial"/>
      <w:b w:val="1"/>
      <w:bCs w:val="1"/>
      <w:color w:val="17365d"/>
      <w:sz w:val="32"/>
      <w:szCs w:val="32"/>
    </w:rPr>
  </w:style>
  <w:style w:type="paragraph" w:styleId="Heading2">
    <w:name w:val="heading 2"/>
    <w:basedOn w:val="Normal"/>
    <w:next w:val="Normal"/>
    <w:pPr>
      <w:keepNext w:val="1"/>
      <w:keepLines w:val="1"/>
      <w:spacing w:after="120" w:before="240" w:lineRule="auto"/>
    </w:pPr>
    <w:rPr>
      <w:rFonts w:ascii="Arial" w:cs="Arial" w:eastAsia="Arial" w:hAnsi="Arial"/>
      <w:b w:val="1"/>
      <w:bCs w:val="1"/>
      <w:color w:val="2f75b5"/>
      <w:sz w:val="28"/>
      <w:szCs w:val="28"/>
    </w:rPr>
  </w:style>
  <w:style w:type="paragraph" w:styleId="Heading3">
    <w:name w:val="heading 3"/>
    <w:basedOn w:val="Normal"/>
    <w:next w:val="Normal"/>
    <w:pPr>
      <w:keepNext w:val="1"/>
      <w:keepLines w:val="1"/>
      <w:spacing w:after="80" w:before="160" w:lineRule="auto"/>
    </w:pPr>
    <w:rPr>
      <w:rFonts w:ascii="Arial" w:cs="Arial" w:eastAsia="Arial" w:hAnsi="Arial"/>
      <w:b w:val="1"/>
      <w:bCs w:val="1"/>
      <w:color w:val="17365d"/>
      <w:sz w:val="24"/>
      <w:szCs w:val="24"/>
    </w:rPr>
  </w:style>
  <w:style w:type="paragraph" w:styleId="Heading4">
    <w:name w:val="heading 4"/>
    <w:basedOn w:val="Normal"/>
    <w:next w:val="Normal"/>
    <w:pPr>
      <w:keepNext w:val="1"/>
      <w:keepLines w:val="1"/>
      <w:spacing w:after="0" w:before="200" w:lineRule="auto"/>
    </w:pPr>
    <w:rPr>
      <w:rFonts w:ascii="Calibri" w:cs="Calibri" w:eastAsia="Calibri" w:hAnsi="Calibri"/>
      <w:b w:val="1"/>
      <w:bCs w:val="1"/>
      <w:i w:val="1"/>
      <w:iCs w:val="1"/>
      <w:color w:val="4f81bd"/>
    </w:rPr>
  </w:style>
  <w:style w:type="paragraph" w:styleId="Heading5">
    <w:name w:val="heading 5"/>
    <w:basedOn w:val="Normal"/>
    <w:next w:val="Normal"/>
    <w:pPr>
      <w:keepNext w:val="1"/>
      <w:keepLines w:val="1"/>
      <w:spacing w:after="0" w:before="200" w:lineRule="auto"/>
    </w:pPr>
    <w:rPr>
      <w:rFonts w:ascii="Calibri" w:cs="Calibri" w:eastAsia="Calibri" w:hAnsi="Calibri"/>
      <w:color w:val="243f61"/>
    </w:rPr>
  </w:style>
  <w:style w:type="paragraph" w:styleId="Heading6">
    <w:name w:val="heading 6"/>
    <w:basedOn w:val="Normal"/>
    <w:next w:val="Normal"/>
    <w:pPr>
      <w:keepNext w:val="1"/>
      <w:keepLines w:val="1"/>
      <w:spacing w:after="0" w:before="200" w:lineRule="auto"/>
    </w:pPr>
    <w:rPr>
      <w:rFonts w:ascii="Calibri" w:cs="Calibri" w:eastAsia="Calibri" w:hAnsi="Calibri"/>
      <w:i w:val="1"/>
      <w:iCs w:val="1"/>
      <w:color w:val="243f61"/>
    </w:rPr>
  </w:style>
  <w:style w:type="paragraph" w:styleId="Title">
    <w:name w:val="Title"/>
    <w:basedOn w:val="Normal"/>
    <w:next w:val="Normal"/>
    <w:pPr>
      <w:pBdr>
        <w:bottom w:color="4f81bd" w:space="4" w:sz="8" w:val="single"/>
      </w:pBdr>
      <w:spacing w:after="300" w:line="240" w:lineRule="auto"/>
    </w:pPr>
    <w:rPr>
      <w:rFonts w:ascii="Calibri" w:cs="Calibri" w:eastAsia="Calibri" w:hAnsi="Calibri"/>
      <w:color w:val="17365d"/>
      <w:sz w:val="52"/>
      <w:szCs w:val="52"/>
    </w:rPr>
  </w:style>
  <w:style w:type="paragraph" w:styleId="Subtitle">
    <w:name w:val="Subtitle"/>
    <w:basedOn w:val="Normal"/>
    <w:next w:val="Normal"/>
    <w:pPr/>
    <w:rPr>
      <w:rFonts w:ascii="Calibri" w:cs="Calibri" w:eastAsia="Calibri" w:hAnsi="Calibri"/>
      <w:i w:val="1"/>
      <w:iCs w:val="1"/>
      <w:color w:val="4f81bd"/>
      <w:sz w:val="24"/>
      <w:szCs w:val="24"/>
    </w:rPr>
  </w:style>
</w:styles>
</file>

<file path=word/_rels/document.xml.rels><?xml version="1.0" encoding="UTF-8" standalone="yes"?><Relationships xmlns="http://schemas.openxmlformats.org/package/2006/relationships"><Relationship Id="rId40" Type="http://schemas.openxmlformats.org/officeDocument/2006/relationships/hyperlink" Target="https://doi.org/10.3390/jrfm16070323" TargetMode="External"/><Relationship Id="rId42" Type="http://schemas.openxmlformats.org/officeDocument/2006/relationships/hyperlink" Target="https://doi.org/10.1016/j.ijhm.2022.103366" TargetMode="External"/><Relationship Id="rId41" Type="http://schemas.openxmlformats.org/officeDocument/2006/relationships/hyperlink" Target="https://doi.org/10.3390/jrfm16070323" TargetMode="External"/><Relationship Id="rId44" Type="http://schemas.openxmlformats.org/officeDocument/2006/relationships/hyperlink" Target="https://www.oecd.org/content/dam/oecd/en/publications/reports/2023/06/oecd-guidelines-for-multinational-enterprises-on-responsible-business-conduct_a0b49990/81f92357-en.pdf" TargetMode="External"/><Relationship Id="rId43" Type="http://schemas.openxmlformats.org/officeDocument/2006/relationships/hyperlink" Target="https://doi.org/10.1016/j.ijhm.2022.103366" TargetMode="External"/><Relationship Id="rId46" Type="http://schemas.openxmlformats.org/officeDocument/2006/relationships/hyperlink" Target="https://www.pphe.com/~/media/Files/P/PPHE-Corp/documents/Downloadcenter/2021/PPHE_Annual_Report_21_Web.pdf" TargetMode="External"/><Relationship Id="rId45" Type="http://schemas.openxmlformats.org/officeDocument/2006/relationships/hyperlink" Target="https://www.oecd.org/content/dam/oecd/en/publications/reports/2023/06/oecd-guidelines-for-multinational-enterprises-on-responsible-business-conduct_a0b49990/81f92357-en.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48" Type="http://schemas.openxmlformats.org/officeDocument/2006/relationships/hyperlink" Target="https://ar23.pphe.com/wp-content/uploads/2024/02/PPHE_Annual_Report_2023.pdf" TargetMode="External"/><Relationship Id="rId47" Type="http://schemas.openxmlformats.org/officeDocument/2006/relationships/hyperlink" Target="https://www.pphe.com/~/media/Files/P/PPHE-Corp/documents/Downloadcenter/2021/PPHE_Annual_Report_21_Web.pdf" TargetMode="External"/><Relationship Id="rId49" Type="http://schemas.openxmlformats.org/officeDocument/2006/relationships/hyperlink" Target="https://ar23.pphe.com/wp-content/uploads/2024/02/PPHE_Annual_Report_2023.pdf" TargetMode="External"/><Relationship Id="rId5" Type="http://schemas.openxmlformats.org/officeDocument/2006/relationships/styles" Target="styles.xml"/><Relationship Id="rId6" Type="http://schemas.openxmlformats.org/officeDocument/2006/relationships/image" Target="media/image18.png"/><Relationship Id="rId7" Type="http://schemas.openxmlformats.org/officeDocument/2006/relationships/image" Target="media/image5.png"/><Relationship Id="rId8" Type="http://schemas.openxmlformats.org/officeDocument/2006/relationships/image" Target="media/image15.png"/><Relationship Id="rId31" Type="http://schemas.openxmlformats.org/officeDocument/2006/relationships/hyperlink" Target="https://doi.org/10.1016/j.ijhm.2022.103144" TargetMode="External"/><Relationship Id="rId30" Type="http://schemas.openxmlformats.org/officeDocument/2006/relationships/hyperlink" Target="https://doi.org/10.1016/j.ijhm.2022.103144" TargetMode="External"/><Relationship Id="rId33" Type="http://schemas.openxmlformats.org/officeDocument/2006/relationships/hyperlink" Target="https://www.icaew.com/-/media/corporate/files/technical/ethics/ethics-and-ai-roundtable-report-2024.ashx" TargetMode="External"/><Relationship Id="rId32" Type="http://schemas.openxmlformats.org/officeDocument/2006/relationships/hyperlink" Target="https://www.icaew.com/-/media/corporate/files/technical/ethics/ethics-and-ai-roundtable-report-2024.ashx" TargetMode="External"/><Relationship Id="rId35" Type="http://schemas.openxmlformats.org/officeDocument/2006/relationships/hyperlink" Target="https://www.ifrs.org/content/dam/ifrs/publications/pdf-standards/english/2021/issued/part-a/ias-33-earnings-per-share.pdf" TargetMode="External"/><Relationship Id="rId34" Type="http://schemas.openxmlformats.org/officeDocument/2006/relationships/hyperlink" Target="https://www.ifrs.org/content/dam/ifrs/publications/pdf-standards/english/2021/issued/part-a/ias-33-earnings-per-share.pdf" TargetMode="External"/><Relationship Id="rId70" Type="http://schemas.openxmlformats.org/officeDocument/2006/relationships/footer" Target="footer1.xml"/><Relationship Id="rId37" Type="http://schemas.openxmlformats.org/officeDocument/2006/relationships/hyperlink" Target="https://www.ihgplc.com/~/media/Files/I/Ihg-Plc/results/2026/full-year-2025/full-year-results-for-the-year-to-31-dec-2025.pdf" TargetMode="External"/><Relationship Id="rId36" Type="http://schemas.openxmlformats.org/officeDocument/2006/relationships/hyperlink" Target="https://www.ihgplc.com/~/media/Files/I/Ihg-Plc/results/2026/full-year-2025/full-year-results-for-the-year-to-31-dec-2025.pdf" TargetMode="External"/><Relationship Id="rId39" Type="http://schemas.openxmlformats.org/officeDocument/2006/relationships/hyperlink" Target="https://doi.org/10.1108/AAAJ-09-2020-4934" TargetMode="External"/><Relationship Id="rId38" Type="http://schemas.openxmlformats.org/officeDocument/2006/relationships/hyperlink" Target="https://doi.org/10.1108/AAAJ-09-2020-4934" TargetMode="External"/><Relationship Id="rId62" Type="http://schemas.openxmlformats.org/officeDocument/2006/relationships/image" Target="media/image1.png"/><Relationship Id="rId61" Type="http://schemas.openxmlformats.org/officeDocument/2006/relationships/image" Target="media/image6.png"/><Relationship Id="rId20" Type="http://schemas.openxmlformats.org/officeDocument/2006/relationships/hyperlink" Target="https://www.accaglobal.com/gb/en/student/exam-support-resources/fundamentals-exams-study-resources/f9/technical-articles/wcm.html" TargetMode="External"/><Relationship Id="rId64" Type="http://schemas.openxmlformats.org/officeDocument/2006/relationships/image" Target="media/image14.png"/><Relationship Id="rId63" Type="http://schemas.openxmlformats.org/officeDocument/2006/relationships/image" Target="media/image12.png"/><Relationship Id="rId22" Type="http://schemas.openxmlformats.org/officeDocument/2006/relationships/hyperlink" Target="https://www.accaglobal.com/gb/en/student/exam-support-resources/fundamentals-exams-study-resources/f9/technical-articles/suitability-financing-alternatives.html" TargetMode="External"/><Relationship Id="rId66" Type="http://schemas.openxmlformats.org/officeDocument/2006/relationships/image" Target="media/image4.png"/><Relationship Id="rId21" Type="http://schemas.openxmlformats.org/officeDocument/2006/relationships/hyperlink" Target="https://www.accaglobal.com/gb/en/student/exam-support-resources/fundamentals-exams-study-resources/f9/technical-articles/wcm.html" TargetMode="External"/><Relationship Id="rId65" Type="http://schemas.openxmlformats.org/officeDocument/2006/relationships/image" Target="media/image8.png"/><Relationship Id="rId24" Type="http://schemas.openxmlformats.org/officeDocument/2006/relationships/hyperlink" Target="https://www.accaglobal.com/gb/en/student/exam-support-resources/prodipsust-study-resources/technical-articles/investment-appraisal.html" TargetMode="External"/><Relationship Id="rId68" Type="http://schemas.openxmlformats.org/officeDocument/2006/relationships/image" Target="media/image7.png"/><Relationship Id="rId23" Type="http://schemas.openxmlformats.org/officeDocument/2006/relationships/hyperlink" Target="https://www.accaglobal.com/gb/en/student/exam-support-resources/fundamentals-exams-study-resources/f9/technical-articles/suitability-financing-alternatives.html" TargetMode="External"/><Relationship Id="rId67" Type="http://schemas.openxmlformats.org/officeDocument/2006/relationships/image" Target="media/image17.png"/><Relationship Id="rId60" Type="http://schemas.openxmlformats.org/officeDocument/2006/relationships/image" Target="media/image19.png"/><Relationship Id="rId26" Type="http://schemas.openxmlformats.org/officeDocument/2006/relationships/hyperlink" Target="https://www.accaglobal.com/gb/en/student/exam-support-resources/foundation-level-study-resources/ffm/ffm-technical-articles/the-internal-rate-of-return.html" TargetMode="External"/><Relationship Id="rId25" Type="http://schemas.openxmlformats.org/officeDocument/2006/relationships/hyperlink" Target="https://www.accaglobal.com/gb/en/student/exam-support-resources/prodipsust-study-resources/technical-articles/investment-appraisal.html" TargetMode="External"/><Relationship Id="rId69" Type="http://schemas.openxmlformats.org/officeDocument/2006/relationships/header" Target="header1.xml"/><Relationship Id="rId28" Type="http://schemas.openxmlformats.org/officeDocument/2006/relationships/hyperlink" Target="https://assets.group.accor.com/yrj0orc8tx24/4il2zwx4sZhjt12PKcRaOQ/b79b3fe310c1e296d7149c608b1f2150/Accor-2025_Notes_to_Financial_Statements.pdf" TargetMode="External"/><Relationship Id="rId27" Type="http://schemas.openxmlformats.org/officeDocument/2006/relationships/hyperlink" Target="https://www.accaglobal.com/gb/en/student/exam-support-resources/foundation-level-study-resources/ffm/ffm-technical-articles/the-internal-rate-of-return.html" TargetMode="External"/><Relationship Id="rId29" Type="http://schemas.openxmlformats.org/officeDocument/2006/relationships/hyperlink" Target="https://assets.group.accor.com/yrj0orc8tx24/4il2zwx4sZhjt12PKcRaOQ/b79b3fe310c1e296d7149c608b1f2150/Accor-2025_Notes_to_Financial_Statements.pdf" TargetMode="External"/><Relationship Id="rId51" Type="http://schemas.openxmlformats.org/officeDocument/2006/relationships/hyperlink" Target="https://ar24.pphe.com/wp-content/uploads/2025/02/PPHE_ARFull_2024.pdf" TargetMode="External"/><Relationship Id="rId50" Type="http://schemas.openxmlformats.org/officeDocument/2006/relationships/hyperlink" Target="https://ar24.pphe.com/wp-content/uploads/2025/02/PPHE_ARFull_2024.pdf" TargetMode="External"/><Relationship Id="rId53" Type="http://schemas.openxmlformats.org/officeDocument/2006/relationships/hyperlink" Target="https://www.pphe.com/~/media/Files/P/PPHE-Corp/documents/Downloadcenter/2026/PPHE_AR_2025.pdf" TargetMode="External"/><Relationship Id="rId52" Type="http://schemas.openxmlformats.org/officeDocument/2006/relationships/hyperlink" Target="https://www.pphe.com/~/media/Files/P/PPHE-Corp/documents/Downloadcenter/2026/PPHE_AR_2025.pdf" TargetMode="External"/><Relationship Id="rId11" Type="http://schemas.openxmlformats.org/officeDocument/2006/relationships/image" Target="media/image13.png"/><Relationship Id="rId55" Type="http://schemas.openxmlformats.org/officeDocument/2006/relationships/hyperlink" Target="https://www.pphe.com/~/media/Files/P/PPHE-Corp/documents/Downloadcenter/2026/260226%20-%20PPHE%20Hotel%20Group%20-%202025%20Annual%20Results.pdf" TargetMode="External"/><Relationship Id="rId10" Type="http://schemas.openxmlformats.org/officeDocument/2006/relationships/image" Target="media/image9.png"/><Relationship Id="rId54" Type="http://schemas.openxmlformats.org/officeDocument/2006/relationships/hyperlink" Target="https://www.pphe.com/~/media/Files/P/PPHE-Corp/documents/Downloadcenter/2026/260226%20-%20PPHE%20Hotel%20Group%20-%202025%20Annual%20Results.pdf" TargetMode="External"/><Relationship Id="rId13" Type="http://schemas.openxmlformats.org/officeDocument/2006/relationships/image" Target="media/image3.png"/><Relationship Id="rId57" Type="http://schemas.openxmlformats.org/officeDocument/2006/relationships/hyperlink" Target="https://www.investegate.co.uk/announcement/rns/pphe-hotel-group-ltd--pph/conclusion-of-strategic-review-and-sale-process/9649466" TargetMode="External"/><Relationship Id="rId12" Type="http://schemas.openxmlformats.org/officeDocument/2006/relationships/image" Target="media/image11.png"/><Relationship Id="rId56" Type="http://schemas.openxmlformats.org/officeDocument/2006/relationships/hyperlink" Target="https://www.investegate.co.uk/announcement/rns/pphe-hotel-group-ltd--pph/conclusion-of-strategic-review-and-sale-process/9649466" TargetMode="External"/><Relationship Id="rId15" Type="http://schemas.openxmlformats.org/officeDocument/2006/relationships/image" Target="media/image10.png"/><Relationship Id="rId59" Type="http://schemas.openxmlformats.org/officeDocument/2006/relationships/hyperlink" Target="https://cdn.whitbread.co.uk/media/2025/05/Whitbread-FY25-RNS.pdf" TargetMode="External"/><Relationship Id="rId14" Type="http://schemas.openxmlformats.org/officeDocument/2006/relationships/image" Target="media/image16.png"/><Relationship Id="rId58" Type="http://schemas.openxmlformats.org/officeDocument/2006/relationships/hyperlink" Target="https://cdn.whitbread.co.uk/media/2025/05/Whitbread-FY25-RNS.pdf" TargetMode="External"/><Relationship Id="rId17" Type="http://schemas.openxmlformats.org/officeDocument/2006/relationships/hyperlink" Target="https://www.accaglobal.com/content/dam/ACCA_Global/professional-insights/sustainability-transactions/PI-SUSTAINABILITY-TRANSACTIONS%20v2.pdf" TargetMode="External"/><Relationship Id="rId16" Type="http://schemas.openxmlformats.org/officeDocument/2006/relationships/hyperlink" Target="https://www.accaglobal.com/content/dam/ACCA_Global/professional-insights/sustainability-transactions/PI-SUSTAINABILITY-TRANSACTIONS%20v2.pdf" TargetMode="External"/><Relationship Id="rId19" Type="http://schemas.openxmlformats.org/officeDocument/2006/relationships/hyperlink" Target="https://www.accaglobal.com/gb/en/student/exam-support-resources/fundamentals-exams-study-resources/f2/technical-articles/ratio-analysis.html" TargetMode="External"/><Relationship Id="rId18" Type="http://schemas.openxmlformats.org/officeDocument/2006/relationships/hyperlink" Target="https://www.accaglobal.com/gb/en/student/exam-support-resources/fundamentals-exams-study-resources/f2/technical-articles/ratio-analysi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