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B65882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04D24">
              <w:rPr>
                <w:rFonts w:ascii="Times New Roman" w:hAnsi="Times New Roman" w:cs="Times New Roman"/>
                <w:b/>
                <w:color w:val="auto"/>
                <w:sz w:val="48"/>
              </w:rPr>
              <w:t xml:space="preserve">Kirsty Carter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57139F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04D24">
              <w:rPr>
                <w:rFonts w:ascii="Times New Roman" w:hAnsi="Times New Roman" w:cs="Times New Roman"/>
                <w:b/>
                <w:color w:val="auto"/>
                <w:sz w:val="48"/>
              </w:rPr>
              <w:t xml:space="preserve"> </w:t>
            </w:r>
            <w:hyperlink r:id="rId11" w:history="1">
              <w:r w:rsidR="00B04D24" w:rsidRPr="000C00D8">
                <w:rPr>
                  <w:rStyle w:val="Hyperlink"/>
                  <w:rFonts w:ascii="Times New Roman" w:hAnsi="Times New Roman" w:cs="Times New Roman"/>
                  <w:b/>
                  <w:sz w:val="48"/>
                </w:rPr>
                <w:t>1803596@uwtsd.ac.uk</w:t>
              </w:r>
            </w:hyperlink>
            <w:r w:rsidR="00B04D24">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08906B9" w14:textId="5928CCA3" w:rsidR="00B04D24" w:rsidRPr="005D3F07" w:rsidRDefault="00B04D2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1803596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6DA83944" w14:textId="77777777" w:rsidR="00B04D24" w:rsidRPr="00157EAF" w:rsidRDefault="00B04D24" w:rsidP="00B04D24">
            <w:pPr>
              <w:spacing w:line="360" w:lineRule="auto"/>
              <w:rPr>
                <w:color w:val="000000" w:themeColor="text1"/>
                <w:sz w:val="24"/>
                <w:szCs w:val="24"/>
              </w:rPr>
            </w:pPr>
            <w:r w:rsidRPr="00157EAF">
              <w:rPr>
                <w:color w:val="000000" w:themeColor="text1"/>
                <w:sz w:val="24"/>
                <w:szCs w:val="24"/>
              </w:rPr>
              <w:t xml:space="preserve">In April 2016, the Social Services and Wellbeing (Wales) Act 2014 came into action. The act is the primary legislation for Safeguarding in Wales. The purpose of the act was to provide a new legal framework that would improve the well-being of individuals that is being supported in Wales. The fundamental principles of the act are prevention and early intervention, well-being, voice and control and coproduction (Social Care Wales, 2024). The aim of the act is to promote equality, make improvements towards the quality of services and the provision of information people receive, and a shared focus on prevention and early intervention (Welsh Government, 2019). </w:t>
            </w:r>
          </w:p>
          <w:p w14:paraId="69A9D305" w14:textId="77777777" w:rsidR="00B04D24" w:rsidRPr="00157EAF" w:rsidRDefault="00B04D24" w:rsidP="00B04D24">
            <w:pPr>
              <w:spacing w:line="360" w:lineRule="auto"/>
              <w:rPr>
                <w:color w:val="000000" w:themeColor="text1"/>
                <w:sz w:val="24"/>
                <w:szCs w:val="24"/>
              </w:rPr>
            </w:pPr>
          </w:p>
          <w:p w14:paraId="3311679F" w14:textId="77777777" w:rsidR="00B04D24" w:rsidRPr="00157EAF" w:rsidRDefault="00B04D24" w:rsidP="00B04D24">
            <w:pPr>
              <w:spacing w:line="360" w:lineRule="auto"/>
              <w:rPr>
                <w:b/>
                <w:bCs/>
                <w:color w:val="000000" w:themeColor="text1"/>
                <w:sz w:val="24"/>
                <w:szCs w:val="24"/>
              </w:rPr>
            </w:pPr>
            <w:r w:rsidRPr="00157EAF">
              <w:rPr>
                <w:color w:val="000000" w:themeColor="text1"/>
                <w:sz w:val="24"/>
                <w:szCs w:val="24"/>
              </w:rPr>
              <w:t xml:space="preserve">The city that I work in, around 20% of the population are aged 65 and over which is much of the age range I support and work with (XXX Council, 2024). This significant proportion indicates a substantial older adult community, which has implications for the types of services and support that are required. There appears to be more complex health needs with the older population including preventative care, the management of chronic conditions </w:t>
            </w:r>
            <w:r w:rsidRPr="00157EAF">
              <w:rPr>
                <w:color w:val="000000" w:themeColor="text1"/>
                <w:sz w:val="24"/>
                <w:szCs w:val="24"/>
              </w:rPr>
              <w:lastRenderedPageBreak/>
              <w:t xml:space="preserve">and mobility issues. This drives more of a demand for home care and medical services, and support for long-term illnesses which results in a more of a demand on services. A new report from Age UK documents how our health care system is struggling, and too often failing to meet the needs of our growing older population and as it stands there appears to be around 1.6 million people who are age 65+ that have unmet needs for care and support (Age UK, 2023).  </w:t>
            </w:r>
          </w:p>
          <w:p w14:paraId="3DC0FB74" w14:textId="77777777" w:rsidR="00B04D24" w:rsidRPr="00157EAF" w:rsidRDefault="00B04D24" w:rsidP="00B04D24">
            <w:pPr>
              <w:spacing w:line="360" w:lineRule="auto"/>
              <w:rPr>
                <w:color w:val="000000" w:themeColor="text1"/>
                <w:sz w:val="24"/>
                <w:szCs w:val="24"/>
              </w:rPr>
            </w:pPr>
          </w:p>
          <w:p w14:paraId="2F7B6FED" w14:textId="77777777" w:rsidR="00B04D24" w:rsidRPr="00157EAF" w:rsidRDefault="00B04D24" w:rsidP="00B04D24">
            <w:pPr>
              <w:spacing w:line="360" w:lineRule="auto"/>
              <w:rPr>
                <w:color w:val="000000" w:themeColor="text1"/>
                <w:sz w:val="24"/>
                <w:szCs w:val="24"/>
              </w:rPr>
            </w:pPr>
            <w:r w:rsidRPr="00157EAF">
              <w:rPr>
                <w:color w:val="000000" w:themeColor="text1"/>
                <w:sz w:val="24"/>
                <w:szCs w:val="24"/>
              </w:rPr>
              <w:t xml:space="preserve">This case study identifies my approach to safeguarding when supporting and working with a vulnerable adult in my first year of practice who I will refer to as 1, who was supported and cared for at home by his wife who I will refer to as 2. I will reflect on the challenges I faced as a professional when assessing risk and the barriers that social workers can be faced with when supporting clients and their family. Legislation provides a structured framework for professionals </w:t>
            </w:r>
            <w:proofErr w:type="gramStart"/>
            <w:r w:rsidRPr="00157EAF">
              <w:rPr>
                <w:color w:val="000000" w:themeColor="text1"/>
                <w:sz w:val="24"/>
                <w:szCs w:val="24"/>
              </w:rPr>
              <w:t>so therefore;</w:t>
            </w:r>
            <w:proofErr w:type="gramEnd"/>
            <w:r w:rsidRPr="00157EAF">
              <w:rPr>
                <w:color w:val="000000" w:themeColor="text1"/>
                <w:sz w:val="24"/>
                <w:szCs w:val="24"/>
              </w:rPr>
              <w:t xml:space="preserve"> I will discuss the importance of applying legislation to practice. </w:t>
            </w:r>
          </w:p>
          <w:p w14:paraId="2D81A852" w14:textId="77777777" w:rsidR="00B04D24" w:rsidRPr="00157EAF" w:rsidRDefault="00B04D24" w:rsidP="00B04D24">
            <w:pPr>
              <w:spacing w:line="360" w:lineRule="auto"/>
              <w:rPr>
                <w:color w:val="000000" w:themeColor="text1"/>
                <w:sz w:val="24"/>
                <w:szCs w:val="24"/>
              </w:rPr>
            </w:pPr>
          </w:p>
          <w:p w14:paraId="622327BB" w14:textId="77777777" w:rsidR="00B04D24" w:rsidRPr="00157EAF" w:rsidRDefault="00B04D24" w:rsidP="00B04D24">
            <w:pPr>
              <w:spacing w:line="360" w:lineRule="auto"/>
              <w:rPr>
                <w:color w:val="000000" w:themeColor="text1"/>
                <w:sz w:val="24"/>
                <w:szCs w:val="24"/>
              </w:rPr>
            </w:pPr>
            <w:r w:rsidRPr="00157EAF">
              <w:rPr>
                <w:color w:val="000000" w:themeColor="text1"/>
                <w:sz w:val="24"/>
                <w:szCs w:val="24"/>
              </w:rPr>
              <w:t xml:space="preserve">It was clear that 1 was requiring an assessment of his care needs, this is </w:t>
            </w:r>
            <w:proofErr w:type="spellStart"/>
            <w:r w:rsidRPr="00157EAF">
              <w:rPr>
                <w:color w:val="000000" w:themeColor="text1"/>
                <w:sz w:val="24"/>
                <w:szCs w:val="24"/>
              </w:rPr>
              <w:t>inline</w:t>
            </w:r>
            <w:proofErr w:type="spellEnd"/>
            <w:r w:rsidRPr="00157EAF">
              <w:rPr>
                <w:color w:val="000000" w:themeColor="text1"/>
                <w:sz w:val="24"/>
                <w:szCs w:val="24"/>
              </w:rPr>
              <w:t xml:space="preserve"> with part 3 section 19 of the SSWBWA 2014 which places a duty on local authorities to assess an individual for care and support. Part 3 section 24 of the SSWBWA 2014 places a duty on the local authority to assess the needs of a carer’s needs for support and identify what those needs are. The carer must be involved in their assessment to allow their voice to be heard. </w:t>
            </w:r>
          </w:p>
          <w:p w14:paraId="79B817E2" w14:textId="77777777" w:rsidR="00B04D24" w:rsidRPr="00157EAF" w:rsidRDefault="00B04D24" w:rsidP="00B04D24">
            <w:pPr>
              <w:spacing w:line="360" w:lineRule="auto"/>
              <w:rPr>
                <w:color w:val="000000" w:themeColor="text1"/>
                <w:sz w:val="24"/>
                <w:szCs w:val="24"/>
              </w:rPr>
            </w:pPr>
          </w:p>
          <w:p w14:paraId="267928F9" w14:textId="77777777" w:rsidR="00B04D24" w:rsidRPr="00157EAF" w:rsidRDefault="00B04D24" w:rsidP="00B04D24">
            <w:pPr>
              <w:spacing w:line="360" w:lineRule="auto"/>
              <w:rPr>
                <w:color w:val="000000" w:themeColor="text1"/>
                <w:sz w:val="24"/>
                <w:szCs w:val="24"/>
              </w:rPr>
            </w:pPr>
            <w:r w:rsidRPr="00157EAF">
              <w:rPr>
                <w:color w:val="000000" w:themeColor="text1"/>
                <w:sz w:val="24"/>
                <w:szCs w:val="24"/>
              </w:rPr>
              <w:t xml:space="preserve">This was my first case where there were concerns of abuse, I immediately felt nervous as I knew it was my responsibility to keep 1 safe from harm and abuse, however, thankfully, I was aware that safeguarding is everybody’s responsibility (Welsh Government, 2022). The SSWBA 2014, Working Together to Safeguard People: Code of Safeguarding Practice, sets out expectations in relation to safeguarding arrangements (Welsh Government, 2022). It is essential that safeguarding arrangements are in place that will protect the people who are at risk of being harmed and prevent people coming to harm, the purpose of the safeguarding arrangements are to give the providers of services or activities the confidence to act in the correct and appropriate way (Welsh Government, 2022). </w:t>
            </w:r>
          </w:p>
          <w:p w14:paraId="11259347" w14:textId="77777777" w:rsidR="00B04D24" w:rsidRPr="00157EAF" w:rsidRDefault="00B04D24" w:rsidP="00B04D24">
            <w:pPr>
              <w:spacing w:line="360" w:lineRule="auto"/>
              <w:rPr>
                <w:color w:val="000000" w:themeColor="text1"/>
                <w:sz w:val="24"/>
                <w:szCs w:val="24"/>
              </w:rPr>
            </w:pPr>
          </w:p>
          <w:p w14:paraId="698FD4D2" w14:textId="77777777" w:rsidR="00B04D24" w:rsidRPr="00157EAF" w:rsidRDefault="00B04D24" w:rsidP="00B04D24">
            <w:pPr>
              <w:spacing w:line="360" w:lineRule="auto"/>
              <w:rPr>
                <w:color w:val="000000" w:themeColor="text1"/>
                <w:sz w:val="24"/>
                <w:szCs w:val="24"/>
              </w:rPr>
            </w:pPr>
            <w:r w:rsidRPr="00157EAF">
              <w:rPr>
                <w:color w:val="000000" w:themeColor="text1"/>
                <w:sz w:val="24"/>
                <w:szCs w:val="24"/>
              </w:rPr>
              <w:lastRenderedPageBreak/>
              <w:t>Alongside the SSWBWA, (2014), other legislations that are fundamental towards my practice and specifically in this case study will be considered such as Wales Safeguarding Procedures 2019, the Human Rights Act 1998, Equality Act 2010, and the Mental Capacity Act 2005. The purpose of the Wales Safeguarding procedures 2019 is to support practitioners when applying the SSWBWA (2014) and Statutory guidance Working Together to Safeguard People as safeguarding is everybody’s responsibility (Welsh Government, 2022). The safeguarding principles are information sharing, co productive working, intra and multi-disciplinary working and promoting the well-being of the adult at risk (WSP, 2019). The Human Right Act 1998 gives everyone legal protection over their human rights alongside the Equality Act 2010 which protects people from discrimination. Meanwhile, the purpose of the Mental Capacity Act 2005 is to support vulnerable people who are over the age of 16 around making decisions about their lives.</w:t>
            </w:r>
          </w:p>
          <w:p w14:paraId="4DE467D0" w14:textId="77777777" w:rsidR="00B04D24" w:rsidRPr="00157EAF" w:rsidRDefault="00B04D24" w:rsidP="00B04D24">
            <w:pPr>
              <w:spacing w:line="360" w:lineRule="auto"/>
              <w:rPr>
                <w:color w:val="000000" w:themeColor="text1"/>
                <w:sz w:val="24"/>
                <w:szCs w:val="24"/>
              </w:rPr>
            </w:pPr>
          </w:p>
          <w:p w14:paraId="4E6F6323" w14:textId="77777777" w:rsidR="00B04D24" w:rsidRPr="00157EAF" w:rsidRDefault="00B04D24" w:rsidP="00B04D24">
            <w:pPr>
              <w:spacing w:line="360" w:lineRule="auto"/>
              <w:rPr>
                <w:color w:val="000000" w:themeColor="text1"/>
                <w:sz w:val="24"/>
                <w:szCs w:val="24"/>
              </w:rPr>
            </w:pPr>
            <w:r w:rsidRPr="00157EAF">
              <w:rPr>
                <w:color w:val="000000" w:themeColor="text1"/>
                <w:sz w:val="24"/>
                <w:szCs w:val="24"/>
              </w:rPr>
              <w:t xml:space="preserve">Regarding this case study, it was essential that I worked collaboratively and included other professionals as safeguarding is effective when professionals work in a multi-disciplinary way, it allows everyone to better understand the individual and circumstances alongside their needs for care, safety, and support (SCW, 2024). I wanted to make sure that I was taking on board every bit of learning to maximise my confidence when supporting 1 and his family as Thompson &amp; Thompson (2023) P.10 states that “learning will not take place and practice will not develop if there are no connections being made between the thinking and the doing”. </w:t>
            </w:r>
          </w:p>
          <w:p w14:paraId="223B27FC" w14:textId="77777777" w:rsidR="00B04D24" w:rsidRPr="00157EAF" w:rsidRDefault="00B04D24" w:rsidP="00B04D24">
            <w:pPr>
              <w:spacing w:line="360" w:lineRule="auto"/>
              <w:rPr>
                <w:color w:val="000000" w:themeColor="text1"/>
                <w:sz w:val="24"/>
                <w:szCs w:val="24"/>
              </w:rPr>
            </w:pPr>
          </w:p>
          <w:p w14:paraId="5279A219" w14:textId="77777777" w:rsidR="00B04D24" w:rsidRPr="00157EAF" w:rsidRDefault="00B04D24" w:rsidP="00B04D24">
            <w:pPr>
              <w:spacing w:line="360" w:lineRule="auto"/>
              <w:rPr>
                <w:color w:val="000000" w:themeColor="text1"/>
                <w:sz w:val="24"/>
                <w:szCs w:val="24"/>
              </w:rPr>
            </w:pPr>
            <w:r w:rsidRPr="00157EAF">
              <w:rPr>
                <w:color w:val="000000" w:themeColor="text1"/>
                <w:sz w:val="24"/>
                <w:szCs w:val="24"/>
              </w:rPr>
              <w:t>Regarding safeguarding, the SSWBWA, (2014) finally offers the legislative status and authority to protect adults from harm whilst placing</w:t>
            </w:r>
            <w:r w:rsidRPr="00157EAF">
              <w:rPr>
                <w:color w:val="000000" w:themeColor="text1"/>
                <w:sz w:val="24"/>
                <w:szCs w:val="24"/>
                <w:shd w:val="clear" w:color="auto" w:fill="FFFFFF"/>
              </w:rPr>
              <w:t xml:space="preserve"> obligations for safeguarding and promoting well-being </w:t>
            </w:r>
            <w:r w:rsidRPr="00157EAF">
              <w:rPr>
                <w:color w:val="000000" w:themeColor="text1"/>
                <w:sz w:val="24"/>
                <w:szCs w:val="24"/>
              </w:rPr>
              <w:t>(Phillips, 2016). The SSWBWA (2014) S.126 defines an “adult at risk” as someone who is at risk or is potentially experiencing abuse or neglect, and someone who has needs for care and support and is unable to</w:t>
            </w:r>
            <w:r w:rsidRPr="00157EAF">
              <w:rPr>
                <w:color w:val="000000" w:themeColor="text1"/>
                <w:sz w:val="24"/>
                <w:szCs w:val="24"/>
                <w:shd w:val="clear" w:color="auto" w:fill="FFFFFF"/>
              </w:rPr>
              <w:t xml:space="preserve"> protect themselves against the abuse or neglect they are experiencing. Abuse can be defined as physical, sexual, financial, emotional and neglect (Mantell, 2011). Barrow-Grint et al, (2022) highlights that abuse is not new and there has always been abuse and violent behaviours within households. However, what has changed is the social response to this behaviour, whereas, abuse would be </w:t>
            </w:r>
            <w:r w:rsidRPr="00157EAF">
              <w:rPr>
                <w:color w:val="000000" w:themeColor="text1"/>
                <w:sz w:val="24"/>
                <w:szCs w:val="24"/>
                <w:shd w:val="clear" w:color="auto" w:fill="FFFFFF"/>
              </w:rPr>
              <w:lastRenderedPageBreak/>
              <w:t xml:space="preserve">normalised and deemed as acceptable, it is now being recognised as anti-social, inappropriate and in some cases criminal. </w:t>
            </w:r>
          </w:p>
          <w:p w14:paraId="1F4C71B9" w14:textId="77777777" w:rsidR="00B04D24" w:rsidRPr="00157EAF" w:rsidRDefault="00B04D24" w:rsidP="00B04D24">
            <w:pPr>
              <w:spacing w:line="360" w:lineRule="auto"/>
              <w:rPr>
                <w:color w:val="000000" w:themeColor="text1"/>
                <w:sz w:val="24"/>
                <w:szCs w:val="24"/>
                <w:shd w:val="clear" w:color="auto" w:fill="FFFFFF"/>
              </w:rPr>
            </w:pPr>
          </w:p>
          <w:p w14:paraId="52B39B7A"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When I first became the allocated social worker of 1, the first thing I did was read all his previous care notes, assessments, care plans and any information that would be essential when visiting 1. Higham, (2020) highlights for practitioners to increase their understanding and build trust to encourage individuals to share their stories, this will enable them to value the importance of constructing and reconstructing and will teach them to use their communication skills. It was vital for me to always place 1 at the centre of his care and having the right level of understanding towards his situation, this would only support me in building a relationship with 1 and show him that I was actively listening when supporting him as warmth, respect, attention and understanding enables people to feel better and manage their lives better (Koprowska, 2008). </w:t>
            </w:r>
          </w:p>
          <w:p w14:paraId="4F6065EB" w14:textId="77777777" w:rsidR="00B04D24" w:rsidRPr="00157EAF" w:rsidRDefault="00B04D24" w:rsidP="00B04D24">
            <w:pPr>
              <w:spacing w:line="360" w:lineRule="auto"/>
              <w:rPr>
                <w:color w:val="000000" w:themeColor="text1"/>
                <w:sz w:val="24"/>
                <w:szCs w:val="24"/>
                <w:shd w:val="clear" w:color="auto" w:fill="FFFFFF"/>
              </w:rPr>
            </w:pPr>
          </w:p>
          <w:p w14:paraId="4032D6F7"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I knew from reading 1’s notes that he had a diagnosis of early onset </w:t>
            </w:r>
            <w:proofErr w:type="gramStart"/>
            <w:r w:rsidRPr="00157EAF">
              <w:rPr>
                <w:color w:val="000000" w:themeColor="text1"/>
                <w:sz w:val="24"/>
                <w:szCs w:val="24"/>
                <w:shd w:val="clear" w:color="auto" w:fill="FFFFFF"/>
              </w:rPr>
              <w:t>Alzheimer’s</w:t>
            </w:r>
            <w:proofErr w:type="gramEnd"/>
            <w:r w:rsidRPr="00157EAF">
              <w:rPr>
                <w:color w:val="000000" w:themeColor="text1"/>
                <w:sz w:val="24"/>
                <w:szCs w:val="24"/>
                <w:shd w:val="clear" w:color="auto" w:fill="FFFFFF"/>
              </w:rPr>
              <w:t xml:space="preserve"> and he had previously had seizures and brain tumours and therefore, I knew a Mental Capacity Assessment had to be completed under The Mental Capacity Act 2005 to determine whether 1 had capacity around making decisions. Before the Mental Capacity Act 2005 was implemented, there was no statutory law in place to protect people who lack the mental capacity to make decisions (Nicholson et al, 2008). The Mental Capacity Act 2005 sets out two stages around assessing someone’s capacity. These are does the person have an impairment of their mind or brain, whether as a result of an illness, or external factors such as alcohol or drug use and does the impairment mean the person is unable to make a specific decision when they need to, as some people can lack capacity to make some decisions, but have capacity to make other decisions (NHS, 2024). </w:t>
            </w:r>
          </w:p>
          <w:p w14:paraId="796D9F76" w14:textId="77777777" w:rsidR="00B04D24" w:rsidRPr="00157EAF" w:rsidRDefault="00B04D24" w:rsidP="00B04D24">
            <w:pPr>
              <w:spacing w:line="360" w:lineRule="auto"/>
              <w:rPr>
                <w:color w:val="000000" w:themeColor="text1"/>
                <w:sz w:val="24"/>
                <w:szCs w:val="24"/>
                <w:shd w:val="clear" w:color="auto" w:fill="FFFFFF"/>
              </w:rPr>
            </w:pPr>
          </w:p>
          <w:p w14:paraId="7D8B7AFC"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There are 5 principles to the Mental Capacity Act 2005, these are not assuming a person lacks capacity until it has been established that they actually lack capacity, not to treat someone as being unable to make a decision unless all practicable steps has been taken to identify this, not to treat someone as being unable to make a decision just because they make unwise decisions, any decisions that are made must be made in the persons best </w:t>
            </w:r>
            <w:r w:rsidRPr="00157EAF">
              <w:rPr>
                <w:color w:val="000000" w:themeColor="text1"/>
                <w:sz w:val="24"/>
                <w:szCs w:val="24"/>
                <w:shd w:val="clear" w:color="auto" w:fill="FFFFFF"/>
              </w:rPr>
              <w:lastRenderedPageBreak/>
              <w:t xml:space="preserve">interests and any decisions that are made must be the least restrictive option of the persons rights and freedom of action (MCA, 2005). </w:t>
            </w:r>
          </w:p>
          <w:p w14:paraId="6AF9FEF8" w14:textId="77777777" w:rsidR="00B04D24" w:rsidRPr="00157EAF" w:rsidRDefault="00B04D24" w:rsidP="00B04D24">
            <w:pPr>
              <w:spacing w:line="360" w:lineRule="auto"/>
              <w:rPr>
                <w:color w:val="000000" w:themeColor="text1"/>
                <w:sz w:val="24"/>
                <w:szCs w:val="24"/>
                <w:shd w:val="clear" w:color="auto" w:fill="FFFFFF"/>
              </w:rPr>
            </w:pPr>
          </w:p>
          <w:p w14:paraId="13B75FD1"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Lyons (2018) states that England and Wales, Scotland and Northern Ireland are all at different stages in developing their mental health legislation and they provide a different name for the legislation. For example, in Scotland the act is known as Adults with Incapacity (Scotland) Act 2000 and in Ireland it is (Mental Capacity Act (Northern Ireland) 2016. All four frameworks share common principles, including the right to make unwise decisions, the presumption of capacity and the requirement that decisions are to be made in the person’s best interests. There are many challenges and dilemmas faced by social workers when conducting capacity assessments (Brown, 2023). One of the dilemmas faced is if 1 lacked capacity around making decisions around his care and support needs, this can complicate their protection and uphold their rights. That’s why all decisions must be made in the persons best interest whilst respecting the person’s dignity which is outlined in Section 4 of the MCA, 2005. In this case, 1 had capacity to make decisions and have control over his life. </w:t>
            </w:r>
          </w:p>
          <w:p w14:paraId="7CE381CE" w14:textId="77777777" w:rsidR="00B04D24" w:rsidRPr="00157EAF" w:rsidRDefault="00B04D24" w:rsidP="00B04D24">
            <w:pPr>
              <w:spacing w:line="360" w:lineRule="auto"/>
              <w:rPr>
                <w:color w:val="000000" w:themeColor="text1"/>
                <w:sz w:val="24"/>
                <w:szCs w:val="24"/>
                <w:shd w:val="clear" w:color="auto" w:fill="FFFFFF"/>
              </w:rPr>
            </w:pPr>
          </w:p>
          <w:p w14:paraId="3EF7B479"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1’s children believed that their mother who was 1’s wife, had been verbally and emotionally abusing their father, however they had taken into consideration that their mother had previously been in a mental health hospital, and they felt that her actions were not intentional, and she does not realise the way she is behaving towards their father. 1’s daughter felt that immediate intervention was required to keep both their mother and father safe from harm. I immediately contacted 1’s children and explained that I was planning to visit their father, straight away they became concerned that he will not speak freely and will feel frightened of what he would like to say in front of his wife. The Human Right Act (1998) Article 10 highlights that everyone has the right to freedom of expression. Therefore, I explained that another social worker will be coming with me to support the situation and occupy 2 when I would engage with 1. 1’s children felt relieved with this.  </w:t>
            </w:r>
          </w:p>
          <w:p w14:paraId="3FD34A84" w14:textId="77777777" w:rsidR="00B04D24" w:rsidRPr="00157EAF" w:rsidRDefault="00B04D24" w:rsidP="00B04D24">
            <w:pPr>
              <w:spacing w:line="360" w:lineRule="auto"/>
              <w:rPr>
                <w:color w:val="000000" w:themeColor="text1"/>
                <w:sz w:val="24"/>
                <w:szCs w:val="24"/>
                <w:shd w:val="clear" w:color="auto" w:fill="FFFFFF"/>
              </w:rPr>
            </w:pPr>
          </w:p>
          <w:p w14:paraId="27DE8B83"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I contacted 1 and explained who I was, I was aware that 2 was also present when I had contacted 1 over the phone, therefore, I was mindful of this throughout the phone call. Thankfully, 1 consented to me visiting and was happy for me to visit, however 2 was not </w:t>
            </w:r>
            <w:r w:rsidRPr="00157EAF">
              <w:rPr>
                <w:color w:val="000000" w:themeColor="text1"/>
                <w:sz w:val="24"/>
                <w:szCs w:val="24"/>
                <w:shd w:val="clear" w:color="auto" w:fill="FFFFFF"/>
              </w:rPr>
              <w:lastRenderedPageBreak/>
              <w:t xml:space="preserve">keen on the idea of me visiting. I was aware that the HRA, 1998 Article 8 entitles everyone to be respected when it came to their private and home life, however the ethical dilemma was that I had to override 2’s views, based on the safety of 1. I could feel the power imbalance straight away between myself and 2 and this was something that I struggled with. Karim (2023) states that social workers need to understand power in terms of how to act as it should not be exercised wittingly and unwittingly to discriminate and oppress against individuals, I did not want 2 to feel powerless and not have her voice heard and therefore, I knew that I had to work in an Anti-oppressive way as British Association of Social Workers (BASW, 2021) states that </w:t>
            </w:r>
            <w:r w:rsidRPr="00157EAF">
              <w:rPr>
                <w:rFonts w:ascii="Helvetica" w:hAnsi="Helvetica" w:cs="Helvetica"/>
                <w:color w:val="000000" w:themeColor="text1"/>
                <w:sz w:val="24"/>
                <w:szCs w:val="24"/>
                <w:shd w:val="clear" w:color="auto" w:fill="FFFFFF"/>
              </w:rPr>
              <w:t xml:space="preserve">any limitations on a person’s rights are necessary and </w:t>
            </w:r>
            <w:r w:rsidRPr="00157EAF">
              <w:rPr>
                <w:color w:val="000000" w:themeColor="text1"/>
                <w:sz w:val="24"/>
                <w:szCs w:val="24"/>
                <w:shd w:val="clear" w:color="auto" w:fill="FFFFFF"/>
              </w:rPr>
              <w:t xml:space="preserve">proportionate and are for a legitimate purpose. </w:t>
            </w:r>
          </w:p>
          <w:p w14:paraId="1F9AE71A" w14:textId="77777777" w:rsidR="00B04D24" w:rsidRPr="00157EAF" w:rsidRDefault="00B04D24" w:rsidP="00B04D24">
            <w:pPr>
              <w:spacing w:line="360" w:lineRule="auto"/>
              <w:rPr>
                <w:color w:val="000000" w:themeColor="text1"/>
                <w:sz w:val="24"/>
                <w:szCs w:val="24"/>
                <w:shd w:val="clear" w:color="auto" w:fill="FFFFFF"/>
              </w:rPr>
            </w:pPr>
          </w:p>
          <w:p w14:paraId="14A08100"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I knew in my professional judgement that it was not safe for me to go on the visit alone and therefore, I asked another staff member to come along with me for support. I found myself experiencing some anxiety (Koprowska, 2008) I put this down to me being new in my role and not feeling experienced enough to deal with a case like this, therefore I required as much support as possible. Zimunya &amp; Alpaslan (2022) hights that incidents where social workers are abused, threatened or assaulted by service users in executing the duties related to their work is acknowledged as a serious concern and an occupational hazard in many countries. Emotions and tensions are likely to be heightened where there is abuse suspected and although social workers have a duty of care on others, they also have a duty of care on themselves to keep themselves safe, by having another professional present where there are serious decisions needing to be made, it can support the other professional with legal and safeguarding purposes if required. </w:t>
            </w:r>
          </w:p>
          <w:p w14:paraId="6C81AB73" w14:textId="77777777" w:rsidR="00B04D24" w:rsidRPr="00157EAF" w:rsidRDefault="00B04D24" w:rsidP="00B04D24">
            <w:pPr>
              <w:spacing w:line="360" w:lineRule="auto"/>
              <w:rPr>
                <w:color w:val="000000" w:themeColor="text1"/>
                <w:sz w:val="24"/>
                <w:szCs w:val="24"/>
                <w:shd w:val="clear" w:color="auto" w:fill="FFFFFF"/>
              </w:rPr>
            </w:pPr>
          </w:p>
          <w:p w14:paraId="459B3B6F"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Before visiting 1 and 2, I immediately knew in my professional judgement that I had to enquire a safeguarding consultation for support and direction on how to support 1 the best way possible this is in line with Part 7 of the SSWBWA 2014 which places a responsibility on local authorities to conduct a consultation when there are safeguarding concerns. I did this straight away as I felt the visit could not wait, it is vital that </w:t>
            </w:r>
            <w:r w:rsidRPr="00157EAF">
              <w:rPr>
                <w:color w:val="000000" w:themeColor="text1"/>
                <w:sz w:val="24"/>
                <w:szCs w:val="24"/>
              </w:rPr>
              <w:t xml:space="preserve">social workers have a clear understanding on adult safeguarding principles and apply these to their practice without fail </w:t>
            </w:r>
            <w:r w:rsidRPr="00157EAF">
              <w:rPr>
                <w:color w:val="000000" w:themeColor="text1"/>
                <w:sz w:val="24"/>
                <w:szCs w:val="24"/>
              </w:rPr>
              <w:lastRenderedPageBreak/>
              <w:t xml:space="preserve">(Dixon, 2023) as each practitioner plays their part and contribute to safeguarding and promoting the well-being of the adult at risk (Wales Safeguarding Procedures, 2019). </w:t>
            </w:r>
          </w:p>
          <w:p w14:paraId="6F43F773" w14:textId="77777777" w:rsidR="00B04D24" w:rsidRPr="00157EAF" w:rsidRDefault="00B04D24" w:rsidP="00B04D24">
            <w:pPr>
              <w:spacing w:line="360" w:lineRule="auto"/>
              <w:rPr>
                <w:color w:val="000000" w:themeColor="text1"/>
                <w:sz w:val="24"/>
                <w:szCs w:val="24"/>
              </w:rPr>
            </w:pPr>
          </w:p>
          <w:p w14:paraId="1D78E6B9"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rPr>
              <w:t>Following on from my safeguarding consultation, I was advised that I complete a Domestic Abuse, Stalking, Harassment and Honour Based Violence Assessment</w:t>
            </w:r>
            <w:r w:rsidRPr="00157EAF">
              <w:rPr>
                <w:color w:val="000000" w:themeColor="text1"/>
                <w:sz w:val="24"/>
                <w:szCs w:val="24"/>
                <w:shd w:val="clear" w:color="auto" w:fill="FFFFFF"/>
              </w:rPr>
              <w:t xml:space="preserve"> which is known as a</w:t>
            </w:r>
            <w:r w:rsidRPr="00157EAF">
              <w:rPr>
                <w:color w:val="000000" w:themeColor="text1"/>
                <w:sz w:val="30"/>
                <w:szCs w:val="30"/>
                <w:shd w:val="clear" w:color="auto" w:fill="FFFFFF"/>
              </w:rPr>
              <w:t xml:space="preserve"> </w:t>
            </w:r>
            <w:r w:rsidRPr="00157EAF">
              <w:rPr>
                <w:color w:val="000000" w:themeColor="text1"/>
                <w:sz w:val="24"/>
                <w:szCs w:val="24"/>
              </w:rPr>
              <w:t xml:space="preserve">DASH Risk assessment when visiting 1 which is a checklist that is used across the United Kingdom and is completed by front line professionals to assess and identify risk when a potential victim discloses domestic abuse (Safe lives, 2024). Depending on the outcome of the DASH Risk assessment, it will identify if a referral needs to be made to </w:t>
            </w:r>
            <w:r w:rsidRPr="00157EAF">
              <w:rPr>
                <w:color w:val="000000" w:themeColor="text1"/>
                <w:sz w:val="24"/>
                <w:szCs w:val="24"/>
                <w:shd w:val="clear" w:color="auto" w:fill="FFFFFF"/>
              </w:rPr>
              <w:t xml:space="preserve">multi-agency risk assessment conference known as MARAC. There are four reasons that would meet the criteria for a referral to be made to MARAC, these are professional judgment, potential escalation, visible high risk and repeat referrals. </w:t>
            </w:r>
          </w:p>
          <w:p w14:paraId="42380912" w14:textId="77777777" w:rsidR="00B04D24" w:rsidRPr="00157EAF" w:rsidRDefault="00B04D24" w:rsidP="00B04D24">
            <w:pPr>
              <w:spacing w:line="360" w:lineRule="auto"/>
              <w:rPr>
                <w:color w:val="000000" w:themeColor="text1"/>
                <w:sz w:val="24"/>
                <w:szCs w:val="24"/>
                <w:shd w:val="clear" w:color="auto" w:fill="FFFFFF"/>
              </w:rPr>
            </w:pPr>
          </w:p>
          <w:p w14:paraId="7AC0C46A"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When I first met with 1 and 2, I immediately asked them what their preferred language was, I realised that I had not asked this prior to me visiting but I put this down to me feeling anxious around getting everything right, that I allowed it to slip my mind, with this in mind I knew that communication with individuals is a key component of delivering social care (Welsh Government, 2022). The Wesh language should be treated no differently than the English language and the importance of giving the option for someone to communicate in Welsh without them having to ask for it, this is known as an Active Offer which is in line with the Welsh Government Policy (Welsh Government, 2015). </w:t>
            </w:r>
          </w:p>
          <w:p w14:paraId="503BFE48" w14:textId="77777777" w:rsidR="00B04D24" w:rsidRPr="00157EAF" w:rsidRDefault="00B04D24" w:rsidP="00B04D24">
            <w:pPr>
              <w:spacing w:line="360" w:lineRule="auto"/>
              <w:rPr>
                <w:color w:val="000000" w:themeColor="text1"/>
                <w:sz w:val="24"/>
                <w:szCs w:val="24"/>
                <w:shd w:val="clear" w:color="auto" w:fill="FFFFFF"/>
              </w:rPr>
            </w:pPr>
          </w:p>
          <w:p w14:paraId="28970007"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The Welsh Language Act 1993 principle is that the Welsh and English language should be treated equally. The use of Welsh in public services is encouraged as the Welsh Language is an integral part of the Welsh identity. The Senedd (Welsh Parliament) which is Wales’s own devolved government, has legislative powers in areas such as education, health and social services. This means that legal frameworks and policies in these sectors can differ significantly from those in England and other parts of the UK. Professionals in the social care field must adhere to the standards and code of practice that are tailored to the Welsh context. </w:t>
            </w:r>
          </w:p>
          <w:p w14:paraId="43E8C749" w14:textId="77777777" w:rsidR="00B04D24" w:rsidRPr="00157EAF" w:rsidRDefault="00B04D24" w:rsidP="00B04D24">
            <w:pPr>
              <w:spacing w:line="360" w:lineRule="auto"/>
              <w:rPr>
                <w:color w:val="000000" w:themeColor="text1"/>
                <w:sz w:val="24"/>
                <w:szCs w:val="24"/>
                <w:shd w:val="clear" w:color="auto" w:fill="FFFFFF"/>
              </w:rPr>
            </w:pPr>
          </w:p>
          <w:p w14:paraId="543224F1"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lastRenderedPageBreak/>
              <w:t xml:space="preserve">I introduced myself to 1 and 2 and explained to them the reason for my visit. When communicating with 1, I found that 2 would not let him speak and try to answer questions for him, at one point I found myself feeling powerless with maximising 1’s decision making and control over his life (CoPP, 1.3, 2017). At this time, my colleague had stepped in to support me as I felt like she could sense how nervous I was in the situation and I was unsure how to support the situation in the best way possible, my colleague took 2 out of the room to have a chat with her as it was important to get 2’s voice heard as well as 1 as it is important to promote the voice of carers as well as individuals (CoPP, 3.2, 2017). During the safeguarding visit, to assess 1 and 2’s circumstances, </w:t>
            </w:r>
            <w:proofErr w:type="spellStart"/>
            <w:r w:rsidRPr="00157EAF">
              <w:rPr>
                <w:color w:val="000000" w:themeColor="text1"/>
                <w:sz w:val="24"/>
                <w:szCs w:val="24"/>
                <w:shd w:val="clear" w:color="auto" w:fill="FFFFFF"/>
              </w:rPr>
              <w:t>Khilstrom</w:t>
            </w:r>
            <w:proofErr w:type="spellEnd"/>
            <w:r w:rsidRPr="00157EAF">
              <w:rPr>
                <w:color w:val="000000" w:themeColor="text1"/>
                <w:sz w:val="24"/>
                <w:szCs w:val="24"/>
                <w:shd w:val="clear" w:color="auto" w:fill="FFFFFF"/>
              </w:rPr>
              <w:t xml:space="preserve">, 2012 states that it can sometimes be society and not the individual who requires relief from a complex chaos and life world. I applied Systems Theory as this allowed me to not just look at 1 and 2’s care needs but also the overall societal situation. </w:t>
            </w:r>
          </w:p>
          <w:p w14:paraId="22C02132" w14:textId="77777777" w:rsidR="00B04D24" w:rsidRPr="00157EAF" w:rsidRDefault="00B04D24" w:rsidP="00B04D24">
            <w:pPr>
              <w:spacing w:line="360" w:lineRule="auto"/>
              <w:rPr>
                <w:color w:val="000000" w:themeColor="text1"/>
                <w:sz w:val="24"/>
                <w:szCs w:val="24"/>
                <w:shd w:val="clear" w:color="auto" w:fill="FFFFFF"/>
              </w:rPr>
            </w:pPr>
          </w:p>
          <w:p w14:paraId="3FC6475E"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I found myself feeling nervous when completing the DASH Risk assessment with 1, and I felt like I had a butterfly feeling in my stomach Koprowska, (2008) adds that butterflies in the stomach are described as excitement or mild anxiety, I found myself feeling anxious, and again I put this down to me feeling inexperienced. Throughout completing the assessment, it was evident that a referral to MARAC was required. It was clear that 1 was feeing vulnerable and worried at home. I knew that I would need to inform the safeguarding team about the outcome of my risk assessment (CoPP, 4.4, 2017). The safeguarding team is a team in the local authority I work in that plays a crucial role in supporting and protecting individuals. The team operates under the statutory guidance provided by the SSWBA 2014 and works closely with the Local Safeguarding Adult Board (LSAB) which promotes the effectiveness of safeguarding.  </w:t>
            </w:r>
          </w:p>
          <w:p w14:paraId="34ACB093" w14:textId="77777777" w:rsidR="00B04D24" w:rsidRPr="00157EAF" w:rsidRDefault="00B04D24" w:rsidP="00B04D24">
            <w:pPr>
              <w:spacing w:line="360" w:lineRule="auto"/>
              <w:rPr>
                <w:color w:val="000000" w:themeColor="text1"/>
                <w:sz w:val="24"/>
                <w:szCs w:val="24"/>
                <w:shd w:val="clear" w:color="auto" w:fill="FFFFFF"/>
              </w:rPr>
            </w:pPr>
          </w:p>
          <w:p w14:paraId="5FFEBF8F"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Taking my colleague along with me was the right decision using my professional judgement, as the situation involved processing a considerable amount of information whilst trying to manage multiple tasks. I don't believe I could have completed my assessment on 1 while ensuring the safety of both 1 and 2 had I had gone on the visit alone. During my assessment, I applied the Psychodynamic Theory as this allowed me to provide 2 with empathy which would in turn allow 2 to recognise her strengths and challenges Mishna et al, </w:t>
            </w:r>
            <w:r w:rsidRPr="00157EAF">
              <w:rPr>
                <w:color w:val="000000" w:themeColor="text1"/>
                <w:sz w:val="24"/>
                <w:szCs w:val="24"/>
                <w:shd w:val="clear" w:color="auto" w:fill="FFFFFF"/>
              </w:rPr>
              <w:lastRenderedPageBreak/>
              <w:t>2013. This allowed me to explore the past experiences and emotional conflicts that could be contributing to 2’s vulnerability, and better understand 2’s feelings and challenges she is facing with providing care to 1.</w:t>
            </w:r>
          </w:p>
          <w:p w14:paraId="4B07A7B7" w14:textId="77777777" w:rsidR="00B04D24" w:rsidRPr="00157EAF" w:rsidRDefault="00B04D24" w:rsidP="00B04D24">
            <w:pPr>
              <w:spacing w:line="360" w:lineRule="auto"/>
              <w:rPr>
                <w:color w:val="000000" w:themeColor="text1"/>
                <w:sz w:val="24"/>
                <w:szCs w:val="24"/>
                <w:shd w:val="clear" w:color="auto" w:fill="FFFFFF"/>
              </w:rPr>
            </w:pPr>
          </w:p>
          <w:p w14:paraId="7FB9FE5A"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As a social worker, I knew that in my practice I would always have to be open and honest this is in line with CoPP, 2.1, 2.2, 2.4 (Social Care Wales, 2017). It was important for me to discuss with 1 the reason for the referral needing to be made to MARAC, this is also under section 2 of WSP, 2019 which states that practitioners should aim to seek consent from the adult where possible. Thankfully, 1 was accepting and understanding of the reason for the referral.</w:t>
            </w:r>
            <w:r w:rsidRPr="00157EAF">
              <w:rPr>
                <w:color w:val="000000" w:themeColor="text1"/>
              </w:rPr>
              <w:t xml:space="preserve"> </w:t>
            </w:r>
            <w:r w:rsidRPr="00157EAF">
              <w:rPr>
                <w:color w:val="000000" w:themeColor="text1"/>
                <w:sz w:val="24"/>
                <w:szCs w:val="24"/>
                <w:shd w:val="clear" w:color="auto" w:fill="FFFFFF"/>
              </w:rPr>
              <w:t xml:space="preserve">The information that is used to inform the MARAC meeting initially comes from the DASH assessment where agencies will then discuss the case and develop a coordinated safety plan for the victim. </w:t>
            </w:r>
          </w:p>
          <w:p w14:paraId="1D5FD1F6" w14:textId="77777777" w:rsidR="00B04D24" w:rsidRPr="00157EAF" w:rsidRDefault="00B04D24" w:rsidP="00B04D24">
            <w:pPr>
              <w:spacing w:line="360" w:lineRule="auto"/>
              <w:rPr>
                <w:color w:val="000000" w:themeColor="text1"/>
                <w:sz w:val="24"/>
                <w:szCs w:val="24"/>
                <w:shd w:val="clear" w:color="auto" w:fill="FFFFFF"/>
              </w:rPr>
            </w:pPr>
          </w:p>
          <w:p w14:paraId="0006893C"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Throughout the assessment, 1 explained that he wishes to go into respite for a few weeks until things had calmed down at home. I felt that 1 had capacity to make this decision. Having the capacity to make decisions is a fundamental aspect of personal dignity. Capacity refers to an individual's ability to understand information relevant to a decision, weigh the potential consequences, and communicate their choice. This is crucial because it ensures that decisions made by the individual truly reflect their own preferences, values and best interests. I believe that because 1 had the capacity to make decision around his care needs, it empowered him to have control over his own life.</w:t>
            </w:r>
          </w:p>
          <w:p w14:paraId="15CB857C" w14:textId="77777777" w:rsidR="00B04D24" w:rsidRPr="00157EAF" w:rsidRDefault="00B04D24" w:rsidP="00B04D24">
            <w:pPr>
              <w:spacing w:line="360" w:lineRule="auto"/>
              <w:rPr>
                <w:color w:val="000000" w:themeColor="text1"/>
                <w:sz w:val="24"/>
                <w:szCs w:val="24"/>
                <w:shd w:val="clear" w:color="auto" w:fill="FFFFFF"/>
              </w:rPr>
            </w:pPr>
          </w:p>
          <w:p w14:paraId="3BCCB2DA"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I felt nervous around discussing the respite with 2, however, I felt that she needed to become aware as she lived in the same house as 1 and it was important for me to remain honest throughout my visit CoPP, 2.1, 2017. Thankfully 2 took this information well and she agreed that a break would be essential to herself as well as 1. I knew that I now felt more comfortable finding a placement for 1 safely and I knew that it was vital that I worked on devising a safety plan for both 1 and 2 whilst he was in respite. Safety plans are a critical component in safeguarding practice in the context of the Wales Safeguarding Procedures. </w:t>
            </w:r>
          </w:p>
          <w:p w14:paraId="36F61D4C" w14:textId="77777777" w:rsidR="00B04D24" w:rsidRPr="00157EAF" w:rsidRDefault="00B04D24" w:rsidP="00B04D24">
            <w:pPr>
              <w:spacing w:line="360" w:lineRule="auto"/>
              <w:rPr>
                <w:color w:val="000000" w:themeColor="text1"/>
                <w:sz w:val="24"/>
                <w:szCs w:val="24"/>
                <w:shd w:val="clear" w:color="auto" w:fill="FFFFFF"/>
              </w:rPr>
            </w:pPr>
          </w:p>
          <w:p w14:paraId="1ACEB48B" w14:textId="77777777" w:rsidR="00B04D24" w:rsidRPr="00157EAF" w:rsidRDefault="00B04D24" w:rsidP="00B04D24">
            <w:pPr>
              <w:spacing w:line="360" w:lineRule="auto"/>
              <w:rPr>
                <w:b/>
                <w:bCs/>
                <w:color w:val="000000" w:themeColor="text1"/>
                <w:sz w:val="24"/>
                <w:szCs w:val="24"/>
                <w:shd w:val="clear" w:color="auto" w:fill="FFFFFF"/>
              </w:rPr>
            </w:pPr>
            <w:r w:rsidRPr="00157EAF">
              <w:rPr>
                <w:color w:val="000000" w:themeColor="text1"/>
                <w:sz w:val="24"/>
                <w:szCs w:val="24"/>
                <w:shd w:val="clear" w:color="auto" w:fill="FFFFFF"/>
              </w:rPr>
              <w:lastRenderedPageBreak/>
              <w:t>Following on from my referral to MARAC, a public protection notice was carried out by the police on 1 and 2 this is part of my collaborative working approach. The police visited them both and it was clear that tensions were high between 1 and 2. They both had care needs and 2 was trying to support her husband the best that she could, however as she had her own mental health problems and care needs, it was evident that this was taking its toll on her. Statistics from Carers UK, 2024 show that 84% of carers whose mental health is bad or very bad have continuous low mood, 82% have feelings of hopelessness and 71% regularly feel tearful. When analysing my assessment, it was evident that 2 was requiring an assessment of her care needs as I was able to identify the significant stress that 2 was experiencing this is under Section 24 of the SSWBWA, 2014 where professionals have a duty to assess the needs of a carer if it appears to the authority that the carer may have needs for support</w:t>
            </w:r>
            <w:r w:rsidRPr="00157EAF">
              <w:rPr>
                <w:b/>
                <w:bCs/>
                <w:color w:val="000000" w:themeColor="text1"/>
                <w:sz w:val="24"/>
                <w:szCs w:val="24"/>
                <w:shd w:val="clear" w:color="auto" w:fill="FFFFFF"/>
              </w:rPr>
              <w:t xml:space="preserve">. </w:t>
            </w:r>
          </w:p>
          <w:p w14:paraId="06F0FA5D" w14:textId="77777777" w:rsidR="00B04D24" w:rsidRPr="00157EAF" w:rsidRDefault="00B04D24" w:rsidP="00B04D24">
            <w:pPr>
              <w:spacing w:line="360" w:lineRule="auto"/>
              <w:rPr>
                <w:b/>
                <w:bCs/>
                <w:color w:val="000000" w:themeColor="text1"/>
                <w:sz w:val="24"/>
                <w:szCs w:val="24"/>
                <w:shd w:val="clear" w:color="auto" w:fill="FFFFFF"/>
              </w:rPr>
            </w:pPr>
          </w:p>
          <w:p w14:paraId="65C1684C"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I managed to find a placement for 1 the following day after my visit, he was transported into respite by his children, and they supported both their mother and father at this time. Following on from the public protection notice (PPN) it was agreed that a safety plan was agreed this is in line with Part 7 Section 126 of the SSWBWA 2014 which outlines the authority’s powers to protect the individual, which would usually involve a plan being created by professionals to ensure the person’s well-being and safety. It was clear that both 1 and 2 had care needs of their own, and therefore a care package for both 1 and 2 was required.</w:t>
            </w:r>
          </w:p>
          <w:p w14:paraId="47CB1363" w14:textId="77777777" w:rsidR="00B04D24" w:rsidRPr="00157EAF" w:rsidRDefault="00B04D24" w:rsidP="00B04D24">
            <w:pPr>
              <w:spacing w:line="360" w:lineRule="auto"/>
              <w:rPr>
                <w:color w:val="000000" w:themeColor="text1"/>
                <w:sz w:val="24"/>
                <w:szCs w:val="24"/>
                <w:shd w:val="clear" w:color="auto" w:fill="FFFFFF"/>
              </w:rPr>
            </w:pPr>
          </w:p>
          <w:p w14:paraId="54B38665"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Thankfully, 1 already had carers supporting him and the same carers had the capacity to support 2. The care calls were increased to four times a day for both 1 and 2. This meant that 1 and 2 had people around them throughout the day to constantly check on them and report back any issues that were taking place. The police also put a marker on 1 and 2’s property, police markers are usually used to signify that a property is associated with high-risk situations, such as domestic violence which meant that any domestic abuse being reported will be seen as a high priority and dealt with as a matter of urgency. The purpose of a police marker is to enhance the safety of others. </w:t>
            </w:r>
          </w:p>
          <w:p w14:paraId="0637AAD6" w14:textId="77777777" w:rsidR="00B04D24" w:rsidRPr="00157EAF" w:rsidRDefault="00B04D24" w:rsidP="00B04D24">
            <w:pPr>
              <w:spacing w:line="360" w:lineRule="auto"/>
              <w:rPr>
                <w:color w:val="000000" w:themeColor="text1"/>
                <w:sz w:val="24"/>
                <w:szCs w:val="24"/>
                <w:shd w:val="clear" w:color="auto" w:fill="FFFFFF"/>
              </w:rPr>
            </w:pPr>
          </w:p>
          <w:p w14:paraId="20A17490"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lastRenderedPageBreak/>
              <w:t xml:space="preserve">Reflecting after my visit on how things could have been different </w:t>
            </w:r>
            <w:proofErr w:type="spellStart"/>
            <w:r w:rsidRPr="00157EAF">
              <w:rPr>
                <w:color w:val="000000" w:themeColor="text1"/>
                <w:sz w:val="24"/>
                <w:szCs w:val="24"/>
                <w:shd w:val="clear" w:color="auto" w:fill="FFFFFF"/>
              </w:rPr>
              <w:t>Mackreth</w:t>
            </w:r>
            <w:proofErr w:type="spellEnd"/>
            <w:r w:rsidRPr="00157EAF">
              <w:rPr>
                <w:color w:val="000000" w:themeColor="text1"/>
                <w:sz w:val="24"/>
                <w:szCs w:val="24"/>
                <w:shd w:val="clear" w:color="auto" w:fill="FFFFFF"/>
              </w:rPr>
              <w:t xml:space="preserve"> &amp; Walker, 2020 states that by learn­ing the art of reﬂection, it is hoped, the practitioner will consciously engage in a structured process that supports them in actively learning from events and</w:t>
            </w:r>
          </w:p>
          <w:p w14:paraId="6D018137"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experiences. On reflection, I feel that this case study allowed me to recognise the challenges that are faced in social work. I feel that this case study will contribute to my career development in social work, especially around risk assessment and I feel that when it comes to working with other professionals, I have developed a stronger sense of confidence in my collaborative skills. I am certain that my empathetic communication skills played a part in helping me to understand the family and them understanding me. At first, I found it difficult to engage with 2 as she would constantly think I was against her and not listening to her side of the story, however with my patience and empathetic nature, it allowed us to build a positive relationship. When I first became the allocated social worker of 1, I immediately said to myself that I would not be able to do this, however, I now believe that with the effectiveness of collaborative working in social work, this increased my chance of meeting 1 and 2’s needs effectively. I will continue to have regular supervision and training throughout my career to allow me to perform in my role effectively. This will also allow me to keep up to date with relevant policies, laws and procedures. </w:t>
            </w:r>
          </w:p>
          <w:p w14:paraId="6DC71111" w14:textId="77777777" w:rsidR="00B04D24" w:rsidRPr="00157EAF" w:rsidRDefault="00B04D24" w:rsidP="00B04D24">
            <w:pPr>
              <w:spacing w:line="360" w:lineRule="auto"/>
              <w:rPr>
                <w:color w:val="000000" w:themeColor="text1"/>
                <w:sz w:val="24"/>
                <w:szCs w:val="24"/>
                <w:shd w:val="clear" w:color="auto" w:fill="FFFFFF"/>
              </w:rPr>
            </w:pPr>
          </w:p>
          <w:p w14:paraId="08E69D35" w14:textId="77777777" w:rsidR="00B04D24" w:rsidRPr="00157EAF" w:rsidRDefault="00B04D24" w:rsidP="00B04D24">
            <w:pPr>
              <w:spacing w:line="360" w:lineRule="auto"/>
              <w:rPr>
                <w:color w:val="000000" w:themeColor="text1"/>
                <w:sz w:val="24"/>
                <w:szCs w:val="24"/>
              </w:rPr>
            </w:pPr>
            <w:r w:rsidRPr="00157EAF">
              <w:rPr>
                <w:color w:val="000000" w:themeColor="text1"/>
                <w:sz w:val="24"/>
                <w:szCs w:val="24"/>
              </w:rPr>
              <w:t>(Words 4049)</w:t>
            </w:r>
          </w:p>
          <w:p w14:paraId="1229C09D" w14:textId="77777777" w:rsidR="00B04D24" w:rsidRPr="00157EAF" w:rsidRDefault="00B04D24" w:rsidP="00B04D24">
            <w:pPr>
              <w:rPr>
                <w:color w:val="000000" w:themeColor="text1"/>
                <w:sz w:val="24"/>
                <w:szCs w:val="24"/>
              </w:rPr>
            </w:pPr>
          </w:p>
          <w:p w14:paraId="66CF1003" w14:textId="77777777" w:rsidR="00B04D24" w:rsidRPr="00157EAF" w:rsidRDefault="00B04D24" w:rsidP="00B04D24">
            <w:pPr>
              <w:rPr>
                <w:color w:val="000000" w:themeColor="text1"/>
                <w:sz w:val="24"/>
                <w:szCs w:val="24"/>
              </w:rPr>
            </w:pPr>
          </w:p>
          <w:p w14:paraId="30A64025" w14:textId="77777777" w:rsidR="00B04D24" w:rsidRPr="00157EAF" w:rsidRDefault="00B04D24" w:rsidP="00B04D24">
            <w:pPr>
              <w:rPr>
                <w:color w:val="000000" w:themeColor="text1"/>
                <w:sz w:val="24"/>
                <w:szCs w:val="24"/>
              </w:rPr>
            </w:pPr>
          </w:p>
          <w:p w14:paraId="74F7AB59" w14:textId="77777777" w:rsidR="00B04D24" w:rsidRPr="00157EAF" w:rsidRDefault="00B04D24" w:rsidP="00B04D24">
            <w:pPr>
              <w:rPr>
                <w:color w:val="000000" w:themeColor="text1"/>
                <w:sz w:val="24"/>
                <w:szCs w:val="24"/>
              </w:rPr>
            </w:pPr>
          </w:p>
          <w:p w14:paraId="5C75625A" w14:textId="77777777" w:rsidR="00B04D24" w:rsidRPr="00157EAF" w:rsidRDefault="00B04D24" w:rsidP="00B04D24">
            <w:pPr>
              <w:rPr>
                <w:color w:val="000000" w:themeColor="text1"/>
                <w:sz w:val="24"/>
                <w:szCs w:val="24"/>
              </w:rPr>
            </w:pPr>
          </w:p>
          <w:p w14:paraId="1E4AFBA0" w14:textId="77777777" w:rsidR="00B04D24" w:rsidRPr="00157EAF" w:rsidRDefault="00B04D24" w:rsidP="00B04D24">
            <w:pPr>
              <w:rPr>
                <w:color w:val="000000" w:themeColor="text1"/>
                <w:sz w:val="24"/>
                <w:szCs w:val="24"/>
              </w:rPr>
            </w:pPr>
          </w:p>
          <w:p w14:paraId="3DA3F64D" w14:textId="77777777" w:rsidR="00B04D24" w:rsidRPr="00157EAF" w:rsidRDefault="00B04D24" w:rsidP="00B04D24">
            <w:pPr>
              <w:rPr>
                <w:color w:val="000000" w:themeColor="text1"/>
                <w:sz w:val="24"/>
                <w:szCs w:val="24"/>
              </w:rPr>
            </w:pPr>
          </w:p>
          <w:p w14:paraId="562CC542" w14:textId="77777777" w:rsidR="00B04D24" w:rsidRPr="00157EAF" w:rsidRDefault="00B04D24" w:rsidP="00B04D24">
            <w:pPr>
              <w:rPr>
                <w:color w:val="000000" w:themeColor="text1"/>
                <w:sz w:val="24"/>
                <w:szCs w:val="24"/>
              </w:rPr>
            </w:pPr>
          </w:p>
          <w:p w14:paraId="0E98544A" w14:textId="77777777" w:rsidR="00B04D24" w:rsidRPr="00157EAF" w:rsidRDefault="00B04D24" w:rsidP="00B04D24">
            <w:pPr>
              <w:rPr>
                <w:color w:val="000000" w:themeColor="text1"/>
                <w:sz w:val="24"/>
                <w:szCs w:val="24"/>
              </w:rPr>
            </w:pPr>
          </w:p>
          <w:p w14:paraId="04E65029" w14:textId="77777777" w:rsidR="00B04D24" w:rsidRPr="00157EAF" w:rsidRDefault="00B04D24" w:rsidP="00B04D24">
            <w:pPr>
              <w:rPr>
                <w:color w:val="000000" w:themeColor="text1"/>
                <w:sz w:val="24"/>
                <w:szCs w:val="24"/>
              </w:rPr>
            </w:pPr>
          </w:p>
          <w:p w14:paraId="129DEDFE" w14:textId="77777777" w:rsidR="00B04D24" w:rsidRPr="00157EAF" w:rsidRDefault="00B04D24" w:rsidP="00B04D24">
            <w:pPr>
              <w:rPr>
                <w:color w:val="000000" w:themeColor="text1"/>
                <w:sz w:val="24"/>
                <w:szCs w:val="24"/>
              </w:rPr>
            </w:pPr>
          </w:p>
          <w:p w14:paraId="4FBFEC7C" w14:textId="77777777" w:rsidR="00B04D24" w:rsidRPr="00157EAF" w:rsidRDefault="00B04D24" w:rsidP="00B04D24">
            <w:pPr>
              <w:rPr>
                <w:color w:val="000000" w:themeColor="text1"/>
                <w:sz w:val="24"/>
                <w:szCs w:val="24"/>
              </w:rPr>
            </w:pPr>
          </w:p>
          <w:p w14:paraId="10E02844" w14:textId="77777777" w:rsidR="00B04D24" w:rsidRPr="00157EAF" w:rsidRDefault="00B04D24" w:rsidP="00B04D24">
            <w:pPr>
              <w:rPr>
                <w:color w:val="000000" w:themeColor="text1"/>
                <w:sz w:val="24"/>
                <w:szCs w:val="24"/>
              </w:rPr>
            </w:pPr>
          </w:p>
          <w:p w14:paraId="02757CAB" w14:textId="77777777" w:rsidR="00B04D24" w:rsidRPr="00157EAF" w:rsidRDefault="00B04D24" w:rsidP="00B04D24">
            <w:pPr>
              <w:rPr>
                <w:color w:val="000000" w:themeColor="text1"/>
                <w:sz w:val="24"/>
                <w:szCs w:val="24"/>
              </w:rPr>
            </w:pPr>
          </w:p>
          <w:p w14:paraId="703C55EE" w14:textId="77777777" w:rsidR="00B04D24" w:rsidRPr="00157EAF" w:rsidRDefault="00B04D24" w:rsidP="00B04D24">
            <w:pPr>
              <w:rPr>
                <w:color w:val="000000" w:themeColor="text1"/>
                <w:sz w:val="24"/>
                <w:szCs w:val="24"/>
              </w:rPr>
            </w:pPr>
          </w:p>
          <w:p w14:paraId="20796CF7" w14:textId="77777777" w:rsidR="00B04D24" w:rsidRPr="00157EAF" w:rsidRDefault="00B04D24" w:rsidP="00B04D24">
            <w:pPr>
              <w:rPr>
                <w:color w:val="000000" w:themeColor="text1"/>
                <w:sz w:val="24"/>
                <w:szCs w:val="24"/>
              </w:rPr>
            </w:pPr>
          </w:p>
          <w:p w14:paraId="6D560E7A" w14:textId="77777777" w:rsidR="00B04D24" w:rsidRPr="00157EAF" w:rsidRDefault="00B04D24" w:rsidP="00B04D24">
            <w:pPr>
              <w:rPr>
                <w:color w:val="000000" w:themeColor="text1"/>
                <w:sz w:val="24"/>
                <w:szCs w:val="24"/>
              </w:rPr>
            </w:pPr>
          </w:p>
          <w:p w14:paraId="19765ADB" w14:textId="77777777" w:rsidR="00B04D24" w:rsidRPr="00157EAF" w:rsidRDefault="00B04D24" w:rsidP="00B04D24">
            <w:pPr>
              <w:rPr>
                <w:b/>
                <w:bCs/>
                <w:color w:val="000000" w:themeColor="text1"/>
                <w:sz w:val="24"/>
                <w:szCs w:val="24"/>
              </w:rPr>
            </w:pPr>
          </w:p>
          <w:p w14:paraId="6C8832D6" w14:textId="77777777" w:rsidR="00B04D24" w:rsidRPr="00157EAF" w:rsidRDefault="00B04D24" w:rsidP="00B04D24">
            <w:pPr>
              <w:rPr>
                <w:b/>
                <w:bCs/>
                <w:color w:val="000000" w:themeColor="text1"/>
                <w:sz w:val="24"/>
                <w:szCs w:val="24"/>
              </w:rPr>
            </w:pPr>
            <w:r w:rsidRPr="00157EAF">
              <w:rPr>
                <w:b/>
                <w:bCs/>
                <w:color w:val="000000" w:themeColor="text1"/>
                <w:sz w:val="24"/>
                <w:szCs w:val="24"/>
              </w:rPr>
              <w:lastRenderedPageBreak/>
              <w:t>References:</w:t>
            </w:r>
          </w:p>
          <w:p w14:paraId="40132D2F" w14:textId="77777777" w:rsidR="00B04D24" w:rsidRPr="00157EAF" w:rsidRDefault="00B04D24" w:rsidP="00B04D24">
            <w:pPr>
              <w:spacing w:line="360" w:lineRule="auto"/>
              <w:rPr>
                <w:color w:val="000000" w:themeColor="text1"/>
                <w:sz w:val="24"/>
                <w:szCs w:val="24"/>
              </w:rPr>
            </w:pPr>
          </w:p>
          <w:p w14:paraId="3AB93E37" w14:textId="77777777" w:rsidR="00B04D24" w:rsidRPr="00157EAF" w:rsidRDefault="00B04D24" w:rsidP="00B04D24">
            <w:pPr>
              <w:spacing w:line="360" w:lineRule="auto"/>
              <w:rPr>
                <w:color w:val="000000" w:themeColor="text1"/>
                <w:sz w:val="24"/>
                <w:szCs w:val="24"/>
              </w:rPr>
            </w:pPr>
            <w:r w:rsidRPr="00157EAF">
              <w:rPr>
                <w:color w:val="000000" w:themeColor="text1"/>
                <w:sz w:val="24"/>
                <w:szCs w:val="24"/>
              </w:rPr>
              <w:t xml:space="preserve">Age UK, 2023. Age UK issues clarion call for a big shift towards joined up home and community-based health and social care services for older people. </w:t>
            </w:r>
          </w:p>
          <w:p w14:paraId="6F948B29" w14:textId="77777777" w:rsidR="00B04D24" w:rsidRPr="00157EAF" w:rsidRDefault="00B04D24" w:rsidP="00B04D24">
            <w:pPr>
              <w:spacing w:line="360" w:lineRule="auto"/>
              <w:rPr>
                <w:color w:val="000000" w:themeColor="text1"/>
                <w:sz w:val="24"/>
                <w:szCs w:val="24"/>
              </w:rPr>
            </w:pPr>
          </w:p>
          <w:p w14:paraId="30AB932A"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Barrow-Grint, K., </w:t>
            </w:r>
            <w:proofErr w:type="spellStart"/>
            <w:r w:rsidRPr="00157EAF">
              <w:rPr>
                <w:color w:val="000000" w:themeColor="text1"/>
                <w:sz w:val="24"/>
                <w:szCs w:val="24"/>
                <w:shd w:val="clear" w:color="auto" w:fill="FFFFFF"/>
              </w:rPr>
              <w:t>Sebire</w:t>
            </w:r>
            <w:proofErr w:type="spellEnd"/>
            <w:r w:rsidRPr="00157EAF">
              <w:rPr>
                <w:color w:val="000000" w:themeColor="text1"/>
                <w:sz w:val="24"/>
                <w:szCs w:val="24"/>
                <w:shd w:val="clear" w:color="auto" w:fill="FFFFFF"/>
              </w:rPr>
              <w:t>, J., Turton, J. and Weir, R., 2022. </w:t>
            </w:r>
            <w:r w:rsidRPr="00157EAF">
              <w:rPr>
                <w:i/>
                <w:iCs/>
                <w:color w:val="000000" w:themeColor="text1"/>
                <w:sz w:val="24"/>
                <w:szCs w:val="24"/>
                <w:shd w:val="clear" w:color="auto" w:fill="FFFFFF"/>
              </w:rPr>
              <w:t>Policing Domestic Abuse: Risk, Policy, and Practice</w:t>
            </w:r>
            <w:r w:rsidRPr="00157EAF">
              <w:rPr>
                <w:color w:val="000000" w:themeColor="text1"/>
                <w:sz w:val="24"/>
                <w:szCs w:val="24"/>
                <w:shd w:val="clear" w:color="auto" w:fill="FFFFFF"/>
              </w:rPr>
              <w:t>. Routledge.</w:t>
            </w:r>
          </w:p>
          <w:p w14:paraId="4139820F" w14:textId="77777777" w:rsidR="00B04D24" w:rsidRPr="00157EAF" w:rsidRDefault="00B04D24" w:rsidP="00B04D24">
            <w:pPr>
              <w:spacing w:line="360" w:lineRule="auto"/>
              <w:rPr>
                <w:color w:val="000000" w:themeColor="text1"/>
                <w:sz w:val="24"/>
                <w:szCs w:val="24"/>
                <w:shd w:val="clear" w:color="auto" w:fill="FFFFFF"/>
              </w:rPr>
            </w:pPr>
          </w:p>
          <w:p w14:paraId="563F3E15"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BASW, 2021. The BASW code of ethics for social work.</w:t>
            </w:r>
          </w:p>
          <w:p w14:paraId="533D9427" w14:textId="77777777" w:rsidR="00B04D24" w:rsidRPr="00157EAF" w:rsidRDefault="00B04D24" w:rsidP="00B04D24">
            <w:pPr>
              <w:spacing w:line="360" w:lineRule="auto"/>
              <w:rPr>
                <w:color w:val="000000" w:themeColor="text1"/>
                <w:sz w:val="24"/>
                <w:szCs w:val="24"/>
                <w:shd w:val="clear" w:color="auto" w:fill="FFFFFF"/>
              </w:rPr>
            </w:pPr>
          </w:p>
          <w:p w14:paraId="7C6984EA"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Brown, C., 2024. Towards a ‘Social </w:t>
            </w:r>
            <w:proofErr w:type="spellStart"/>
            <w:r w:rsidRPr="00157EAF">
              <w:rPr>
                <w:color w:val="000000" w:themeColor="text1"/>
                <w:sz w:val="24"/>
                <w:szCs w:val="24"/>
                <w:shd w:val="clear" w:color="auto" w:fill="FFFFFF"/>
              </w:rPr>
              <w:t>Model’of</w:t>
            </w:r>
            <w:proofErr w:type="spellEnd"/>
            <w:r w:rsidRPr="00157EAF">
              <w:rPr>
                <w:color w:val="000000" w:themeColor="text1"/>
                <w:sz w:val="24"/>
                <w:szCs w:val="24"/>
                <w:shd w:val="clear" w:color="auto" w:fill="FFFFFF"/>
              </w:rPr>
              <w:t xml:space="preserve"> Mental Capacity for Social Work. </w:t>
            </w:r>
            <w:r w:rsidRPr="00157EAF">
              <w:rPr>
                <w:i/>
                <w:iCs/>
                <w:color w:val="000000" w:themeColor="text1"/>
                <w:sz w:val="24"/>
                <w:szCs w:val="24"/>
                <w:shd w:val="clear" w:color="auto" w:fill="FFFFFF"/>
              </w:rPr>
              <w:t>The British Journal of Social Work</w:t>
            </w:r>
            <w:r w:rsidRPr="00157EAF">
              <w:rPr>
                <w:color w:val="000000" w:themeColor="text1"/>
                <w:sz w:val="24"/>
                <w:szCs w:val="24"/>
                <w:shd w:val="clear" w:color="auto" w:fill="FFFFFF"/>
              </w:rPr>
              <w:t>, </w:t>
            </w:r>
            <w:r w:rsidRPr="00157EAF">
              <w:rPr>
                <w:i/>
                <w:iCs/>
                <w:color w:val="000000" w:themeColor="text1"/>
                <w:sz w:val="24"/>
                <w:szCs w:val="24"/>
                <w:shd w:val="clear" w:color="auto" w:fill="FFFFFF"/>
              </w:rPr>
              <w:t>54</w:t>
            </w:r>
            <w:r w:rsidRPr="00157EAF">
              <w:rPr>
                <w:color w:val="000000" w:themeColor="text1"/>
                <w:sz w:val="24"/>
                <w:szCs w:val="24"/>
                <w:shd w:val="clear" w:color="auto" w:fill="FFFFFF"/>
              </w:rPr>
              <w:t>(4), pp.1610-1626.</w:t>
            </w:r>
          </w:p>
          <w:p w14:paraId="771D02A9" w14:textId="77777777" w:rsidR="00B04D24" w:rsidRPr="00157EAF" w:rsidRDefault="00B04D24" w:rsidP="00B04D24">
            <w:pPr>
              <w:spacing w:line="360" w:lineRule="auto"/>
              <w:rPr>
                <w:color w:val="000000" w:themeColor="text1"/>
                <w:sz w:val="24"/>
                <w:szCs w:val="24"/>
                <w:shd w:val="clear" w:color="auto" w:fill="FFFFFF"/>
              </w:rPr>
            </w:pPr>
          </w:p>
          <w:p w14:paraId="2EFBFEC3"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Dixon, J., 2023. </w:t>
            </w:r>
            <w:r w:rsidRPr="00157EAF">
              <w:rPr>
                <w:i/>
                <w:iCs/>
                <w:color w:val="000000" w:themeColor="text1"/>
                <w:sz w:val="24"/>
                <w:szCs w:val="24"/>
                <w:shd w:val="clear" w:color="auto" w:fill="FFFFFF"/>
              </w:rPr>
              <w:t>Adult Safeguarding Observed: How Social Workers Assess and Manage Risk and Uncertainty</w:t>
            </w:r>
            <w:r w:rsidRPr="00157EAF">
              <w:rPr>
                <w:color w:val="000000" w:themeColor="text1"/>
                <w:sz w:val="24"/>
                <w:szCs w:val="24"/>
                <w:shd w:val="clear" w:color="auto" w:fill="FFFFFF"/>
              </w:rPr>
              <w:t>. Policy Press.</w:t>
            </w:r>
          </w:p>
          <w:p w14:paraId="146951F0" w14:textId="77777777" w:rsidR="00B04D24" w:rsidRPr="00157EAF" w:rsidRDefault="00B04D24" w:rsidP="00B04D24">
            <w:pPr>
              <w:spacing w:line="360" w:lineRule="auto"/>
              <w:rPr>
                <w:color w:val="000000" w:themeColor="text1"/>
                <w:sz w:val="24"/>
                <w:szCs w:val="24"/>
                <w:shd w:val="clear" w:color="auto" w:fill="FFFFFF"/>
              </w:rPr>
            </w:pPr>
          </w:p>
          <w:p w14:paraId="27792886"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Karim, S., 2023. Power-informed practice in social work. </w:t>
            </w:r>
            <w:r w:rsidRPr="00157EAF">
              <w:rPr>
                <w:i/>
                <w:iCs/>
                <w:color w:val="000000" w:themeColor="text1"/>
                <w:sz w:val="24"/>
                <w:szCs w:val="24"/>
                <w:shd w:val="clear" w:color="auto" w:fill="FFFFFF"/>
              </w:rPr>
              <w:t>Journal of Social Work</w:t>
            </w:r>
            <w:r w:rsidRPr="00157EAF">
              <w:rPr>
                <w:color w:val="000000" w:themeColor="text1"/>
                <w:sz w:val="24"/>
                <w:szCs w:val="24"/>
                <w:shd w:val="clear" w:color="auto" w:fill="FFFFFF"/>
              </w:rPr>
              <w:t>, </w:t>
            </w:r>
            <w:r w:rsidRPr="00157EAF">
              <w:rPr>
                <w:i/>
                <w:iCs/>
                <w:color w:val="000000" w:themeColor="text1"/>
                <w:sz w:val="24"/>
                <w:szCs w:val="24"/>
                <w:shd w:val="clear" w:color="auto" w:fill="FFFFFF"/>
              </w:rPr>
              <w:t>23</w:t>
            </w:r>
            <w:r w:rsidRPr="00157EAF">
              <w:rPr>
                <w:color w:val="000000" w:themeColor="text1"/>
                <w:sz w:val="24"/>
                <w:szCs w:val="24"/>
                <w:shd w:val="clear" w:color="auto" w:fill="FFFFFF"/>
              </w:rPr>
              <w:t>(6), pp.1062-1079.</w:t>
            </w:r>
          </w:p>
          <w:p w14:paraId="6E146954" w14:textId="77777777" w:rsidR="00B04D24" w:rsidRPr="00157EAF" w:rsidRDefault="00B04D24" w:rsidP="00B04D24">
            <w:pPr>
              <w:spacing w:line="360" w:lineRule="auto"/>
              <w:rPr>
                <w:color w:val="000000" w:themeColor="text1"/>
                <w:sz w:val="24"/>
                <w:szCs w:val="24"/>
                <w:shd w:val="clear" w:color="auto" w:fill="FFFFFF"/>
              </w:rPr>
            </w:pPr>
          </w:p>
          <w:p w14:paraId="2019B4C0" w14:textId="77777777" w:rsidR="00B04D24" w:rsidRPr="00157EAF" w:rsidRDefault="00B04D24" w:rsidP="00B04D24">
            <w:pPr>
              <w:spacing w:line="360" w:lineRule="auto"/>
              <w:rPr>
                <w:color w:val="000000" w:themeColor="text1"/>
                <w:sz w:val="24"/>
                <w:szCs w:val="24"/>
                <w:shd w:val="clear" w:color="auto" w:fill="FFFFFF"/>
              </w:rPr>
            </w:pPr>
            <w:proofErr w:type="spellStart"/>
            <w:r w:rsidRPr="00157EAF">
              <w:rPr>
                <w:color w:val="000000" w:themeColor="text1"/>
                <w:sz w:val="24"/>
                <w:szCs w:val="24"/>
                <w:shd w:val="clear" w:color="auto" w:fill="FFFFFF"/>
              </w:rPr>
              <w:t>Kihlström</w:t>
            </w:r>
            <w:proofErr w:type="spellEnd"/>
            <w:r w:rsidRPr="00157EAF">
              <w:rPr>
                <w:color w:val="000000" w:themeColor="text1"/>
                <w:sz w:val="24"/>
                <w:szCs w:val="24"/>
                <w:shd w:val="clear" w:color="auto" w:fill="FFFFFF"/>
              </w:rPr>
              <w:t>, A., 2012. Luhmann’s system theory in social work: Criticism and reflections. </w:t>
            </w:r>
            <w:r w:rsidRPr="00157EAF">
              <w:rPr>
                <w:i/>
                <w:iCs/>
                <w:color w:val="000000" w:themeColor="text1"/>
                <w:sz w:val="24"/>
                <w:szCs w:val="24"/>
                <w:shd w:val="clear" w:color="auto" w:fill="FFFFFF"/>
              </w:rPr>
              <w:t>Journal of social work</w:t>
            </w:r>
            <w:r w:rsidRPr="00157EAF">
              <w:rPr>
                <w:color w:val="000000" w:themeColor="text1"/>
                <w:sz w:val="24"/>
                <w:szCs w:val="24"/>
                <w:shd w:val="clear" w:color="auto" w:fill="FFFFFF"/>
              </w:rPr>
              <w:t>, </w:t>
            </w:r>
            <w:r w:rsidRPr="00157EAF">
              <w:rPr>
                <w:i/>
                <w:iCs/>
                <w:color w:val="000000" w:themeColor="text1"/>
                <w:sz w:val="24"/>
                <w:szCs w:val="24"/>
                <w:shd w:val="clear" w:color="auto" w:fill="FFFFFF"/>
              </w:rPr>
              <w:t>12</w:t>
            </w:r>
            <w:r w:rsidRPr="00157EAF">
              <w:rPr>
                <w:color w:val="000000" w:themeColor="text1"/>
                <w:sz w:val="24"/>
                <w:szCs w:val="24"/>
                <w:shd w:val="clear" w:color="auto" w:fill="FFFFFF"/>
              </w:rPr>
              <w:t>(3), pp.287-299.</w:t>
            </w:r>
          </w:p>
          <w:p w14:paraId="1537FFB2" w14:textId="77777777" w:rsidR="00B04D24" w:rsidRPr="00157EAF" w:rsidRDefault="00B04D24" w:rsidP="00B04D24">
            <w:pPr>
              <w:spacing w:line="360" w:lineRule="auto"/>
              <w:rPr>
                <w:color w:val="000000" w:themeColor="text1"/>
                <w:sz w:val="24"/>
                <w:szCs w:val="24"/>
                <w:shd w:val="clear" w:color="auto" w:fill="FFFFFF"/>
              </w:rPr>
            </w:pPr>
          </w:p>
          <w:p w14:paraId="20591041"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Koprowska, J., 2008. Communication and interpersonal skills in social work.</w:t>
            </w:r>
          </w:p>
          <w:p w14:paraId="13D1571F" w14:textId="77777777" w:rsidR="00B04D24" w:rsidRPr="00157EAF" w:rsidRDefault="00B04D24" w:rsidP="00B04D24">
            <w:pPr>
              <w:spacing w:line="360" w:lineRule="auto"/>
              <w:rPr>
                <w:color w:val="000000" w:themeColor="text1"/>
                <w:sz w:val="24"/>
                <w:szCs w:val="24"/>
                <w:shd w:val="clear" w:color="auto" w:fill="FFFFFF"/>
              </w:rPr>
            </w:pPr>
          </w:p>
          <w:p w14:paraId="6107FB01"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Lyons, A., 2018. </w:t>
            </w:r>
            <w:r w:rsidRPr="00157EAF">
              <w:rPr>
                <w:i/>
                <w:iCs/>
                <w:color w:val="000000" w:themeColor="text1"/>
                <w:sz w:val="24"/>
                <w:szCs w:val="24"/>
                <w:shd w:val="clear" w:color="auto" w:fill="FFFFFF"/>
              </w:rPr>
              <w:t>Different laws, same principles: Mental health and incapacity legislation across the UK</w:t>
            </w:r>
            <w:r w:rsidRPr="00157EAF">
              <w:rPr>
                <w:color w:val="000000" w:themeColor="text1"/>
                <w:sz w:val="24"/>
                <w:szCs w:val="24"/>
                <w:shd w:val="clear" w:color="auto" w:fill="FFFFFF"/>
              </w:rPr>
              <w:t>. Publisher.</w:t>
            </w:r>
          </w:p>
          <w:p w14:paraId="0A353ECA" w14:textId="77777777" w:rsidR="00B04D24" w:rsidRPr="00157EAF" w:rsidRDefault="00B04D24" w:rsidP="00B04D24">
            <w:pPr>
              <w:spacing w:line="360" w:lineRule="auto"/>
              <w:rPr>
                <w:color w:val="000000" w:themeColor="text1"/>
                <w:sz w:val="24"/>
                <w:szCs w:val="24"/>
                <w:shd w:val="clear" w:color="auto" w:fill="FFFFFF"/>
              </w:rPr>
            </w:pPr>
          </w:p>
          <w:p w14:paraId="37B694AA" w14:textId="77777777" w:rsidR="00B04D24" w:rsidRPr="00157EAF" w:rsidRDefault="00B04D24" w:rsidP="00B04D24">
            <w:pPr>
              <w:spacing w:line="360" w:lineRule="auto"/>
              <w:rPr>
                <w:color w:val="000000" w:themeColor="text1"/>
                <w:sz w:val="24"/>
                <w:szCs w:val="24"/>
                <w:shd w:val="clear" w:color="auto" w:fill="FFFFFF"/>
              </w:rPr>
            </w:pPr>
            <w:proofErr w:type="spellStart"/>
            <w:r w:rsidRPr="00157EAF">
              <w:rPr>
                <w:color w:val="000000" w:themeColor="text1"/>
                <w:sz w:val="24"/>
                <w:szCs w:val="24"/>
                <w:shd w:val="clear" w:color="auto" w:fill="FFFFFF"/>
              </w:rPr>
              <w:t>Mackreth</w:t>
            </w:r>
            <w:proofErr w:type="spellEnd"/>
            <w:r w:rsidRPr="00157EAF">
              <w:rPr>
                <w:color w:val="000000" w:themeColor="text1"/>
                <w:sz w:val="24"/>
                <w:szCs w:val="24"/>
                <w:shd w:val="clear" w:color="auto" w:fill="FFFFFF"/>
              </w:rPr>
              <w:t>, P. and Walker, B., 2020. </w:t>
            </w:r>
            <w:r w:rsidRPr="00157EAF">
              <w:rPr>
                <w:i/>
                <w:iCs/>
                <w:color w:val="000000" w:themeColor="text1"/>
                <w:sz w:val="24"/>
                <w:szCs w:val="24"/>
                <w:shd w:val="clear" w:color="auto" w:fill="FFFFFF"/>
              </w:rPr>
              <w:t>A Handbook for Support Workers in Health and Social Care: A Person-centred Approach</w:t>
            </w:r>
            <w:r w:rsidRPr="00157EAF">
              <w:rPr>
                <w:color w:val="000000" w:themeColor="text1"/>
                <w:sz w:val="24"/>
                <w:szCs w:val="24"/>
                <w:shd w:val="clear" w:color="auto" w:fill="FFFFFF"/>
              </w:rPr>
              <w:t>. Routledge.</w:t>
            </w:r>
          </w:p>
          <w:p w14:paraId="727209F5" w14:textId="77777777" w:rsidR="00B04D24" w:rsidRPr="00157EAF" w:rsidRDefault="00B04D24" w:rsidP="00B04D24">
            <w:pPr>
              <w:spacing w:line="360" w:lineRule="auto"/>
              <w:rPr>
                <w:color w:val="000000" w:themeColor="text1"/>
                <w:sz w:val="24"/>
                <w:szCs w:val="24"/>
                <w:shd w:val="clear" w:color="auto" w:fill="FFFFFF"/>
              </w:rPr>
            </w:pPr>
          </w:p>
          <w:p w14:paraId="1BF4F1CB" w14:textId="77777777" w:rsidR="00B04D24" w:rsidRPr="00157EAF" w:rsidRDefault="00B04D24" w:rsidP="00B04D24">
            <w:pPr>
              <w:spacing w:line="360" w:lineRule="auto"/>
              <w:rPr>
                <w:i/>
                <w:iCs/>
                <w:color w:val="000000" w:themeColor="text1"/>
                <w:sz w:val="24"/>
                <w:szCs w:val="24"/>
                <w:shd w:val="clear" w:color="auto" w:fill="FFFFFF"/>
              </w:rPr>
            </w:pPr>
            <w:r w:rsidRPr="00157EAF">
              <w:rPr>
                <w:color w:val="000000" w:themeColor="text1"/>
                <w:sz w:val="24"/>
                <w:szCs w:val="24"/>
                <w:shd w:val="clear" w:color="auto" w:fill="FFFFFF"/>
              </w:rPr>
              <w:t xml:space="preserve">Mental Capacity Act 2005. (2005). </w:t>
            </w:r>
            <w:r w:rsidRPr="00157EAF">
              <w:rPr>
                <w:i/>
                <w:iCs/>
                <w:color w:val="000000" w:themeColor="text1"/>
                <w:sz w:val="24"/>
                <w:szCs w:val="24"/>
                <w:shd w:val="clear" w:color="auto" w:fill="FFFFFF"/>
              </w:rPr>
              <w:t>An Act of the Parliament of the United Kingdom</w:t>
            </w:r>
          </w:p>
          <w:p w14:paraId="1EECC0E8" w14:textId="77777777" w:rsidR="00B04D24" w:rsidRPr="00157EAF" w:rsidRDefault="00B04D24" w:rsidP="00B04D24">
            <w:pPr>
              <w:spacing w:line="360" w:lineRule="auto"/>
              <w:rPr>
                <w:i/>
                <w:iCs/>
                <w:color w:val="000000" w:themeColor="text1"/>
                <w:sz w:val="24"/>
                <w:szCs w:val="24"/>
                <w:shd w:val="clear" w:color="auto" w:fill="FFFFFF"/>
              </w:rPr>
            </w:pPr>
          </w:p>
          <w:p w14:paraId="7BB134AE"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Mishna, F., Van Wert, M. and Asakura, K., 2013. The best kept secret in social work: Empirical support for contemporary psychodynamic social work practice. Journal of Social Work Practice, 27(3), pp.289-303.</w:t>
            </w:r>
          </w:p>
          <w:p w14:paraId="583F0473" w14:textId="77777777" w:rsidR="00B04D24" w:rsidRPr="00157EAF" w:rsidRDefault="00B04D24" w:rsidP="00B04D24">
            <w:pPr>
              <w:spacing w:line="360" w:lineRule="auto"/>
              <w:rPr>
                <w:i/>
                <w:iCs/>
                <w:color w:val="000000" w:themeColor="text1"/>
                <w:sz w:val="24"/>
                <w:szCs w:val="24"/>
                <w:shd w:val="clear" w:color="auto" w:fill="FFFFFF"/>
              </w:rPr>
            </w:pPr>
          </w:p>
          <w:p w14:paraId="049A98C1" w14:textId="77777777" w:rsidR="00B04D24" w:rsidRPr="00157EAF" w:rsidRDefault="00B04D24" w:rsidP="00B04D24">
            <w:pPr>
              <w:spacing w:line="360" w:lineRule="auto"/>
              <w:rPr>
                <w:i/>
                <w:iCs/>
                <w:color w:val="000000" w:themeColor="text1"/>
                <w:sz w:val="24"/>
                <w:szCs w:val="24"/>
                <w:shd w:val="clear" w:color="auto" w:fill="FFFFFF"/>
              </w:rPr>
            </w:pPr>
            <w:r w:rsidRPr="00157EAF">
              <w:rPr>
                <w:color w:val="000000" w:themeColor="text1"/>
                <w:sz w:val="24"/>
                <w:szCs w:val="24"/>
                <w:shd w:val="clear" w:color="auto" w:fill="FFFFFF"/>
              </w:rPr>
              <w:t xml:space="preserve">NHS, Mental Capacity Act. 2024. </w:t>
            </w:r>
          </w:p>
          <w:p w14:paraId="39E2E9F2" w14:textId="77777777" w:rsidR="00B04D24" w:rsidRPr="00157EAF" w:rsidRDefault="00B04D24" w:rsidP="00B04D24">
            <w:pPr>
              <w:spacing w:line="360" w:lineRule="auto"/>
              <w:rPr>
                <w:color w:val="000000" w:themeColor="text1"/>
                <w:sz w:val="24"/>
                <w:szCs w:val="24"/>
                <w:shd w:val="clear" w:color="auto" w:fill="FFFFFF"/>
              </w:rPr>
            </w:pPr>
          </w:p>
          <w:p w14:paraId="5135CDD7"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Nicholson, T.R., Cutter, W. and </w:t>
            </w:r>
            <w:proofErr w:type="spellStart"/>
            <w:r w:rsidRPr="00157EAF">
              <w:rPr>
                <w:color w:val="000000" w:themeColor="text1"/>
                <w:sz w:val="24"/>
                <w:szCs w:val="24"/>
                <w:shd w:val="clear" w:color="auto" w:fill="FFFFFF"/>
              </w:rPr>
              <w:t>Hotopf</w:t>
            </w:r>
            <w:proofErr w:type="spellEnd"/>
            <w:r w:rsidRPr="00157EAF">
              <w:rPr>
                <w:color w:val="000000" w:themeColor="text1"/>
                <w:sz w:val="24"/>
                <w:szCs w:val="24"/>
                <w:shd w:val="clear" w:color="auto" w:fill="FFFFFF"/>
              </w:rPr>
              <w:t>, M., 2008. Assessing mental capacity: The mental capacity act. </w:t>
            </w:r>
            <w:proofErr w:type="spellStart"/>
            <w:r w:rsidRPr="00157EAF">
              <w:rPr>
                <w:i/>
                <w:iCs/>
                <w:color w:val="000000" w:themeColor="text1"/>
                <w:sz w:val="24"/>
                <w:szCs w:val="24"/>
                <w:shd w:val="clear" w:color="auto" w:fill="FFFFFF"/>
              </w:rPr>
              <w:t>Bmj</w:t>
            </w:r>
            <w:proofErr w:type="spellEnd"/>
            <w:r w:rsidRPr="00157EAF">
              <w:rPr>
                <w:color w:val="000000" w:themeColor="text1"/>
                <w:sz w:val="24"/>
                <w:szCs w:val="24"/>
                <w:shd w:val="clear" w:color="auto" w:fill="FFFFFF"/>
              </w:rPr>
              <w:t>, </w:t>
            </w:r>
            <w:r w:rsidRPr="00157EAF">
              <w:rPr>
                <w:i/>
                <w:iCs/>
                <w:color w:val="000000" w:themeColor="text1"/>
                <w:sz w:val="24"/>
                <w:szCs w:val="24"/>
                <w:shd w:val="clear" w:color="auto" w:fill="FFFFFF"/>
              </w:rPr>
              <w:t>336</w:t>
            </w:r>
            <w:r w:rsidRPr="00157EAF">
              <w:rPr>
                <w:color w:val="000000" w:themeColor="text1"/>
                <w:sz w:val="24"/>
                <w:szCs w:val="24"/>
                <w:shd w:val="clear" w:color="auto" w:fill="FFFFFF"/>
              </w:rPr>
              <w:t>(7639), pp.322-325.</w:t>
            </w:r>
          </w:p>
          <w:p w14:paraId="1826A4A6" w14:textId="77777777" w:rsidR="00B04D24" w:rsidRPr="00157EAF" w:rsidRDefault="00B04D24" w:rsidP="00B04D24">
            <w:pPr>
              <w:spacing w:line="360" w:lineRule="auto"/>
              <w:rPr>
                <w:color w:val="000000" w:themeColor="text1"/>
                <w:sz w:val="24"/>
                <w:szCs w:val="24"/>
                <w:shd w:val="clear" w:color="auto" w:fill="FFFFFF"/>
              </w:rPr>
            </w:pPr>
          </w:p>
          <w:p w14:paraId="1D872B3B" w14:textId="77777777" w:rsidR="00B04D24" w:rsidRPr="00157EAF" w:rsidRDefault="00B04D24" w:rsidP="00B04D24">
            <w:pPr>
              <w:spacing w:line="360" w:lineRule="auto"/>
              <w:rPr>
                <w:color w:val="000000" w:themeColor="text1"/>
                <w:sz w:val="24"/>
                <w:szCs w:val="24"/>
                <w:shd w:val="clear" w:color="auto" w:fill="FFFFFF"/>
              </w:rPr>
            </w:pPr>
            <w:r w:rsidRPr="00157EAF">
              <w:rPr>
                <w:color w:val="000000" w:themeColor="text1"/>
                <w:sz w:val="24"/>
                <w:szCs w:val="24"/>
                <w:shd w:val="clear" w:color="auto" w:fill="FFFFFF"/>
              </w:rPr>
              <w:t xml:space="preserve">Phillips, C., 2016. </w:t>
            </w:r>
            <w:proofErr w:type="spellStart"/>
            <w:r w:rsidRPr="00157EAF">
              <w:rPr>
                <w:color w:val="000000" w:themeColor="text1"/>
                <w:sz w:val="24"/>
                <w:szCs w:val="24"/>
                <w:shd w:val="clear" w:color="auto" w:fill="FFFFFF"/>
              </w:rPr>
              <w:t>Wales’</w:t>
            </w:r>
            <w:proofErr w:type="spellEnd"/>
            <w:r w:rsidRPr="00157EAF">
              <w:rPr>
                <w:color w:val="000000" w:themeColor="text1"/>
                <w:sz w:val="24"/>
                <w:szCs w:val="24"/>
                <w:shd w:val="clear" w:color="auto" w:fill="FFFFFF"/>
              </w:rPr>
              <w:t xml:space="preserve"> safeguarding policy and practice: a critical analysis. </w:t>
            </w:r>
            <w:r w:rsidRPr="00157EAF">
              <w:rPr>
                <w:i/>
                <w:iCs/>
                <w:color w:val="000000" w:themeColor="text1"/>
                <w:sz w:val="24"/>
                <w:szCs w:val="24"/>
                <w:shd w:val="clear" w:color="auto" w:fill="FFFFFF"/>
              </w:rPr>
              <w:t>The Journal of Adult Protection</w:t>
            </w:r>
            <w:r w:rsidRPr="00157EAF">
              <w:rPr>
                <w:color w:val="000000" w:themeColor="text1"/>
                <w:sz w:val="24"/>
                <w:szCs w:val="24"/>
                <w:shd w:val="clear" w:color="auto" w:fill="FFFFFF"/>
              </w:rPr>
              <w:t>, </w:t>
            </w:r>
            <w:r w:rsidRPr="00157EAF">
              <w:rPr>
                <w:i/>
                <w:iCs/>
                <w:color w:val="000000" w:themeColor="text1"/>
                <w:sz w:val="24"/>
                <w:szCs w:val="24"/>
                <w:shd w:val="clear" w:color="auto" w:fill="FFFFFF"/>
              </w:rPr>
              <w:t>18</w:t>
            </w:r>
            <w:r w:rsidRPr="00157EAF">
              <w:rPr>
                <w:color w:val="000000" w:themeColor="text1"/>
                <w:sz w:val="24"/>
                <w:szCs w:val="24"/>
                <w:shd w:val="clear" w:color="auto" w:fill="FFFFFF"/>
              </w:rPr>
              <w:t>(1), pp.14-27.</w:t>
            </w:r>
          </w:p>
          <w:p w14:paraId="65922F61" w14:textId="77777777" w:rsidR="00B04D24" w:rsidRPr="00157EAF" w:rsidRDefault="00B04D24" w:rsidP="00B04D24">
            <w:pPr>
              <w:spacing w:line="360" w:lineRule="auto"/>
              <w:rPr>
                <w:color w:val="000000" w:themeColor="text1"/>
                <w:sz w:val="24"/>
                <w:szCs w:val="24"/>
              </w:rPr>
            </w:pPr>
          </w:p>
          <w:p w14:paraId="343077E0" w14:textId="77777777" w:rsidR="00B04D24" w:rsidRPr="00157EAF" w:rsidRDefault="00B04D24" w:rsidP="00B04D24">
            <w:pPr>
              <w:spacing w:line="360" w:lineRule="auto"/>
              <w:rPr>
                <w:color w:val="000000" w:themeColor="text1"/>
                <w:sz w:val="24"/>
                <w:szCs w:val="24"/>
              </w:rPr>
            </w:pPr>
            <w:r w:rsidRPr="00157EAF">
              <w:rPr>
                <w:color w:val="000000" w:themeColor="text1"/>
                <w:sz w:val="24"/>
                <w:szCs w:val="24"/>
              </w:rPr>
              <w:t>Social Care Wales (SCW), 2024.</w:t>
            </w:r>
          </w:p>
          <w:p w14:paraId="4273ABD5" w14:textId="77777777" w:rsidR="00B04D24" w:rsidRPr="00157EAF" w:rsidRDefault="00B04D24" w:rsidP="00B04D24">
            <w:pPr>
              <w:spacing w:line="360" w:lineRule="auto"/>
              <w:rPr>
                <w:color w:val="000000" w:themeColor="text1"/>
                <w:sz w:val="24"/>
                <w:szCs w:val="24"/>
              </w:rPr>
            </w:pPr>
          </w:p>
          <w:p w14:paraId="6A93F3F3" w14:textId="77777777" w:rsidR="00B04D24" w:rsidRPr="00157EAF" w:rsidRDefault="00B04D24" w:rsidP="00B04D24">
            <w:pPr>
              <w:spacing w:line="360" w:lineRule="auto"/>
              <w:rPr>
                <w:color w:val="000000" w:themeColor="text1"/>
                <w:sz w:val="24"/>
                <w:szCs w:val="24"/>
              </w:rPr>
            </w:pPr>
            <w:r w:rsidRPr="00157EAF">
              <w:rPr>
                <w:color w:val="000000" w:themeColor="text1"/>
                <w:sz w:val="24"/>
                <w:szCs w:val="24"/>
              </w:rPr>
              <w:t xml:space="preserve">Social Services and Well-being (Wales) Act 2014, </w:t>
            </w:r>
            <w:r w:rsidRPr="00157EAF">
              <w:rPr>
                <w:i/>
                <w:iCs/>
                <w:color w:val="000000" w:themeColor="text1"/>
                <w:sz w:val="24"/>
                <w:szCs w:val="24"/>
              </w:rPr>
              <w:t>An Act of the National Assembly for Wales</w:t>
            </w:r>
            <w:r w:rsidRPr="00157EAF">
              <w:rPr>
                <w:color w:val="000000" w:themeColor="text1"/>
                <w:sz w:val="24"/>
                <w:szCs w:val="24"/>
              </w:rPr>
              <w:t xml:space="preserve">. </w:t>
            </w:r>
          </w:p>
          <w:p w14:paraId="4902AEDB" w14:textId="77777777" w:rsidR="00B04D24" w:rsidRPr="00157EAF" w:rsidRDefault="00B04D24" w:rsidP="00B04D24">
            <w:pPr>
              <w:spacing w:line="360" w:lineRule="auto"/>
              <w:rPr>
                <w:color w:val="000000" w:themeColor="text1"/>
                <w:sz w:val="24"/>
                <w:szCs w:val="24"/>
              </w:rPr>
            </w:pPr>
          </w:p>
          <w:p w14:paraId="06FAF1E3" w14:textId="77777777" w:rsidR="00B04D24" w:rsidRPr="00157EAF" w:rsidRDefault="00B04D24" w:rsidP="00B04D24">
            <w:pPr>
              <w:spacing w:line="360" w:lineRule="auto"/>
              <w:rPr>
                <w:color w:val="000000" w:themeColor="text1"/>
                <w:sz w:val="24"/>
                <w:szCs w:val="24"/>
              </w:rPr>
            </w:pPr>
            <w:r w:rsidRPr="00157EAF">
              <w:rPr>
                <w:color w:val="000000" w:themeColor="text1"/>
                <w:sz w:val="24"/>
                <w:szCs w:val="24"/>
                <w:shd w:val="clear" w:color="auto" w:fill="FFFFFF"/>
              </w:rPr>
              <w:t>Thompson, S. and Thompson, N., 2023. </w:t>
            </w:r>
            <w:r w:rsidRPr="00157EAF">
              <w:rPr>
                <w:i/>
                <w:iCs/>
                <w:color w:val="000000" w:themeColor="text1"/>
                <w:sz w:val="24"/>
                <w:szCs w:val="24"/>
                <w:shd w:val="clear" w:color="auto" w:fill="FFFFFF"/>
              </w:rPr>
              <w:t>The critically reflective practitioner</w:t>
            </w:r>
            <w:r w:rsidRPr="00157EAF">
              <w:rPr>
                <w:color w:val="000000" w:themeColor="text1"/>
                <w:sz w:val="24"/>
                <w:szCs w:val="24"/>
                <w:shd w:val="clear" w:color="auto" w:fill="FFFFFF"/>
              </w:rPr>
              <w:t>. Bloomsbury Publishing.</w:t>
            </w:r>
          </w:p>
          <w:p w14:paraId="641E3B46" w14:textId="77777777" w:rsidR="00B04D24" w:rsidRPr="00157EAF" w:rsidRDefault="00B04D24" w:rsidP="00B04D24">
            <w:pPr>
              <w:spacing w:line="360" w:lineRule="auto"/>
              <w:jc w:val="both"/>
              <w:rPr>
                <w:color w:val="000000" w:themeColor="text1"/>
                <w:sz w:val="24"/>
                <w:szCs w:val="24"/>
              </w:rPr>
            </w:pPr>
          </w:p>
          <w:p w14:paraId="76D4D3E7" w14:textId="77777777" w:rsidR="00B04D24" w:rsidRPr="00157EAF" w:rsidRDefault="00B04D24" w:rsidP="00B04D24">
            <w:pPr>
              <w:spacing w:line="360" w:lineRule="auto"/>
              <w:jc w:val="both"/>
              <w:rPr>
                <w:color w:val="000000" w:themeColor="text1"/>
                <w:sz w:val="24"/>
                <w:szCs w:val="24"/>
              </w:rPr>
            </w:pPr>
            <w:r w:rsidRPr="00157EAF">
              <w:rPr>
                <w:color w:val="000000" w:themeColor="text1"/>
                <w:sz w:val="24"/>
                <w:szCs w:val="24"/>
              </w:rPr>
              <w:t xml:space="preserve">Wales Safeguarding Procedure, (2019). </w:t>
            </w:r>
          </w:p>
          <w:p w14:paraId="5DD23F33" w14:textId="77777777" w:rsidR="00B04D24" w:rsidRPr="00157EAF" w:rsidRDefault="00B04D24" w:rsidP="00B04D24">
            <w:pPr>
              <w:spacing w:line="360" w:lineRule="auto"/>
              <w:jc w:val="both"/>
              <w:rPr>
                <w:color w:val="000000" w:themeColor="text1"/>
                <w:sz w:val="24"/>
                <w:szCs w:val="24"/>
              </w:rPr>
            </w:pPr>
          </w:p>
          <w:p w14:paraId="65CF7226" w14:textId="77777777" w:rsidR="00B04D24" w:rsidRPr="00157EAF" w:rsidRDefault="00B04D24" w:rsidP="00B04D24">
            <w:pPr>
              <w:spacing w:line="360" w:lineRule="auto"/>
              <w:jc w:val="both"/>
              <w:rPr>
                <w:color w:val="000000" w:themeColor="text1"/>
                <w:sz w:val="24"/>
                <w:szCs w:val="24"/>
              </w:rPr>
            </w:pPr>
            <w:r w:rsidRPr="00157EAF">
              <w:rPr>
                <w:color w:val="000000" w:themeColor="text1"/>
                <w:sz w:val="24"/>
                <w:szCs w:val="24"/>
              </w:rPr>
              <w:t>Welsh Government, 2022. Social Services and Well-being (Wales) Act 2014: Working Together to Safeguard People: Code of Safeguarding Practice. For individuals, groups and organisations offering activities or services to children and adults in Wales</w:t>
            </w:r>
          </w:p>
          <w:p w14:paraId="625B07D9" w14:textId="77777777" w:rsidR="00B04D24" w:rsidRPr="00157EAF" w:rsidRDefault="00B04D24" w:rsidP="00B04D24">
            <w:pPr>
              <w:spacing w:line="360" w:lineRule="auto"/>
              <w:jc w:val="both"/>
              <w:rPr>
                <w:color w:val="000000" w:themeColor="text1"/>
                <w:sz w:val="24"/>
                <w:szCs w:val="24"/>
              </w:rPr>
            </w:pPr>
          </w:p>
          <w:p w14:paraId="59490D30" w14:textId="77777777" w:rsidR="00B04D24" w:rsidRPr="00157EAF" w:rsidRDefault="00B04D24" w:rsidP="00B04D24">
            <w:pPr>
              <w:spacing w:line="360" w:lineRule="auto"/>
              <w:jc w:val="both"/>
              <w:rPr>
                <w:color w:val="000000" w:themeColor="text1"/>
                <w:sz w:val="24"/>
                <w:szCs w:val="24"/>
              </w:rPr>
            </w:pPr>
            <w:r w:rsidRPr="00157EAF">
              <w:rPr>
                <w:color w:val="000000" w:themeColor="text1"/>
                <w:sz w:val="24"/>
                <w:szCs w:val="24"/>
              </w:rPr>
              <w:t xml:space="preserve">World Health Organization. (2021). </w:t>
            </w:r>
            <w:r w:rsidRPr="00157EAF">
              <w:rPr>
                <w:i/>
                <w:iCs/>
                <w:color w:val="000000" w:themeColor="text1"/>
                <w:sz w:val="24"/>
                <w:szCs w:val="24"/>
              </w:rPr>
              <w:t>World Report on Ageing and Health</w:t>
            </w:r>
          </w:p>
          <w:p w14:paraId="628BBFDB" w14:textId="77777777" w:rsidR="00B04D24" w:rsidRPr="00157EAF" w:rsidRDefault="00B04D24" w:rsidP="00B04D24">
            <w:pPr>
              <w:spacing w:line="360" w:lineRule="auto"/>
              <w:jc w:val="both"/>
              <w:rPr>
                <w:color w:val="000000" w:themeColor="text1"/>
                <w:sz w:val="24"/>
                <w:szCs w:val="24"/>
              </w:rPr>
            </w:pPr>
          </w:p>
          <w:p w14:paraId="264C1119" w14:textId="77777777" w:rsidR="00B04D24" w:rsidRPr="00157EAF" w:rsidRDefault="00B04D24" w:rsidP="00B04D24">
            <w:pPr>
              <w:spacing w:line="360" w:lineRule="auto"/>
              <w:jc w:val="both"/>
              <w:rPr>
                <w:color w:val="000000" w:themeColor="text1"/>
                <w:sz w:val="24"/>
                <w:szCs w:val="24"/>
              </w:rPr>
            </w:pPr>
            <w:r w:rsidRPr="00157EAF">
              <w:rPr>
                <w:color w:val="000000" w:themeColor="text1"/>
                <w:sz w:val="24"/>
                <w:szCs w:val="24"/>
              </w:rPr>
              <w:lastRenderedPageBreak/>
              <w:t>Zimunya, S. and Alpaslan, A.H.N., 2022. Experiences of service-user violence and coping strategies employed during social work service delivery: suggestions for ensuring social workers' personal safety. </w:t>
            </w:r>
            <w:r w:rsidRPr="00157EAF">
              <w:rPr>
                <w:i/>
                <w:iCs/>
                <w:color w:val="000000" w:themeColor="text1"/>
                <w:sz w:val="24"/>
                <w:szCs w:val="24"/>
              </w:rPr>
              <w:t>Social Work</w:t>
            </w:r>
            <w:r w:rsidRPr="00157EAF">
              <w:rPr>
                <w:color w:val="000000" w:themeColor="text1"/>
                <w:sz w:val="24"/>
                <w:szCs w:val="24"/>
              </w:rPr>
              <w:t>, </w:t>
            </w:r>
            <w:r w:rsidRPr="00157EAF">
              <w:rPr>
                <w:i/>
                <w:iCs/>
                <w:color w:val="000000" w:themeColor="text1"/>
                <w:sz w:val="24"/>
                <w:szCs w:val="24"/>
              </w:rPr>
              <w:t>58</w:t>
            </w:r>
            <w:r w:rsidRPr="00157EAF">
              <w:rPr>
                <w:color w:val="000000" w:themeColor="text1"/>
                <w:sz w:val="24"/>
                <w:szCs w:val="24"/>
              </w:rPr>
              <w:t>(1), pp.1-18.</w:t>
            </w:r>
          </w:p>
          <w:p w14:paraId="6E19C505" w14:textId="77777777" w:rsidR="00B04D24" w:rsidRDefault="00B04D24"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1F59"/>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2AC"/>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4D24"/>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B04D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1803596@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4622</Words>
  <Characters>23271</Characters>
  <Application>Microsoft Office Word</Application>
  <DocSecurity>4</DocSecurity>
  <Lines>193</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Kirsty Carter</cp:lastModifiedBy>
  <cp:revision>2</cp:revision>
  <cp:lastPrinted>2020-02-11T19:20:00Z</cp:lastPrinted>
  <dcterms:created xsi:type="dcterms:W3CDTF">2024-09-30T14:52:00Z</dcterms:created>
  <dcterms:modified xsi:type="dcterms:W3CDTF">2024-09-30T14:52:00Z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