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20C03" w14:textId="00E36E12" w:rsidR="00AD0B40" w:rsidRPr="00137C4F" w:rsidRDefault="001D7EA9" w:rsidP="001A7BD2">
      <w:pPr>
        <w:jc w:val="center"/>
        <w:rPr>
          <w:b/>
          <w:bCs/>
          <w:sz w:val="44"/>
          <w:szCs w:val="44"/>
        </w:rPr>
      </w:pPr>
      <w:r w:rsidRPr="00137C4F">
        <w:rPr>
          <w:b/>
          <w:bCs/>
          <w:sz w:val="44"/>
          <w:szCs w:val="44"/>
        </w:rPr>
        <w:t xml:space="preserve">Module code: </w:t>
      </w:r>
      <w:r w:rsidR="001A7BD2" w:rsidRPr="00137C4F">
        <w:rPr>
          <w:b/>
          <w:bCs/>
          <w:sz w:val="44"/>
          <w:szCs w:val="44"/>
        </w:rPr>
        <w:t>BMIH5007</w:t>
      </w:r>
    </w:p>
    <w:p w14:paraId="412975AB" w14:textId="77777777" w:rsidR="00FF2DB3" w:rsidRDefault="00FF2DB3"/>
    <w:p w14:paraId="11CA2CC2" w14:textId="77777777" w:rsidR="00137C4F" w:rsidRDefault="00137C4F"/>
    <w:p w14:paraId="3B449A45" w14:textId="77777777" w:rsidR="00137C4F" w:rsidRDefault="00137C4F"/>
    <w:p w14:paraId="7722DD45" w14:textId="77777777" w:rsidR="00137C4F" w:rsidRDefault="00137C4F"/>
    <w:p w14:paraId="1451E566" w14:textId="77777777" w:rsidR="00137C4F" w:rsidRDefault="00137C4F"/>
    <w:p w14:paraId="63A98E34" w14:textId="77777777" w:rsidR="00137C4F" w:rsidRDefault="00137C4F"/>
    <w:p w14:paraId="3D37EABD" w14:textId="77777777" w:rsidR="00FF2DB3" w:rsidRDefault="00FF2DB3"/>
    <w:p w14:paraId="048AB312" w14:textId="06EF376A" w:rsidR="00FF2DB3" w:rsidRDefault="00E15B83" w:rsidP="00E15B83">
      <w:pPr>
        <w:jc w:val="center"/>
        <w:rPr>
          <w:sz w:val="56"/>
          <w:szCs w:val="56"/>
        </w:rPr>
      </w:pPr>
      <w:r w:rsidRPr="00E15B83">
        <w:rPr>
          <w:sz w:val="56"/>
          <w:szCs w:val="56"/>
        </w:rPr>
        <w:t>Case Study: The Seacrest Lodge</w:t>
      </w:r>
    </w:p>
    <w:p w14:paraId="3A1C9B19" w14:textId="77777777" w:rsidR="00661C57" w:rsidRDefault="00661C57" w:rsidP="00E15B83">
      <w:pPr>
        <w:jc w:val="center"/>
        <w:rPr>
          <w:sz w:val="56"/>
          <w:szCs w:val="56"/>
        </w:rPr>
      </w:pPr>
    </w:p>
    <w:p w14:paraId="4C3308D1" w14:textId="77777777" w:rsidR="00661C57" w:rsidRDefault="00661C57" w:rsidP="00E15B83">
      <w:pPr>
        <w:jc w:val="center"/>
        <w:rPr>
          <w:sz w:val="56"/>
          <w:szCs w:val="56"/>
        </w:rPr>
      </w:pPr>
    </w:p>
    <w:p w14:paraId="62F6BE18" w14:textId="77777777" w:rsidR="00137C4F" w:rsidRDefault="00137C4F" w:rsidP="00E15B83">
      <w:pPr>
        <w:jc w:val="center"/>
        <w:rPr>
          <w:sz w:val="32"/>
          <w:szCs w:val="32"/>
        </w:rPr>
      </w:pPr>
    </w:p>
    <w:p w14:paraId="03813B2C" w14:textId="77777777" w:rsidR="00137C4F" w:rsidRDefault="00137C4F" w:rsidP="00E15B83">
      <w:pPr>
        <w:jc w:val="center"/>
        <w:rPr>
          <w:sz w:val="32"/>
          <w:szCs w:val="32"/>
        </w:rPr>
      </w:pPr>
    </w:p>
    <w:p w14:paraId="7E543B00" w14:textId="77777777" w:rsidR="00137C4F" w:rsidRDefault="00137C4F" w:rsidP="00E15B83">
      <w:pPr>
        <w:jc w:val="center"/>
        <w:rPr>
          <w:sz w:val="32"/>
          <w:szCs w:val="32"/>
        </w:rPr>
      </w:pPr>
    </w:p>
    <w:p w14:paraId="3E4314E2" w14:textId="77777777" w:rsidR="00137C4F" w:rsidRDefault="00137C4F" w:rsidP="00E15B83">
      <w:pPr>
        <w:jc w:val="center"/>
        <w:rPr>
          <w:sz w:val="32"/>
          <w:szCs w:val="32"/>
        </w:rPr>
      </w:pPr>
    </w:p>
    <w:p w14:paraId="3F60457F" w14:textId="77777777" w:rsidR="00137C4F" w:rsidRDefault="00137C4F" w:rsidP="00E15B83">
      <w:pPr>
        <w:jc w:val="center"/>
        <w:rPr>
          <w:sz w:val="32"/>
          <w:szCs w:val="32"/>
        </w:rPr>
      </w:pPr>
    </w:p>
    <w:p w14:paraId="03C47E88" w14:textId="2E850011" w:rsidR="00661C57" w:rsidRPr="00137C4F" w:rsidRDefault="00661C57" w:rsidP="00E15B83">
      <w:pPr>
        <w:jc w:val="center"/>
        <w:rPr>
          <w:sz w:val="32"/>
          <w:szCs w:val="32"/>
        </w:rPr>
      </w:pPr>
      <w:r w:rsidRPr="00137C4F">
        <w:rPr>
          <w:sz w:val="32"/>
          <w:szCs w:val="32"/>
        </w:rPr>
        <w:t>Lecturer:</w:t>
      </w:r>
      <w:r w:rsidR="001D7EA9" w:rsidRPr="00137C4F">
        <w:rPr>
          <w:sz w:val="32"/>
          <w:szCs w:val="32"/>
        </w:rPr>
        <w:t xml:space="preserve"> Tristan Hawkins</w:t>
      </w:r>
    </w:p>
    <w:p w14:paraId="0A32246E" w14:textId="359E679B" w:rsidR="001D7EA9" w:rsidRPr="00137C4F" w:rsidRDefault="001D7EA9" w:rsidP="00E15B83">
      <w:pPr>
        <w:jc w:val="center"/>
        <w:rPr>
          <w:sz w:val="32"/>
          <w:szCs w:val="32"/>
        </w:rPr>
      </w:pPr>
      <w:r w:rsidRPr="00137C4F">
        <w:rPr>
          <w:sz w:val="32"/>
          <w:szCs w:val="32"/>
        </w:rPr>
        <w:t>Student: Raluca Ioana Simonca</w:t>
      </w:r>
    </w:p>
    <w:p w14:paraId="4ABC7BAF" w14:textId="7D67D9C6" w:rsidR="002D4B3C" w:rsidRPr="00137C4F" w:rsidRDefault="00137C4F" w:rsidP="00E15B83">
      <w:pPr>
        <w:jc w:val="center"/>
        <w:rPr>
          <w:sz w:val="32"/>
          <w:szCs w:val="32"/>
        </w:rPr>
      </w:pPr>
      <w:r w:rsidRPr="00137C4F">
        <w:rPr>
          <w:sz w:val="32"/>
          <w:szCs w:val="32"/>
        </w:rPr>
        <w:t>Student c</w:t>
      </w:r>
      <w:r w:rsidR="002D4B3C" w:rsidRPr="00137C4F">
        <w:rPr>
          <w:sz w:val="32"/>
          <w:szCs w:val="32"/>
        </w:rPr>
        <w:t>ode:</w:t>
      </w:r>
      <w:r w:rsidRPr="00137C4F">
        <w:rPr>
          <w:sz w:val="32"/>
          <w:szCs w:val="32"/>
        </w:rPr>
        <w:t xml:space="preserve"> 2210053</w:t>
      </w:r>
    </w:p>
    <w:p w14:paraId="3F32A8F8" w14:textId="77777777" w:rsidR="00FF2DB3" w:rsidRDefault="00FF2DB3"/>
    <w:p w14:paraId="42544742" w14:textId="77777777" w:rsidR="00FF2DB3" w:rsidRDefault="00FF2DB3"/>
    <w:p w14:paraId="1A1EB410" w14:textId="77777777" w:rsidR="00FF2DB3" w:rsidRDefault="00FF2DB3"/>
    <w:p w14:paraId="50E19940" w14:textId="77777777" w:rsidR="00FF2DB3" w:rsidRDefault="00FF2DB3"/>
    <w:p w14:paraId="7EF667C3" w14:textId="77777777" w:rsidR="00FF2DB3" w:rsidRDefault="00FF2DB3"/>
    <w:p w14:paraId="2ED61D55" w14:textId="77777777" w:rsidR="00FF2DB3" w:rsidRDefault="00FF2DB3"/>
    <w:p w14:paraId="73E6A9B6" w14:textId="77777777" w:rsidR="00FF2DB3" w:rsidRDefault="00FF2DB3"/>
    <w:p w14:paraId="1EE39412" w14:textId="77777777" w:rsidR="00137C4F" w:rsidRDefault="00137C4F"/>
    <w:p w14:paraId="21BFBD10" w14:textId="77777777" w:rsidR="00C22E1A" w:rsidRPr="00C22E1A" w:rsidRDefault="00C22E1A" w:rsidP="00C22E1A">
      <w:pPr>
        <w:pStyle w:val="Heading1"/>
        <w:spacing w:line="360" w:lineRule="auto"/>
        <w:contextualSpacing/>
        <w:jc w:val="center"/>
        <w:rPr>
          <w:rFonts w:cs="Arial"/>
          <w:b w:val="0"/>
          <w:i w:val="0"/>
          <w:szCs w:val="24"/>
        </w:rPr>
      </w:pPr>
      <w:bookmarkStart w:id="0" w:name="_Toc159940327"/>
      <w:r w:rsidRPr="00C22E1A">
        <w:rPr>
          <w:rFonts w:cs="Arial"/>
          <w:b w:val="0"/>
          <w:i w:val="0"/>
          <w:szCs w:val="24"/>
        </w:rPr>
        <w:t>Table of Contents</w:t>
      </w:r>
    </w:p>
    <w:p w14:paraId="53C4C955" w14:textId="65836683" w:rsidR="00C22E1A" w:rsidRPr="00C22E1A" w:rsidRDefault="00C22E1A" w:rsidP="00C22E1A">
      <w:pPr>
        <w:pStyle w:val="Heading1"/>
        <w:spacing w:line="360" w:lineRule="auto"/>
        <w:ind w:firstLine="720"/>
        <w:contextualSpacing/>
        <w:jc w:val="both"/>
        <w:rPr>
          <w:rFonts w:cs="Arial"/>
          <w:b w:val="0"/>
          <w:i w:val="0"/>
          <w:szCs w:val="24"/>
        </w:rPr>
      </w:pPr>
      <w:r w:rsidRPr="00C22E1A">
        <w:rPr>
          <w:rFonts w:cs="Arial"/>
          <w:b w:val="0"/>
          <w:i w:val="0"/>
          <w:szCs w:val="24"/>
        </w:rPr>
        <w:t>Introduction</w:t>
      </w:r>
      <w:r w:rsidRPr="00C22E1A">
        <w:rPr>
          <w:rFonts w:cs="Arial"/>
          <w:b w:val="0"/>
          <w:i w:val="0"/>
          <w:szCs w:val="24"/>
        </w:rPr>
        <w:tab/>
      </w:r>
    </w:p>
    <w:p w14:paraId="3F6C9666" w14:textId="1AD2B98C" w:rsidR="00C22E1A" w:rsidRPr="00C22E1A" w:rsidRDefault="00C22E1A" w:rsidP="00C22E1A">
      <w:pPr>
        <w:pStyle w:val="Heading1"/>
        <w:spacing w:line="360" w:lineRule="auto"/>
        <w:ind w:firstLine="720"/>
        <w:contextualSpacing/>
        <w:jc w:val="both"/>
        <w:rPr>
          <w:rFonts w:cs="Arial"/>
          <w:b w:val="0"/>
          <w:i w:val="0"/>
          <w:szCs w:val="24"/>
        </w:rPr>
      </w:pPr>
      <w:r w:rsidRPr="00C22E1A">
        <w:rPr>
          <w:rFonts w:cs="Arial"/>
          <w:b w:val="0"/>
          <w:i w:val="0"/>
          <w:szCs w:val="24"/>
        </w:rPr>
        <w:t>Main Body</w:t>
      </w:r>
    </w:p>
    <w:p w14:paraId="43D29CB3" w14:textId="2124E908" w:rsidR="00C22E1A" w:rsidRPr="00C22E1A" w:rsidRDefault="00C22E1A" w:rsidP="007344EA">
      <w:pPr>
        <w:pStyle w:val="Heading1"/>
        <w:numPr>
          <w:ilvl w:val="0"/>
          <w:numId w:val="1"/>
        </w:numPr>
        <w:spacing w:line="360" w:lineRule="auto"/>
        <w:contextualSpacing/>
        <w:jc w:val="both"/>
        <w:rPr>
          <w:rFonts w:cs="Arial"/>
          <w:b w:val="0"/>
          <w:i w:val="0"/>
          <w:szCs w:val="24"/>
        </w:rPr>
      </w:pPr>
      <w:r w:rsidRPr="00C22E1A">
        <w:rPr>
          <w:rFonts w:cs="Arial"/>
          <w:b w:val="0"/>
          <w:i w:val="0"/>
          <w:szCs w:val="24"/>
        </w:rPr>
        <w:t>Balance Sheet Analysis</w:t>
      </w:r>
      <w:r w:rsidRPr="00C22E1A">
        <w:rPr>
          <w:rFonts w:cs="Arial"/>
          <w:b w:val="0"/>
          <w:i w:val="0"/>
          <w:szCs w:val="24"/>
        </w:rPr>
        <w:tab/>
      </w:r>
    </w:p>
    <w:p w14:paraId="01D24A1C" w14:textId="200CA216" w:rsidR="00C22E1A" w:rsidRPr="00C22E1A" w:rsidRDefault="00C22E1A" w:rsidP="007344EA">
      <w:pPr>
        <w:pStyle w:val="Heading1"/>
        <w:numPr>
          <w:ilvl w:val="0"/>
          <w:numId w:val="1"/>
        </w:numPr>
        <w:spacing w:line="360" w:lineRule="auto"/>
        <w:contextualSpacing/>
        <w:jc w:val="both"/>
        <w:rPr>
          <w:rFonts w:cs="Arial"/>
          <w:b w:val="0"/>
          <w:i w:val="0"/>
          <w:szCs w:val="24"/>
        </w:rPr>
      </w:pPr>
      <w:r w:rsidRPr="00C22E1A">
        <w:rPr>
          <w:rFonts w:cs="Arial"/>
          <w:b w:val="0"/>
          <w:i w:val="0"/>
          <w:szCs w:val="24"/>
        </w:rPr>
        <w:t>Income Statement Analysis</w:t>
      </w:r>
      <w:r w:rsidRPr="00C22E1A">
        <w:rPr>
          <w:rFonts w:cs="Arial"/>
          <w:b w:val="0"/>
          <w:i w:val="0"/>
          <w:szCs w:val="24"/>
        </w:rPr>
        <w:tab/>
      </w:r>
    </w:p>
    <w:p w14:paraId="7B71C7CB" w14:textId="3E79253F" w:rsidR="00C22E1A" w:rsidRPr="00C22E1A" w:rsidRDefault="00C22E1A" w:rsidP="007344EA">
      <w:pPr>
        <w:pStyle w:val="Heading1"/>
        <w:numPr>
          <w:ilvl w:val="0"/>
          <w:numId w:val="1"/>
        </w:numPr>
        <w:spacing w:line="360" w:lineRule="auto"/>
        <w:contextualSpacing/>
        <w:jc w:val="both"/>
        <w:rPr>
          <w:rFonts w:cs="Arial"/>
          <w:b w:val="0"/>
          <w:i w:val="0"/>
          <w:szCs w:val="24"/>
        </w:rPr>
      </w:pPr>
      <w:r w:rsidRPr="00C22E1A">
        <w:rPr>
          <w:rFonts w:cs="Arial"/>
          <w:b w:val="0"/>
          <w:i w:val="0"/>
          <w:szCs w:val="24"/>
        </w:rPr>
        <w:t>Key reasons behind the decline in profitability, taking into consideration, real-world events and the current economy</w:t>
      </w:r>
      <w:r w:rsidRPr="00C22E1A">
        <w:rPr>
          <w:rFonts w:cs="Arial"/>
          <w:b w:val="0"/>
          <w:i w:val="0"/>
          <w:szCs w:val="24"/>
        </w:rPr>
        <w:tab/>
      </w:r>
    </w:p>
    <w:p w14:paraId="570ABCB8" w14:textId="300AABB1" w:rsidR="00C22E1A" w:rsidRPr="00C22E1A" w:rsidRDefault="00C22E1A" w:rsidP="007344EA">
      <w:pPr>
        <w:pStyle w:val="Heading1"/>
        <w:numPr>
          <w:ilvl w:val="0"/>
          <w:numId w:val="1"/>
        </w:numPr>
        <w:spacing w:line="360" w:lineRule="auto"/>
        <w:contextualSpacing/>
        <w:jc w:val="both"/>
        <w:rPr>
          <w:rFonts w:cs="Arial"/>
          <w:b w:val="0"/>
          <w:i w:val="0"/>
          <w:szCs w:val="24"/>
        </w:rPr>
      </w:pPr>
      <w:r w:rsidRPr="00C22E1A">
        <w:rPr>
          <w:rFonts w:cs="Arial"/>
          <w:b w:val="0"/>
          <w:i w:val="0"/>
          <w:szCs w:val="24"/>
        </w:rPr>
        <w:t>Change in Consumer Needs</w:t>
      </w:r>
      <w:r w:rsidRPr="00C22E1A">
        <w:rPr>
          <w:rFonts w:cs="Arial"/>
          <w:b w:val="0"/>
          <w:i w:val="0"/>
          <w:szCs w:val="24"/>
        </w:rPr>
        <w:tab/>
      </w:r>
    </w:p>
    <w:p w14:paraId="51F6C711" w14:textId="246971F4" w:rsidR="00C22E1A" w:rsidRPr="00C22E1A" w:rsidRDefault="00C22E1A" w:rsidP="007344EA">
      <w:pPr>
        <w:pStyle w:val="Heading1"/>
        <w:numPr>
          <w:ilvl w:val="0"/>
          <w:numId w:val="1"/>
        </w:numPr>
        <w:spacing w:line="360" w:lineRule="auto"/>
        <w:contextualSpacing/>
        <w:jc w:val="both"/>
        <w:rPr>
          <w:rFonts w:cs="Arial"/>
          <w:b w:val="0"/>
          <w:i w:val="0"/>
          <w:szCs w:val="24"/>
        </w:rPr>
      </w:pPr>
      <w:r w:rsidRPr="00C22E1A">
        <w:rPr>
          <w:rFonts w:cs="Arial"/>
          <w:b w:val="0"/>
          <w:i w:val="0"/>
          <w:szCs w:val="24"/>
        </w:rPr>
        <w:t>Economic Downturn</w:t>
      </w:r>
      <w:r w:rsidRPr="00C22E1A">
        <w:rPr>
          <w:rFonts w:cs="Arial"/>
          <w:b w:val="0"/>
          <w:i w:val="0"/>
          <w:szCs w:val="24"/>
        </w:rPr>
        <w:tab/>
      </w:r>
    </w:p>
    <w:p w14:paraId="033FCA6B" w14:textId="7C457082" w:rsidR="00C22E1A" w:rsidRPr="00C22E1A" w:rsidRDefault="00C22E1A" w:rsidP="007344EA">
      <w:pPr>
        <w:pStyle w:val="Heading1"/>
        <w:numPr>
          <w:ilvl w:val="0"/>
          <w:numId w:val="1"/>
        </w:numPr>
        <w:spacing w:line="360" w:lineRule="auto"/>
        <w:contextualSpacing/>
        <w:jc w:val="both"/>
        <w:rPr>
          <w:rFonts w:cs="Arial"/>
          <w:b w:val="0"/>
          <w:i w:val="0"/>
          <w:szCs w:val="24"/>
        </w:rPr>
      </w:pPr>
      <w:r w:rsidRPr="00C22E1A">
        <w:rPr>
          <w:rFonts w:cs="Arial"/>
          <w:b w:val="0"/>
          <w:i w:val="0"/>
          <w:szCs w:val="24"/>
        </w:rPr>
        <w:t>Risk Assessment</w:t>
      </w:r>
      <w:r w:rsidRPr="00C22E1A">
        <w:rPr>
          <w:rFonts w:cs="Arial"/>
          <w:b w:val="0"/>
          <w:i w:val="0"/>
          <w:szCs w:val="24"/>
        </w:rPr>
        <w:tab/>
      </w:r>
    </w:p>
    <w:p w14:paraId="41452C49" w14:textId="0EFA2763" w:rsidR="00C22E1A" w:rsidRPr="00C22E1A" w:rsidRDefault="00C22E1A" w:rsidP="007344EA">
      <w:pPr>
        <w:pStyle w:val="Heading1"/>
        <w:numPr>
          <w:ilvl w:val="0"/>
          <w:numId w:val="1"/>
        </w:numPr>
        <w:spacing w:line="360" w:lineRule="auto"/>
        <w:contextualSpacing/>
        <w:jc w:val="both"/>
        <w:rPr>
          <w:rFonts w:cs="Arial"/>
          <w:b w:val="0"/>
          <w:i w:val="0"/>
          <w:szCs w:val="24"/>
        </w:rPr>
      </w:pPr>
      <w:r w:rsidRPr="00C22E1A">
        <w:rPr>
          <w:rFonts w:cs="Arial"/>
          <w:b w:val="0"/>
          <w:i w:val="0"/>
          <w:szCs w:val="24"/>
        </w:rPr>
        <w:t>Comprehensive turnaround strategy to revitalize the lodge's financial health and restore its reputation as a premier vacation destination or most viable financial outcomes</w:t>
      </w:r>
      <w:r w:rsidRPr="00C22E1A">
        <w:rPr>
          <w:rFonts w:cs="Arial"/>
          <w:b w:val="0"/>
          <w:i w:val="0"/>
          <w:szCs w:val="24"/>
        </w:rPr>
        <w:tab/>
      </w:r>
    </w:p>
    <w:p w14:paraId="15C0B5F4" w14:textId="2DC5B3B1" w:rsidR="00C22E1A" w:rsidRPr="00C22E1A" w:rsidRDefault="00C22E1A" w:rsidP="007344EA">
      <w:pPr>
        <w:pStyle w:val="Heading1"/>
        <w:numPr>
          <w:ilvl w:val="0"/>
          <w:numId w:val="1"/>
        </w:numPr>
        <w:spacing w:line="360" w:lineRule="auto"/>
        <w:contextualSpacing/>
        <w:jc w:val="both"/>
        <w:rPr>
          <w:rFonts w:cs="Arial"/>
          <w:b w:val="0"/>
          <w:i w:val="0"/>
          <w:szCs w:val="24"/>
        </w:rPr>
      </w:pPr>
      <w:r w:rsidRPr="00C22E1A">
        <w:rPr>
          <w:rFonts w:cs="Arial"/>
          <w:b w:val="0"/>
          <w:i w:val="0"/>
          <w:szCs w:val="24"/>
        </w:rPr>
        <w:t>Revenue Diversification</w:t>
      </w:r>
      <w:r w:rsidRPr="00C22E1A">
        <w:rPr>
          <w:rFonts w:cs="Arial"/>
          <w:b w:val="0"/>
          <w:i w:val="0"/>
          <w:szCs w:val="24"/>
        </w:rPr>
        <w:tab/>
      </w:r>
    </w:p>
    <w:p w14:paraId="1D111C6C" w14:textId="148B6605" w:rsidR="00C22E1A" w:rsidRPr="00C22E1A" w:rsidRDefault="00C22E1A" w:rsidP="007344EA">
      <w:pPr>
        <w:pStyle w:val="Heading1"/>
        <w:numPr>
          <w:ilvl w:val="0"/>
          <w:numId w:val="1"/>
        </w:numPr>
        <w:spacing w:line="360" w:lineRule="auto"/>
        <w:contextualSpacing/>
        <w:jc w:val="both"/>
        <w:rPr>
          <w:rFonts w:cs="Arial"/>
          <w:b w:val="0"/>
          <w:i w:val="0"/>
          <w:szCs w:val="24"/>
        </w:rPr>
      </w:pPr>
      <w:r w:rsidRPr="00C22E1A">
        <w:rPr>
          <w:rFonts w:cs="Arial"/>
          <w:b w:val="0"/>
          <w:i w:val="0"/>
          <w:szCs w:val="24"/>
        </w:rPr>
        <w:t>Dynamic Pricing Strategies</w:t>
      </w:r>
      <w:r w:rsidRPr="00C22E1A">
        <w:rPr>
          <w:rFonts w:cs="Arial"/>
          <w:b w:val="0"/>
          <w:i w:val="0"/>
          <w:szCs w:val="24"/>
        </w:rPr>
        <w:tab/>
      </w:r>
    </w:p>
    <w:p w14:paraId="347C195A" w14:textId="42D583B1" w:rsidR="00C22E1A" w:rsidRPr="00C22E1A" w:rsidRDefault="00C22E1A" w:rsidP="00C22E1A">
      <w:pPr>
        <w:pStyle w:val="Heading1"/>
        <w:spacing w:line="360" w:lineRule="auto"/>
        <w:ind w:firstLine="720"/>
        <w:contextualSpacing/>
        <w:jc w:val="both"/>
        <w:rPr>
          <w:rFonts w:cs="Arial"/>
          <w:b w:val="0"/>
          <w:i w:val="0"/>
          <w:szCs w:val="24"/>
        </w:rPr>
      </w:pPr>
      <w:r w:rsidRPr="00C22E1A">
        <w:rPr>
          <w:rFonts w:cs="Arial"/>
          <w:b w:val="0"/>
          <w:i w:val="0"/>
          <w:szCs w:val="24"/>
        </w:rPr>
        <w:t>Conclusion</w:t>
      </w:r>
      <w:r w:rsidRPr="00C22E1A">
        <w:rPr>
          <w:rFonts w:cs="Arial"/>
          <w:b w:val="0"/>
          <w:i w:val="0"/>
          <w:szCs w:val="24"/>
        </w:rPr>
        <w:tab/>
      </w:r>
    </w:p>
    <w:p w14:paraId="364472E5" w14:textId="6FB6608D" w:rsidR="001753E2" w:rsidRDefault="00C22E1A" w:rsidP="00C22E1A">
      <w:pPr>
        <w:pStyle w:val="Heading1"/>
        <w:spacing w:before="0" w:line="360" w:lineRule="auto"/>
        <w:contextualSpacing/>
        <w:jc w:val="both"/>
        <w:rPr>
          <w:rFonts w:cs="Arial"/>
          <w:b w:val="0"/>
          <w:i w:val="0"/>
          <w:szCs w:val="24"/>
        </w:rPr>
      </w:pPr>
      <w:r w:rsidRPr="00C22E1A">
        <w:rPr>
          <w:rFonts w:cs="Arial"/>
          <w:b w:val="0"/>
          <w:i w:val="0"/>
          <w:szCs w:val="24"/>
        </w:rPr>
        <w:t>References</w:t>
      </w:r>
      <w:r w:rsidRPr="00C22E1A">
        <w:rPr>
          <w:rFonts w:cs="Arial"/>
          <w:b w:val="0"/>
          <w:i w:val="0"/>
          <w:szCs w:val="24"/>
        </w:rPr>
        <w:tab/>
      </w:r>
    </w:p>
    <w:p w14:paraId="7582AC48" w14:textId="77777777" w:rsidR="00F906EA" w:rsidRDefault="00F906EA" w:rsidP="00F906EA"/>
    <w:p w14:paraId="0C9D7A2C" w14:textId="77777777" w:rsidR="00F906EA" w:rsidRDefault="00F906EA" w:rsidP="00F906EA"/>
    <w:p w14:paraId="7D4D3CCE" w14:textId="77777777" w:rsidR="00F906EA" w:rsidRDefault="00F906EA" w:rsidP="00F906EA"/>
    <w:p w14:paraId="27FFD0B2" w14:textId="77777777" w:rsidR="00F906EA" w:rsidRDefault="00F906EA" w:rsidP="00F906EA"/>
    <w:p w14:paraId="46D37230" w14:textId="77777777" w:rsidR="00F906EA" w:rsidRDefault="00F906EA" w:rsidP="00F906EA"/>
    <w:p w14:paraId="2FA8DC8B" w14:textId="77777777" w:rsidR="00F906EA" w:rsidRDefault="00F906EA" w:rsidP="00F906EA"/>
    <w:p w14:paraId="30614475" w14:textId="77777777" w:rsidR="00F906EA" w:rsidRDefault="00F906EA" w:rsidP="00F906EA"/>
    <w:p w14:paraId="212BC2AB" w14:textId="77777777" w:rsidR="00F906EA" w:rsidRDefault="00F906EA" w:rsidP="00F906EA"/>
    <w:p w14:paraId="2CE56C5B" w14:textId="77777777" w:rsidR="00F906EA" w:rsidRPr="00F906EA" w:rsidRDefault="00F906EA" w:rsidP="00F906EA"/>
    <w:p w14:paraId="2EB93739" w14:textId="77777777" w:rsidR="001753E2" w:rsidRDefault="001753E2" w:rsidP="00FE736F">
      <w:pPr>
        <w:pStyle w:val="Heading1"/>
        <w:spacing w:before="0" w:line="360" w:lineRule="auto"/>
        <w:contextualSpacing/>
        <w:jc w:val="both"/>
      </w:pPr>
    </w:p>
    <w:p w14:paraId="15280B23" w14:textId="77777777" w:rsidR="001753E2" w:rsidRDefault="001753E2" w:rsidP="00FE736F">
      <w:pPr>
        <w:pStyle w:val="Heading1"/>
        <w:spacing w:before="0" w:line="360" w:lineRule="auto"/>
        <w:contextualSpacing/>
        <w:jc w:val="both"/>
      </w:pPr>
    </w:p>
    <w:p w14:paraId="69FE7E75" w14:textId="77777777" w:rsidR="00F906EA" w:rsidRDefault="00F906EA" w:rsidP="00FE736F">
      <w:pPr>
        <w:pStyle w:val="Heading1"/>
        <w:spacing w:before="0" w:line="360" w:lineRule="auto"/>
        <w:contextualSpacing/>
        <w:jc w:val="both"/>
      </w:pPr>
    </w:p>
    <w:bookmarkEnd w:id="0"/>
    <w:p w14:paraId="6C404578" w14:textId="77777777" w:rsidR="00AC325E" w:rsidRDefault="00AC325E" w:rsidP="00AC325E">
      <w:pPr>
        <w:spacing w:line="360" w:lineRule="auto"/>
        <w:contextualSpacing/>
        <w:jc w:val="both"/>
      </w:pPr>
    </w:p>
    <w:p w14:paraId="161B89EF" w14:textId="2300AED7" w:rsidR="008A2404" w:rsidRPr="008A2404" w:rsidRDefault="008A2404" w:rsidP="00AC325E">
      <w:pPr>
        <w:spacing w:line="360" w:lineRule="auto"/>
        <w:ind w:firstLine="720"/>
        <w:contextualSpacing/>
        <w:jc w:val="both"/>
        <w:rPr>
          <w:b/>
          <w:bCs/>
        </w:rPr>
      </w:pPr>
      <w:r w:rsidRPr="008A2404">
        <w:rPr>
          <w:b/>
          <w:bCs/>
        </w:rPr>
        <w:t>Introduction</w:t>
      </w:r>
    </w:p>
    <w:p w14:paraId="039AF7F1" w14:textId="77777777" w:rsidR="008A2404" w:rsidRDefault="008A2404" w:rsidP="008A2404">
      <w:pPr>
        <w:spacing w:line="360" w:lineRule="auto"/>
        <w:ind w:firstLine="720"/>
        <w:contextualSpacing/>
        <w:jc w:val="both"/>
      </w:pPr>
    </w:p>
    <w:p w14:paraId="0A66874D" w14:textId="33637D59" w:rsidR="00062506" w:rsidRDefault="00FE736F" w:rsidP="008A2404">
      <w:pPr>
        <w:spacing w:line="360" w:lineRule="auto"/>
        <w:ind w:firstLine="720"/>
        <w:contextualSpacing/>
        <w:jc w:val="both"/>
      </w:pPr>
      <w:r>
        <w:t>The Seacrest Lodge, earlier recognised for its grace and sophistication, has observed a reduction in its sales, occupancy rates and customer satisfaction. It can be identified that the owner is encouraged to inquire the awareness and understanding because of the recession that is associated with changing or differing customer’s needs along with the dynamic coastal business (</w:t>
      </w:r>
      <w:proofErr w:type="spellStart"/>
      <w:r>
        <w:rPr>
          <w:shd w:val="clear" w:color="auto" w:fill="FFFFFF"/>
        </w:rPr>
        <w:t>Tatuev</w:t>
      </w:r>
      <w:proofErr w:type="spellEnd"/>
      <w:r>
        <w:rPr>
          <w:shd w:val="clear" w:color="auto" w:fill="FFFFFF"/>
        </w:rPr>
        <w:t xml:space="preserve"> et al., 2017)</w:t>
      </w:r>
      <w:r>
        <w:t xml:space="preserve">. The assignment intends to execute a comprehensive analysis to perceive whether a strategic concern might recuperate the resort and continue its repute as the best destination for vacation. According to </w:t>
      </w:r>
      <w:r>
        <w:rPr>
          <w:shd w:val="clear" w:color="auto" w:fill="FFFFFF"/>
        </w:rPr>
        <w:t>Burgess (2012),</w:t>
      </w:r>
      <w:r>
        <w:t xml:space="preserve"> the hotel has experienced various financial issues in the span of three years that are comprehensively evaluated in this report. Nonetheless, an innovative solution is advised for enhancing the financial wellbeing of the lodge and promotes its brand repute. While, the major goal is based on implementing approaches, which help in improvising the financial stability of the lodge and appeal to the customers who are conscious about the quality, costing and overall experience. </w:t>
      </w:r>
    </w:p>
    <w:p w14:paraId="015ED479" w14:textId="77777777" w:rsidR="00785D04" w:rsidRDefault="00785D04" w:rsidP="00CF758B">
      <w:pPr>
        <w:spacing w:line="360" w:lineRule="auto"/>
        <w:contextualSpacing/>
        <w:jc w:val="both"/>
      </w:pPr>
    </w:p>
    <w:p w14:paraId="1EA04D02" w14:textId="77777777" w:rsidR="00785D04" w:rsidRPr="008A2404" w:rsidRDefault="00785D04" w:rsidP="00785D04">
      <w:pPr>
        <w:spacing w:line="360" w:lineRule="auto"/>
        <w:ind w:firstLine="720"/>
        <w:contextualSpacing/>
        <w:jc w:val="both"/>
        <w:rPr>
          <w:b/>
          <w:bCs/>
        </w:rPr>
      </w:pPr>
      <w:r w:rsidRPr="008A2404">
        <w:rPr>
          <w:b/>
          <w:bCs/>
        </w:rPr>
        <w:t>Main Body</w:t>
      </w:r>
    </w:p>
    <w:p w14:paraId="0611EC0A" w14:textId="77777777" w:rsidR="00785D04" w:rsidRDefault="00785D04" w:rsidP="00785D04">
      <w:pPr>
        <w:spacing w:line="360" w:lineRule="auto"/>
        <w:ind w:firstLine="720"/>
        <w:contextualSpacing/>
        <w:jc w:val="both"/>
      </w:pPr>
    </w:p>
    <w:p w14:paraId="48BC81F5" w14:textId="06B7099E" w:rsidR="00785D04" w:rsidRDefault="00785D04" w:rsidP="00785D04">
      <w:pPr>
        <w:spacing w:line="360" w:lineRule="auto"/>
        <w:ind w:firstLine="720"/>
        <w:contextualSpacing/>
        <w:jc w:val="both"/>
      </w:pPr>
      <w:r>
        <w:t>Balance Sheet Analysis</w:t>
      </w:r>
    </w:p>
    <w:p w14:paraId="468B7A43" w14:textId="7898F686" w:rsidR="00CF758B" w:rsidRDefault="00CF758B" w:rsidP="00785D04">
      <w:pPr>
        <w:spacing w:line="360" w:lineRule="auto"/>
        <w:ind w:firstLine="720"/>
        <w:contextualSpacing/>
        <w:jc w:val="both"/>
      </w:pPr>
      <w:r>
        <w:t xml:space="preserve">It has been analysed that Seacrest Lodge conducts a thorough analysis of its financial status, which demonstrate from 2021 to 2023. Nonetheless, the reduction in the value of cash and equivalents from </w:t>
      </w:r>
      <w:r>
        <w:rPr>
          <w:rFonts w:cs="Arial"/>
        </w:rPr>
        <w:t>£</w:t>
      </w:r>
      <w:r>
        <w:t xml:space="preserve">100,000 to </w:t>
      </w:r>
      <w:r>
        <w:rPr>
          <w:rFonts w:cs="Arial"/>
        </w:rPr>
        <w:t>£</w:t>
      </w:r>
      <w:r>
        <w:t xml:space="preserve">20,000 in 2021 and 2023 respectively might make it difficult to fulfil upcoming financial responsibilities. In accordance with this, it focuses on the necessity of implying strategic financial management. There was a stable decline in account receivable totalling </w:t>
      </w:r>
      <w:r>
        <w:rPr>
          <w:rFonts w:cs="Arial"/>
        </w:rPr>
        <w:t>£</w:t>
      </w:r>
      <w:r>
        <w:t>30,000 from 2021 to 2023, recommending a potential decrease in sales. In order to protect one’s financial welfare, it is important to analyse credit processes and debt collection approaches. However, queries associated with asset management rise because of the projected fall in the value of equipment and property from two million pounds to a half million pounds in 2021 and 2023 respectively. While, for making practical decisions on depreciation, changing investment priorities and strategic asset sales, it is essential to comprehensively understand the aspects and reasons behind this downfall (</w:t>
      </w:r>
      <w:r>
        <w:rPr>
          <w:shd w:val="clear" w:color="auto" w:fill="FFFFFF"/>
        </w:rPr>
        <w:t>Burgess, 2007)</w:t>
      </w:r>
      <w:r>
        <w:t xml:space="preserve">. </w:t>
      </w:r>
    </w:p>
    <w:p w14:paraId="6FDE3068" w14:textId="77777777" w:rsidR="00CF758B" w:rsidRDefault="00CF758B" w:rsidP="00CF758B">
      <w:pPr>
        <w:spacing w:line="360" w:lineRule="auto"/>
        <w:contextualSpacing/>
      </w:pPr>
    </w:p>
    <w:p w14:paraId="39F3FE57" w14:textId="4C748984" w:rsidR="00CF758B" w:rsidRDefault="00CF758B" w:rsidP="00CF758B">
      <w:pPr>
        <w:spacing w:line="360" w:lineRule="auto"/>
        <w:contextualSpacing/>
        <w:jc w:val="center"/>
      </w:pPr>
      <w:r>
        <w:rPr>
          <w:noProof/>
          <w:lang w:val="en-US"/>
        </w:rPr>
        <w:lastRenderedPageBreak/>
        <w:drawing>
          <wp:inline distT="0" distB="0" distL="0" distR="0" wp14:anchorId="1E3E99B1" wp14:editId="22E1D351">
            <wp:extent cx="5731510" cy="2079625"/>
            <wp:effectExtent l="0" t="0" r="2540" b="0"/>
            <wp:docPr id="1689932601" name="Picture 2" descr="A table with numbers and a number of pou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932601" name="Picture 2" descr="A table with numbers and a number of pound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079625"/>
                    </a:xfrm>
                    <a:prstGeom prst="rect">
                      <a:avLst/>
                    </a:prstGeom>
                    <a:noFill/>
                    <a:ln>
                      <a:noFill/>
                    </a:ln>
                  </pic:spPr>
                </pic:pic>
              </a:graphicData>
            </a:graphic>
          </wp:inline>
        </w:drawing>
      </w:r>
    </w:p>
    <w:p w14:paraId="6071337C" w14:textId="77777777" w:rsidR="00CF758B" w:rsidRDefault="00CF758B" w:rsidP="00CF758B">
      <w:pPr>
        <w:spacing w:line="360" w:lineRule="auto"/>
        <w:contextualSpacing/>
      </w:pPr>
    </w:p>
    <w:p w14:paraId="62B49787" w14:textId="77777777" w:rsidR="00AC0F0A" w:rsidRDefault="00CF758B" w:rsidP="00CF758B">
      <w:pPr>
        <w:spacing w:line="360" w:lineRule="auto"/>
        <w:contextualSpacing/>
        <w:jc w:val="both"/>
      </w:pPr>
      <w:r>
        <w:tab/>
        <w:t xml:space="preserve">Considering the projected increase in account payable from </w:t>
      </w:r>
      <w:r>
        <w:rPr>
          <w:rFonts w:cs="Arial"/>
        </w:rPr>
        <w:t>£</w:t>
      </w:r>
      <w:r>
        <w:t xml:space="preserve">30,000 to </w:t>
      </w:r>
      <w:r>
        <w:rPr>
          <w:rFonts w:cs="Arial"/>
        </w:rPr>
        <w:t>£</w:t>
      </w:r>
      <w:r>
        <w:t xml:space="preserve">50,000 in 2021 and 2023 respectively, which recommend probable straining on current cash flow. In this regard, effective management of accounts payable is important to avoid liquidity issues and maintaining resilient relations. Regardless of the remaining balance of </w:t>
      </w:r>
      <w:r>
        <w:rPr>
          <w:rFonts w:cs="Arial"/>
        </w:rPr>
        <w:t>£</w:t>
      </w:r>
      <w:r>
        <w:t xml:space="preserve">1,500,000, it is important to conduct a comprehensive analysis of the conditions and scenarios of the long-term loan. However, it is decisive to integrate the financial objectives associated with its current situation for minimising the risk of unpredictable financial responsibilities. While, the considerable downfall in equity is evident, i.e., from </w:t>
      </w:r>
      <w:r>
        <w:rPr>
          <w:rFonts w:cs="Arial"/>
        </w:rPr>
        <w:t>£</w:t>
      </w:r>
      <w:r>
        <w:t xml:space="preserve">620,000 and </w:t>
      </w:r>
      <w:r>
        <w:rPr>
          <w:rFonts w:cs="Arial"/>
        </w:rPr>
        <w:t>£</w:t>
      </w:r>
      <w:r>
        <w:t>300,000 in 2021 and 2023 respectively. Considering the reduced value for shareholders, undoubtedly, it is important to quickly conduct strategic outcomes for regaining and improvising investor’s confidence.</w:t>
      </w:r>
    </w:p>
    <w:p w14:paraId="2E5F1359" w14:textId="77777777" w:rsidR="00AC0F0A" w:rsidRDefault="00AC0F0A" w:rsidP="00CF758B">
      <w:pPr>
        <w:spacing w:line="360" w:lineRule="auto"/>
        <w:contextualSpacing/>
        <w:jc w:val="both"/>
      </w:pPr>
    </w:p>
    <w:p w14:paraId="1B305E02" w14:textId="0D6CA7B9" w:rsidR="00AC0F0A" w:rsidRDefault="00AC0F0A" w:rsidP="00AC0F0A">
      <w:pPr>
        <w:spacing w:line="360" w:lineRule="auto"/>
        <w:ind w:firstLine="720"/>
        <w:contextualSpacing/>
        <w:jc w:val="both"/>
      </w:pPr>
      <w:r w:rsidRPr="00AC0F0A">
        <w:t>Income Statement Analysis</w:t>
      </w:r>
    </w:p>
    <w:p w14:paraId="73D79E28" w14:textId="4525F8E0" w:rsidR="00CF758B" w:rsidRDefault="00CF758B" w:rsidP="00AF3BD8">
      <w:pPr>
        <w:spacing w:line="360" w:lineRule="auto"/>
        <w:ind w:firstLine="720"/>
        <w:contextualSpacing/>
        <w:jc w:val="both"/>
      </w:pPr>
      <w:r>
        <w:t xml:space="preserve">Focusing on the evaluation of last three years, the Seacrest Lodge has observed a reduction in its financial performance. However, the lodge, a well-placed and expensive resort by the sea, has been experiencing constant reduction in the sales. In this aspect, while focusing on the statistics, a reduction from </w:t>
      </w:r>
      <w:r>
        <w:rPr>
          <w:rFonts w:cs="Arial"/>
        </w:rPr>
        <w:t>£</w:t>
      </w:r>
      <w:r>
        <w:t xml:space="preserve">1,200,000 to </w:t>
      </w:r>
      <w:r>
        <w:rPr>
          <w:rFonts w:cs="Arial"/>
        </w:rPr>
        <w:t>£</w:t>
      </w:r>
      <w:r>
        <w:t>960,000 can be seen in 2021. Nonetheless, there are some issues associated with the capability to sustain the number of customers because of the declining occupancy rates that is instigated by the existing decrease in numbers (</w:t>
      </w:r>
      <w:r>
        <w:rPr>
          <w:shd w:val="clear" w:color="auto" w:fill="FFFFFF"/>
        </w:rPr>
        <w:t>Yang, 2014)</w:t>
      </w:r>
      <w:r>
        <w:t xml:space="preserve">. Though the revenue has been falling, for which a comprehensive assessment of operating costs demonstrates an upsurge from </w:t>
      </w:r>
      <w:r>
        <w:rPr>
          <w:rFonts w:cs="Arial"/>
        </w:rPr>
        <w:t>£</w:t>
      </w:r>
      <w:r>
        <w:t xml:space="preserve">900,000 to </w:t>
      </w:r>
      <w:r>
        <w:rPr>
          <w:rFonts w:cs="Arial"/>
        </w:rPr>
        <w:t>£</w:t>
      </w:r>
      <w:r>
        <w:t xml:space="preserve">1,100,000 in 2021 and 2023 respectively. Subsequently, it recommends that the concern has been more complicated. Considering this aspect, it further recommends the possibility of operational </w:t>
      </w:r>
      <w:r>
        <w:lastRenderedPageBreak/>
        <w:t xml:space="preserve">inadequacies; it is quite practical for conducting a thorough analysis of particular costing elements for immediately identifying opportunities that will eventually help in minimising costs and improvising performance. </w:t>
      </w:r>
    </w:p>
    <w:p w14:paraId="31DB5AC5" w14:textId="77777777" w:rsidR="00CF758B" w:rsidRDefault="00CF758B" w:rsidP="00CF758B">
      <w:pPr>
        <w:spacing w:line="360" w:lineRule="auto"/>
        <w:contextualSpacing/>
      </w:pPr>
    </w:p>
    <w:p w14:paraId="47360352" w14:textId="098F42F8" w:rsidR="00CF758B" w:rsidRDefault="00CF758B" w:rsidP="00CF758B">
      <w:pPr>
        <w:spacing w:line="360" w:lineRule="auto"/>
        <w:contextualSpacing/>
      </w:pPr>
      <w:r>
        <w:rPr>
          <w:noProof/>
          <w:lang w:val="en-US"/>
        </w:rPr>
        <w:drawing>
          <wp:inline distT="0" distB="0" distL="0" distR="0" wp14:anchorId="629AD37F" wp14:editId="05E6FD47">
            <wp:extent cx="5731510" cy="1256665"/>
            <wp:effectExtent l="0" t="0" r="2540" b="635"/>
            <wp:docPr id="1732223136" name="Picture 1" descr="A white rectangular with numbers and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223136" name="Picture 1" descr="A white rectangular with numbers and a black 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256665"/>
                    </a:xfrm>
                    <a:prstGeom prst="rect">
                      <a:avLst/>
                    </a:prstGeom>
                    <a:noFill/>
                    <a:ln>
                      <a:noFill/>
                    </a:ln>
                  </pic:spPr>
                </pic:pic>
              </a:graphicData>
            </a:graphic>
          </wp:inline>
        </w:drawing>
      </w:r>
    </w:p>
    <w:p w14:paraId="0A4181EE" w14:textId="444E6680" w:rsidR="00AC0F0A" w:rsidRDefault="00CF758B" w:rsidP="003C5E6A">
      <w:pPr>
        <w:spacing w:line="360" w:lineRule="auto"/>
        <w:ind w:firstLine="720"/>
        <w:contextualSpacing/>
        <w:jc w:val="both"/>
      </w:pPr>
      <w:r>
        <w:t xml:space="preserve">Meanwhile, the above analysis specifies a considerable downfall in revenue that is expected to </w:t>
      </w:r>
      <w:r>
        <w:rPr>
          <w:rFonts w:cs="Arial"/>
        </w:rPr>
        <w:t>£</w:t>
      </w:r>
      <w:r>
        <w:t>150,000 in 2023. In accordance with this downfall, it is quite practical to understand that the company is currently facing a deficit, demonstrated through negative revenue. It can be identified that prompt response is important for reversing the financial downfall; thus, a thorough reversal approach is required in this aspect. Nonetheless, implementing a dual strategy is eventually important for efficiently addressing the current financial issues. In order to address the increasing expenses created by inadequacies, it is undoubtedly important for executing a comprehensive analysis of operational aspects as the major and initial step. However, a critical analysis of operational aspects is important; thus, it is vital to emphasis on integrated endeavours for increasing the revenue.</w:t>
      </w:r>
    </w:p>
    <w:p w14:paraId="34D05208" w14:textId="77777777" w:rsidR="005166A5" w:rsidRDefault="005166A5" w:rsidP="005166A5">
      <w:pPr>
        <w:spacing w:line="360" w:lineRule="auto"/>
        <w:contextualSpacing/>
        <w:jc w:val="center"/>
      </w:pPr>
    </w:p>
    <w:p w14:paraId="7DF67698" w14:textId="77777777" w:rsidR="005166A5" w:rsidRDefault="005166A5" w:rsidP="005166A5">
      <w:pPr>
        <w:spacing w:line="360" w:lineRule="auto"/>
        <w:contextualSpacing/>
        <w:jc w:val="center"/>
      </w:pPr>
      <w:r>
        <w:t>Key reasons behind the decline in profitability, taking into consideration, real-world events and the current economy</w:t>
      </w:r>
    </w:p>
    <w:p w14:paraId="06579E7E" w14:textId="77777777" w:rsidR="005166A5" w:rsidRDefault="005166A5" w:rsidP="005166A5">
      <w:pPr>
        <w:spacing w:line="360" w:lineRule="auto"/>
        <w:contextualSpacing/>
        <w:jc w:val="center"/>
      </w:pPr>
    </w:p>
    <w:p w14:paraId="7662B7DA" w14:textId="7330A4AB" w:rsidR="005166A5" w:rsidRDefault="005166A5" w:rsidP="005166A5">
      <w:pPr>
        <w:spacing w:line="360" w:lineRule="auto"/>
        <w:ind w:firstLine="720"/>
        <w:contextualSpacing/>
        <w:jc w:val="both"/>
      </w:pPr>
      <w:r>
        <w:t>Change in Consumer Needs</w:t>
      </w:r>
    </w:p>
    <w:p w14:paraId="06EC522D" w14:textId="0E224EDF" w:rsidR="00D047E1" w:rsidRDefault="00CF758B" w:rsidP="005925E7">
      <w:pPr>
        <w:spacing w:line="360" w:lineRule="auto"/>
        <w:ind w:firstLine="720"/>
        <w:contextualSpacing/>
        <w:jc w:val="both"/>
      </w:pPr>
      <w:r>
        <w:t xml:space="preserve">It can be identified by </w:t>
      </w:r>
      <w:proofErr w:type="spellStart"/>
      <w:r>
        <w:rPr>
          <w:shd w:val="clear" w:color="auto" w:fill="FFFFFF"/>
        </w:rPr>
        <w:t>Tatuev</w:t>
      </w:r>
      <w:proofErr w:type="spellEnd"/>
      <w:r>
        <w:rPr>
          <w:shd w:val="clear" w:color="auto" w:fill="FFFFFF"/>
        </w:rPr>
        <w:t xml:space="preserve"> et al. (2017)</w:t>
      </w:r>
      <w:r>
        <w:t xml:space="preserve"> that shifting in changing consumer needs considerably influence the decision-making process. It can be identified that if services and facilities do not integrate with continuously change preferences, there is an evident risk that customers’ satisfaction levels might reduce, resulting to a downfall in consumer retention. However, the firm’s long-term wealth and well-being will rely considerably on its skills and capability to adjust with the changing needs of the customers (</w:t>
      </w:r>
      <w:r>
        <w:rPr>
          <w:shd w:val="clear" w:color="auto" w:fill="FFFFFF"/>
        </w:rPr>
        <w:t>Williams sand Benjamin, 2017)</w:t>
      </w:r>
      <w:r>
        <w:t xml:space="preserve">. Nonetheless, it is sometimes difficult to stay upgraded and provided the customisation to every customer. </w:t>
      </w:r>
    </w:p>
    <w:p w14:paraId="3DD30185" w14:textId="77777777" w:rsidR="00062506" w:rsidRDefault="00062506" w:rsidP="00D047E1">
      <w:pPr>
        <w:spacing w:line="360" w:lineRule="auto"/>
        <w:contextualSpacing/>
        <w:jc w:val="both"/>
      </w:pPr>
    </w:p>
    <w:p w14:paraId="6E47BF23" w14:textId="7CBA9023" w:rsidR="00062506" w:rsidRDefault="00062506" w:rsidP="00062506">
      <w:pPr>
        <w:spacing w:line="360" w:lineRule="auto"/>
        <w:ind w:firstLine="720"/>
        <w:contextualSpacing/>
        <w:jc w:val="both"/>
      </w:pPr>
      <w:r>
        <w:t>Economic downturn</w:t>
      </w:r>
    </w:p>
    <w:p w14:paraId="384BFA50" w14:textId="159773F2" w:rsidR="004B6609" w:rsidRDefault="00CF758B" w:rsidP="005166A5">
      <w:pPr>
        <w:spacing w:line="360" w:lineRule="auto"/>
        <w:ind w:firstLine="720"/>
        <w:contextualSpacing/>
        <w:jc w:val="both"/>
      </w:pPr>
      <w:r>
        <w:t>According to, there is a focus on the spending of vulnerable leisure along with the profitability on the Lodge, which also notifies the effect of extensive economic downfall or sustained economic challenges. Throughout the economic downfall, industries usually rely on optional expenditures such as hotel business, which usually perceive a decline in the revenue distributed for covering such expenses. For instance, if Seacrest Lodge depends on discretionary expenditures, it may have certain challenges throughout economic downfall. It can be identified by him that reduced expenses on unnecessary items, for example luxurious travelling by the customer might result to a downfall in profitability (</w:t>
      </w:r>
      <w:r>
        <w:rPr>
          <w:shd w:val="clear" w:color="auto" w:fill="FFFFFF"/>
        </w:rPr>
        <w:t>Ortega, 2016)</w:t>
      </w:r>
      <w:r>
        <w:t>. Eventually the company’s predictability towards financial risk demonstrates the necessity for it to resist economic changes and adjusting to changing customer needs and demands. Nonetheless, by implying preventive practices, it is evident to minimise the impact of these challenges. In this aspect, the Lodge might recognise to develop and sustain revenue diversification approach for decreasing its reliance on discretionary expenditure (</w:t>
      </w:r>
      <w:r>
        <w:rPr>
          <w:shd w:val="clear" w:color="auto" w:fill="FFFFFF"/>
        </w:rPr>
        <w:t>Pappas, 2015)</w:t>
      </w:r>
      <w:r>
        <w:t>. It has been examined that firms could improvise their resilience throughout the economic downfall through implying cost-effective approaches, optimising operational proficiency and offering value-added experiences, which integrates with changing customer preferences (</w:t>
      </w:r>
      <w:r>
        <w:rPr>
          <w:shd w:val="clear" w:color="auto" w:fill="FFFFFF"/>
        </w:rPr>
        <w:t>Ortega, 2016)</w:t>
      </w:r>
      <w:r>
        <w:t>.</w:t>
      </w:r>
    </w:p>
    <w:p w14:paraId="26DE14D7" w14:textId="77777777" w:rsidR="005166A5" w:rsidRDefault="005166A5" w:rsidP="00D047E1">
      <w:pPr>
        <w:spacing w:line="360" w:lineRule="auto"/>
        <w:contextualSpacing/>
        <w:jc w:val="both"/>
      </w:pPr>
    </w:p>
    <w:p w14:paraId="21BBE3C7" w14:textId="5B90F3BA" w:rsidR="00CF758B" w:rsidRPr="009E7231" w:rsidRDefault="009E7231" w:rsidP="009E7231">
      <w:pPr>
        <w:jc w:val="both"/>
      </w:pPr>
      <w:r>
        <w:t>Risk assessment</w:t>
      </w:r>
      <w:r w:rsidR="00CF758B">
        <w:t xml:space="preserve"> </w:t>
      </w:r>
    </w:p>
    <w:tbl>
      <w:tblPr>
        <w:tblStyle w:val="TableGrid"/>
        <w:tblW w:w="0" w:type="auto"/>
        <w:tblInd w:w="0" w:type="dxa"/>
        <w:tblLook w:val="04A0" w:firstRow="1" w:lastRow="0" w:firstColumn="1" w:lastColumn="0" w:noHBand="0" w:noVBand="1"/>
      </w:tblPr>
      <w:tblGrid>
        <w:gridCol w:w="2283"/>
        <w:gridCol w:w="2213"/>
        <w:gridCol w:w="2218"/>
        <w:gridCol w:w="2302"/>
      </w:tblGrid>
      <w:tr w:rsidR="00CF758B" w14:paraId="5D8EBDAC" w14:textId="77777777" w:rsidTr="00CF758B">
        <w:tc>
          <w:tcPr>
            <w:tcW w:w="2394" w:type="dxa"/>
            <w:tcBorders>
              <w:top w:val="single" w:sz="4" w:space="0" w:color="auto"/>
              <w:left w:val="single" w:sz="4" w:space="0" w:color="auto"/>
              <w:bottom w:val="single" w:sz="4" w:space="0" w:color="auto"/>
              <w:right w:val="single" w:sz="4" w:space="0" w:color="auto"/>
            </w:tcBorders>
            <w:hideMark/>
          </w:tcPr>
          <w:p w14:paraId="401DFAF9" w14:textId="77777777" w:rsidR="00CF758B" w:rsidRDefault="00CF758B">
            <w:pPr>
              <w:spacing w:line="360" w:lineRule="auto"/>
              <w:contextualSpacing/>
              <w:jc w:val="center"/>
              <w:rPr>
                <w:b/>
              </w:rPr>
            </w:pPr>
            <w:r>
              <w:rPr>
                <w:b/>
              </w:rPr>
              <w:t>Risk</w:t>
            </w:r>
          </w:p>
        </w:tc>
        <w:tc>
          <w:tcPr>
            <w:tcW w:w="2394" w:type="dxa"/>
            <w:tcBorders>
              <w:top w:val="single" w:sz="4" w:space="0" w:color="auto"/>
              <w:left w:val="single" w:sz="4" w:space="0" w:color="auto"/>
              <w:bottom w:val="single" w:sz="4" w:space="0" w:color="auto"/>
              <w:right w:val="single" w:sz="4" w:space="0" w:color="auto"/>
            </w:tcBorders>
            <w:hideMark/>
          </w:tcPr>
          <w:p w14:paraId="5931E657" w14:textId="77777777" w:rsidR="00CF758B" w:rsidRDefault="00CF758B">
            <w:pPr>
              <w:spacing w:line="360" w:lineRule="auto"/>
              <w:contextualSpacing/>
              <w:jc w:val="center"/>
              <w:rPr>
                <w:b/>
              </w:rPr>
            </w:pPr>
            <w:r>
              <w:rPr>
                <w:b/>
              </w:rPr>
              <w:t>Likelihood</w:t>
            </w:r>
          </w:p>
        </w:tc>
        <w:tc>
          <w:tcPr>
            <w:tcW w:w="2394" w:type="dxa"/>
            <w:tcBorders>
              <w:top w:val="single" w:sz="4" w:space="0" w:color="auto"/>
              <w:left w:val="single" w:sz="4" w:space="0" w:color="auto"/>
              <w:bottom w:val="single" w:sz="4" w:space="0" w:color="auto"/>
              <w:right w:val="single" w:sz="4" w:space="0" w:color="auto"/>
            </w:tcBorders>
            <w:hideMark/>
          </w:tcPr>
          <w:p w14:paraId="6A5E872C" w14:textId="77777777" w:rsidR="00CF758B" w:rsidRDefault="00CF758B">
            <w:pPr>
              <w:spacing w:line="360" w:lineRule="auto"/>
              <w:contextualSpacing/>
              <w:jc w:val="center"/>
              <w:rPr>
                <w:b/>
              </w:rPr>
            </w:pPr>
            <w:r>
              <w:rPr>
                <w:b/>
              </w:rPr>
              <w:t>Impact</w:t>
            </w:r>
          </w:p>
        </w:tc>
        <w:tc>
          <w:tcPr>
            <w:tcW w:w="2394" w:type="dxa"/>
            <w:tcBorders>
              <w:top w:val="single" w:sz="4" w:space="0" w:color="auto"/>
              <w:left w:val="single" w:sz="4" w:space="0" w:color="auto"/>
              <w:bottom w:val="single" w:sz="4" w:space="0" w:color="auto"/>
              <w:right w:val="single" w:sz="4" w:space="0" w:color="auto"/>
            </w:tcBorders>
            <w:hideMark/>
          </w:tcPr>
          <w:p w14:paraId="47748E95" w14:textId="77777777" w:rsidR="00CF758B" w:rsidRDefault="00CF758B">
            <w:pPr>
              <w:spacing w:line="360" w:lineRule="auto"/>
              <w:contextualSpacing/>
              <w:jc w:val="center"/>
              <w:rPr>
                <w:b/>
              </w:rPr>
            </w:pPr>
            <w:r>
              <w:rPr>
                <w:b/>
              </w:rPr>
              <w:t>Mitigation Strategies</w:t>
            </w:r>
          </w:p>
        </w:tc>
      </w:tr>
      <w:tr w:rsidR="00CF758B" w14:paraId="66A1A896" w14:textId="77777777" w:rsidTr="00CF758B">
        <w:tc>
          <w:tcPr>
            <w:tcW w:w="2394" w:type="dxa"/>
            <w:tcBorders>
              <w:top w:val="single" w:sz="4" w:space="0" w:color="auto"/>
              <w:left w:val="single" w:sz="4" w:space="0" w:color="auto"/>
              <w:bottom w:val="single" w:sz="4" w:space="0" w:color="auto"/>
              <w:right w:val="single" w:sz="4" w:space="0" w:color="auto"/>
            </w:tcBorders>
          </w:tcPr>
          <w:p w14:paraId="480F5DA1" w14:textId="77777777" w:rsidR="00CF758B" w:rsidRDefault="00CF758B">
            <w:pPr>
              <w:spacing w:line="360" w:lineRule="auto"/>
              <w:contextualSpacing/>
              <w:rPr>
                <w:rFonts w:eastAsia="Times New Roman" w:cs="Arial"/>
                <w:color w:val="auto"/>
                <w:szCs w:val="24"/>
              </w:rPr>
            </w:pPr>
            <w:r>
              <w:rPr>
                <w:rFonts w:cs="Arial"/>
              </w:rPr>
              <w:t>C</w:t>
            </w:r>
            <w:r>
              <w:rPr>
                <w:rFonts w:eastAsia="Times New Roman" w:cs="Arial"/>
                <w:color w:val="auto"/>
                <w:szCs w:val="24"/>
              </w:rPr>
              <w:t>lient dissatisfaction, PR issues, or poor online reviews.</w:t>
            </w:r>
          </w:p>
          <w:p w14:paraId="1087C3C8" w14:textId="77777777" w:rsidR="00CF758B" w:rsidRDefault="00CF758B">
            <w:pPr>
              <w:spacing w:line="360" w:lineRule="auto"/>
              <w:contextualSpacing/>
              <w:rPr>
                <w:rFonts w:cs="Arial"/>
              </w:rPr>
            </w:pPr>
          </w:p>
        </w:tc>
        <w:tc>
          <w:tcPr>
            <w:tcW w:w="2394" w:type="dxa"/>
            <w:tcBorders>
              <w:top w:val="single" w:sz="4" w:space="0" w:color="auto"/>
              <w:left w:val="single" w:sz="4" w:space="0" w:color="auto"/>
              <w:bottom w:val="single" w:sz="4" w:space="0" w:color="auto"/>
              <w:right w:val="single" w:sz="4" w:space="0" w:color="auto"/>
            </w:tcBorders>
            <w:hideMark/>
          </w:tcPr>
          <w:p w14:paraId="436E7E69" w14:textId="77777777" w:rsidR="00CF758B" w:rsidRDefault="00CF758B">
            <w:pPr>
              <w:spacing w:line="360" w:lineRule="auto"/>
              <w:contextualSpacing/>
            </w:pPr>
            <w:r>
              <w:t>Moderate to high</w:t>
            </w:r>
          </w:p>
        </w:tc>
        <w:tc>
          <w:tcPr>
            <w:tcW w:w="2394" w:type="dxa"/>
            <w:tcBorders>
              <w:top w:val="single" w:sz="4" w:space="0" w:color="auto"/>
              <w:left w:val="single" w:sz="4" w:space="0" w:color="auto"/>
              <w:bottom w:val="single" w:sz="4" w:space="0" w:color="auto"/>
              <w:right w:val="single" w:sz="4" w:space="0" w:color="auto"/>
            </w:tcBorders>
          </w:tcPr>
          <w:p w14:paraId="00F4692D" w14:textId="77777777" w:rsidR="00CF758B" w:rsidRDefault="00CF758B">
            <w:pPr>
              <w:spacing w:line="360" w:lineRule="auto"/>
              <w:contextualSpacing/>
              <w:rPr>
                <w:rFonts w:eastAsia="Times New Roman" w:cs="Arial"/>
                <w:color w:val="auto"/>
                <w:szCs w:val="24"/>
              </w:rPr>
            </w:pPr>
            <w:r>
              <w:rPr>
                <w:rFonts w:eastAsia="Times New Roman" w:cs="Arial"/>
                <w:color w:val="auto"/>
                <w:szCs w:val="24"/>
              </w:rPr>
              <w:t>The lodge's reputation, reservation numbers, and customer confidence may suffer.</w:t>
            </w:r>
          </w:p>
          <w:p w14:paraId="3B738D75" w14:textId="77777777" w:rsidR="00CF758B" w:rsidRDefault="00CF758B">
            <w:pPr>
              <w:spacing w:line="360" w:lineRule="auto"/>
              <w:contextualSpacing/>
              <w:rPr>
                <w:rFonts w:cs="Arial"/>
              </w:rPr>
            </w:pPr>
          </w:p>
        </w:tc>
        <w:tc>
          <w:tcPr>
            <w:tcW w:w="2394" w:type="dxa"/>
            <w:tcBorders>
              <w:top w:val="single" w:sz="4" w:space="0" w:color="auto"/>
              <w:left w:val="single" w:sz="4" w:space="0" w:color="auto"/>
              <w:bottom w:val="single" w:sz="4" w:space="0" w:color="auto"/>
              <w:right w:val="single" w:sz="4" w:space="0" w:color="auto"/>
            </w:tcBorders>
          </w:tcPr>
          <w:p w14:paraId="5B069E7D" w14:textId="77777777" w:rsidR="00CF758B" w:rsidRDefault="00CF758B">
            <w:pPr>
              <w:spacing w:line="360" w:lineRule="auto"/>
              <w:contextualSpacing/>
              <w:rPr>
                <w:rFonts w:eastAsia="Times New Roman" w:cs="Arial"/>
                <w:color w:val="auto"/>
                <w:szCs w:val="24"/>
              </w:rPr>
            </w:pPr>
            <w:r>
              <w:rPr>
                <w:rFonts w:eastAsia="Times New Roman" w:cs="Arial"/>
                <w:color w:val="auto"/>
                <w:szCs w:val="24"/>
              </w:rPr>
              <w:t xml:space="preserve">Proactive online reputation management requires rapid issue resolution and consistent high-quality service. </w:t>
            </w:r>
          </w:p>
          <w:p w14:paraId="27FB16AD" w14:textId="77777777" w:rsidR="00CF758B" w:rsidRDefault="00CF758B">
            <w:pPr>
              <w:spacing w:line="360" w:lineRule="auto"/>
              <w:contextualSpacing/>
              <w:rPr>
                <w:rFonts w:cs="Arial"/>
              </w:rPr>
            </w:pPr>
          </w:p>
        </w:tc>
      </w:tr>
      <w:tr w:rsidR="00CF758B" w14:paraId="7F7B102A" w14:textId="77777777" w:rsidTr="00CF758B">
        <w:tc>
          <w:tcPr>
            <w:tcW w:w="2394" w:type="dxa"/>
            <w:tcBorders>
              <w:top w:val="single" w:sz="4" w:space="0" w:color="auto"/>
              <w:left w:val="single" w:sz="4" w:space="0" w:color="auto"/>
              <w:bottom w:val="single" w:sz="4" w:space="0" w:color="auto"/>
              <w:right w:val="single" w:sz="4" w:space="0" w:color="auto"/>
            </w:tcBorders>
          </w:tcPr>
          <w:p w14:paraId="62CD761B" w14:textId="77777777" w:rsidR="00CF758B" w:rsidRDefault="00CF758B">
            <w:pPr>
              <w:spacing w:line="360" w:lineRule="auto"/>
              <w:contextualSpacing/>
              <w:rPr>
                <w:rFonts w:eastAsia="Times New Roman" w:cs="Arial"/>
                <w:color w:val="auto"/>
                <w:szCs w:val="24"/>
              </w:rPr>
            </w:pPr>
            <w:r>
              <w:rPr>
                <w:rFonts w:eastAsia="Times New Roman" w:cs="Arial"/>
                <w:color w:val="auto"/>
                <w:szCs w:val="24"/>
              </w:rPr>
              <w:lastRenderedPageBreak/>
              <w:t>System failures, cybersecurity problems, and technological obsolescence are concerns.</w:t>
            </w:r>
          </w:p>
          <w:p w14:paraId="7F38CE0F" w14:textId="77777777" w:rsidR="00CF758B" w:rsidRDefault="00CF758B">
            <w:pPr>
              <w:spacing w:line="360" w:lineRule="auto"/>
              <w:contextualSpacing/>
              <w:rPr>
                <w:rFonts w:cs="Arial"/>
              </w:rPr>
            </w:pPr>
          </w:p>
        </w:tc>
        <w:tc>
          <w:tcPr>
            <w:tcW w:w="2394" w:type="dxa"/>
            <w:tcBorders>
              <w:top w:val="single" w:sz="4" w:space="0" w:color="auto"/>
              <w:left w:val="single" w:sz="4" w:space="0" w:color="auto"/>
              <w:bottom w:val="single" w:sz="4" w:space="0" w:color="auto"/>
              <w:right w:val="single" w:sz="4" w:space="0" w:color="auto"/>
            </w:tcBorders>
            <w:hideMark/>
          </w:tcPr>
          <w:p w14:paraId="41461700" w14:textId="77777777" w:rsidR="00CF758B" w:rsidRDefault="00CF758B">
            <w:pPr>
              <w:spacing w:line="360" w:lineRule="auto"/>
              <w:contextualSpacing/>
            </w:pPr>
            <w:r>
              <w:t>Moderate</w:t>
            </w:r>
          </w:p>
        </w:tc>
        <w:tc>
          <w:tcPr>
            <w:tcW w:w="2394" w:type="dxa"/>
            <w:tcBorders>
              <w:top w:val="single" w:sz="4" w:space="0" w:color="auto"/>
              <w:left w:val="single" w:sz="4" w:space="0" w:color="auto"/>
              <w:bottom w:val="single" w:sz="4" w:space="0" w:color="auto"/>
              <w:right w:val="single" w:sz="4" w:space="0" w:color="auto"/>
            </w:tcBorders>
          </w:tcPr>
          <w:p w14:paraId="38ED3716" w14:textId="77777777" w:rsidR="00CF758B" w:rsidRDefault="00CF758B">
            <w:pPr>
              <w:spacing w:line="360" w:lineRule="auto"/>
              <w:contextualSpacing/>
              <w:rPr>
                <w:rFonts w:eastAsia="Times New Roman" w:cs="Arial"/>
                <w:color w:val="auto"/>
                <w:szCs w:val="24"/>
              </w:rPr>
            </w:pPr>
            <w:r>
              <w:rPr>
                <w:rFonts w:eastAsia="Times New Roman" w:cs="Arial"/>
                <w:color w:val="auto"/>
                <w:szCs w:val="24"/>
              </w:rPr>
              <w:t>Financial loss, operational disruptions, and data breaches are possible.</w:t>
            </w:r>
          </w:p>
          <w:p w14:paraId="7F6729E5" w14:textId="77777777" w:rsidR="00CF758B" w:rsidRDefault="00CF758B">
            <w:pPr>
              <w:spacing w:line="360" w:lineRule="auto"/>
              <w:contextualSpacing/>
              <w:rPr>
                <w:rFonts w:cs="Arial"/>
              </w:rPr>
            </w:pPr>
          </w:p>
        </w:tc>
        <w:tc>
          <w:tcPr>
            <w:tcW w:w="2394" w:type="dxa"/>
            <w:tcBorders>
              <w:top w:val="single" w:sz="4" w:space="0" w:color="auto"/>
              <w:left w:val="single" w:sz="4" w:space="0" w:color="auto"/>
              <w:bottom w:val="single" w:sz="4" w:space="0" w:color="auto"/>
              <w:right w:val="single" w:sz="4" w:space="0" w:color="auto"/>
            </w:tcBorders>
          </w:tcPr>
          <w:p w14:paraId="33BF2D67" w14:textId="77777777" w:rsidR="00CF758B" w:rsidRDefault="00CF758B">
            <w:pPr>
              <w:spacing w:line="360" w:lineRule="auto"/>
              <w:contextualSpacing/>
              <w:rPr>
                <w:rFonts w:eastAsia="Times New Roman" w:cs="Arial"/>
                <w:color w:val="auto"/>
                <w:szCs w:val="24"/>
              </w:rPr>
            </w:pPr>
            <w:r>
              <w:rPr>
                <w:rFonts w:eastAsia="Times New Roman" w:cs="Arial"/>
                <w:color w:val="auto"/>
                <w:szCs w:val="24"/>
              </w:rPr>
              <w:t>Strong cybersecurity rules, frequent system updates, and backup plans for technical failures are crucial.</w:t>
            </w:r>
          </w:p>
          <w:p w14:paraId="483DA1F5" w14:textId="77777777" w:rsidR="00CF758B" w:rsidRDefault="00CF758B">
            <w:pPr>
              <w:spacing w:line="360" w:lineRule="auto"/>
              <w:contextualSpacing/>
              <w:rPr>
                <w:rFonts w:cs="Arial"/>
              </w:rPr>
            </w:pPr>
          </w:p>
        </w:tc>
      </w:tr>
      <w:tr w:rsidR="00CF758B" w14:paraId="48F0D047" w14:textId="77777777" w:rsidTr="00CF758B">
        <w:tc>
          <w:tcPr>
            <w:tcW w:w="2394" w:type="dxa"/>
            <w:tcBorders>
              <w:top w:val="single" w:sz="4" w:space="0" w:color="auto"/>
              <w:left w:val="single" w:sz="4" w:space="0" w:color="auto"/>
              <w:bottom w:val="single" w:sz="4" w:space="0" w:color="auto"/>
              <w:right w:val="single" w:sz="4" w:space="0" w:color="auto"/>
            </w:tcBorders>
            <w:hideMark/>
          </w:tcPr>
          <w:p w14:paraId="2F280522" w14:textId="77777777" w:rsidR="00CF758B" w:rsidRDefault="00CF758B">
            <w:pPr>
              <w:spacing w:line="360" w:lineRule="auto"/>
              <w:contextualSpacing/>
              <w:rPr>
                <w:rFonts w:eastAsia="Times New Roman" w:cs="Arial"/>
                <w:color w:val="auto"/>
                <w:szCs w:val="24"/>
              </w:rPr>
            </w:pPr>
            <w:r>
              <w:rPr>
                <w:rFonts w:eastAsia="Times New Roman" w:cs="Arial"/>
                <w:color w:val="auto"/>
                <w:szCs w:val="24"/>
              </w:rPr>
              <w:t>Staff shortages, operational inefficiencies, and service interruptions are examples.</w:t>
            </w:r>
          </w:p>
        </w:tc>
        <w:tc>
          <w:tcPr>
            <w:tcW w:w="2394" w:type="dxa"/>
            <w:tcBorders>
              <w:top w:val="single" w:sz="4" w:space="0" w:color="auto"/>
              <w:left w:val="single" w:sz="4" w:space="0" w:color="auto"/>
              <w:bottom w:val="single" w:sz="4" w:space="0" w:color="auto"/>
              <w:right w:val="single" w:sz="4" w:space="0" w:color="auto"/>
            </w:tcBorders>
            <w:hideMark/>
          </w:tcPr>
          <w:p w14:paraId="2D59B628" w14:textId="77777777" w:rsidR="00CF758B" w:rsidRDefault="00CF758B">
            <w:pPr>
              <w:spacing w:line="360" w:lineRule="auto"/>
              <w:contextualSpacing/>
            </w:pPr>
            <w:r>
              <w:t xml:space="preserve">Moderate to High </w:t>
            </w:r>
          </w:p>
        </w:tc>
        <w:tc>
          <w:tcPr>
            <w:tcW w:w="2394" w:type="dxa"/>
            <w:tcBorders>
              <w:top w:val="single" w:sz="4" w:space="0" w:color="auto"/>
              <w:left w:val="single" w:sz="4" w:space="0" w:color="auto"/>
              <w:bottom w:val="single" w:sz="4" w:space="0" w:color="auto"/>
              <w:right w:val="single" w:sz="4" w:space="0" w:color="auto"/>
            </w:tcBorders>
            <w:hideMark/>
          </w:tcPr>
          <w:p w14:paraId="65ADD6F9" w14:textId="77777777" w:rsidR="00CF758B" w:rsidRDefault="00CF758B">
            <w:pPr>
              <w:spacing w:line="360" w:lineRule="auto"/>
              <w:contextualSpacing/>
              <w:rPr>
                <w:rFonts w:eastAsia="Times New Roman" w:cs="Arial"/>
                <w:color w:val="auto"/>
                <w:szCs w:val="24"/>
              </w:rPr>
            </w:pPr>
            <w:r>
              <w:rPr>
                <w:rFonts w:eastAsia="Times New Roman" w:cs="Arial"/>
                <w:color w:val="auto"/>
                <w:szCs w:val="24"/>
              </w:rPr>
              <w:t>Customers may be unhappy, reviews may be negative, and money may be lost.</w:t>
            </w:r>
          </w:p>
        </w:tc>
        <w:tc>
          <w:tcPr>
            <w:tcW w:w="2394" w:type="dxa"/>
            <w:tcBorders>
              <w:top w:val="single" w:sz="4" w:space="0" w:color="auto"/>
              <w:left w:val="single" w:sz="4" w:space="0" w:color="auto"/>
              <w:bottom w:val="single" w:sz="4" w:space="0" w:color="auto"/>
              <w:right w:val="single" w:sz="4" w:space="0" w:color="auto"/>
            </w:tcBorders>
            <w:hideMark/>
          </w:tcPr>
          <w:p w14:paraId="591D025F" w14:textId="77777777" w:rsidR="00CF758B" w:rsidRDefault="00CF758B">
            <w:pPr>
              <w:spacing w:line="360" w:lineRule="auto"/>
              <w:contextualSpacing/>
              <w:rPr>
                <w:rFonts w:eastAsia="Times New Roman" w:cs="Arial"/>
                <w:color w:val="auto"/>
                <w:szCs w:val="24"/>
              </w:rPr>
            </w:pPr>
            <w:r>
              <w:rPr>
                <w:rFonts w:eastAsia="Times New Roman" w:cs="Arial"/>
                <w:color w:val="auto"/>
                <w:szCs w:val="24"/>
              </w:rPr>
              <w:t xml:space="preserve">Comprehensive training regimens, cross-training, and backup plans for unforeseen disruptions are crucial. </w:t>
            </w:r>
          </w:p>
        </w:tc>
      </w:tr>
    </w:tbl>
    <w:p w14:paraId="5972FE7F" w14:textId="77777777" w:rsidR="00CF758B" w:rsidRDefault="00CF758B" w:rsidP="00CF758B">
      <w:pPr>
        <w:spacing w:line="360" w:lineRule="auto"/>
        <w:contextualSpacing/>
      </w:pPr>
    </w:p>
    <w:p w14:paraId="7C9BBEA0" w14:textId="77777777" w:rsidR="00F33CE4" w:rsidRDefault="00F33CE4" w:rsidP="00CF758B">
      <w:pPr>
        <w:spacing w:line="360" w:lineRule="auto"/>
        <w:ind w:firstLine="720"/>
        <w:contextualSpacing/>
        <w:jc w:val="both"/>
      </w:pPr>
    </w:p>
    <w:p w14:paraId="2B9A2BA6" w14:textId="29E8C42C" w:rsidR="00CF758B" w:rsidRDefault="00CF758B" w:rsidP="00CF758B">
      <w:pPr>
        <w:spacing w:line="360" w:lineRule="auto"/>
        <w:ind w:firstLine="720"/>
        <w:contextualSpacing/>
        <w:jc w:val="both"/>
      </w:pPr>
      <w:r>
        <w:t>By analysing the risk assessment of the Seacrest Lodge there are various aspects, i.e., technological dependency, operational challenges, and need of ensuring customer satisfaction. However, ineffective online assessments, issues associated with public relations and dissatisfied customers are likely to create a bad brand image for the hotel (</w:t>
      </w:r>
      <w:proofErr w:type="spellStart"/>
      <w:r>
        <w:rPr>
          <w:shd w:val="clear" w:color="auto" w:fill="FFFFFF"/>
        </w:rPr>
        <w:t>Poulston</w:t>
      </w:r>
      <w:proofErr w:type="spellEnd"/>
      <w:r>
        <w:rPr>
          <w:shd w:val="clear" w:color="auto" w:fill="FFFFFF"/>
        </w:rPr>
        <w:t>, 2008)</w:t>
      </w:r>
      <w:r>
        <w:t xml:space="preserve">. </w:t>
      </w:r>
    </w:p>
    <w:p w14:paraId="54894D27" w14:textId="77777777" w:rsidR="00CF758B" w:rsidRDefault="00CF758B" w:rsidP="00CF758B">
      <w:pPr>
        <w:spacing w:line="360" w:lineRule="auto"/>
        <w:contextualSpacing/>
        <w:jc w:val="both"/>
      </w:pPr>
      <w:r>
        <w:tab/>
        <w:t xml:space="preserve">It can be identified that numerous concerns, for example, cybersecurity breaches, technological undesirability and system failures are recognised as the major part of risks within the technological domain. According to </w:t>
      </w:r>
      <w:r>
        <w:rPr>
          <w:shd w:val="clear" w:color="auto" w:fill="FFFFFF"/>
        </w:rPr>
        <w:t>Panai (2018),</w:t>
      </w:r>
      <w:r>
        <w:t xml:space="preserve"> system failures might interrupt important activities, resulting to a reduction in customer experience quality and overall operations. However, challenges affiliated with cybersecurity not merely result to financial challenges yet it also compromise the privacy and confidentiality of the customers. This is specifically important considering the increase in digital challenges. Because of the fast rate of technological enhancement, proper measures should be implied for avoiding technological undesirability. </w:t>
      </w:r>
    </w:p>
    <w:p w14:paraId="722B5F3F" w14:textId="77777777" w:rsidR="009E7231" w:rsidRDefault="00CF758B" w:rsidP="009E7231">
      <w:pPr>
        <w:spacing w:line="360" w:lineRule="auto"/>
        <w:ind w:firstLine="720"/>
        <w:contextualSpacing/>
        <w:jc w:val="both"/>
        <w:rPr>
          <w:lang w:val="en-US"/>
        </w:rPr>
      </w:pPr>
      <w:r>
        <w:rPr>
          <w:lang w:val="en-US"/>
        </w:rPr>
        <w:lastRenderedPageBreak/>
        <w:t xml:space="preserve">Nevertheless, operational risks, for instance shortage in human resource, operational ineffectiveness and service issues offer extra issues. It has been </w:t>
      </w:r>
      <w:proofErr w:type="spellStart"/>
      <w:r>
        <w:rPr>
          <w:lang w:val="en-US"/>
        </w:rPr>
        <w:t>analysed</w:t>
      </w:r>
      <w:proofErr w:type="spellEnd"/>
      <w:r>
        <w:rPr>
          <w:lang w:val="en-US"/>
        </w:rPr>
        <w:t xml:space="preserve"> that these human resource shortages might impact the service quality and level of client satisfaction. Subsequently, operational inadequacies may lead to high expenditures and decreased profitability (</w:t>
      </w:r>
      <w:r>
        <w:rPr>
          <w:shd w:val="clear" w:color="auto" w:fill="FFFFFF"/>
        </w:rPr>
        <w:t>Berezina et al., 2016)</w:t>
      </w:r>
      <w:r>
        <w:rPr>
          <w:lang w:val="en-US"/>
        </w:rPr>
        <w:t xml:space="preserve">. It can be examined that interruption in service not merely result to client dissatisfaction yet it also have the capability to damage the repute of the lodge. In order to effectively regulate operational challenges, it is important to emerge a complete strategy that values “human resource management, operational process optimization and contingency planning”.  </w:t>
      </w:r>
      <w:bookmarkStart w:id="1" w:name="_Toc159515572"/>
      <w:bookmarkStart w:id="2" w:name="_Toc159940336"/>
    </w:p>
    <w:p w14:paraId="06BF85BD" w14:textId="77777777" w:rsidR="00020F28" w:rsidRDefault="00020F28" w:rsidP="005925E7">
      <w:pPr>
        <w:spacing w:line="360" w:lineRule="auto"/>
        <w:ind w:firstLine="720"/>
        <w:contextualSpacing/>
        <w:jc w:val="center"/>
        <w:rPr>
          <w:lang w:val="en-US"/>
        </w:rPr>
      </w:pPr>
    </w:p>
    <w:p w14:paraId="598A6DE3" w14:textId="21A2DA42" w:rsidR="00020F28" w:rsidRDefault="00020F28" w:rsidP="00EA508A">
      <w:pPr>
        <w:jc w:val="center"/>
        <w:rPr>
          <w:lang w:val="en-US"/>
        </w:rPr>
      </w:pPr>
      <w:r w:rsidRPr="00020F28">
        <w:rPr>
          <w:lang w:val="en-US"/>
        </w:rPr>
        <w:t>Comprehensive turnaround strategy to revitalize the lodge's financial health and restore its reputation as a premier vacation destination or most viable financial outcomes</w:t>
      </w:r>
    </w:p>
    <w:p w14:paraId="01C52D47" w14:textId="77777777" w:rsidR="005925E7" w:rsidRPr="00020F28" w:rsidRDefault="005925E7" w:rsidP="00020F28">
      <w:pPr>
        <w:ind w:firstLine="720"/>
        <w:jc w:val="both"/>
        <w:rPr>
          <w:lang w:val="en-US"/>
        </w:rPr>
      </w:pPr>
    </w:p>
    <w:p w14:paraId="704DC0E1" w14:textId="04F1EC3A" w:rsidR="00CF758B" w:rsidRPr="009E7231" w:rsidRDefault="00CF758B" w:rsidP="009E7231">
      <w:pPr>
        <w:spacing w:line="360" w:lineRule="auto"/>
        <w:ind w:firstLine="720"/>
        <w:contextualSpacing/>
        <w:jc w:val="both"/>
      </w:pPr>
      <w:r>
        <w:t>Revenue Diversification</w:t>
      </w:r>
      <w:bookmarkEnd w:id="1"/>
      <w:bookmarkEnd w:id="2"/>
    </w:p>
    <w:p w14:paraId="3A36D74E" w14:textId="7C71BB48" w:rsidR="00CF758B" w:rsidRDefault="00CF758B" w:rsidP="00020F28">
      <w:pPr>
        <w:spacing w:line="360" w:lineRule="auto"/>
        <w:contextualSpacing/>
        <w:jc w:val="both"/>
        <w:rPr>
          <w:rFonts w:ascii="Times New Roman" w:eastAsia="Times New Roman" w:hAnsi="Times New Roman" w:cs="Times New Roman"/>
          <w:color w:val="auto"/>
          <w:szCs w:val="24"/>
          <w:lang w:val="en-US"/>
        </w:rPr>
      </w:pPr>
      <w:r>
        <w:tab/>
        <w:t>The lodge might improvise the financial wealth and customer involvement through expanding its revenue sources. It can be examined that offering fascinating packages might extend customer’s stay and improvise the possibility of their future return (</w:t>
      </w:r>
      <w:r>
        <w:rPr>
          <w:shd w:val="clear" w:color="auto" w:fill="FFFFFF"/>
        </w:rPr>
        <w:t>Yeh, Chen and Hu, 2012)</w:t>
      </w:r>
      <w:r>
        <w:t xml:space="preserve">. Nonetheless, customised packages comprise of rational lodging, entertainment and meals might be modified to fulfil consumer needs and seasonal trends. Moreover, one practical strategy includes developing associations with companies, which are in close immediacy with the company and offer distinguishing products and services, which improvise customer satisfaction (Park and Jang, 2013). </w:t>
      </w:r>
      <w:r>
        <w:tab/>
      </w:r>
    </w:p>
    <w:p w14:paraId="28F0F462" w14:textId="1B756B84" w:rsidR="00020F28" w:rsidRDefault="00020F28" w:rsidP="00020F28">
      <w:pPr>
        <w:spacing w:line="360" w:lineRule="auto"/>
        <w:contextualSpacing/>
        <w:jc w:val="both"/>
        <w:rPr>
          <w:rFonts w:ascii="Times New Roman" w:eastAsia="Times New Roman" w:hAnsi="Times New Roman" w:cs="Times New Roman"/>
          <w:color w:val="auto"/>
          <w:szCs w:val="24"/>
          <w:lang w:val="en-US"/>
        </w:rPr>
      </w:pPr>
    </w:p>
    <w:p w14:paraId="625BF857" w14:textId="528A5F61" w:rsidR="00D047E1" w:rsidRPr="00D047E1" w:rsidRDefault="00D047E1" w:rsidP="00D047E1">
      <w:pPr>
        <w:spacing w:line="360" w:lineRule="auto"/>
        <w:ind w:firstLine="720"/>
        <w:contextualSpacing/>
        <w:jc w:val="both"/>
        <w:rPr>
          <w:rFonts w:eastAsia="Times New Roman" w:cs="Arial"/>
          <w:color w:val="auto"/>
          <w:szCs w:val="24"/>
          <w:lang w:val="en-US"/>
        </w:rPr>
      </w:pPr>
      <w:r w:rsidRPr="00D047E1">
        <w:rPr>
          <w:rFonts w:eastAsia="Times New Roman" w:cs="Arial"/>
          <w:color w:val="auto"/>
          <w:szCs w:val="24"/>
          <w:lang w:val="en-US"/>
        </w:rPr>
        <w:t>Dynamic pricing strategy</w:t>
      </w:r>
    </w:p>
    <w:p w14:paraId="266FD14F" w14:textId="77777777" w:rsidR="005925E7" w:rsidRDefault="00CF758B" w:rsidP="005925E7">
      <w:pPr>
        <w:spacing w:line="360" w:lineRule="auto"/>
        <w:ind w:firstLine="720"/>
        <w:contextualSpacing/>
        <w:jc w:val="both"/>
      </w:pPr>
      <w:r>
        <w:t xml:space="preserve">It can be identified that company dynamic pricing approach for optimising income through altering rates on the basis of seasonal changes, local events, demand and market fluctuations. </w:t>
      </w:r>
      <w:r>
        <w:tab/>
        <w:t xml:space="preserve">However, this particular technique is implemented for optimising maximum revenue. In this aspect, market data and analytics are utilised in real-time for effecting pricing decisions; assuring that competitiveness is continued in times of low demand. </w:t>
      </w:r>
      <w:r>
        <w:rPr>
          <w:shd w:val="clear" w:color="auto" w:fill="FFFFFF"/>
        </w:rPr>
        <w:t>Rohani and Nazari (2012)</w:t>
      </w:r>
      <w:r>
        <w:t xml:space="preserve"> suggest that implementing an adaptive pricing approach might integrate Seacrest Lodge with market conditions and that might be increasing revenue. Apart from dynamic pricing, the company offers </w:t>
      </w:r>
      <w:r>
        <w:lastRenderedPageBreak/>
        <w:t>customised packages for specific events comprising vacations, celebration and different experiences. Nonetheless, the “Adventure Explorer Package” provides “Festive Getaway Package” is intended to for people who like to spend holidays effectively. While, the package induce a sense of exclusiveness through modifying it to the specific interest of the client who purchase them (</w:t>
      </w:r>
      <w:proofErr w:type="spellStart"/>
      <w:r>
        <w:rPr>
          <w:shd w:val="clear" w:color="auto" w:fill="FFFFFF"/>
        </w:rPr>
        <w:t>Viglia</w:t>
      </w:r>
      <w:proofErr w:type="spellEnd"/>
      <w:r>
        <w:rPr>
          <w:shd w:val="clear" w:color="auto" w:fill="FFFFFF"/>
        </w:rPr>
        <w:t xml:space="preserve">, Mauri and </w:t>
      </w:r>
      <w:proofErr w:type="spellStart"/>
      <w:r>
        <w:rPr>
          <w:shd w:val="clear" w:color="auto" w:fill="FFFFFF"/>
        </w:rPr>
        <w:t>Carricano</w:t>
      </w:r>
      <w:proofErr w:type="spellEnd"/>
      <w:r>
        <w:rPr>
          <w:shd w:val="clear" w:color="auto" w:fill="FFFFFF"/>
        </w:rPr>
        <w:t>, 2016)</w:t>
      </w:r>
      <w:r>
        <w:t xml:space="preserve">. </w:t>
      </w:r>
    </w:p>
    <w:p w14:paraId="0648FBF6" w14:textId="77777777" w:rsidR="005925E7" w:rsidRPr="005925E7" w:rsidRDefault="005925E7" w:rsidP="005925E7">
      <w:pPr>
        <w:spacing w:line="360" w:lineRule="auto"/>
        <w:ind w:firstLine="720"/>
        <w:contextualSpacing/>
        <w:jc w:val="both"/>
        <w:rPr>
          <w:b/>
          <w:bCs/>
        </w:rPr>
      </w:pPr>
    </w:p>
    <w:p w14:paraId="02F585C4" w14:textId="25E29E54" w:rsidR="005925E7" w:rsidRPr="005925E7" w:rsidRDefault="005925E7" w:rsidP="005925E7">
      <w:pPr>
        <w:spacing w:line="360" w:lineRule="auto"/>
        <w:ind w:firstLine="720"/>
        <w:contextualSpacing/>
        <w:jc w:val="both"/>
        <w:rPr>
          <w:b/>
          <w:bCs/>
        </w:rPr>
      </w:pPr>
      <w:r w:rsidRPr="005925E7">
        <w:rPr>
          <w:b/>
          <w:bCs/>
        </w:rPr>
        <w:t>Conclusion</w:t>
      </w:r>
    </w:p>
    <w:p w14:paraId="10012F40" w14:textId="54BD731A" w:rsidR="00CF758B" w:rsidRPr="005925E7" w:rsidRDefault="00CF758B" w:rsidP="005925E7">
      <w:pPr>
        <w:spacing w:line="360" w:lineRule="auto"/>
        <w:ind w:firstLine="720"/>
        <w:contextualSpacing/>
        <w:jc w:val="both"/>
      </w:pPr>
      <w:r>
        <w:rPr>
          <w:lang w:val="en-US"/>
        </w:rPr>
        <w:t>Conclusively, the company is perceived to be a critical juncture and to attain a complete and effective evolution, it is crucial to imply preventive outcomes and have a clear strategic vision. In this aspect, the financial analysis have demonstrated a considerable downfall in the revenue and sales considering the last three years, which focuses on the critical factors necessitating proper attention. However, the understanding associated with operational issues, concerns are affiliated with consumer satisfaction, and potential challenges have been revealed through a comprehensive analysis of balance sheet, income statement and major financial ratios. Subsequently, implying a thorough approach is significant for efficiently handling these issues. In order to appropriately place a brand within the market, it is essential to focus on a comprehensive understanding of evolving market dynamics, consumer needs and rivals. Nonetheless, through implementing strategies associated with rebranding that values customer’s experience, the firm might focus on its repute as a top and outstanding vacation destination.</w:t>
      </w:r>
    </w:p>
    <w:p w14:paraId="3D956960" w14:textId="77777777" w:rsidR="0018761B" w:rsidRDefault="0018761B" w:rsidP="00644FD9">
      <w:pPr>
        <w:rPr>
          <w:b/>
          <w:bCs/>
        </w:rPr>
      </w:pPr>
      <w:bookmarkStart w:id="3" w:name="_Toc159940340"/>
    </w:p>
    <w:p w14:paraId="0078A7C2" w14:textId="77777777" w:rsidR="0018761B" w:rsidRDefault="0018761B" w:rsidP="00644FD9">
      <w:pPr>
        <w:rPr>
          <w:b/>
          <w:bCs/>
        </w:rPr>
      </w:pPr>
    </w:p>
    <w:p w14:paraId="36EA1A97" w14:textId="77777777" w:rsidR="0018761B" w:rsidRDefault="0018761B" w:rsidP="00644FD9">
      <w:pPr>
        <w:rPr>
          <w:b/>
          <w:bCs/>
        </w:rPr>
      </w:pPr>
    </w:p>
    <w:p w14:paraId="15173F94" w14:textId="77777777" w:rsidR="0018761B" w:rsidRDefault="0018761B" w:rsidP="00644FD9">
      <w:pPr>
        <w:rPr>
          <w:b/>
          <w:bCs/>
        </w:rPr>
      </w:pPr>
    </w:p>
    <w:p w14:paraId="5E8C48F4" w14:textId="77777777" w:rsidR="0018761B" w:rsidRDefault="0018761B" w:rsidP="00644FD9">
      <w:pPr>
        <w:rPr>
          <w:b/>
          <w:bCs/>
        </w:rPr>
      </w:pPr>
    </w:p>
    <w:p w14:paraId="56F30C2A" w14:textId="77777777" w:rsidR="0018761B" w:rsidRDefault="0018761B" w:rsidP="00644FD9">
      <w:pPr>
        <w:rPr>
          <w:b/>
          <w:bCs/>
        </w:rPr>
      </w:pPr>
    </w:p>
    <w:p w14:paraId="7407CD29" w14:textId="77777777" w:rsidR="0018761B" w:rsidRDefault="0018761B" w:rsidP="00644FD9">
      <w:pPr>
        <w:rPr>
          <w:b/>
          <w:bCs/>
        </w:rPr>
      </w:pPr>
    </w:p>
    <w:p w14:paraId="17833C43" w14:textId="77777777" w:rsidR="0018761B" w:rsidRDefault="0018761B" w:rsidP="00644FD9">
      <w:pPr>
        <w:rPr>
          <w:b/>
          <w:bCs/>
        </w:rPr>
      </w:pPr>
    </w:p>
    <w:p w14:paraId="73BE1B76" w14:textId="77777777" w:rsidR="0018761B" w:rsidRDefault="0018761B" w:rsidP="00644FD9">
      <w:pPr>
        <w:rPr>
          <w:b/>
          <w:bCs/>
        </w:rPr>
      </w:pPr>
    </w:p>
    <w:p w14:paraId="5F7E8B99" w14:textId="77777777" w:rsidR="0018761B" w:rsidRDefault="0018761B" w:rsidP="00644FD9">
      <w:pPr>
        <w:rPr>
          <w:b/>
          <w:bCs/>
        </w:rPr>
      </w:pPr>
    </w:p>
    <w:p w14:paraId="6264119F" w14:textId="77777777" w:rsidR="0018761B" w:rsidRDefault="0018761B" w:rsidP="00644FD9">
      <w:pPr>
        <w:rPr>
          <w:b/>
          <w:bCs/>
        </w:rPr>
      </w:pPr>
    </w:p>
    <w:p w14:paraId="4512F86F" w14:textId="3404E3F8" w:rsidR="00EC7053" w:rsidRPr="00EC7053" w:rsidRDefault="00EC7053" w:rsidP="00644FD9">
      <w:pPr>
        <w:rPr>
          <w:b/>
          <w:bCs/>
        </w:rPr>
      </w:pPr>
      <w:r w:rsidRPr="00EC7053">
        <w:rPr>
          <w:b/>
          <w:bCs/>
        </w:rPr>
        <w:lastRenderedPageBreak/>
        <w:t>References</w:t>
      </w:r>
    </w:p>
    <w:bookmarkEnd w:id="3"/>
    <w:p w14:paraId="7FA84E9F" w14:textId="77777777" w:rsidR="00CF758B" w:rsidRDefault="00CF758B" w:rsidP="00F50EC6">
      <w:pPr>
        <w:spacing w:after="0" w:line="360" w:lineRule="auto"/>
        <w:contextualSpacing/>
        <w:rPr>
          <w:shd w:val="clear" w:color="auto" w:fill="FFFFFF"/>
        </w:rPr>
      </w:pPr>
      <w:r>
        <w:rPr>
          <w:shd w:val="clear" w:color="auto" w:fill="FFFFFF"/>
        </w:rPr>
        <w:t xml:space="preserve">Berezina, K., </w:t>
      </w:r>
      <w:proofErr w:type="spellStart"/>
      <w:r>
        <w:rPr>
          <w:shd w:val="clear" w:color="auto" w:fill="FFFFFF"/>
        </w:rPr>
        <w:t>Bilgihan</w:t>
      </w:r>
      <w:proofErr w:type="spellEnd"/>
      <w:r>
        <w:rPr>
          <w:shd w:val="clear" w:color="auto" w:fill="FFFFFF"/>
        </w:rPr>
        <w:t xml:space="preserve">, A., Cobanoglu, C. and </w:t>
      </w:r>
      <w:proofErr w:type="spellStart"/>
      <w:r>
        <w:rPr>
          <w:shd w:val="clear" w:color="auto" w:fill="FFFFFF"/>
        </w:rPr>
        <w:t>Okumus</w:t>
      </w:r>
      <w:proofErr w:type="spellEnd"/>
      <w:r>
        <w:rPr>
          <w:shd w:val="clear" w:color="auto" w:fill="FFFFFF"/>
        </w:rPr>
        <w:t>, F., 2016. Understanding satisfied and dissatisfied hotel customers: text mining of online hotel reviews. </w:t>
      </w:r>
      <w:r>
        <w:rPr>
          <w:i/>
          <w:iCs/>
          <w:shd w:val="clear" w:color="auto" w:fill="FFFFFF"/>
        </w:rPr>
        <w:t>Journal of Hospitality Marketing &amp; Management</w:t>
      </w:r>
      <w:r>
        <w:rPr>
          <w:shd w:val="clear" w:color="auto" w:fill="FFFFFF"/>
        </w:rPr>
        <w:t>, </w:t>
      </w:r>
      <w:r>
        <w:rPr>
          <w:i/>
          <w:iCs/>
          <w:shd w:val="clear" w:color="auto" w:fill="FFFFFF"/>
        </w:rPr>
        <w:t>25</w:t>
      </w:r>
      <w:r>
        <w:rPr>
          <w:shd w:val="clear" w:color="auto" w:fill="FFFFFF"/>
        </w:rPr>
        <w:t>(1), pp.1-24.</w:t>
      </w:r>
    </w:p>
    <w:p w14:paraId="76DD3460" w14:textId="77777777" w:rsidR="00CF758B" w:rsidRDefault="00CF758B" w:rsidP="00CF758B">
      <w:pPr>
        <w:spacing w:after="0" w:line="360" w:lineRule="auto"/>
        <w:ind w:left="720" w:hanging="720"/>
        <w:contextualSpacing/>
        <w:rPr>
          <w:shd w:val="clear" w:color="auto" w:fill="FFFFFF"/>
        </w:rPr>
      </w:pPr>
      <w:r>
        <w:rPr>
          <w:shd w:val="clear" w:color="auto" w:fill="FFFFFF"/>
        </w:rPr>
        <w:t>Burgess, C., 2007. Do hotel managers have sufficient financial skills to help them manage their areas?. </w:t>
      </w:r>
      <w:r>
        <w:rPr>
          <w:i/>
          <w:iCs/>
          <w:shd w:val="clear" w:color="auto" w:fill="FFFFFF"/>
        </w:rPr>
        <w:t>International Journal of Contemporary Hospitality Management</w:t>
      </w:r>
      <w:r>
        <w:rPr>
          <w:shd w:val="clear" w:color="auto" w:fill="FFFFFF"/>
        </w:rPr>
        <w:t>, </w:t>
      </w:r>
      <w:r>
        <w:rPr>
          <w:i/>
          <w:iCs/>
          <w:shd w:val="clear" w:color="auto" w:fill="FFFFFF"/>
        </w:rPr>
        <w:t>19</w:t>
      </w:r>
      <w:r>
        <w:rPr>
          <w:shd w:val="clear" w:color="auto" w:fill="FFFFFF"/>
        </w:rPr>
        <w:t>(3), pp.188-200.</w:t>
      </w:r>
    </w:p>
    <w:p w14:paraId="1F2F4894" w14:textId="77777777" w:rsidR="00CF758B" w:rsidRDefault="00CF758B" w:rsidP="00CF758B">
      <w:pPr>
        <w:spacing w:after="0" w:line="360" w:lineRule="auto"/>
        <w:ind w:left="720" w:hanging="720"/>
        <w:contextualSpacing/>
        <w:rPr>
          <w:shd w:val="clear" w:color="auto" w:fill="FFFFFF"/>
        </w:rPr>
      </w:pPr>
      <w:r>
        <w:rPr>
          <w:shd w:val="clear" w:color="auto" w:fill="FFFFFF"/>
        </w:rPr>
        <w:t>Burgess, C., 2012. Hotel unit financial management: does it have a future?. </w:t>
      </w:r>
      <w:r>
        <w:rPr>
          <w:i/>
          <w:iCs/>
          <w:shd w:val="clear" w:color="auto" w:fill="FFFFFF"/>
        </w:rPr>
        <w:t>Accounting and Financial Management</w:t>
      </w:r>
      <w:r>
        <w:rPr>
          <w:shd w:val="clear" w:color="auto" w:fill="FFFFFF"/>
        </w:rPr>
        <w:t>, p.282.</w:t>
      </w:r>
    </w:p>
    <w:p w14:paraId="7400196C" w14:textId="77777777" w:rsidR="00CF758B" w:rsidRDefault="00CF758B" w:rsidP="00CF758B">
      <w:pPr>
        <w:ind w:left="720" w:hanging="720"/>
        <w:rPr>
          <w:shd w:val="clear" w:color="auto" w:fill="FFFFFF"/>
        </w:rPr>
      </w:pPr>
      <w:proofErr w:type="spellStart"/>
      <w:r>
        <w:rPr>
          <w:shd w:val="clear" w:color="auto" w:fill="FFFFFF"/>
        </w:rPr>
        <w:t>Davahli</w:t>
      </w:r>
      <w:proofErr w:type="spellEnd"/>
      <w:r>
        <w:rPr>
          <w:shd w:val="clear" w:color="auto" w:fill="FFFFFF"/>
        </w:rPr>
        <w:t>, M.R., Karwowski, W., Sonmez, S. and Apostolopoulos, Y., 2020. The hospitality industry in the face of the COVID-19 pandemic: Current topics and research methods. </w:t>
      </w:r>
      <w:r>
        <w:rPr>
          <w:i/>
          <w:iCs/>
          <w:shd w:val="clear" w:color="auto" w:fill="FFFFFF"/>
        </w:rPr>
        <w:t>International journal of environmental research and public health</w:t>
      </w:r>
      <w:r>
        <w:rPr>
          <w:shd w:val="clear" w:color="auto" w:fill="FFFFFF"/>
        </w:rPr>
        <w:t>, </w:t>
      </w:r>
      <w:r>
        <w:rPr>
          <w:i/>
          <w:iCs/>
          <w:shd w:val="clear" w:color="auto" w:fill="FFFFFF"/>
        </w:rPr>
        <w:t>17</w:t>
      </w:r>
      <w:r>
        <w:rPr>
          <w:shd w:val="clear" w:color="auto" w:fill="FFFFFF"/>
        </w:rPr>
        <w:t>(20), p.7366.</w:t>
      </w:r>
    </w:p>
    <w:p w14:paraId="42DC4543" w14:textId="77777777" w:rsidR="00CF758B" w:rsidRDefault="00CF758B" w:rsidP="00CF758B">
      <w:pPr>
        <w:ind w:left="720" w:hanging="720"/>
        <w:rPr>
          <w:shd w:val="clear" w:color="auto" w:fill="FFFFFF"/>
        </w:rPr>
      </w:pPr>
      <w:r>
        <w:rPr>
          <w:shd w:val="clear" w:color="auto" w:fill="FFFFFF"/>
        </w:rPr>
        <w:t>Gursoy, D. and Chi, C.G., 2020. Effects of COVID-19 pandemic on hospitality industry: review of the current situations and a research agenda. </w:t>
      </w:r>
      <w:r>
        <w:rPr>
          <w:i/>
          <w:iCs/>
          <w:shd w:val="clear" w:color="auto" w:fill="FFFFFF"/>
        </w:rPr>
        <w:t>Journal of Hospitality Marketing &amp; Management</w:t>
      </w:r>
      <w:r>
        <w:rPr>
          <w:shd w:val="clear" w:color="auto" w:fill="FFFFFF"/>
        </w:rPr>
        <w:t>, </w:t>
      </w:r>
      <w:r>
        <w:rPr>
          <w:i/>
          <w:iCs/>
          <w:shd w:val="clear" w:color="auto" w:fill="FFFFFF"/>
        </w:rPr>
        <w:t>29</w:t>
      </w:r>
      <w:r>
        <w:rPr>
          <w:shd w:val="clear" w:color="auto" w:fill="FFFFFF"/>
        </w:rPr>
        <w:t>(5), pp.527-529.</w:t>
      </w:r>
    </w:p>
    <w:p w14:paraId="1759ED17" w14:textId="77777777" w:rsidR="00CF758B" w:rsidRDefault="00CF758B" w:rsidP="00CF758B">
      <w:pPr>
        <w:spacing w:after="0" w:line="360" w:lineRule="auto"/>
        <w:ind w:left="720" w:hanging="720"/>
        <w:contextualSpacing/>
        <w:rPr>
          <w:shd w:val="clear" w:color="auto" w:fill="FFFFFF"/>
        </w:rPr>
      </w:pPr>
      <w:r>
        <w:rPr>
          <w:shd w:val="clear" w:color="auto" w:fill="FFFFFF"/>
        </w:rPr>
        <w:t>Ortega, B., 2016. Revenue management systems and hotel performance in the economic downturn. </w:t>
      </w:r>
      <w:r>
        <w:rPr>
          <w:i/>
          <w:iCs/>
          <w:shd w:val="clear" w:color="auto" w:fill="FFFFFF"/>
        </w:rPr>
        <w:t>International Journal of Contemporary Hospitality Management</w:t>
      </w:r>
      <w:r>
        <w:rPr>
          <w:shd w:val="clear" w:color="auto" w:fill="FFFFFF"/>
        </w:rPr>
        <w:t>, </w:t>
      </w:r>
      <w:r>
        <w:rPr>
          <w:i/>
          <w:iCs/>
          <w:shd w:val="clear" w:color="auto" w:fill="FFFFFF"/>
        </w:rPr>
        <w:t>28</w:t>
      </w:r>
      <w:r>
        <w:rPr>
          <w:shd w:val="clear" w:color="auto" w:fill="FFFFFF"/>
        </w:rPr>
        <w:t>(4), pp.658-680.</w:t>
      </w:r>
    </w:p>
    <w:p w14:paraId="6FE94559" w14:textId="77777777" w:rsidR="00CF758B" w:rsidRDefault="00CF758B" w:rsidP="00CF758B">
      <w:pPr>
        <w:spacing w:after="0" w:line="360" w:lineRule="auto"/>
        <w:ind w:left="720" w:hanging="720"/>
        <w:contextualSpacing/>
        <w:rPr>
          <w:shd w:val="clear" w:color="auto" w:fill="FFFFFF"/>
        </w:rPr>
      </w:pPr>
      <w:r>
        <w:rPr>
          <w:shd w:val="clear" w:color="auto" w:fill="FFFFFF"/>
        </w:rPr>
        <w:t>Panai, E., 2018. A Cyber security framework for independent hotels. </w:t>
      </w:r>
      <w:r>
        <w:rPr>
          <w:i/>
          <w:iCs/>
          <w:shd w:val="clear" w:color="auto" w:fill="FFFFFF"/>
        </w:rPr>
        <w:t>Proceedings 4th EATSA-FRANCE 2018, Challenges of tourism development</w:t>
      </w:r>
      <w:r>
        <w:rPr>
          <w:shd w:val="clear" w:color="auto" w:fill="FFFFFF"/>
        </w:rPr>
        <w:t>, pp.145-152.</w:t>
      </w:r>
    </w:p>
    <w:p w14:paraId="631657CC" w14:textId="77777777" w:rsidR="00CF758B" w:rsidRDefault="00CF758B" w:rsidP="00CF758B">
      <w:pPr>
        <w:ind w:left="720" w:hanging="720"/>
        <w:rPr>
          <w:shd w:val="clear" w:color="auto" w:fill="FFFFFF"/>
        </w:rPr>
      </w:pPr>
      <w:r>
        <w:rPr>
          <w:shd w:val="clear" w:color="auto" w:fill="FFFFFF"/>
        </w:rPr>
        <w:t>Pappas, N., 2015. Marketing hospitality industry in an era of crisis. </w:t>
      </w:r>
      <w:r>
        <w:rPr>
          <w:i/>
          <w:iCs/>
          <w:shd w:val="clear" w:color="auto" w:fill="FFFFFF"/>
        </w:rPr>
        <w:t>Tourism Planning &amp; Development</w:t>
      </w:r>
      <w:r>
        <w:rPr>
          <w:shd w:val="clear" w:color="auto" w:fill="FFFFFF"/>
        </w:rPr>
        <w:t>, </w:t>
      </w:r>
      <w:r>
        <w:rPr>
          <w:i/>
          <w:iCs/>
          <w:shd w:val="clear" w:color="auto" w:fill="FFFFFF"/>
        </w:rPr>
        <w:t>12</w:t>
      </w:r>
      <w:r>
        <w:rPr>
          <w:shd w:val="clear" w:color="auto" w:fill="FFFFFF"/>
        </w:rPr>
        <w:t>(3), pp.333-349.</w:t>
      </w:r>
    </w:p>
    <w:p w14:paraId="6B331FAC" w14:textId="77777777" w:rsidR="00CF758B" w:rsidRDefault="00CF758B" w:rsidP="00CF758B">
      <w:pPr>
        <w:ind w:left="720" w:hanging="720"/>
        <w:rPr>
          <w:shd w:val="clear" w:color="auto" w:fill="FFFFFF"/>
        </w:rPr>
      </w:pPr>
      <w:r>
        <w:rPr>
          <w:shd w:val="clear" w:color="auto" w:fill="FFFFFF"/>
        </w:rPr>
        <w:t>Park, K. and Jang, S.S., 2013. Effects of within-industry diversification and related diversification strategies on firm performance. </w:t>
      </w:r>
      <w:r>
        <w:rPr>
          <w:i/>
          <w:iCs/>
          <w:shd w:val="clear" w:color="auto" w:fill="FFFFFF"/>
        </w:rPr>
        <w:t>International Journal of Hospitality Management</w:t>
      </w:r>
      <w:r>
        <w:rPr>
          <w:shd w:val="clear" w:color="auto" w:fill="FFFFFF"/>
        </w:rPr>
        <w:t>, </w:t>
      </w:r>
      <w:r>
        <w:rPr>
          <w:i/>
          <w:iCs/>
          <w:shd w:val="clear" w:color="auto" w:fill="FFFFFF"/>
        </w:rPr>
        <w:t>34</w:t>
      </w:r>
      <w:r>
        <w:rPr>
          <w:shd w:val="clear" w:color="auto" w:fill="FFFFFF"/>
        </w:rPr>
        <w:t>, pp.51-60.</w:t>
      </w:r>
    </w:p>
    <w:p w14:paraId="2352FF46" w14:textId="77777777" w:rsidR="00CF758B" w:rsidRDefault="00CF758B" w:rsidP="00CF758B">
      <w:pPr>
        <w:spacing w:after="0" w:line="360" w:lineRule="auto"/>
        <w:ind w:left="720" w:hanging="720"/>
        <w:contextualSpacing/>
      </w:pPr>
      <w:proofErr w:type="spellStart"/>
      <w:r>
        <w:rPr>
          <w:shd w:val="clear" w:color="auto" w:fill="FFFFFF"/>
        </w:rPr>
        <w:t>Poulston</w:t>
      </w:r>
      <w:proofErr w:type="spellEnd"/>
      <w:r>
        <w:rPr>
          <w:shd w:val="clear" w:color="auto" w:fill="FFFFFF"/>
        </w:rPr>
        <w:t>, J., 2008. Hospitality workplace problems and poor training: a close relationship. </w:t>
      </w:r>
      <w:r>
        <w:rPr>
          <w:i/>
          <w:iCs/>
          <w:shd w:val="clear" w:color="auto" w:fill="FFFFFF"/>
        </w:rPr>
        <w:t>International Journal of Contemporary Hospitality Management</w:t>
      </w:r>
      <w:r>
        <w:rPr>
          <w:shd w:val="clear" w:color="auto" w:fill="FFFFFF"/>
        </w:rPr>
        <w:t>, </w:t>
      </w:r>
      <w:r>
        <w:rPr>
          <w:i/>
          <w:iCs/>
          <w:shd w:val="clear" w:color="auto" w:fill="FFFFFF"/>
        </w:rPr>
        <w:t>20</w:t>
      </w:r>
      <w:r>
        <w:rPr>
          <w:shd w:val="clear" w:color="auto" w:fill="FFFFFF"/>
        </w:rPr>
        <w:t>(4), pp.412-427.</w:t>
      </w:r>
    </w:p>
    <w:p w14:paraId="4217E896" w14:textId="77777777" w:rsidR="00CF758B" w:rsidRDefault="00CF758B" w:rsidP="00CF758B">
      <w:pPr>
        <w:spacing w:after="0" w:line="360" w:lineRule="auto"/>
        <w:ind w:left="720" w:hanging="720"/>
        <w:contextualSpacing/>
        <w:rPr>
          <w:lang w:val="en-US"/>
        </w:rPr>
      </w:pPr>
      <w:r>
        <w:rPr>
          <w:shd w:val="clear" w:color="auto" w:fill="FFFFFF"/>
        </w:rPr>
        <w:t xml:space="preserve">Rohani, A. and Nazari, M., 2012. Impact of dynamic pricing strategies on consumer </w:t>
      </w:r>
      <w:proofErr w:type="spellStart"/>
      <w:r>
        <w:rPr>
          <w:shd w:val="clear" w:color="auto" w:fill="FFFFFF"/>
        </w:rPr>
        <w:t>behavior</w:t>
      </w:r>
      <w:proofErr w:type="spellEnd"/>
      <w:r>
        <w:rPr>
          <w:shd w:val="clear" w:color="auto" w:fill="FFFFFF"/>
        </w:rPr>
        <w:t>. </w:t>
      </w:r>
      <w:r>
        <w:rPr>
          <w:i/>
          <w:iCs/>
          <w:shd w:val="clear" w:color="auto" w:fill="FFFFFF"/>
        </w:rPr>
        <w:t>Journal of Management Research</w:t>
      </w:r>
      <w:r>
        <w:rPr>
          <w:shd w:val="clear" w:color="auto" w:fill="FFFFFF"/>
        </w:rPr>
        <w:t>, </w:t>
      </w:r>
      <w:r>
        <w:rPr>
          <w:i/>
          <w:iCs/>
          <w:shd w:val="clear" w:color="auto" w:fill="FFFFFF"/>
        </w:rPr>
        <w:t>4</w:t>
      </w:r>
      <w:r>
        <w:rPr>
          <w:shd w:val="clear" w:color="auto" w:fill="FFFFFF"/>
        </w:rPr>
        <w:t>(4), pp.143-159.</w:t>
      </w:r>
    </w:p>
    <w:p w14:paraId="2A429943" w14:textId="77777777" w:rsidR="00CF758B" w:rsidRDefault="00CF758B" w:rsidP="00CF758B">
      <w:pPr>
        <w:spacing w:after="0" w:line="360" w:lineRule="auto"/>
        <w:ind w:left="720" w:hanging="720"/>
        <w:contextualSpacing/>
        <w:rPr>
          <w:shd w:val="clear" w:color="auto" w:fill="FFFFFF"/>
        </w:rPr>
      </w:pPr>
      <w:proofErr w:type="spellStart"/>
      <w:r>
        <w:rPr>
          <w:shd w:val="clear" w:color="auto" w:fill="FFFFFF"/>
        </w:rPr>
        <w:t>Tatuev</w:t>
      </w:r>
      <w:proofErr w:type="spellEnd"/>
      <w:r>
        <w:rPr>
          <w:shd w:val="clear" w:color="auto" w:fill="FFFFFF"/>
        </w:rPr>
        <w:t xml:space="preserve">, A.A., </w:t>
      </w:r>
      <w:proofErr w:type="spellStart"/>
      <w:r>
        <w:rPr>
          <w:shd w:val="clear" w:color="auto" w:fill="FFFFFF"/>
        </w:rPr>
        <w:t>Rokotyanskaya</w:t>
      </w:r>
      <w:proofErr w:type="spellEnd"/>
      <w:r>
        <w:rPr>
          <w:shd w:val="clear" w:color="auto" w:fill="FFFFFF"/>
        </w:rPr>
        <w:t xml:space="preserve">, V.V., </w:t>
      </w:r>
      <w:proofErr w:type="spellStart"/>
      <w:r>
        <w:rPr>
          <w:shd w:val="clear" w:color="auto" w:fill="FFFFFF"/>
        </w:rPr>
        <w:t>Rossinskaya</w:t>
      </w:r>
      <w:proofErr w:type="spellEnd"/>
      <w:r>
        <w:rPr>
          <w:shd w:val="clear" w:color="auto" w:fill="FFFFFF"/>
        </w:rPr>
        <w:t xml:space="preserve">, M.V., Kolesnikova, E.V. and </w:t>
      </w:r>
      <w:proofErr w:type="spellStart"/>
      <w:r>
        <w:rPr>
          <w:shd w:val="clear" w:color="auto" w:fill="FFFFFF"/>
        </w:rPr>
        <w:t>Shaylieva</w:t>
      </w:r>
      <w:proofErr w:type="spellEnd"/>
      <w:r>
        <w:rPr>
          <w:shd w:val="clear" w:color="auto" w:fill="FFFFFF"/>
        </w:rPr>
        <w:t>, M.M., 2017. Labor and Financial Resources' Management in the Hotel Industry. </w:t>
      </w:r>
      <w:r>
        <w:rPr>
          <w:i/>
          <w:iCs/>
          <w:shd w:val="clear" w:color="auto" w:fill="FFFFFF"/>
        </w:rPr>
        <w:t>Journal of Economic &amp; Management Perspectives</w:t>
      </w:r>
      <w:r>
        <w:rPr>
          <w:shd w:val="clear" w:color="auto" w:fill="FFFFFF"/>
        </w:rPr>
        <w:t>, </w:t>
      </w:r>
      <w:r>
        <w:rPr>
          <w:i/>
          <w:iCs/>
          <w:shd w:val="clear" w:color="auto" w:fill="FFFFFF"/>
        </w:rPr>
        <w:t>11</w:t>
      </w:r>
      <w:r>
        <w:rPr>
          <w:shd w:val="clear" w:color="auto" w:fill="FFFFFF"/>
        </w:rPr>
        <w:t>(2), pp.685-694.</w:t>
      </w:r>
    </w:p>
    <w:p w14:paraId="57FE5FDA" w14:textId="77777777" w:rsidR="00CF758B" w:rsidRDefault="00CF758B" w:rsidP="00CF758B">
      <w:pPr>
        <w:ind w:left="720" w:hanging="720"/>
        <w:rPr>
          <w:shd w:val="clear" w:color="auto" w:fill="FFFFFF"/>
        </w:rPr>
      </w:pPr>
      <w:proofErr w:type="spellStart"/>
      <w:r>
        <w:rPr>
          <w:shd w:val="clear" w:color="auto" w:fill="FFFFFF"/>
        </w:rPr>
        <w:lastRenderedPageBreak/>
        <w:t>Viglia</w:t>
      </w:r>
      <w:proofErr w:type="spellEnd"/>
      <w:r>
        <w:rPr>
          <w:shd w:val="clear" w:color="auto" w:fill="FFFFFF"/>
        </w:rPr>
        <w:t xml:space="preserve">, G., Mauri, A. and </w:t>
      </w:r>
      <w:proofErr w:type="spellStart"/>
      <w:r>
        <w:rPr>
          <w:shd w:val="clear" w:color="auto" w:fill="FFFFFF"/>
        </w:rPr>
        <w:t>Carricano</w:t>
      </w:r>
      <w:proofErr w:type="spellEnd"/>
      <w:r>
        <w:rPr>
          <w:shd w:val="clear" w:color="auto" w:fill="FFFFFF"/>
        </w:rPr>
        <w:t>, M., 2016. The exploration of hotel reference prices under dynamic pricing scenarios and different forms of competition. </w:t>
      </w:r>
      <w:r>
        <w:rPr>
          <w:i/>
          <w:iCs/>
          <w:shd w:val="clear" w:color="auto" w:fill="FFFFFF"/>
        </w:rPr>
        <w:t>International Journal of Hospitality Management</w:t>
      </w:r>
      <w:r>
        <w:rPr>
          <w:shd w:val="clear" w:color="auto" w:fill="FFFFFF"/>
        </w:rPr>
        <w:t>, </w:t>
      </w:r>
      <w:r>
        <w:rPr>
          <w:i/>
          <w:iCs/>
          <w:shd w:val="clear" w:color="auto" w:fill="FFFFFF"/>
        </w:rPr>
        <w:t>52</w:t>
      </w:r>
      <w:r>
        <w:rPr>
          <w:shd w:val="clear" w:color="auto" w:fill="FFFFFF"/>
        </w:rPr>
        <w:t>, pp.46-55.</w:t>
      </w:r>
    </w:p>
    <w:p w14:paraId="54B01718" w14:textId="77777777" w:rsidR="00CF758B" w:rsidRDefault="00CF758B" w:rsidP="00CF758B">
      <w:pPr>
        <w:ind w:left="720" w:hanging="720"/>
        <w:rPr>
          <w:shd w:val="clear" w:color="auto" w:fill="FFFFFF"/>
        </w:rPr>
      </w:pPr>
      <w:r>
        <w:rPr>
          <w:shd w:val="clear" w:color="auto" w:fill="FFFFFF"/>
        </w:rPr>
        <w:t>Williams, J.A. and Benjamin, S., 2017. Changes in hospitality consumers’ needs and wants. </w:t>
      </w:r>
      <w:r>
        <w:rPr>
          <w:i/>
          <w:iCs/>
          <w:shd w:val="clear" w:color="auto" w:fill="FFFFFF"/>
        </w:rPr>
        <w:t>The Routledge Handbook of Hospitality Marketing</w:t>
      </w:r>
      <w:r>
        <w:rPr>
          <w:shd w:val="clear" w:color="auto" w:fill="FFFFFF"/>
        </w:rPr>
        <w:t>, pp.578-584.</w:t>
      </w:r>
    </w:p>
    <w:p w14:paraId="0272D8F3" w14:textId="77777777" w:rsidR="00CF758B" w:rsidRDefault="00CF758B" w:rsidP="00CF758B">
      <w:pPr>
        <w:spacing w:after="0" w:line="360" w:lineRule="auto"/>
        <w:ind w:left="720" w:hanging="720"/>
        <w:contextualSpacing/>
        <w:rPr>
          <w:shd w:val="clear" w:color="auto" w:fill="FFFFFF"/>
        </w:rPr>
      </w:pPr>
      <w:r>
        <w:rPr>
          <w:shd w:val="clear" w:color="auto" w:fill="FFFFFF"/>
        </w:rPr>
        <w:t>Yang, Y., 2014. </w:t>
      </w:r>
      <w:r>
        <w:rPr>
          <w:i/>
          <w:iCs/>
          <w:shd w:val="clear" w:color="auto" w:fill="FFFFFF"/>
        </w:rPr>
        <w:t>A study of hotel management financial competencies with the focus on revenue and cost management</w:t>
      </w:r>
      <w:r>
        <w:rPr>
          <w:shd w:val="clear" w:color="auto" w:fill="FFFFFF"/>
        </w:rPr>
        <w:t> (Doctoral dissertation, Kent State University).</w:t>
      </w:r>
    </w:p>
    <w:p w14:paraId="0AF9A4F8" w14:textId="77777777" w:rsidR="00CF758B" w:rsidRDefault="00CF758B" w:rsidP="00CF758B">
      <w:pPr>
        <w:spacing w:after="0" w:line="360" w:lineRule="auto"/>
        <w:ind w:left="720" w:hanging="720"/>
        <w:contextualSpacing/>
        <w:rPr>
          <w:shd w:val="clear" w:color="auto" w:fill="FFFFFF"/>
        </w:rPr>
      </w:pPr>
      <w:r>
        <w:rPr>
          <w:shd w:val="clear" w:color="auto" w:fill="FFFFFF"/>
        </w:rPr>
        <w:t>Yeh, C.Y., Chen, C.M. and Hu, J.L., 2012. Business diversification in the hotel industry: A comparative advantage analysis. </w:t>
      </w:r>
      <w:r>
        <w:rPr>
          <w:i/>
          <w:iCs/>
          <w:shd w:val="clear" w:color="auto" w:fill="FFFFFF"/>
        </w:rPr>
        <w:t>Tourism Economics</w:t>
      </w:r>
      <w:r>
        <w:rPr>
          <w:shd w:val="clear" w:color="auto" w:fill="FFFFFF"/>
        </w:rPr>
        <w:t>, </w:t>
      </w:r>
      <w:r>
        <w:rPr>
          <w:i/>
          <w:iCs/>
          <w:shd w:val="clear" w:color="auto" w:fill="FFFFFF"/>
        </w:rPr>
        <w:t>18</w:t>
      </w:r>
      <w:r>
        <w:rPr>
          <w:shd w:val="clear" w:color="auto" w:fill="FFFFFF"/>
        </w:rPr>
        <w:t>(5), pp.941-952.</w:t>
      </w:r>
    </w:p>
    <w:p w14:paraId="263A6489" w14:textId="77777777" w:rsidR="00CF758B" w:rsidRDefault="00CF758B" w:rsidP="00CF758B">
      <w:pPr>
        <w:spacing w:line="360" w:lineRule="auto"/>
        <w:contextualSpacing/>
        <w:rPr>
          <w:lang w:val="en-US"/>
        </w:rPr>
      </w:pPr>
    </w:p>
    <w:p w14:paraId="292FAD35" w14:textId="77777777" w:rsidR="00CF758B" w:rsidRDefault="00CF758B" w:rsidP="00CF758B">
      <w:pPr>
        <w:spacing w:line="360" w:lineRule="auto"/>
        <w:contextualSpacing/>
      </w:pPr>
    </w:p>
    <w:p w14:paraId="2514A5DB" w14:textId="77777777" w:rsidR="00CF758B" w:rsidRDefault="00CF758B" w:rsidP="00CF758B">
      <w:pPr>
        <w:spacing w:line="360" w:lineRule="auto"/>
        <w:contextualSpacing/>
      </w:pPr>
    </w:p>
    <w:p w14:paraId="242B8B5A" w14:textId="77777777" w:rsidR="00CF758B" w:rsidRDefault="00CF758B" w:rsidP="00CF758B">
      <w:pPr>
        <w:spacing w:line="360" w:lineRule="auto"/>
        <w:contextualSpacing/>
        <w:rPr>
          <w:rFonts w:ascii="Times New Roman" w:eastAsia="Times New Roman" w:hAnsi="Times New Roman" w:cs="Times New Roman"/>
          <w:color w:val="auto"/>
          <w:szCs w:val="24"/>
          <w:lang w:val="en-US"/>
        </w:rPr>
      </w:pPr>
      <w:r>
        <w:rPr>
          <w:rFonts w:ascii="Times New Roman" w:eastAsia="Times New Roman" w:hAnsi="Times New Roman" w:cs="Times New Roman"/>
          <w:color w:val="auto"/>
          <w:szCs w:val="24"/>
          <w:lang w:val="en-US"/>
        </w:rPr>
        <w:br/>
      </w:r>
      <w:r>
        <w:rPr>
          <w:rFonts w:ascii="Times New Roman" w:eastAsia="Times New Roman" w:hAnsi="Times New Roman" w:cs="Times New Roman"/>
          <w:color w:val="auto"/>
          <w:szCs w:val="24"/>
          <w:lang w:val="en-US"/>
        </w:rPr>
        <w:br/>
      </w:r>
    </w:p>
    <w:p w14:paraId="358DD426" w14:textId="77777777" w:rsidR="00CF758B" w:rsidRDefault="00CF758B" w:rsidP="00CF758B">
      <w:pPr>
        <w:spacing w:line="360" w:lineRule="auto"/>
        <w:contextualSpacing/>
      </w:pPr>
    </w:p>
    <w:p w14:paraId="718BF4C0" w14:textId="77777777" w:rsidR="00FF2DB3" w:rsidRDefault="00FF2DB3"/>
    <w:sectPr w:rsidR="00FF2D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C138F"/>
    <w:multiLevelType w:val="hybridMultilevel"/>
    <w:tmpl w:val="3828A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460332"/>
    <w:multiLevelType w:val="hybridMultilevel"/>
    <w:tmpl w:val="003EA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1585730">
    <w:abstractNumId w:val="1"/>
  </w:num>
  <w:num w:numId="2" w16cid:durableId="553124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E05"/>
    <w:rsid w:val="00020F28"/>
    <w:rsid w:val="00062506"/>
    <w:rsid w:val="00137C4F"/>
    <w:rsid w:val="001753E2"/>
    <w:rsid w:val="0018761B"/>
    <w:rsid w:val="001A7BD2"/>
    <w:rsid w:val="001C3F4E"/>
    <w:rsid w:val="001D7EA9"/>
    <w:rsid w:val="00241462"/>
    <w:rsid w:val="002419E9"/>
    <w:rsid w:val="002914C7"/>
    <w:rsid w:val="002C172E"/>
    <w:rsid w:val="002D4B3C"/>
    <w:rsid w:val="002F78DC"/>
    <w:rsid w:val="003C5E6A"/>
    <w:rsid w:val="003F1EEA"/>
    <w:rsid w:val="004B6609"/>
    <w:rsid w:val="005166A5"/>
    <w:rsid w:val="005925E7"/>
    <w:rsid w:val="005F0A64"/>
    <w:rsid w:val="006322C0"/>
    <w:rsid w:val="00644FD9"/>
    <w:rsid w:val="00661C57"/>
    <w:rsid w:val="00675E90"/>
    <w:rsid w:val="006B0B38"/>
    <w:rsid w:val="0070020A"/>
    <w:rsid w:val="007344EA"/>
    <w:rsid w:val="00785D04"/>
    <w:rsid w:val="008A2404"/>
    <w:rsid w:val="009E7231"/>
    <w:rsid w:val="00A36E05"/>
    <w:rsid w:val="00AC0F0A"/>
    <w:rsid w:val="00AC325E"/>
    <w:rsid w:val="00AD0B40"/>
    <w:rsid w:val="00AD74B5"/>
    <w:rsid w:val="00AF3BD8"/>
    <w:rsid w:val="00C22E1A"/>
    <w:rsid w:val="00CF758B"/>
    <w:rsid w:val="00D047E1"/>
    <w:rsid w:val="00D47642"/>
    <w:rsid w:val="00D827DA"/>
    <w:rsid w:val="00E15B83"/>
    <w:rsid w:val="00EA508A"/>
    <w:rsid w:val="00EC7053"/>
    <w:rsid w:val="00F33CE4"/>
    <w:rsid w:val="00F50EC6"/>
    <w:rsid w:val="00F906EA"/>
    <w:rsid w:val="00FE736F"/>
    <w:rsid w:val="00FF2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520CB"/>
  <w15:chartTrackingRefBased/>
  <w15:docId w15:val="{0D832E7E-C2D8-4DDC-822F-E6ECBD399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36F"/>
    <w:pPr>
      <w:spacing w:line="256" w:lineRule="auto"/>
    </w:pPr>
    <w:rPr>
      <w:rFonts w:ascii="Arial" w:hAnsi="Arial"/>
      <w:color w:val="000000" w:themeColor="text1"/>
      <w:kern w:val="0"/>
      <w:sz w:val="24"/>
      <w14:ligatures w14:val="none"/>
    </w:rPr>
  </w:style>
  <w:style w:type="paragraph" w:styleId="Heading1">
    <w:name w:val="heading 1"/>
    <w:basedOn w:val="Normal"/>
    <w:next w:val="Normal"/>
    <w:link w:val="Heading1Char"/>
    <w:uiPriority w:val="9"/>
    <w:qFormat/>
    <w:rsid w:val="00FE736F"/>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semiHidden/>
    <w:unhideWhenUsed/>
    <w:qFormat/>
    <w:rsid w:val="00CF75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F758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36F"/>
    <w:rPr>
      <w:rFonts w:ascii="Arial" w:eastAsiaTheme="majorEastAsia" w:hAnsi="Arial" w:cstheme="majorBidi"/>
      <w:b/>
      <w:i/>
      <w:color w:val="000000" w:themeColor="text1"/>
      <w:kern w:val="0"/>
      <w:sz w:val="24"/>
      <w:szCs w:val="32"/>
      <w14:ligatures w14:val="none"/>
    </w:rPr>
  </w:style>
  <w:style w:type="character" w:customStyle="1" w:styleId="Heading2Char">
    <w:name w:val="Heading 2 Char"/>
    <w:basedOn w:val="DefaultParagraphFont"/>
    <w:link w:val="Heading2"/>
    <w:uiPriority w:val="9"/>
    <w:semiHidden/>
    <w:rsid w:val="00CF758B"/>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CF758B"/>
    <w:rPr>
      <w:rFonts w:asciiTheme="majorHAnsi" w:eastAsiaTheme="majorEastAsia" w:hAnsiTheme="majorHAnsi" w:cstheme="majorBidi"/>
      <w:color w:val="1F3763" w:themeColor="accent1" w:themeShade="7F"/>
      <w:kern w:val="0"/>
      <w:sz w:val="24"/>
      <w:szCs w:val="24"/>
      <w14:ligatures w14:val="none"/>
    </w:rPr>
  </w:style>
  <w:style w:type="table" w:styleId="TableGrid">
    <w:name w:val="Table Grid"/>
    <w:basedOn w:val="TableNormal"/>
    <w:uiPriority w:val="59"/>
    <w:rsid w:val="00CF758B"/>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753E2"/>
    <w:rPr>
      <w:color w:val="0563C1" w:themeColor="hyperlink"/>
      <w:u w:val="single"/>
    </w:rPr>
  </w:style>
  <w:style w:type="paragraph" w:styleId="TOC1">
    <w:name w:val="toc 1"/>
    <w:basedOn w:val="Normal"/>
    <w:next w:val="Normal"/>
    <w:autoRedefine/>
    <w:uiPriority w:val="39"/>
    <w:semiHidden/>
    <w:unhideWhenUsed/>
    <w:rsid w:val="001753E2"/>
    <w:pPr>
      <w:spacing w:before="120" w:after="0"/>
    </w:pPr>
    <w:rPr>
      <w:rFonts w:asciiTheme="minorHAnsi" w:hAnsiTheme="minorHAnsi"/>
      <w:b/>
      <w:bCs/>
      <w:i/>
      <w:iCs/>
      <w:szCs w:val="24"/>
    </w:rPr>
  </w:style>
  <w:style w:type="paragraph" w:styleId="TOC2">
    <w:name w:val="toc 2"/>
    <w:basedOn w:val="Normal"/>
    <w:next w:val="Normal"/>
    <w:autoRedefine/>
    <w:uiPriority w:val="39"/>
    <w:semiHidden/>
    <w:unhideWhenUsed/>
    <w:rsid w:val="001753E2"/>
    <w:pPr>
      <w:spacing w:before="120" w:after="0"/>
      <w:ind w:left="240"/>
    </w:pPr>
    <w:rPr>
      <w:rFonts w:asciiTheme="minorHAnsi" w:hAnsiTheme="minorHAnsi"/>
      <w:b/>
      <w:bCs/>
      <w:sz w:val="22"/>
    </w:rPr>
  </w:style>
  <w:style w:type="paragraph" w:styleId="TOC3">
    <w:name w:val="toc 3"/>
    <w:basedOn w:val="Normal"/>
    <w:next w:val="Normal"/>
    <w:autoRedefine/>
    <w:uiPriority w:val="39"/>
    <w:semiHidden/>
    <w:unhideWhenUsed/>
    <w:rsid w:val="001753E2"/>
    <w:pPr>
      <w:spacing w:after="0"/>
      <w:ind w:left="48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127787">
      <w:bodyDiv w:val="1"/>
      <w:marLeft w:val="0"/>
      <w:marRight w:val="0"/>
      <w:marTop w:val="0"/>
      <w:marBottom w:val="0"/>
      <w:divBdr>
        <w:top w:val="none" w:sz="0" w:space="0" w:color="auto"/>
        <w:left w:val="none" w:sz="0" w:space="0" w:color="auto"/>
        <w:bottom w:val="none" w:sz="0" w:space="0" w:color="auto"/>
        <w:right w:val="none" w:sz="0" w:space="0" w:color="auto"/>
      </w:divBdr>
    </w:div>
    <w:div w:id="493568403">
      <w:bodyDiv w:val="1"/>
      <w:marLeft w:val="0"/>
      <w:marRight w:val="0"/>
      <w:marTop w:val="0"/>
      <w:marBottom w:val="0"/>
      <w:divBdr>
        <w:top w:val="none" w:sz="0" w:space="0" w:color="auto"/>
        <w:left w:val="none" w:sz="0" w:space="0" w:color="auto"/>
        <w:bottom w:val="none" w:sz="0" w:space="0" w:color="auto"/>
        <w:right w:val="none" w:sz="0" w:space="0" w:color="auto"/>
      </w:divBdr>
    </w:div>
    <w:div w:id="189700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2522</Words>
  <Characters>14378</Characters>
  <Application>Microsoft Office Word</Application>
  <DocSecurity>0</DocSecurity>
  <Lines>119</Lines>
  <Paragraphs>33</Paragraphs>
  <ScaleCrop>false</ScaleCrop>
  <Company/>
  <LinksUpToDate>false</LinksUpToDate>
  <CharactersWithSpaces>16867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Simonca</dc:creator>
  <cp:keywords/>
  <dc:description/>
  <cp:lastModifiedBy>Raluca Simonca</cp:lastModifiedBy>
  <cp:revision>48</cp:revision>
  <dcterms:created xsi:type="dcterms:W3CDTF">2024-02-28T23:10:00Z</dcterms:created>
  <dcterms:modified xsi:type="dcterms:W3CDTF">2024-02-29T00:36:00Z</dcterms:modified>
</cp:coreProperties>
</file>