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5B5452" w14:textId="77777777" w:rsidR="00F143CF" w:rsidRDefault="00F143CF" w:rsidP="00F143CF">
      <w:pPr>
        <w:pStyle w:val="BodyText"/>
        <w:jc w:val="center"/>
        <w:rPr>
          <w:b/>
          <w:bCs/>
        </w:rPr>
      </w:pPr>
      <w:r w:rsidRPr="00F143CF">
        <w:rPr>
          <w:b/>
          <w:bCs/>
        </w:rPr>
        <w:t>To what extent were the Normans united by a shared sense of identity?</w:t>
      </w:r>
    </w:p>
    <w:p w14:paraId="53F27F62" w14:textId="77777777" w:rsidR="00F143CF" w:rsidRDefault="00F143CF" w:rsidP="00F143CF">
      <w:pPr>
        <w:pStyle w:val="BodyText"/>
        <w:jc w:val="center"/>
        <w:rPr>
          <w:b/>
          <w:bCs/>
        </w:rPr>
      </w:pPr>
    </w:p>
    <w:p w14:paraId="19512C18" w14:textId="3648F909" w:rsidR="00F143CF" w:rsidRDefault="00F143CF">
      <w:r>
        <w:tab/>
        <w:t xml:space="preserve">It was at some point around the year 911, when the Frankish king Charles the Simple granted a group of Viking settlers under the leadership of Rollo, the territory between the river </w:t>
      </w:r>
      <w:proofErr w:type="spellStart"/>
      <w:r>
        <w:t>Epte</w:t>
      </w:r>
      <w:proofErr w:type="spellEnd"/>
      <w:r>
        <w:t xml:space="preserve"> and the sea. This territory, named after its people, the north-men, or </w:t>
      </w:r>
      <w:proofErr w:type="spellStart"/>
      <w:r w:rsidRPr="00F143CF">
        <w:rPr>
          <w:i/>
          <w:iCs/>
        </w:rPr>
        <w:t>Nor</w:t>
      </w:r>
      <w:r>
        <w:rPr>
          <w:i/>
          <w:iCs/>
        </w:rPr>
        <w:t>th</w:t>
      </w:r>
      <w:r w:rsidRPr="00F143CF">
        <w:rPr>
          <w:i/>
          <w:iCs/>
        </w:rPr>
        <w:t>mannia</w:t>
      </w:r>
      <w:proofErr w:type="spellEnd"/>
      <w:r>
        <w:t>, is known to us as Normandy.</w:t>
      </w:r>
      <w:r>
        <w:rPr>
          <w:rStyle w:val="FootnoteReference"/>
        </w:rPr>
        <w:footnoteReference w:id="1"/>
      </w:r>
      <w:r>
        <w:t xml:space="preserve"> At its height, Norman influence spread from this territory of Normandy, across the British Isles, southern Italy, Sicily, North Africa, and even as far as Antioch. This essay will ask questions on the level of cultural homogeny between these groups and will analyse to what extent Normans were united by a shared sense of identity. To analyse this question, it is also important to ascertain what is meant by Norman identity. To do this, this essay will discuss the myth of the Normans in their histories and chronicles, before assessing how much this contributed toward a sense of ethnic identity, and how this juxtaposed with the assimilation Norman rule became associated with, we will assess how the Normans perceived themselves before concluding on the longevity and unity of identity to the Normans from the 10</w:t>
      </w:r>
      <w:r w:rsidRPr="00F143CF">
        <w:rPr>
          <w:vertAlign w:val="superscript"/>
        </w:rPr>
        <w:t>th</w:t>
      </w:r>
      <w:r>
        <w:t xml:space="preserve"> to late 12</w:t>
      </w:r>
      <w:r w:rsidRPr="00F143CF">
        <w:rPr>
          <w:vertAlign w:val="superscript"/>
        </w:rPr>
        <w:t>th</w:t>
      </w:r>
      <w:r>
        <w:t xml:space="preserve"> century.</w:t>
      </w:r>
    </w:p>
    <w:p w14:paraId="1FA44CB1" w14:textId="77777777" w:rsidR="00F143CF" w:rsidRDefault="00F143CF"/>
    <w:p w14:paraId="7F98FFA6" w14:textId="77777777" w:rsidR="00F143CF" w:rsidRDefault="00F143CF"/>
    <w:p w14:paraId="57C290BD" w14:textId="1C113C7A" w:rsidR="00F143CF" w:rsidRDefault="00F143CF" w:rsidP="00F143CF">
      <w:pPr>
        <w:spacing w:after="160" w:line="259" w:lineRule="auto"/>
        <w:ind w:firstLine="720"/>
        <w:rPr>
          <w:bCs/>
        </w:rPr>
      </w:pPr>
      <w:r>
        <w:t xml:space="preserve">The </w:t>
      </w:r>
      <w:r w:rsidRPr="00F143CF">
        <w:t xml:space="preserve">Normans managed to maintain a strong sense of their own identity. </w:t>
      </w:r>
      <w:r>
        <w:t>T</w:t>
      </w:r>
      <w:r w:rsidRPr="00F143CF">
        <w:t>hey did so by developing a powerful origin myth and a pride in their history.</w:t>
      </w:r>
      <w:r>
        <w:t xml:space="preserve"> </w:t>
      </w:r>
      <w:r w:rsidRPr="00F143CF">
        <w:t xml:space="preserve">The writer who laid </w:t>
      </w:r>
      <w:r>
        <w:t>out</w:t>
      </w:r>
      <w:r w:rsidRPr="00F143CF">
        <w:t xml:space="preserve"> the written foundation </w:t>
      </w:r>
      <w:r>
        <w:t xml:space="preserve">of this myth was </w:t>
      </w:r>
      <w:r w:rsidRPr="00F143CF">
        <w:t>Dudo of Saint-Quentin</w:t>
      </w:r>
      <w:r>
        <w:t>.</w:t>
      </w:r>
      <w:r>
        <w:rPr>
          <w:rStyle w:val="FootnoteReference"/>
        </w:rPr>
        <w:footnoteReference w:id="2"/>
      </w:r>
      <w:r>
        <w:t xml:space="preserve"> Originally from </w:t>
      </w:r>
      <w:proofErr w:type="spellStart"/>
      <w:r>
        <w:t>Vermandois</w:t>
      </w:r>
      <w:proofErr w:type="spellEnd"/>
      <w:r>
        <w:t>, he is one of the few historians to document this early period of Norman history. he is thought to have arrived at the Norman court of Richard I in the 980s-90s as an ambassador of count Albert.</w:t>
      </w:r>
      <w:r>
        <w:rPr>
          <w:rStyle w:val="FootnoteReference"/>
        </w:rPr>
        <w:footnoteReference w:id="3"/>
      </w:r>
      <w:r>
        <w:t xml:space="preserve"> Unfortunately, </w:t>
      </w:r>
      <w:proofErr w:type="spellStart"/>
      <w:r>
        <w:t>Dudo’s</w:t>
      </w:r>
      <w:proofErr w:type="spellEnd"/>
      <w:r>
        <w:t xml:space="preserve"> </w:t>
      </w:r>
      <w:proofErr w:type="spellStart"/>
      <w:r w:rsidRPr="00F143CF">
        <w:rPr>
          <w:i/>
          <w:iCs/>
        </w:rPr>
        <w:t>Gesta</w:t>
      </w:r>
      <w:proofErr w:type="spellEnd"/>
      <w:r w:rsidRPr="00F143CF">
        <w:rPr>
          <w:i/>
          <w:iCs/>
        </w:rPr>
        <w:t xml:space="preserve"> </w:t>
      </w:r>
      <w:proofErr w:type="spellStart"/>
      <w:r w:rsidRPr="00F143CF">
        <w:rPr>
          <w:i/>
          <w:iCs/>
        </w:rPr>
        <w:t>Normannorum</w:t>
      </w:r>
      <w:proofErr w:type="spellEnd"/>
      <w:r w:rsidRPr="00F143CF">
        <w:t xml:space="preserve"> </w:t>
      </w:r>
      <w:r>
        <w:t xml:space="preserve">contains very little </w:t>
      </w:r>
      <w:proofErr w:type="gramStart"/>
      <w:r>
        <w:t>factual information</w:t>
      </w:r>
      <w:proofErr w:type="gramEnd"/>
      <w:r>
        <w:t>. However, when read less for facts and more for what Dudo and his patrons Richard I and Richard II were trying to achieve in creating a history for the descendants of Rollo, his work becomes far more interesting.</w:t>
      </w:r>
      <w:r>
        <w:rPr>
          <w:rStyle w:val="FootnoteReference"/>
        </w:rPr>
        <w:footnoteReference w:id="4"/>
      </w:r>
      <w:r>
        <w:t xml:space="preserve"> The </w:t>
      </w:r>
      <w:proofErr w:type="spellStart"/>
      <w:r w:rsidRPr="00F143CF">
        <w:rPr>
          <w:i/>
          <w:iCs/>
        </w:rPr>
        <w:t>Gesta</w:t>
      </w:r>
      <w:proofErr w:type="spellEnd"/>
      <w:r w:rsidRPr="00F143CF">
        <w:rPr>
          <w:i/>
          <w:iCs/>
        </w:rPr>
        <w:t xml:space="preserve"> </w:t>
      </w:r>
      <w:proofErr w:type="spellStart"/>
      <w:r w:rsidRPr="00F143CF">
        <w:rPr>
          <w:i/>
          <w:iCs/>
        </w:rPr>
        <w:t>Normannorum</w:t>
      </w:r>
      <w:proofErr w:type="spellEnd"/>
      <w:r>
        <w:t xml:space="preserve"> follows Rollo in the foundation of Normandy. Rollo is described much like Aeneas in Virgil’s Aeneid, searching for a homeland across the ocean after a divine vision. The connections to Virgil do not end here, much like the classical author was tasked with connecting the Roman race to the Trojan war through the ancestor of Aeneas, Dudo traces the Norman genealogy back to Antenor. </w:t>
      </w:r>
      <w:r>
        <w:rPr>
          <w:rStyle w:val="FootnoteReference"/>
        </w:rPr>
        <w:footnoteReference w:id="5"/>
      </w:r>
      <w:r>
        <w:t xml:space="preserve"> This could be seen as an interesting choice, </w:t>
      </w:r>
      <w:proofErr w:type="spellStart"/>
      <w:r>
        <w:t>Albu</w:t>
      </w:r>
      <w:proofErr w:type="spellEnd"/>
      <w:r>
        <w:t xml:space="preserve"> has pointed out how </w:t>
      </w:r>
      <w:proofErr w:type="spellStart"/>
      <w:r>
        <w:t>Antenors</w:t>
      </w:r>
      <w:proofErr w:type="spellEnd"/>
      <w:r>
        <w:t xml:space="preserve"> reputation was far from perfect, he had a classical reputation as a traitor. </w:t>
      </w:r>
      <w:proofErr w:type="spellStart"/>
      <w:r>
        <w:t>Dionysios</w:t>
      </w:r>
      <w:proofErr w:type="spellEnd"/>
      <w:r>
        <w:t xml:space="preserve"> of </w:t>
      </w:r>
      <w:proofErr w:type="spellStart"/>
      <w:r>
        <w:t>Halicarnasus</w:t>
      </w:r>
      <w:proofErr w:type="spellEnd"/>
      <w:r>
        <w:t xml:space="preserve"> named him as the Greek collaborator who opened the Trojan horse and signalled to the Greek ships.</w:t>
      </w:r>
      <w:r>
        <w:rPr>
          <w:rStyle w:val="FootnoteReference"/>
        </w:rPr>
        <w:footnoteReference w:id="6"/>
      </w:r>
      <w:r>
        <w:t xml:space="preserve">  Dudo was likely aware of this connection as a well-educated Frank; however, Dudo is cleverly linking the Normans to their Frankish neighbours who also claimed descent from Antenor.</w:t>
      </w:r>
      <w:r>
        <w:rPr>
          <w:rStyle w:val="FootnoteReference"/>
        </w:rPr>
        <w:footnoteReference w:id="7"/>
      </w:r>
      <w:r>
        <w:t xml:space="preserve"> </w:t>
      </w:r>
      <w:r w:rsidRPr="00F143CF">
        <w:rPr>
          <w:bCs/>
        </w:rPr>
        <w:t>A</w:t>
      </w:r>
      <w:r w:rsidRPr="00F143CF">
        <w:rPr>
          <w:bCs/>
        </w:rPr>
        <w:t xml:space="preserve">s </w:t>
      </w:r>
      <w:proofErr w:type="spellStart"/>
      <w:r w:rsidRPr="00F143CF">
        <w:rPr>
          <w:bCs/>
        </w:rPr>
        <w:t>Albu</w:t>
      </w:r>
      <w:proofErr w:type="spellEnd"/>
      <w:r w:rsidRPr="00F143CF">
        <w:rPr>
          <w:bCs/>
        </w:rPr>
        <w:t xml:space="preserve"> writes, </w:t>
      </w:r>
      <w:r>
        <w:rPr>
          <w:bCs/>
        </w:rPr>
        <w:t>“A</w:t>
      </w:r>
      <w:r w:rsidRPr="00F143CF">
        <w:rPr>
          <w:bCs/>
        </w:rPr>
        <w:t xml:space="preserve">ccording to </w:t>
      </w:r>
      <w:r w:rsidRPr="00F143CF">
        <w:rPr>
          <w:bCs/>
        </w:rPr>
        <w:t>D</w:t>
      </w:r>
      <w:r w:rsidRPr="00F143CF">
        <w:rPr>
          <w:bCs/>
        </w:rPr>
        <w:t xml:space="preserve">udo, </w:t>
      </w:r>
      <w:r w:rsidRPr="00F143CF">
        <w:rPr>
          <w:bCs/>
        </w:rPr>
        <w:t>the N</w:t>
      </w:r>
      <w:r w:rsidRPr="00F143CF">
        <w:rPr>
          <w:bCs/>
        </w:rPr>
        <w:t>ormans have</w:t>
      </w:r>
      <w:r w:rsidRPr="00F143CF">
        <w:rPr>
          <w:bCs/>
        </w:rPr>
        <w:t xml:space="preserve"> </w:t>
      </w:r>
      <w:r w:rsidRPr="00F143CF">
        <w:rPr>
          <w:bCs/>
        </w:rPr>
        <w:t xml:space="preserve">what makes them </w:t>
      </w:r>
      <w:r w:rsidRPr="00F143CF">
        <w:rPr>
          <w:bCs/>
        </w:rPr>
        <w:lastRenderedPageBreak/>
        <w:t>a people,</w:t>
      </w:r>
      <w:r w:rsidRPr="00F143CF">
        <w:rPr>
          <w:bCs/>
        </w:rPr>
        <w:t xml:space="preserve"> </w:t>
      </w:r>
      <w:r w:rsidRPr="00F143CF">
        <w:rPr>
          <w:bCs/>
        </w:rPr>
        <w:t>collective name, myth of descent, association with their own land, shared history, distinctive culture formed by the union of Norman and Frank</w:t>
      </w:r>
      <w:r w:rsidRPr="00F143CF">
        <w:rPr>
          <w:bCs/>
        </w:rPr>
        <w:t>.</w:t>
      </w:r>
      <w:r>
        <w:rPr>
          <w:bCs/>
        </w:rPr>
        <w:t>”</w:t>
      </w:r>
      <w:r>
        <w:rPr>
          <w:rStyle w:val="FootnoteReference"/>
          <w:bCs/>
        </w:rPr>
        <w:footnoteReference w:id="8"/>
      </w:r>
      <w:r>
        <w:rPr>
          <w:bCs/>
        </w:rPr>
        <w:t xml:space="preserve"> Associations with the Franks also distances the Normans from their Viking past, and recontextualises this pagan origin within a classical context.</w:t>
      </w:r>
      <w:r>
        <w:rPr>
          <w:rStyle w:val="FootnoteReference"/>
          <w:bCs/>
        </w:rPr>
        <w:footnoteReference w:id="9"/>
      </w:r>
      <w:r>
        <w:rPr>
          <w:bCs/>
        </w:rPr>
        <w:t xml:space="preserve"> </w:t>
      </w:r>
    </w:p>
    <w:p w14:paraId="58EB8031" w14:textId="77777777" w:rsidR="00F143CF" w:rsidRDefault="00F143CF" w:rsidP="00F143CF">
      <w:pPr>
        <w:spacing w:after="160" w:line="259" w:lineRule="auto"/>
        <w:ind w:firstLine="720"/>
        <w:rPr>
          <w:bCs/>
        </w:rPr>
      </w:pPr>
    </w:p>
    <w:p w14:paraId="1AD10A5A" w14:textId="2E3DFCB5" w:rsidR="00F143CF" w:rsidRDefault="00F143CF" w:rsidP="00F143CF">
      <w:pPr>
        <w:spacing w:after="160" w:line="259" w:lineRule="auto"/>
        <w:ind w:firstLine="720"/>
      </w:pPr>
      <w:r>
        <w:rPr>
          <w:bCs/>
        </w:rPr>
        <w:t xml:space="preserve">By </w:t>
      </w:r>
      <w:proofErr w:type="spellStart"/>
      <w:r>
        <w:t>Dudo’s</w:t>
      </w:r>
      <w:proofErr w:type="spellEnd"/>
      <w:r>
        <w:t xml:space="preserve"> own timeline, Rollo is not yet a baptised when he is sent on his quest by the will of God.</w:t>
      </w:r>
      <w:r>
        <w:rPr>
          <w:rStyle w:val="FootnoteReference"/>
        </w:rPr>
        <w:footnoteReference w:id="10"/>
      </w:r>
      <w:r>
        <w:t xml:space="preserve"> Neither is he baptised when he arrives in the Sienne valley carrying the relics of </w:t>
      </w:r>
      <w:r w:rsidRPr="00F143CF">
        <w:t xml:space="preserve">the virgin </w:t>
      </w:r>
      <w:proofErr w:type="spellStart"/>
      <w:r w:rsidRPr="00F143CF">
        <w:t>Hameltrude</w:t>
      </w:r>
      <w:proofErr w:type="spellEnd"/>
      <w:r w:rsidRPr="00F143CF">
        <w:t>.</w:t>
      </w:r>
      <w:r>
        <w:rPr>
          <w:rStyle w:val="FootnoteReference"/>
        </w:rPr>
        <w:footnoteReference w:id="11"/>
      </w:r>
      <w:r>
        <w:t xml:space="preserve"> Norman writers were excessively keen on stressing the Christianisation of the Normans.</w:t>
      </w:r>
      <w:r>
        <w:rPr>
          <w:rStyle w:val="FootnoteReference"/>
        </w:rPr>
        <w:footnoteReference w:id="12"/>
      </w:r>
      <w:r>
        <w:t xml:space="preserve"> It is clear from sources, that the Normans were keen on creating a consistent message that emphasised their status as legitimate Christian rulers.</w:t>
      </w:r>
      <w:r>
        <w:rPr>
          <w:rStyle w:val="FootnoteReference"/>
        </w:rPr>
        <w:footnoteReference w:id="13"/>
      </w:r>
      <w:r>
        <w:t xml:space="preserve"> It could be argued that these efforts to recontextualise their Norse origins, displayed an dissatisfaction with their identity; later chroniclers tended to be uneasy recognising it altogether.</w:t>
      </w:r>
      <w:r>
        <w:rPr>
          <w:rStyle w:val="FootnoteReference"/>
        </w:rPr>
        <w:footnoteReference w:id="14"/>
      </w:r>
      <w:r>
        <w:t xml:space="preserve"> However, it remains prevalent; the Norman relationship with the past was one of selective memory not purely ignorance.</w:t>
      </w:r>
      <w:r>
        <w:rPr>
          <w:rStyle w:val="FootnoteReference"/>
        </w:rPr>
        <w:footnoteReference w:id="15"/>
      </w:r>
      <w:r>
        <w:t xml:space="preserve"> In the early 11</w:t>
      </w:r>
      <w:r w:rsidRPr="00F143CF">
        <w:rPr>
          <w:vertAlign w:val="superscript"/>
        </w:rPr>
        <w:t>th</w:t>
      </w:r>
      <w:r>
        <w:t xml:space="preserve"> century, Richard II called on his Norse allies to aid him in his dispute with Odo of Blois: “Two kings of lands overseas’ Olaf of </w:t>
      </w:r>
      <w:proofErr w:type="spellStart"/>
      <w:r>
        <w:t>Norsement</w:t>
      </w:r>
      <w:proofErr w:type="spellEnd"/>
      <w:r>
        <w:t xml:space="preserve">, and </w:t>
      </w:r>
      <w:proofErr w:type="spellStart"/>
      <w:r>
        <w:t>Lacman</w:t>
      </w:r>
      <w:proofErr w:type="spellEnd"/>
      <w:r>
        <w:t xml:space="preserve"> of the Swedes” came to aid him.</w:t>
      </w:r>
      <w:r>
        <w:rPr>
          <w:rStyle w:val="FootnoteReference"/>
        </w:rPr>
        <w:footnoteReference w:id="16"/>
      </w:r>
      <w:r>
        <w:t xml:space="preserve"> Although this example is an early one, it is repeated in later sources. The inclusion of the passage in Wace, who was writing under the patronage of Henry II in the 1160s-70s, makes it clear that the Viking connection was not a source of embarrassment to the English king. Hicks has argued this </w:t>
      </w:r>
      <w:proofErr w:type="spellStart"/>
      <w:r>
        <w:t>conection</w:t>
      </w:r>
      <w:proofErr w:type="spellEnd"/>
      <w:r>
        <w:t xml:space="preserve"> even marked him with a degree of autonomy from the Frankish king.</w:t>
      </w:r>
      <w:r>
        <w:rPr>
          <w:rStyle w:val="FootnoteReference"/>
        </w:rPr>
        <w:footnoteReference w:id="17"/>
      </w:r>
      <w:r>
        <w:t xml:space="preserve"> Likewise, Henry of Huntingdon, also writing in the 12</w:t>
      </w:r>
      <w:r w:rsidRPr="00F143CF">
        <w:rPr>
          <w:vertAlign w:val="superscript"/>
        </w:rPr>
        <w:t>th</w:t>
      </w:r>
      <w:r>
        <w:t xml:space="preserve"> century, records a speech made by William I in which he taunts: “Let any Englishman whom our Danish and Norwegian ancestors have conquered in a hundred battles, come forth.”</w:t>
      </w:r>
      <w:r>
        <w:rPr>
          <w:rStyle w:val="FootnoteReference"/>
        </w:rPr>
        <w:footnoteReference w:id="18"/>
      </w:r>
      <w:r>
        <w:t xml:space="preserve"> This passage is incredibly interesting because it draws ancestral links not only to the Vikings of the Sienne valley, but to a more general Scandinavian Viking heritage. Despite an uneasiness with paganism, it is evident that the Viking origins of the Normans remained an important part of their identity.</w:t>
      </w:r>
      <w:r>
        <w:rPr>
          <w:rStyle w:val="FootnoteReference"/>
        </w:rPr>
        <w:footnoteReference w:id="19"/>
      </w:r>
      <w:r>
        <w:t xml:space="preserve"> </w:t>
      </w:r>
    </w:p>
    <w:p w14:paraId="286116BC" w14:textId="77777777" w:rsidR="00F143CF" w:rsidRPr="00F143CF" w:rsidRDefault="00F143CF" w:rsidP="00F143CF">
      <w:pPr>
        <w:spacing w:after="160" w:line="259" w:lineRule="auto"/>
        <w:ind w:firstLine="720"/>
      </w:pPr>
    </w:p>
    <w:p w14:paraId="26B7D980" w14:textId="4EF996E1" w:rsidR="00F143CF" w:rsidRDefault="00F143CF" w:rsidP="00F143CF">
      <w:pPr>
        <w:spacing w:after="160" w:line="259" w:lineRule="auto"/>
        <w:rPr>
          <w:bCs/>
        </w:rPr>
      </w:pPr>
      <w:r>
        <w:rPr>
          <w:bCs/>
        </w:rPr>
        <w:lastRenderedPageBreak/>
        <w:tab/>
        <w:t>Despite having a strong mythos and sense of history, the Normans were no longer ‘Viking.’ They were aware of their history but largely chose to assimilate into their various provinces rather than retain a clear ethnic Scandinavian identity. This argument has been made numerous times; Haskins argues that the penalty the Normans paid for their assimilation, most manifest in Sicily, was a “rapid loss of identity.”</w:t>
      </w:r>
      <w:r>
        <w:rPr>
          <w:rStyle w:val="FootnoteReference"/>
          <w:bCs/>
        </w:rPr>
        <w:footnoteReference w:id="20"/>
      </w:r>
      <w:r>
        <w:rPr>
          <w:bCs/>
        </w:rPr>
        <w:t xml:space="preserve"> It is true that the Normans assimilated widely. In France, the Normans aimed to paint themselves as Carolingians.</w:t>
      </w:r>
      <w:r>
        <w:rPr>
          <w:rStyle w:val="FootnoteReference"/>
          <w:bCs/>
        </w:rPr>
        <w:footnoteReference w:id="21"/>
      </w:r>
      <w:r>
        <w:rPr>
          <w:bCs/>
        </w:rPr>
        <w:t xml:space="preserve"> In England, assimilation took longer; according to </w:t>
      </w:r>
      <w:proofErr w:type="spellStart"/>
      <w:r>
        <w:rPr>
          <w:bCs/>
        </w:rPr>
        <w:t>Orderic</w:t>
      </w:r>
      <w:proofErr w:type="spellEnd"/>
      <w:r>
        <w:rPr>
          <w:bCs/>
        </w:rPr>
        <w:t xml:space="preserve"> Vitalis, intermarriage and cultural assimilation began almost at once, despite being interrupted by rebellion.</w:t>
      </w:r>
      <w:r>
        <w:rPr>
          <w:rStyle w:val="FootnoteReference"/>
          <w:bCs/>
        </w:rPr>
        <w:footnoteReference w:id="22"/>
      </w:r>
      <w:r>
        <w:rPr>
          <w:bCs/>
        </w:rPr>
        <w:t xml:space="preserve"> In the Mediterranean however, assimilation was so great that </w:t>
      </w:r>
      <w:proofErr w:type="spellStart"/>
      <w:r>
        <w:rPr>
          <w:bCs/>
        </w:rPr>
        <w:t>Orderic</w:t>
      </w:r>
      <w:proofErr w:type="spellEnd"/>
      <w:r>
        <w:rPr>
          <w:bCs/>
        </w:rPr>
        <w:t xml:space="preserve"> wrote of a Norman who went to Apulia and ‘forgot Normandy.’</w:t>
      </w:r>
      <w:r>
        <w:rPr>
          <w:rStyle w:val="FootnoteReference"/>
          <w:bCs/>
        </w:rPr>
        <w:footnoteReference w:id="23"/>
      </w:r>
      <w:r>
        <w:rPr>
          <w:bCs/>
        </w:rPr>
        <w:t xml:space="preserve"> </w:t>
      </w:r>
      <w:r w:rsidRPr="00F143CF">
        <w:rPr>
          <w:bCs/>
        </w:rPr>
        <w:t>From the</w:t>
      </w:r>
      <w:r>
        <w:rPr>
          <w:bCs/>
        </w:rPr>
        <w:t xml:space="preserve"> </w:t>
      </w:r>
      <w:r w:rsidRPr="00F143CF">
        <w:rPr>
          <w:bCs/>
        </w:rPr>
        <w:t xml:space="preserve">fusion of artistic styles in the Capella </w:t>
      </w:r>
      <w:proofErr w:type="spellStart"/>
      <w:r w:rsidRPr="00F143CF">
        <w:rPr>
          <w:bCs/>
        </w:rPr>
        <w:t>Palatina</w:t>
      </w:r>
      <w:proofErr w:type="spellEnd"/>
      <w:r w:rsidRPr="00F143CF">
        <w:rPr>
          <w:bCs/>
        </w:rPr>
        <w:t xml:space="preserve"> in Palermo to the organization of King Roger II’s court, the influence of Byzantine, Arab, Christian, Norman and Lombard traditions </w:t>
      </w:r>
      <w:r>
        <w:rPr>
          <w:bCs/>
        </w:rPr>
        <w:t>is difficult to ignore.</w:t>
      </w:r>
      <w:r>
        <w:rPr>
          <w:rStyle w:val="FootnoteReference"/>
          <w:bCs/>
        </w:rPr>
        <w:footnoteReference w:id="24"/>
      </w:r>
      <w:r>
        <w:rPr>
          <w:bCs/>
        </w:rPr>
        <w:t xml:space="preserve"> So much so that in recent publications, the idea of a universally accepted ‘Norman myth’ has been generally rejected.</w:t>
      </w:r>
      <w:r>
        <w:rPr>
          <w:rStyle w:val="FootnoteReference"/>
          <w:bCs/>
        </w:rPr>
        <w:footnoteReference w:id="25"/>
      </w:r>
      <w:r>
        <w:rPr>
          <w:bCs/>
        </w:rPr>
        <w:t xml:space="preserve"> The important questions here to answer however are why the Normans assimilated so greatly, and whether their assimilation really did lead to a loss of their identity. </w:t>
      </w:r>
    </w:p>
    <w:p w14:paraId="649A7C50" w14:textId="77777777" w:rsidR="00F143CF" w:rsidRDefault="00F143CF" w:rsidP="00F143CF">
      <w:pPr>
        <w:spacing w:after="160" w:line="259" w:lineRule="auto"/>
        <w:rPr>
          <w:bCs/>
        </w:rPr>
      </w:pPr>
    </w:p>
    <w:p w14:paraId="6F61517C" w14:textId="4404CFA3" w:rsidR="00F143CF" w:rsidRDefault="00F143CF" w:rsidP="00F143CF">
      <w:pPr>
        <w:spacing w:after="160" w:line="259" w:lineRule="auto"/>
        <w:rPr>
          <w:bCs/>
        </w:rPr>
      </w:pPr>
      <w:r>
        <w:rPr>
          <w:bCs/>
        </w:rPr>
        <w:tab/>
        <w:t>As for why the Normans assimilated so widely, it has been argued that they were simply victims of their own success.</w:t>
      </w:r>
      <w:r>
        <w:rPr>
          <w:rStyle w:val="FootnoteReference"/>
          <w:bCs/>
        </w:rPr>
        <w:footnoteReference w:id="26"/>
      </w:r>
      <w:r>
        <w:rPr>
          <w:bCs/>
        </w:rPr>
        <w:t xml:space="preserve"> Despite a strong short-term identity, as the embattled yet militarily superior minority surrounded by hostile foreigners, both in England and the Mediterranean, the Norman rulers established an unusually strong and lengthy internal peace.</w:t>
      </w:r>
      <w:r>
        <w:rPr>
          <w:rStyle w:val="FootnoteReference"/>
          <w:bCs/>
        </w:rPr>
        <w:footnoteReference w:id="27"/>
      </w:r>
      <w:r>
        <w:rPr>
          <w:bCs/>
        </w:rPr>
        <w:t xml:space="preserve">  This meant there was no need for the “cruel and warlike people” described by </w:t>
      </w:r>
      <w:proofErr w:type="spellStart"/>
      <w:r>
        <w:rPr>
          <w:bCs/>
        </w:rPr>
        <w:t>Orderic</w:t>
      </w:r>
      <w:proofErr w:type="spellEnd"/>
      <w:r>
        <w:rPr>
          <w:bCs/>
        </w:rPr>
        <w:t>.</w:t>
      </w:r>
      <w:r>
        <w:rPr>
          <w:rStyle w:val="FootnoteReference"/>
          <w:bCs/>
        </w:rPr>
        <w:footnoteReference w:id="28"/>
      </w:r>
      <w:r>
        <w:rPr>
          <w:bCs/>
        </w:rPr>
        <w:t xml:space="preserve"> However this does not necessarily correlate with a rapid decline in identity. The primary role of the Normans in the Mediterranean became mercenary, however crucially it was their unique success as warriors that merited their addition to history.</w:t>
      </w:r>
      <w:r>
        <w:rPr>
          <w:rStyle w:val="FootnoteReference"/>
          <w:bCs/>
        </w:rPr>
        <w:footnoteReference w:id="29"/>
      </w:r>
      <w:r>
        <w:rPr>
          <w:bCs/>
        </w:rPr>
        <w:t xml:space="preserve"> Anna </w:t>
      </w:r>
      <w:proofErr w:type="spellStart"/>
      <w:r>
        <w:rPr>
          <w:bCs/>
        </w:rPr>
        <w:t>Komnenna</w:t>
      </w:r>
      <w:proofErr w:type="spellEnd"/>
      <w:r>
        <w:rPr>
          <w:bCs/>
        </w:rPr>
        <w:t xml:space="preserve"> writes on the innovative tactics the Normans were capable of: she records how Bohemond feigned his death to avoid Alexius, going as far as to hide himself in a coffin with a decomposing cockerel.</w:t>
      </w:r>
      <w:r>
        <w:rPr>
          <w:rStyle w:val="FootnoteReference"/>
          <w:bCs/>
        </w:rPr>
        <w:footnoteReference w:id="30"/>
      </w:r>
      <w:r>
        <w:rPr>
          <w:bCs/>
        </w:rPr>
        <w:t xml:space="preserve"> Whether this actually happened is not especially relevant as it shows the way Normans were perceived on the Mediterranean stage. The passage could possibly even reference William the Conquerors tactic at the battle of Hastings. It is important to remember that some of </w:t>
      </w:r>
      <w:r>
        <w:rPr>
          <w:bCs/>
        </w:rPr>
        <w:lastRenderedPageBreak/>
        <w:t>the first Normans in the south of Italy were the brothers, uncles and cousins of the very same Normans who had conquered England in 1066.</w:t>
      </w:r>
      <w:r>
        <w:rPr>
          <w:rStyle w:val="FootnoteReference"/>
          <w:bCs/>
        </w:rPr>
        <w:footnoteReference w:id="31"/>
      </w:r>
      <w:r>
        <w:rPr>
          <w:bCs/>
        </w:rPr>
        <w:t xml:space="preserve"> Drell, in her study on the naming practices in southern Italy and Sicily argues, that “juxtaposed against the obvious manifestations of cultural intersection</w:t>
      </w:r>
      <w:r w:rsidRPr="00F143CF">
        <w:rPr>
          <w:bCs/>
        </w:rPr>
        <w:t xml:space="preserve"> in the Kingdom of Southern Italy and Sicily was a resilient and self-conscious individual identity among both the new and indigenous peoples that endured long after the so-called ‘Norman conquest’ of the region.</w:t>
      </w:r>
      <w:r>
        <w:rPr>
          <w:bCs/>
        </w:rPr>
        <w:t xml:space="preserve">” It is clear from her study that both Lombards and Normans of southern Italy, despite intermarriage, retained a level of cultural difference. Many names invoke ‘Norman’ as a cultural identifier. For example, in </w:t>
      </w:r>
      <w:r w:rsidRPr="00602DF1">
        <w:rPr>
          <w:bCs/>
        </w:rPr>
        <w:t xml:space="preserve">1118, </w:t>
      </w:r>
      <w:r>
        <w:rPr>
          <w:bCs/>
        </w:rPr>
        <w:t>“</w:t>
      </w:r>
      <w:r w:rsidRPr="00602DF1">
        <w:rPr>
          <w:bCs/>
        </w:rPr>
        <w:t>Adam son of Gilbert the Norman</w:t>
      </w:r>
      <w:r>
        <w:rPr>
          <w:bCs/>
        </w:rPr>
        <w:t xml:space="preserve"> </w:t>
      </w:r>
      <w:r w:rsidRPr="00602DF1">
        <w:rPr>
          <w:bCs/>
        </w:rPr>
        <w:t xml:space="preserve">of Castellum S. </w:t>
      </w:r>
      <w:proofErr w:type="spellStart"/>
      <w:r w:rsidRPr="00602DF1">
        <w:rPr>
          <w:bCs/>
        </w:rPr>
        <w:t>Georgio</w:t>
      </w:r>
      <w:proofErr w:type="spellEnd"/>
      <w:r>
        <w:rPr>
          <w:bCs/>
        </w:rPr>
        <w:t xml:space="preserve">,” or in1145 there is “Robert </w:t>
      </w:r>
      <w:proofErr w:type="spellStart"/>
      <w:r>
        <w:rPr>
          <w:bCs/>
        </w:rPr>
        <w:t>Mustazza</w:t>
      </w:r>
      <w:proofErr w:type="spellEnd"/>
      <w:r>
        <w:rPr>
          <w:bCs/>
        </w:rPr>
        <w:t>, son of William the Norman.”</w:t>
      </w:r>
      <w:r>
        <w:rPr>
          <w:rStyle w:val="FootnoteReference"/>
          <w:bCs/>
        </w:rPr>
        <w:footnoteReference w:id="32"/>
      </w:r>
      <w:r>
        <w:rPr>
          <w:bCs/>
        </w:rPr>
        <w:t xml:space="preserve"> As late as 1184 a lord is recorded as addressing his “Norman and Lombard </w:t>
      </w:r>
      <w:proofErr w:type="spellStart"/>
      <w:r w:rsidRPr="00F143CF">
        <w:rPr>
          <w:bCs/>
          <w:i/>
          <w:iCs/>
        </w:rPr>
        <w:t>fideles</w:t>
      </w:r>
      <w:proofErr w:type="spellEnd"/>
      <w:r>
        <w:rPr>
          <w:bCs/>
        </w:rPr>
        <w:t>.”</w:t>
      </w:r>
      <w:r>
        <w:rPr>
          <w:rStyle w:val="FootnoteReference"/>
          <w:bCs/>
        </w:rPr>
        <w:footnoteReference w:id="33"/>
      </w:r>
      <w:r>
        <w:rPr>
          <w:bCs/>
        </w:rPr>
        <w:t xml:space="preserve"> Through records of names, Drell identifies the ways in which the Normans sought to be identified, and through this data it is also possible to plot the rise and fall of these naming practices. Between 1090 and 1100 there are only 4 people who explicitly reference their Norman ancestry, from 1101 and 1130 there are 26, between 1131 and 1161 there are 10, and from 1161-1191 there are 5 again.</w:t>
      </w:r>
      <w:r>
        <w:rPr>
          <w:rStyle w:val="FootnoteReference"/>
          <w:bCs/>
        </w:rPr>
        <w:footnoteReference w:id="34"/>
      </w:r>
      <w:r>
        <w:rPr>
          <w:bCs/>
        </w:rPr>
        <w:t xml:space="preserve"> From this evidence it is clear that on some level, Norman identity remained alive right till near the end of the 12</w:t>
      </w:r>
      <w:r w:rsidRPr="00F143CF">
        <w:rPr>
          <w:bCs/>
          <w:vertAlign w:val="superscript"/>
        </w:rPr>
        <w:t>th</w:t>
      </w:r>
      <w:r>
        <w:rPr>
          <w:bCs/>
        </w:rPr>
        <w:t xml:space="preserve"> century, however the spike could also indicate the period Normans felt their identity was disappearing most rapidly.</w:t>
      </w:r>
      <w:r>
        <w:rPr>
          <w:rStyle w:val="FootnoteReference"/>
          <w:bCs/>
        </w:rPr>
        <w:footnoteReference w:id="35"/>
      </w:r>
      <w:r>
        <w:rPr>
          <w:bCs/>
        </w:rPr>
        <w:t xml:space="preserve">  </w:t>
      </w:r>
    </w:p>
    <w:p w14:paraId="04363041" w14:textId="77777777" w:rsidR="00F143CF" w:rsidRDefault="00F143CF" w:rsidP="00F143CF">
      <w:pPr>
        <w:spacing w:after="160" w:line="259" w:lineRule="auto"/>
        <w:rPr>
          <w:bCs/>
        </w:rPr>
      </w:pPr>
    </w:p>
    <w:p w14:paraId="43513CB7" w14:textId="461E3A22" w:rsidR="00F143CF" w:rsidRDefault="00F143CF" w:rsidP="00F143CF">
      <w:pPr>
        <w:spacing w:after="160" w:line="259" w:lineRule="auto"/>
        <w:rPr>
          <w:bCs/>
        </w:rPr>
      </w:pPr>
      <w:r>
        <w:rPr>
          <w:bCs/>
        </w:rPr>
        <w:tab/>
        <w:t xml:space="preserve">It is also important to remember that at the same time the Normans in the Mediterranean were adopting the legal framework and practices of the </w:t>
      </w:r>
      <w:proofErr w:type="spellStart"/>
      <w:r>
        <w:rPr>
          <w:bCs/>
        </w:rPr>
        <w:t>Fatamid</w:t>
      </w:r>
      <w:proofErr w:type="spellEnd"/>
      <w:r>
        <w:rPr>
          <w:bCs/>
        </w:rPr>
        <w:t xml:space="preserve"> and Byzantine court, the Normans in England and Normandy, viewed the invasion through a lens which could be described as ‘united identity.’ During the Anarchy in England, the Cistercian abbot </w:t>
      </w:r>
      <w:proofErr w:type="spellStart"/>
      <w:r>
        <w:rPr>
          <w:bCs/>
        </w:rPr>
        <w:t>Aelred</w:t>
      </w:r>
      <w:proofErr w:type="spellEnd"/>
      <w:r>
        <w:rPr>
          <w:bCs/>
        </w:rPr>
        <w:t xml:space="preserve"> of Rievaulx records a battle speech delivered to Stephens soldiers: “</w:t>
      </w:r>
      <w:r w:rsidRPr="00F143CF">
        <w:rPr>
          <w:bCs/>
        </w:rPr>
        <w:t xml:space="preserve">Why should we despair of victory… did our ancestors not invade the largest part of </w:t>
      </w:r>
      <w:proofErr w:type="spellStart"/>
      <w:r w:rsidRPr="00F143CF">
        <w:rPr>
          <w:bCs/>
        </w:rPr>
        <w:t>gaul</w:t>
      </w:r>
      <w:proofErr w:type="spellEnd"/>
      <w:r w:rsidRPr="00F143CF">
        <w:rPr>
          <w:bCs/>
        </w:rPr>
        <w:t xml:space="preserve"> with few soldiers and erase its very name along with the people? How many times did they scatter the army of the Franks?... we and our fathers, in a short time, mastered this land, which once the most victorious Julius [Caesar] could hardly take. We have seen… the king of France and his whole army turn their backs on us… who subdued Apulia, Sicily, Calabria if not you Normans.</w:t>
      </w:r>
      <w:r>
        <w:rPr>
          <w:bCs/>
        </w:rPr>
        <w:t>”</w:t>
      </w:r>
      <w:r>
        <w:rPr>
          <w:rStyle w:val="FootnoteReference"/>
          <w:bCs/>
        </w:rPr>
        <w:footnoteReference w:id="36"/>
      </w:r>
      <w:r>
        <w:rPr>
          <w:bCs/>
        </w:rPr>
        <w:t xml:space="preserve"> Examples such as this display a vivid sense of Norman identity, but crucially show it was also not an isolated identity. Not only does it display how the Normans retained a sense of individuality, but it shows that at least in England there is a sense that the Mediterranean Normans shared this individuality and identity. Likewise, although there is little local evidence for a strong </w:t>
      </w:r>
      <w:r>
        <w:rPr>
          <w:bCs/>
        </w:rPr>
        <w:lastRenderedPageBreak/>
        <w:t>Norman identity, western writers were keen to stress the Norman role in founding the state of Antioch.</w:t>
      </w:r>
      <w:r>
        <w:rPr>
          <w:rStyle w:val="FootnoteReference"/>
          <w:bCs/>
        </w:rPr>
        <w:footnoteReference w:id="37"/>
      </w:r>
      <w:r>
        <w:rPr>
          <w:bCs/>
        </w:rPr>
        <w:t xml:space="preserve"> </w:t>
      </w:r>
    </w:p>
    <w:p w14:paraId="092D3CBE" w14:textId="77777777" w:rsidR="00F143CF" w:rsidRDefault="00F143CF" w:rsidP="00F143CF">
      <w:pPr>
        <w:spacing w:after="160" w:line="259" w:lineRule="auto"/>
        <w:ind w:firstLine="720"/>
        <w:rPr>
          <w:bCs/>
        </w:rPr>
      </w:pPr>
    </w:p>
    <w:p w14:paraId="2E3C0C97" w14:textId="02C8A4AC" w:rsidR="00F143CF" w:rsidRDefault="00F143CF" w:rsidP="00F143CF">
      <w:pPr>
        <w:spacing w:after="160" w:line="259" w:lineRule="auto"/>
        <w:ind w:firstLine="720"/>
      </w:pPr>
      <w:r w:rsidRPr="00F143CF">
        <w:rPr>
          <w:bCs/>
        </w:rPr>
        <w:t>Especially among the western territories of Normandy and England, Norman identity continued to flourish. One of the greatly repeated passages of the 12</w:t>
      </w:r>
      <w:r w:rsidRPr="00F143CF">
        <w:rPr>
          <w:bCs/>
          <w:vertAlign w:val="superscript"/>
        </w:rPr>
        <w:t>th</w:t>
      </w:r>
      <w:r w:rsidRPr="00F143CF">
        <w:rPr>
          <w:bCs/>
        </w:rPr>
        <w:t xml:space="preserve"> century is originally taken from Dudo and recounts how, when in a parley with </w:t>
      </w:r>
      <w:proofErr w:type="spellStart"/>
      <w:r w:rsidRPr="00F143CF">
        <w:rPr>
          <w:bCs/>
        </w:rPr>
        <w:t>Alsting</w:t>
      </w:r>
      <w:proofErr w:type="spellEnd"/>
      <w:r w:rsidRPr="00F143CF">
        <w:rPr>
          <w:bCs/>
        </w:rPr>
        <w:t>, Rollo</w:t>
      </w:r>
      <w:r>
        <w:rPr>
          <w:bCs/>
        </w:rPr>
        <w:t>’</w:t>
      </w:r>
      <w:r w:rsidRPr="00F143CF">
        <w:rPr>
          <w:bCs/>
        </w:rPr>
        <w:t xml:space="preserve">s men were asked to identify their senior, they responded saying ‘none’ because they </w:t>
      </w:r>
      <w:r>
        <w:rPr>
          <w:bCs/>
        </w:rPr>
        <w:t>we</w:t>
      </w:r>
      <w:r w:rsidRPr="00F143CF">
        <w:rPr>
          <w:bCs/>
        </w:rPr>
        <w:t>re all equal.</w:t>
      </w:r>
      <w:r>
        <w:rPr>
          <w:rStyle w:val="FootnoteReference"/>
          <w:bCs/>
        </w:rPr>
        <w:footnoteReference w:id="38"/>
      </w:r>
      <w:r w:rsidRPr="00F143CF">
        <w:rPr>
          <w:bCs/>
        </w:rPr>
        <w:t xml:space="preserve">  Another, and probably the most well-known to modern ears</w:t>
      </w:r>
      <w:r>
        <w:rPr>
          <w:bCs/>
        </w:rPr>
        <w:t>,</w:t>
      </w:r>
      <w:r w:rsidRPr="00F143CF">
        <w:rPr>
          <w:bCs/>
        </w:rPr>
        <w:t xml:space="preserve"> is a passage </w:t>
      </w:r>
      <w:r>
        <w:rPr>
          <w:bCs/>
        </w:rPr>
        <w:t xml:space="preserve">also written </w:t>
      </w:r>
      <w:r w:rsidRPr="00F143CF">
        <w:rPr>
          <w:bCs/>
        </w:rPr>
        <w:t>by Dudo that describes the treaty of Saint-Clair-</w:t>
      </w:r>
      <w:proofErr w:type="spellStart"/>
      <w:r w:rsidRPr="00F143CF">
        <w:rPr>
          <w:bCs/>
        </w:rPr>
        <w:t>Epte</w:t>
      </w:r>
      <w:proofErr w:type="spellEnd"/>
      <w:r w:rsidRPr="00F143CF">
        <w:rPr>
          <w:bCs/>
        </w:rPr>
        <w:t xml:space="preserve"> in 911, in which the Normans </w:t>
      </w:r>
      <w:r>
        <w:rPr>
          <w:bCs/>
        </w:rPr>
        <w:t xml:space="preserve">were </w:t>
      </w:r>
      <w:r w:rsidRPr="00F143CF">
        <w:rPr>
          <w:bCs/>
        </w:rPr>
        <w:t>granted territory by Charles the Simple. When Rollo is asked to bend down and kiss the king’s foot, he replies</w:t>
      </w:r>
      <w:r>
        <w:rPr>
          <w:bCs/>
        </w:rPr>
        <w:t>:</w:t>
      </w:r>
      <w:r w:rsidRPr="00F143CF">
        <w:rPr>
          <w:bCs/>
        </w:rPr>
        <w:t xml:space="preserve"> “Never will I bend my knees to anyone else’s knees, nor will I kiss anyone’s foot.”</w:t>
      </w:r>
      <w:r>
        <w:rPr>
          <w:rStyle w:val="FootnoteReference"/>
          <w:bCs/>
        </w:rPr>
        <w:footnoteReference w:id="39"/>
      </w:r>
      <w:r w:rsidRPr="00F143CF">
        <w:rPr>
          <w:bCs/>
        </w:rPr>
        <w:t xml:space="preserve"> Rollo instead delegates this task to one of his men who instead of bending down, lifts up the king’s foot to his mouth, and topples over the Frankish </w:t>
      </w:r>
      <w:r>
        <w:rPr>
          <w:bCs/>
        </w:rPr>
        <w:t>monarch</w:t>
      </w:r>
      <w:r w:rsidRPr="00F143CF">
        <w:rPr>
          <w:bCs/>
        </w:rPr>
        <w:t>.</w:t>
      </w:r>
      <w:r>
        <w:rPr>
          <w:rStyle w:val="FootnoteReference"/>
          <w:bCs/>
        </w:rPr>
        <w:footnoteReference w:id="40"/>
      </w:r>
      <w:r w:rsidRPr="00F143CF">
        <w:rPr>
          <w:bCs/>
        </w:rPr>
        <w:t xml:space="preserve"> Part of this tale</w:t>
      </w:r>
      <w:r>
        <w:rPr>
          <w:bCs/>
        </w:rPr>
        <w:t>’</w:t>
      </w:r>
      <w:r w:rsidRPr="00F143CF">
        <w:rPr>
          <w:bCs/>
        </w:rPr>
        <w:t xml:space="preserve">s success was its memorability and </w:t>
      </w:r>
      <w:r>
        <w:rPr>
          <w:bCs/>
        </w:rPr>
        <w:t xml:space="preserve">it’s </w:t>
      </w:r>
      <w:r w:rsidRPr="00F143CF">
        <w:rPr>
          <w:bCs/>
        </w:rPr>
        <w:t>shocking nature in comparison to the sensibilities and etiquette of court. Partly why both stories were recounted was because they are powerful demonstrations of Norman exceptionalism. They also displayed the Normans as independent of the French. Whether or not this independence came of a Danish origin was</w:t>
      </w:r>
      <w:r>
        <w:rPr>
          <w:bCs/>
        </w:rPr>
        <w:t xml:space="preserve"> </w:t>
      </w:r>
      <w:r w:rsidRPr="00F143CF">
        <w:rPr>
          <w:bCs/>
        </w:rPr>
        <w:t>not of much relevance</w:t>
      </w:r>
      <w:r>
        <w:rPr>
          <w:bCs/>
        </w:rPr>
        <w:t>.</w:t>
      </w:r>
      <w:r w:rsidRPr="00F143CF">
        <w:rPr>
          <w:bCs/>
        </w:rPr>
        <w:t xml:space="preserve"> </w:t>
      </w:r>
      <w:r>
        <w:rPr>
          <w:bCs/>
        </w:rPr>
        <w:t>A</w:t>
      </w:r>
      <w:r w:rsidRPr="00F143CF">
        <w:rPr>
          <w:bCs/>
        </w:rPr>
        <w:t>s late as the 1160s</w:t>
      </w:r>
      <w:r>
        <w:rPr>
          <w:bCs/>
        </w:rPr>
        <w:t>,</w:t>
      </w:r>
      <w:r w:rsidRPr="00F143CF">
        <w:rPr>
          <w:bCs/>
        </w:rPr>
        <w:t xml:space="preserve"> </w:t>
      </w:r>
      <w:proofErr w:type="spellStart"/>
      <w:r>
        <w:t>Ėtienne</w:t>
      </w:r>
      <w:proofErr w:type="spellEnd"/>
      <w:r>
        <w:t xml:space="preserve"> of Rouen in his </w:t>
      </w:r>
      <w:r w:rsidRPr="00F143CF">
        <w:rPr>
          <w:i/>
          <w:iCs/>
        </w:rPr>
        <w:t xml:space="preserve">Draco </w:t>
      </w:r>
      <w:proofErr w:type="spellStart"/>
      <w:r w:rsidRPr="00F143CF">
        <w:rPr>
          <w:i/>
          <w:iCs/>
        </w:rPr>
        <w:t>Normannicus</w:t>
      </w:r>
      <w:proofErr w:type="spellEnd"/>
      <w:r>
        <w:t xml:space="preserve">, could casually refer to William the Conqueror’s followers at Hastings as </w:t>
      </w:r>
      <w:r>
        <w:t>‘</w:t>
      </w:r>
      <w:r>
        <w:t>Danes</w:t>
      </w:r>
      <w:r>
        <w:t>.’</w:t>
      </w:r>
      <w:r>
        <w:rPr>
          <w:rStyle w:val="FootnoteReference"/>
        </w:rPr>
        <w:footnoteReference w:id="41"/>
      </w:r>
      <w:r>
        <w:t xml:space="preserve"> It is arguable that warfare and rivalry with the Frankish crown was important in sustaining and bolstering their identity in Normandy and England.</w:t>
      </w:r>
      <w:r>
        <w:rPr>
          <w:rStyle w:val="FootnoteReference"/>
        </w:rPr>
        <w:footnoteReference w:id="42"/>
      </w:r>
      <w:r>
        <w:t xml:space="preserve"> In his universal chronicle, Robert of </w:t>
      </w:r>
      <w:proofErr w:type="spellStart"/>
      <w:r>
        <w:t>Torigni</w:t>
      </w:r>
      <w:proofErr w:type="spellEnd"/>
      <w:r>
        <w:t xml:space="preserve"> wrote on how, during the 1173-1174 revolt, the King of France planned to enter Normandy and lay waste to the </w:t>
      </w:r>
      <w:r w:rsidRPr="00F143CF">
        <w:rPr>
          <w:i/>
          <w:iCs/>
        </w:rPr>
        <w:t xml:space="preserve">patria, </w:t>
      </w:r>
      <w:r>
        <w:t>he goes on to describe how Henry II reminded his barons on how often their ancestors had driven the French shamefully from their borders.</w:t>
      </w:r>
      <w:r>
        <w:rPr>
          <w:rStyle w:val="FootnoteReference"/>
        </w:rPr>
        <w:footnoteReference w:id="43"/>
      </w:r>
      <w:r>
        <w:t xml:space="preserve"> Under these warrior conditions, the conquering Norman identity thrived. Although not individually identified as Norman in the same way as men, notable Norman women gained the individual admiration of chroniclers for their courage in defence of their husbands’ lands. </w:t>
      </w:r>
      <w:proofErr w:type="spellStart"/>
      <w:r>
        <w:t>Orderic</w:t>
      </w:r>
      <w:proofErr w:type="spellEnd"/>
      <w:r>
        <w:t xml:space="preserve"> Vitalis remarks on Isabel of Conches: “</w:t>
      </w:r>
      <w:r w:rsidRPr="00F143CF">
        <w:t>She rode armed as a knight among the knights; she showed no less courage among the knights in hauberks and sergeants at arms than did the maid Camilla</w:t>
      </w:r>
      <w:r>
        <w:t>.”</w:t>
      </w:r>
      <w:r>
        <w:rPr>
          <w:rStyle w:val="FootnoteReference"/>
        </w:rPr>
        <w:footnoteReference w:id="44"/>
      </w:r>
      <w:r>
        <w:t xml:space="preserve"> The maid Camilla being a reference to the Camilla in book 21 of the Aeneid. This is a signal that the classical aspect of the Norman mythos remained important in the time of </w:t>
      </w:r>
      <w:proofErr w:type="spellStart"/>
      <w:r>
        <w:t>Orderic</w:t>
      </w:r>
      <w:proofErr w:type="spellEnd"/>
      <w:r>
        <w:t>, but also is another example of another norm broken by the Normans, demonstrating their individualism.</w:t>
      </w:r>
    </w:p>
    <w:p w14:paraId="097FCE38" w14:textId="77777777" w:rsidR="00F143CF" w:rsidRPr="00F143CF" w:rsidRDefault="00F143CF" w:rsidP="00F143CF">
      <w:pPr>
        <w:spacing w:after="160" w:line="259" w:lineRule="auto"/>
        <w:ind w:firstLine="720"/>
        <w:rPr>
          <w:bCs/>
        </w:rPr>
      </w:pPr>
    </w:p>
    <w:p w14:paraId="2CE6E72B" w14:textId="685473DD" w:rsidR="00F143CF" w:rsidRDefault="00F143CF" w:rsidP="00F143CF">
      <w:pPr>
        <w:spacing w:after="160" w:line="259" w:lineRule="auto"/>
        <w:rPr>
          <w:bCs/>
        </w:rPr>
      </w:pPr>
      <w:r>
        <w:rPr>
          <w:bCs/>
        </w:rPr>
        <w:lastRenderedPageBreak/>
        <w:tab/>
        <w:t xml:space="preserve">The strength of Norman identity  differed geographically, but it did not disappear. </w:t>
      </w:r>
      <w:proofErr w:type="spellStart"/>
      <w:r>
        <w:rPr>
          <w:bCs/>
        </w:rPr>
        <w:t>Albu</w:t>
      </w:r>
      <w:proofErr w:type="spellEnd"/>
      <w:r>
        <w:rPr>
          <w:bCs/>
        </w:rPr>
        <w:t xml:space="preserve"> makes the argument that the willingness of the Normans to shed one cultural identity for another was a sign of dissatisfaction in their Normanness.</w:t>
      </w:r>
      <w:r>
        <w:rPr>
          <w:rStyle w:val="FootnoteReference"/>
          <w:bCs/>
        </w:rPr>
        <w:footnoteReference w:id="45"/>
      </w:r>
      <w:r>
        <w:rPr>
          <w:bCs/>
        </w:rPr>
        <w:t xml:space="preserve"> However, as Haskins writes, “the Normans were never </w:t>
      </w:r>
      <w:r w:rsidRPr="00F143CF">
        <w:rPr>
          <w:bCs/>
        </w:rPr>
        <w:t>more Norman than in</w:t>
      </w:r>
      <w:r>
        <w:rPr>
          <w:bCs/>
        </w:rPr>
        <w:t xml:space="preserve"> </w:t>
      </w:r>
      <w:r w:rsidRPr="00F143CF">
        <w:rPr>
          <w:bCs/>
        </w:rPr>
        <w:t>adopting the statesmanlike policy of toleration and assimilation which led to their</w:t>
      </w:r>
      <w:r>
        <w:rPr>
          <w:bCs/>
        </w:rPr>
        <w:t xml:space="preserve"> </w:t>
      </w:r>
      <w:r w:rsidRPr="00F143CF">
        <w:rPr>
          <w:bCs/>
        </w:rPr>
        <w:t>ultimate extinction.</w:t>
      </w:r>
      <w:r>
        <w:rPr>
          <w:bCs/>
        </w:rPr>
        <w:t>”</w:t>
      </w:r>
      <w:r>
        <w:rPr>
          <w:rStyle w:val="FootnoteReference"/>
          <w:bCs/>
        </w:rPr>
        <w:footnoteReference w:id="46"/>
      </w:r>
      <w:r>
        <w:rPr>
          <w:bCs/>
        </w:rPr>
        <w:t xml:space="preserve"> Expanding on this further, Reilly points in her study of Norman visual culture, that the ‘conundrum of Norman art’, is in fact its defining feature.</w:t>
      </w:r>
      <w:r>
        <w:rPr>
          <w:rStyle w:val="FootnoteReference"/>
          <w:bCs/>
        </w:rPr>
        <w:footnoteReference w:id="47"/>
      </w:r>
      <w:r>
        <w:rPr>
          <w:bCs/>
        </w:rPr>
        <w:t xml:space="preserve"> The end product of their art and architecture is not just an amalgamation of different sources, but is in fact distinctly Norman in its identity.</w:t>
      </w:r>
      <w:r>
        <w:rPr>
          <w:rStyle w:val="FootnoteReference"/>
          <w:bCs/>
        </w:rPr>
        <w:footnoteReference w:id="48"/>
      </w:r>
      <w:r>
        <w:rPr>
          <w:bCs/>
        </w:rPr>
        <w:t xml:space="preserve"> Dudo wrote of Rollo’s vision in which the Normans would rule over diverse peoples, and this was certainly actualised.</w:t>
      </w:r>
      <w:r>
        <w:rPr>
          <w:rStyle w:val="FootnoteReference"/>
          <w:bCs/>
        </w:rPr>
        <w:footnoteReference w:id="49"/>
      </w:r>
      <w:r>
        <w:rPr>
          <w:bCs/>
        </w:rPr>
        <w:t xml:space="preserve"> While it is certainly the case that the strength of Norman identity varied geographically, it did not fully diminish in any Norman region despite perhaps Antioch until the end of the 12</w:t>
      </w:r>
      <w:r w:rsidRPr="00F143CF">
        <w:rPr>
          <w:bCs/>
          <w:vertAlign w:val="superscript"/>
        </w:rPr>
        <w:t>th</w:t>
      </w:r>
      <w:r>
        <w:rPr>
          <w:bCs/>
        </w:rPr>
        <w:t xml:space="preserve"> century. In the territories of Italy and Sicily, some chroniclers were still able to differentiate between Lombards and Normans right up until the invasion of Henry VI in 1194.</w:t>
      </w:r>
      <w:r>
        <w:rPr>
          <w:rStyle w:val="FootnoteReference"/>
          <w:bCs/>
        </w:rPr>
        <w:footnoteReference w:id="50"/>
      </w:r>
      <w:r>
        <w:rPr>
          <w:bCs/>
        </w:rPr>
        <w:t xml:space="preserve"> Norman identity in Normandy would last into the mid-13</w:t>
      </w:r>
      <w:r w:rsidRPr="00F143CF">
        <w:rPr>
          <w:bCs/>
          <w:vertAlign w:val="superscript"/>
        </w:rPr>
        <w:t>th</w:t>
      </w:r>
      <w:r>
        <w:rPr>
          <w:bCs/>
        </w:rPr>
        <w:t xml:space="preserve"> century if not later.</w:t>
      </w:r>
      <w:r>
        <w:rPr>
          <w:rStyle w:val="FootnoteReference"/>
          <w:bCs/>
        </w:rPr>
        <w:footnoteReference w:id="51"/>
      </w:r>
      <w:r>
        <w:rPr>
          <w:bCs/>
        </w:rPr>
        <w:t xml:space="preserve"> To conclude, despite geographical variations, a collective Norman identity existed to a limited yet notable extent. Even arguably at its weakest in Sicily, there remains a memory in the late 12</w:t>
      </w:r>
      <w:r w:rsidRPr="00F143CF">
        <w:rPr>
          <w:bCs/>
          <w:vertAlign w:val="superscript"/>
        </w:rPr>
        <w:t>th</w:t>
      </w:r>
      <w:r>
        <w:rPr>
          <w:bCs/>
        </w:rPr>
        <w:t xml:space="preserve"> century chronicles of Romuald of Salerno and the pseudo- Hugh </w:t>
      </w:r>
      <w:proofErr w:type="spellStart"/>
      <w:r>
        <w:rPr>
          <w:bCs/>
        </w:rPr>
        <w:t>Falcandus</w:t>
      </w:r>
      <w:proofErr w:type="spellEnd"/>
      <w:r>
        <w:rPr>
          <w:bCs/>
        </w:rPr>
        <w:t>, that the kings are of Norman descent.</w:t>
      </w:r>
      <w:r>
        <w:rPr>
          <w:rStyle w:val="FootnoteReference"/>
          <w:bCs/>
        </w:rPr>
        <w:footnoteReference w:id="52"/>
      </w:r>
      <w:r>
        <w:rPr>
          <w:bCs/>
        </w:rPr>
        <w:t xml:space="preserve"> Norman identity was fluid yet consistent enough for wide themes to be replicated across borders. </w:t>
      </w:r>
    </w:p>
    <w:p w14:paraId="5DD7900B" w14:textId="77777777" w:rsidR="00F143CF" w:rsidRDefault="00F143CF" w:rsidP="00F143CF">
      <w:pPr>
        <w:spacing w:after="160" w:line="259" w:lineRule="auto"/>
        <w:rPr>
          <w:bCs/>
        </w:rPr>
      </w:pPr>
    </w:p>
    <w:p w14:paraId="5D984B59" w14:textId="77777777" w:rsidR="00F143CF" w:rsidRDefault="00F143CF" w:rsidP="00F143CF">
      <w:pPr>
        <w:spacing w:after="160" w:line="259" w:lineRule="auto"/>
        <w:rPr>
          <w:bCs/>
        </w:rPr>
      </w:pPr>
    </w:p>
    <w:p w14:paraId="38E7CE4D" w14:textId="77777777" w:rsidR="00F143CF" w:rsidRDefault="00F143CF" w:rsidP="00F143CF">
      <w:pPr>
        <w:spacing w:after="160" w:line="259" w:lineRule="auto"/>
        <w:rPr>
          <w:bCs/>
        </w:rPr>
      </w:pPr>
    </w:p>
    <w:p w14:paraId="152F8DF8" w14:textId="77777777" w:rsidR="00F143CF" w:rsidRDefault="00F143CF" w:rsidP="00F143CF">
      <w:pPr>
        <w:spacing w:after="160" w:line="259" w:lineRule="auto"/>
        <w:rPr>
          <w:bCs/>
        </w:rPr>
      </w:pPr>
    </w:p>
    <w:p w14:paraId="5609335A" w14:textId="77777777" w:rsidR="00F143CF" w:rsidRDefault="00F143CF" w:rsidP="00F143CF">
      <w:pPr>
        <w:spacing w:after="160" w:line="259" w:lineRule="auto"/>
        <w:rPr>
          <w:bCs/>
        </w:rPr>
      </w:pPr>
    </w:p>
    <w:p w14:paraId="44CEDA7B" w14:textId="77777777" w:rsidR="00F143CF" w:rsidRDefault="00F143CF" w:rsidP="00F143CF">
      <w:pPr>
        <w:spacing w:after="160" w:line="259" w:lineRule="auto"/>
        <w:rPr>
          <w:bCs/>
        </w:rPr>
      </w:pPr>
    </w:p>
    <w:p w14:paraId="7C5B65ED" w14:textId="77777777" w:rsidR="00F143CF" w:rsidRDefault="00F143CF" w:rsidP="00F143CF">
      <w:pPr>
        <w:spacing w:after="160" w:line="259" w:lineRule="auto"/>
        <w:rPr>
          <w:bCs/>
        </w:rPr>
      </w:pPr>
    </w:p>
    <w:p w14:paraId="292D6AEE" w14:textId="77777777" w:rsidR="00F143CF" w:rsidRDefault="00F143CF" w:rsidP="00F143CF">
      <w:pPr>
        <w:spacing w:after="160" w:line="259" w:lineRule="auto"/>
        <w:rPr>
          <w:bCs/>
        </w:rPr>
      </w:pPr>
    </w:p>
    <w:p w14:paraId="1D0A59E3" w14:textId="77777777" w:rsidR="00F143CF" w:rsidRDefault="00F143CF" w:rsidP="00F143CF">
      <w:pPr>
        <w:spacing w:after="160" w:line="259" w:lineRule="auto"/>
        <w:rPr>
          <w:bCs/>
        </w:rPr>
      </w:pPr>
    </w:p>
    <w:p w14:paraId="427BA779" w14:textId="77777777" w:rsidR="00F143CF" w:rsidRDefault="00F143CF" w:rsidP="00F143CF">
      <w:pPr>
        <w:spacing w:after="160" w:line="259" w:lineRule="auto"/>
        <w:rPr>
          <w:bCs/>
        </w:rPr>
      </w:pPr>
    </w:p>
    <w:p w14:paraId="2454DA30" w14:textId="77777777" w:rsidR="00F143CF" w:rsidRDefault="00F143CF" w:rsidP="00F143CF">
      <w:pPr>
        <w:spacing w:after="160" w:line="259" w:lineRule="auto"/>
        <w:rPr>
          <w:bCs/>
        </w:rPr>
      </w:pPr>
    </w:p>
    <w:p w14:paraId="3C678068" w14:textId="77777777" w:rsidR="00F143CF" w:rsidRDefault="00F143CF" w:rsidP="00F143CF">
      <w:pPr>
        <w:spacing w:after="160" w:line="259" w:lineRule="auto"/>
        <w:rPr>
          <w:bCs/>
        </w:rPr>
      </w:pPr>
    </w:p>
    <w:p w14:paraId="016932F3" w14:textId="77777777" w:rsidR="00F143CF" w:rsidRDefault="00F143CF" w:rsidP="00F143CF">
      <w:pPr>
        <w:spacing w:after="160" w:line="259" w:lineRule="auto"/>
        <w:rPr>
          <w:bCs/>
        </w:rPr>
      </w:pPr>
    </w:p>
    <w:p w14:paraId="59DFE823" w14:textId="77777777" w:rsidR="00F143CF" w:rsidRPr="00F143CF" w:rsidRDefault="00F143CF" w:rsidP="00F143CF">
      <w:pPr>
        <w:spacing w:after="160" w:line="259" w:lineRule="auto"/>
        <w:rPr>
          <w:bCs/>
        </w:rPr>
      </w:pPr>
    </w:p>
    <w:sdt>
      <w:sdtPr>
        <w:id w:val="1083260254"/>
        <w:docPartObj>
          <w:docPartGallery w:val="Bibliographies"/>
          <w:docPartUnique/>
        </w:docPartObj>
      </w:sdtPr>
      <w:sdtEndPr>
        <w:rPr>
          <w:rFonts w:asciiTheme="minorHAnsi" w:eastAsiaTheme="minorHAnsi" w:hAnsiTheme="minorHAnsi" w:cstheme="minorBidi"/>
          <w:color w:val="auto"/>
          <w:sz w:val="24"/>
          <w:szCs w:val="24"/>
        </w:rPr>
      </w:sdtEndPr>
      <w:sdtContent>
        <w:p w14:paraId="313F2ED2" w14:textId="02555FCB" w:rsidR="00F143CF" w:rsidRDefault="00F143CF">
          <w:pPr>
            <w:pStyle w:val="Heading1"/>
          </w:pPr>
          <w:r>
            <w:t>Bibliography</w:t>
          </w:r>
        </w:p>
        <w:p w14:paraId="65F986DA" w14:textId="77777777" w:rsidR="00F143CF" w:rsidRDefault="00F143CF" w:rsidP="00F143CF">
          <w:pPr>
            <w:pStyle w:val="ListParagraph"/>
          </w:pPr>
        </w:p>
        <w:p w14:paraId="0765C0DA" w14:textId="2CDE4493" w:rsidR="00F143CF" w:rsidRDefault="00F143CF" w:rsidP="00F143CF">
          <w:pPr>
            <w:pStyle w:val="ListParagraph"/>
            <w:numPr>
              <w:ilvl w:val="0"/>
              <w:numId w:val="3"/>
            </w:numPr>
          </w:pPr>
          <w:r>
            <w:t xml:space="preserve">Emily </w:t>
          </w:r>
          <w:proofErr w:type="spellStart"/>
          <w:r w:rsidRPr="00F143CF">
            <w:t>Albu</w:t>
          </w:r>
          <w:proofErr w:type="spellEnd"/>
          <w:r w:rsidRPr="00F143CF">
            <w:rPr>
              <w:i/>
              <w:iCs/>
            </w:rPr>
            <w:t>, The Normans in Their Histories</w:t>
          </w:r>
          <w:r w:rsidRPr="00F143CF">
            <w:rPr>
              <w:rFonts w:ascii="Arial" w:hAnsi="Arial" w:cs="Arial"/>
              <w:i/>
              <w:iCs/>
            </w:rPr>
            <w:t> </w:t>
          </w:r>
          <w:r w:rsidRPr="00F143CF">
            <w:rPr>
              <w:i/>
              <w:iCs/>
            </w:rPr>
            <w:t xml:space="preserve">: Propaganda, Myth and Subversion </w:t>
          </w:r>
          <w:r w:rsidRPr="00F143CF">
            <w:t>(Rochester, N.Y: Boydell Press, 2001)</w:t>
          </w:r>
          <w:r>
            <w:t>.</w:t>
          </w:r>
        </w:p>
        <w:p w14:paraId="14EF06D5" w14:textId="77777777" w:rsidR="00F143CF" w:rsidRDefault="00F143CF" w:rsidP="00F143CF">
          <w:pPr>
            <w:pStyle w:val="ListParagraph"/>
          </w:pPr>
        </w:p>
        <w:p w14:paraId="359AE209" w14:textId="22139CCA" w:rsidR="00F143CF" w:rsidRDefault="00F143CF" w:rsidP="00F143CF">
          <w:pPr>
            <w:pStyle w:val="ListParagraph"/>
            <w:numPr>
              <w:ilvl w:val="0"/>
              <w:numId w:val="3"/>
            </w:numPr>
          </w:pPr>
          <w:r w:rsidRPr="00F143CF">
            <w:t xml:space="preserve">David Bates, </w:t>
          </w:r>
          <w:r w:rsidRPr="00F143CF">
            <w:rPr>
              <w:i/>
              <w:iCs/>
            </w:rPr>
            <w:t>The Normans and Empire</w:t>
          </w:r>
          <w:r w:rsidRPr="00F143CF">
            <w:t xml:space="preserve"> (Oxford: Oxford University Press, 2013)</w:t>
          </w:r>
          <w:r>
            <w:t>.</w:t>
          </w:r>
        </w:p>
        <w:p w14:paraId="41836EE1" w14:textId="77777777" w:rsidR="00F143CF" w:rsidRDefault="00F143CF" w:rsidP="00F143CF">
          <w:pPr>
            <w:pStyle w:val="ListParagraph"/>
          </w:pPr>
        </w:p>
        <w:p w14:paraId="046C158D" w14:textId="092781B0" w:rsidR="00F143CF" w:rsidRDefault="00F143CF" w:rsidP="00F143CF">
          <w:pPr>
            <w:pStyle w:val="ListParagraph"/>
            <w:numPr>
              <w:ilvl w:val="0"/>
              <w:numId w:val="3"/>
            </w:numPr>
          </w:pPr>
          <w:r w:rsidRPr="00F143CF">
            <w:t>Eric Christiansen, Dudo of St Quentin, History of the Normans (Woodbridge, Suffolk, UK</w:t>
          </w:r>
          <w:r w:rsidRPr="00F143CF">
            <w:rPr>
              <w:rFonts w:ascii="Arial" w:hAnsi="Arial" w:cs="Arial"/>
            </w:rPr>
            <w:t> </w:t>
          </w:r>
          <w:r w:rsidRPr="00F143CF">
            <w:t>; Boydell Press, 1998).</w:t>
          </w:r>
        </w:p>
        <w:p w14:paraId="54701C66" w14:textId="77777777" w:rsidR="00F143CF" w:rsidRDefault="00F143CF" w:rsidP="00F143CF">
          <w:pPr>
            <w:pStyle w:val="ListParagraph"/>
          </w:pPr>
        </w:p>
        <w:p w14:paraId="4742C5B2" w14:textId="5F9F900A" w:rsidR="00F143CF" w:rsidRDefault="00F143CF" w:rsidP="00F143CF">
          <w:pPr>
            <w:pStyle w:val="ListParagraph"/>
            <w:numPr>
              <w:ilvl w:val="0"/>
              <w:numId w:val="3"/>
            </w:numPr>
          </w:pPr>
          <w:r w:rsidRPr="00F143CF">
            <w:t xml:space="preserve">Ralph </w:t>
          </w:r>
          <w:r>
            <w:t xml:space="preserve">H. C. </w:t>
          </w:r>
          <w:r w:rsidRPr="00F143CF">
            <w:t xml:space="preserve">Davis, </w:t>
          </w:r>
          <w:r w:rsidRPr="00F143CF">
            <w:rPr>
              <w:i/>
              <w:iCs/>
            </w:rPr>
            <w:t>The Normans and Their Myth</w:t>
          </w:r>
          <w:r w:rsidRPr="00F143CF">
            <w:t xml:space="preserve"> (London: Thames and Hudson, 1976</w:t>
          </w:r>
          <w:r>
            <w:t>).</w:t>
          </w:r>
        </w:p>
        <w:p w14:paraId="5F55C994" w14:textId="77777777" w:rsidR="00F143CF" w:rsidRDefault="00F143CF" w:rsidP="00F143CF">
          <w:pPr>
            <w:pStyle w:val="ListParagraph"/>
          </w:pPr>
        </w:p>
        <w:p w14:paraId="19E15DDD" w14:textId="4D7BCCB6" w:rsidR="00F143CF" w:rsidRDefault="00F143CF" w:rsidP="00F143CF">
          <w:pPr>
            <w:pStyle w:val="ListParagraph"/>
            <w:numPr>
              <w:ilvl w:val="0"/>
              <w:numId w:val="3"/>
            </w:numPr>
          </w:pPr>
          <w:r w:rsidRPr="00F143CF">
            <w:t>Joanna H</w:t>
          </w:r>
          <w:r>
            <w:t>. Drell</w:t>
          </w:r>
          <w:r w:rsidRPr="00F143CF">
            <w:t xml:space="preserve">, ‘Cultural Syncretism and Ethnic Identity: The Norman “Conquest” of Southern Italy and Sicily’, </w:t>
          </w:r>
          <w:r w:rsidRPr="00F143CF">
            <w:rPr>
              <w:i/>
              <w:iCs/>
            </w:rPr>
            <w:t>Journal of Medieval History,</w:t>
          </w:r>
          <w:r w:rsidRPr="00F143CF">
            <w:t xml:space="preserve"> 25.3 (1999), 187–202</w:t>
          </w:r>
          <w:r>
            <w:t>.</w:t>
          </w:r>
        </w:p>
        <w:p w14:paraId="17A78051" w14:textId="77777777" w:rsidR="00F143CF" w:rsidRDefault="00F143CF" w:rsidP="00F143CF">
          <w:pPr>
            <w:pStyle w:val="ListParagraph"/>
          </w:pPr>
        </w:p>
        <w:p w14:paraId="7FA2C1BC" w14:textId="08BBB670" w:rsidR="00F143CF" w:rsidRDefault="00F143CF" w:rsidP="00F143CF">
          <w:pPr>
            <w:pStyle w:val="ListParagraph"/>
            <w:numPr>
              <w:ilvl w:val="0"/>
              <w:numId w:val="3"/>
            </w:numPr>
          </w:pPr>
          <w:r w:rsidRPr="00F143CF">
            <w:t xml:space="preserve">Charles Homer Haskins, </w:t>
          </w:r>
          <w:r w:rsidRPr="00F143CF">
            <w:rPr>
              <w:i/>
              <w:iCs/>
            </w:rPr>
            <w:t>The Normans in European History</w:t>
          </w:r>
          <w:r w:rsidRPr="00F143CF">
            <w:t xml:space="preserve"> (Boston and New York: Houghton Mifflin Company, 1915)</w:t>
          </w:r>
          <w:r>
            <w:t>.</w:t>
          </w:r>
        </w:p>
        <w:p w14:paraId="73AB26E8" w14:textId="77777777" w:rsidR="00F143CF" w:rsidRDefault="00F143CF" w:rsidP="00F143CF">
          <w:pPr>
            <w:pStyle w:val="ListParagraph"/>
          </w:pPr>
        </w:p>
        <w:p w14:paraId="09A94960" w14:textId="5BEC7A5B" w:rsidR="00F143CF" w:rsidRDefault="00F143CF" w:rsidP="00F143CF">
          <w:pPr>
            <w:pStyle w:val="ListParagraph"/>
            <w:numPr>
              <w:ilvl w:val="0"/>
              <w:numId w:val="3"/>
            </w:numPr>
          </w:pPr>
          <w:r w:rsidRPr="00F143CF">
            <w:t xml:space="preserve">Leonie V. Hicks, </w:t>
          </w:r>
          <w:r w:rsidRPr="00F143CF">
            <w:rPr>
              <w:i/>
              <w:iCs/>
            </w:rPr>
            <w:t>A Short History of the Normans</w:t>
          </w:r>
          <w:r w:rsidRPr="00F143CF">
            <w:t xml:space="preserve"> (London: Bloomsbury Publishing, 2016)</w:t>
          </w:r>
          <w:r>
            <w:t>.</w:t>
          </w:r>
        </w:p>
        <w:p w14:paraId="69F5716A" w14:textId="77777777" w:rsidR="00F143CF" w:rsidRDefault="00F143CF" w:rsidP="00F143CF">
          <w:pPr>
            <w:pStyle w:val="ListParagraph"/>
          </w:pPr>
        </w:p>
        <w:p w14:paraId="53771EB7" w14:textId="75B82462" w:rsidR="00F143CF" w:rsidRDefault="00F143CF" w:rsidP="00F143CF">
          <w:pPr>
            <w:pStyle w:val="ListParagraph"/>
            <w:numPr>
              <w:ilvl w:val="0"/>
              <w:numId w:val="3"/>
            </w:numPr>
          </w:pPr>
          <w:r w:rsidRPr="00F143CF">
            <w:t xml:space="preserve">Elizabeth van Houts, </w:t>
          </w:r>
          <w:r w:rsidRPr="00F143CF">
            <w:rPr>
              <w:i/>
              <w:iCs/>
            </w:rPr>
            <w:t>The Normans in Europe</w:t>
          </w:r>
          <w:r w:rsidRPr="00F143CF">
            <w:t xml:space="preserve"> (Manchester: Manchester University Press, 2000)</w:t>
          </w:r>
          <w:r>
            <w:t>.</w:t>
          </w:r>
        </w:p>
        <w:p w14:paraId="7DBDE5BE" w14:textId="77777777" w:rsidR="00F143CF" w:rsidRDefault="00F143CF" w:rsidP="00F143CF">
          <w:pPr>
            <w:pStyle w:val="ListParagraph"/>
          </w:pPr>
        </w:p>
        <w:p w14:paraId="4AA30241" w14:textId="2323C0A9" w:rsidR="00F143CF" w:rsidRDefault="00F143CF" w:rsidP="00F143CF">
          <w:pPr>
            <w:pStyle w:val="ListParagraph"/>
            <w:numPr>
              <w:ilvl w:val="0"/>
              <w:numId w:val="3"/>
            </w:numPr>
          </w:pPr>
          <w:r w:rsidRPr="00F143CF">
            <w:t>Lisa Reilly</w:t>
          </w:r>
          <w:r w:rsidRPr="00F143CF">
            <w:rPr>
              <w:i/>
              <w:iCs/>
            </w:rPr>
            <w:t>, The Invention of Norman Visual Culture: Art, Politics, and Dynastic Ambition</w:t>
          </w:r>
          <w:r w:rsidRPr="00F143CF">
            <w:t xml:space="preserve"> (Cambridge: Cambridge University Press, 2020)</w:t>
          </w:r>
          <w:r>
            <w:t>.</w:t>
          </w:r>
        </w:p>
        <w:p w14:paraId="697A1F44" w14:textId="77777777" w:rsidR="00F143CF" w:rsidRDefault="00F143CF" w:rsidP="00F143CF">
          <w:pPr>
            <w:pStyle w:val="ListParagraph"/>
          </w:pPr>
        </w:p>
        <w:p w14:paraId="648774F3" w14:textId="7752DACA" w:rsidR="00F143CF" w:rsidRDefault="00F143CF" w:rsidP="00F143CF">
          <w:pPr>
            <w:pStyle w:val="ListParagraph"/>
            <w:numPr>
              <w:ilvl w:val="0"/>
              <w:numId w:val="3"/>
            </w:numPr>
          </w:pPr>
          <w:r w:rsidRPr="00F143CF">
            <w:t xml:space="preserve">Leah </w:t>
          </w:r>
          <w:proofErr w:type="spellStart"/>
          <w:r w:rsidRPr="00F143CF">
            <w:t>Shopkow</w:t>
          </w:r>
          <w:proofErr w:type="spellEnd"/>
          <w:r w:rsidRPr="00F143CF">
            <w:t xml:space="preserve">, </w:t>
          </w:r>
          <w:r w:rsidRPr="00F143CF">
            <w:rPr>
              <w:i/>
              <w:iCs/>
            </w:rPr>
            <w:t>History and Community</w:t>
          </w:r>
          <w:r w:rsidRPr="00F143CF">
            <w:rPr>
              <w:rFonts w:ascii="Arial" w:hAnsi="Arial" w:cs="Arial"/>
              <w:i/>
              <w:iCs/>
            </w:rPr>
            <w:t> </w:t>
          </w:r>
          <w:r w:rsidRPr="00F143CF">
            <w:rPr>
              <w:i/>
              <w:iCs/>
            </w:rPr>
            <w:t>: Norman Historical Writing in the Eleventh and Twelfth Centuries</w:t>
          </w:r>
          <w:r w:rsidRPr="00F143CF">
            <w:t xml:space="preserve"> (Washington, D.C: Catholic University of America Press, 1997)</w:t>
          </w:r>
          <w:r>
            <w:t>.</w:t>
          </w:r>
        </w:p>
        <w:p w14:paraId="668745FE" w14:textId="77777777" w:rsidR="00F143CF" w:rsidRDefault="00F143CF" w:rsidP="00F143CF">
          <w:pPr>
            <w:pStyle w:val="ListParagraph"/>
          </w:pPr>
        </w:p>
        <w:p w14:paraId="3DD3987E" w14:textId="393D2E9D" w:rsidR="00F143CF" w:rsidRDefault="00F143CF" w:rsidP="00F143CF">
          <w:pPr>
            <w:pStyle w:val="ListParagraph"/>
            <w:numPr>
              <w:ilvl w:val="0"/>
              <w:numId w:val="3"/>
            </w:numPr>
          </w:pPr>
          <w:r w:rsidRPr="00F143CF">
            <w:t xml:space="preserve">Leah </w:t>
          </w:r>
          <w:proofErr w:type="spellStart"/>
          <w:r w:rsidRPr="00F143CF">
            <w:t>Shopkow</w:t>
          </w:r>
          <w:proofErr w:type="spellEnd"/>
          <w:r w:rsidRPr="00F143CF">
            <w:t xml:space="preserve">, The Carolingian World of Dudo of Saint-Quentin’, </w:t>
          </w:r>
          <w:r w:rsidRPr="00F143CF">
            <w:rPr>
              <w:i/>
              <w:iCs/>
            </w:rPr>
            <w:t>Journal of Medieval History,</w:t>
          </w:r>
          <w:r w:rsidRPr="00F143CF">
            <w:t>15.1 (1989) 19-37.</w:t>
          </w:r>
        </w:p>
        <w:p w14:paraId="7D1DDE48" w14:textId="77777777" w:rsidR="00F143CF" w:rsidRDefault="00F143CF" w:rsidP="00F143CF">
          <w:pPr>
            <w:pStyle w:val="ListParagraph"/>
          </w:pPr>
        </w:p>
        <w:p w14:paraId="5FF3EBBB" w14:textId="203307B1" w:rsidR="00F143CF" w:rsidRDefault="00F143CF" w:rsidP="00F143CF">
          <w:pPr>
            <w:pStyle w:val="ListParagraph"/>
            <w:numPr>
              <w:ilvl w:val="0"/>
              <w:numId w:val="3"/>
            </w:numPr>
          </w:pPr>
          <w:r>
            <w:t>Hugh M. Thomas</w:t>
          </w:r>
          <w:r w:rsidRPr="00F143CF">
            <w:t>,</w:t>
          </w:r>
          <w:r>
            <w:t xml:space="preserve"> </w:t>
          </w:r>
          <w:r w:rsidRPr="00F143CF">
            <w:rPr>
              <w:i/>
              <w:iCs/>
            </w:rPr>
            <w:t>The English and the Normans</w:t>
          </w:r>
          <w:r w:rsidRPr="00F143CF">
            <w:t xml:space="preserve"> (Oxford: Oxford University Press, 2003)</w:t>
          </w:r>
          <w:r>
            <w:t>.</w:t>
          </w:r>
        </w:p>
      </w:sdtContent>
    </w:sdt>
    <w:p w14:paraId="77E411E0" w14:textId="3C29DBED" w:rsidR="00F143CF" w:rsidRPr="00F143CF" w:rsidRDefault="00F143CF" w:rsidP="00F143CF">
      <w:pPr>
        <w:spacing w:after="160" w:line="259" w:lineRule="auto"/>
        <w:rPr>
          <w:bCs/>
        </w:rPr>
      </w:pPr>
    </w:p>
    <w:sectPr w:rsidR="00F143CF" w:rsidRPr="00F143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E445ED" w14:textId="77777777" w:rsidR="00F143CF" w:rsidRDefault="00F143CF" w:rsidP="00F143CF">
      <w:r>
        <w:separator/>
      </w:r>
    </w:p>
  </w:endnote>
  <w:endnote w:type="continuationSeparator" w:id="0">
    <w:p w14:paraId="364CDC1D" w14:textId="77777777" w:rsidR="00F143CF" w:rsidRDefault="00F143CF" w:rsidP="00F14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63218" w14:textId="77777777" w:rsidR="00F143CF" w:rsidRDefault="00F143CF" w:rsidP="00F143CF">
      <w:r>
        <w:separator/>
      </w:r>
    </w:p>
  </w:footnote>
  <w:footnote w:type="continuationSeparator" w:id="0">
    <w:p w14:paraId="14B3E1E1" w14:textId="77777777" w:rsidR="00F143CF" w:rsidRDefault="00F143CF" w:rsidP="00F143CF">
      <w:r>
        <w:continuationSeparator/>
      </w:r>
    </w:p>
  </w:footnote>
  <w:footnote w:id="1">
    <w:p w14:paraId="4D2BAA57" w14:textId="0366AB7D" w:rsidR="00F143CF" w:rsidRDefault="00F143CF">
      <w:pPr>
        <w:pStyle w:val="FootnoteText"/>
      </w:pPr>
      <w:r>
        <w:rPr>
          <w:rStyle w:val="FootnoteReference"/>
        </w:rPr>
        <w:footnoteRef/>
      </w:r>
      <w:r>
        <w:t xml:space="preserve"> </w:t>
      </w:r>
      <w:r w:rsidRPr="00F143CF">
        <w:t>Ralph</w:t>
      </w:r>
      <w:r w:rsidRPr="00F143CF">
        <w:t xml:space="preserve"> </w:t>
      </w:r>
      <w:r>
        <w:t xml:space="preserve">H. C. </w:t>
      </w:r>
      <w:r w:rsidRPr="00F143CF">
        <w:t xml:space="preserve">Davis, </w:t>
      </w:r>
      <w:r w:rsidRPr="00F143CF">
        <w:rPr>
          <w:i/>
          <w:iCs/>
        </w:rPr>
        <w:t>The Normans and Their Myth</w:t>
      </w:r>
      <w:r w:rsidRPr="00F143CF">
        <w:t xml:space="preserve"> (London: Thames and Hudson, 1976)</w:t>
      </w:r>
      <w:r>
        <w:t xml:space="preserve"> p. 12.</w:t>
      </w:r>
    </w:p>
  </w:footnote>
  <w:footnote w:id="2">
    <w:p w14:paraId="2E5ECBE8" w14:textId="5CE5BBDE" w:rsidR="00F143CF" w:rsidRDefault="00F143CF">
      <w:pPr>
        <w:pStyle w:val="FootnoteText"/>
      </w:pPr>
      <w:r>
        <w:rPr>
          <w:rStyle w:val="FootnoteReference"/>
        </w:rPr>
        <w:footnoteRef/>
      </w:r>
      <w:r>
        <w:t xml:space="preserve"> Hugh M. Thomas</w:t>
      </w:r>
      <w:r w:rsidRPr="00F143CF">
        <w:t>,</w:t>
      </w:r>
      <w:r>
        <w:t xml:space="preserve"> </w:t>
      </w:r>
      <w:r w:rsidRPr="00F143CF">
        <w:rPr>
          <w:i/>
          <w:iCs/>
        </w:rPr>
        <w:t>The English and the Normans</w:t>
      </w:r>
      <w:r w:rsidRPr="00F143CF">
        <w:t xml:space="preserve"> (Oxford: Oxford University Press, 2003)</w:t>
      </w:r>
      <w:r>
        <w:t xml:space="preserve"> p. 35</w:t>
      </w:r>
    </w:p>
  </w:footnote>
  <w:footnote w:id="3">
    <w:p w14:paraId="6697F990" w14:textId="54F0B329" w:rsidR="00F143CF" w:rsidRDefault="00F143CF">
      <w:pPr>
        <w:pStyle w:val="FootnoteText"/>
      </w:pPr>
      <w:r>
        <w:rPr>
          <w:rStyle w:val="FootnoteReference"/>
        </w:rPr>
        <w:footnoteRef/>
      </w:r>
      <w:r>
        <w:t xml:space="preserve"> </w:t>
      </w:r>
      <w:r w:rsidRPr="00F143CF">
        <w:t xml:space="preserve">Elizabeth van Houts, </w:t>
      </w:r>
      <w:r w:rsidRPr="00F143CF">
        <w:rPr>
          <w:i/>
          <w:iCs/>
        </w:rPr>
        <w:t>The Normans in Europe</w:t>
      </w:r>
      <w:r w:rsidRPr="00F143CF">
        <w:t xml:space="preserve"> (Manchester: Manchester University Press, 2000) p. 25.</w:t>
      </w:r>
    </w:p>
  </w:footnote>
  <w:footnote w:id="4">
    <w:p w14:paraId="0B7ADE58" w14:textId="6EA321F1" w:rsidR="00F143CF" w:rsidRDefault="00F143CF">
      <w:pPr>
        <w:pStyle w:val="FootnoteText"/>
      </w:pPr>
      <w:r>
        <w:rPr>
          <w:rStyle w:val="FootnoteReference"/>
        </w:rPr>
        <w:footnoteRef/>
      </w:r>
      <w:r>
        <w:t xml:space="preserve"> </w:t>
      </w:r>
      <w:r w:rsidRPr="00F143CF">
        <w:t xml:space="preserve">Leonie V. Hicks, </w:t>
      </w:r>
      <w:r w:rsidRPr="00F143CF">
        <w:rPr>
          <w:i/>
          <w:iCs/>
        </w:rPr>
        <w:t>A Short History of the Normans</w:t>
      </w:r>
      <w:r w:rsidRPr="00F143CF">
        <w:t xml:space="preserve"> (London: Bloomsbury Publishing, 2016), p. 18.</w:t>
      </w:r>
    </w:p>
  </w:footnote>
  <w:footnote w:id="5">
    <w:p w14:paraId="0A03400B" w14:textId="6742A012" w:rsidR="00F143CF" w:rsidRPr="00F143CF" w:rsidRDefault="00F143CF">
      <w:pPr>
        <w:pStyle w:val="FootnoteText"/>
      </w:pPr>
      <w:r>
        <w:rPr>
          <w:rStyle w:val="FootnoteReference"/>
        </w:rPr>
        <w:footnoteRef/>
      </w:r>
      <w:r>
        <w:t xml:space="preserve"> Emily </w:t>
      </w:r>
      <w:proofErr w:type="spellStart"/>
      <w:r w:rsidRPr="00F143CF">
        <w:t>Albu</w:t>
      </w:r>
      <w:proofErr w:type="spellEnd"/>
      <w:r w:rsidRPr="00F143CF">
        <w:rPr>
          <w:i/>
          <w:iCs/>
        </w:rPr>
        <w:t>, The Normans in Their Histories</w:t>
      </w:r>
      <w:r w:rsidRPr="00F143CF">
        <w:rPr>
          <w:rFonts w:ascii="Arial" w:hAnsi="Arial" w:cs="Arial"/>
          <w:i/>
          <w:iCs/>
        </w:rPr>
        <w:t> </w:t>
      </w:r>
      <w:r w:rsidRPr="00F143CF">
        <w:rPr>
          <w:i/>
          <w:iCs/>
        </w:rPr>
        <w:t xml:space="preserve">: Propaganda, Myth and Subversion </w:t>
      </w:r>
      <w:r w:rsidRPr="00F143CF">
        <w:t>(Rochester, N.Y: Boydell Press, 2001)</w:t>
      </w:r>
      <w:r>
        <w:t xml:space="preserve"> p. 14.</w:t>
      </w:r>
    </w:p>
  </w:footnote>
  <w:footnote w:id="6">
    <w:p w14:paraId="5FDA95DE" w14:textId="7F6C1A40" w:rsidR="00F143CF" w:rsidRDefault="00F143CF">
      <w:pPr>
        <w:pStyle w:val="FootnoteText"/>
      </w:pPr>
      <w:r>
        <w:rPr>
          <w:rStyle w:val="FootnoteReference"/>
        </w:rPr>
        <w:footnoteRef/>
      </w:r>
      <w:r>
        <w:t xml:space="preserve"> Ibid, p. 15.</w:t>
      </w:r>
    </w:p>
  </w:footnote>
  <w:footnote w:id="7">
    <w:p w14:paraId="3F232382" w14:textId="6FD618DF" w:rsidR="00F143CF" w:rsidRPr="00F143CF" w:rsidRDefault="00F143CF">
      <w:pPr>
        <w:pStyle w:val="FootnoteText"/>
      </w:pPr>
      <w:r>
        <w:rPr>
          <w:rStyle w:val="FootnoteReference"/>
        </w:rPr>
        <w:footnoteRef/>
      </w:r>
      <w:r>
        <w:t xml:space="preserve"> Hicks, </w:t>
      </w:r>
      <w:r>
        <w:rPr>
          <w:i/>
          <w:iCs/>
        </w:rPr>
        <w:t>A Short History of the Normans</w:t>
      </w:r>
      <w:r>
        <w:t>, p. 19.</w:t>
      </w:r>
    </w:p>
  </w:footnote>
  <w:footnote w:id="8">
    <w:p w14:paraId="60EAB6BF" w14:textId="69A3E4C1" w:rsidR="00F143CF" w:rsidRPr="00F143CF" w:rsidRDefault="00F143CF">
      <w:pPr>
        <w:pStyle w:val="FootnoteText"/>
      </w:pPr>
      <w:r>
        <w:rPr>
          <w:rStyle w:val="FootnoteReference"/>
        </w:rPr>
        <w:footnoteRef/>
      </w:r>
      <w:r>
        <w:t xml:space="preserve"> </w:t>
      </w:r>
      <w:proofErr w:type="spellStart"/>
      <w:r>
        <w:t>Albu</w:t>
      </w:r>
      <w:proofErr w:type="spellEnd"/>
      <w:r>
        <w:t xml:space="preserve">, </w:t>
      </w:r>
      <w:r w:rsidRPr="00F143CF">
        <w:rPr>
          <w:i/>
          <w:iCs/>
        </w:rPr>
        <w:t>The Normans in Their Histories</w:t>
      </w:r>
      <w:r>
        <w:rPr>
          <w:i/>
          <w:iCs/>
        </w:rPr>
        <w:t xml:space="preserve">, </w:t>
      </w:r>
      <w:r>
        <w:t>p. 35.</w:t>
      </w:r>
    </w:p>
  </w:footnote>
  <w:footnote w:id="9">
    <w:p w14:paraId="0F12FCEF" w14:textId="2BD9B413" w:rsidR="00F143CF" w:rsidRDefault="00F143CF">
      <w:pPr>
        <w:pStyle w:val="FootnoteText"/>
      </w:pPr>
      <w:r>
        <w:rPr>
          <w:rStyle w:val="FootnoteReference"/>
        </w:rPr>
        <w:footnoteRef/>
      </w:r>
      <w:r>
        <w:t xml:space="preserve"> Hicks, </w:t>
      </w:r>
      <w:r>
        <w:rPr>
          <w:i/>
          <w:iCs/>
        </w:rPr>
        <w:t xml:space="preserve">A Short History of the Normans, </w:t>
      </w:r>
      <w:r>
        <w:t>p. 178.</w:t>
      </w:r>
    </w:p>
  </w:footnote>
  <w:footnote w:id="10">
    <w:p w14:paraId="489B1492" w14:textId="576388AF" w:rsidR="00F143CF" w:rsidRPr="00F143CF" w:rsidRDefault="00F143CF">
      <w:pPr>
        <w:pStyle w:val="FootnoteText"/>
      </w:pPr>
      <w:r>
        <w:rPr>
          <w:rStyle w:val="FootnoteReference"/>
        </w:rPr>
        <w:footnoteRef/>
      </w:r>
      <w:r>
        <w:t xml:space="preserve"> Davis, </w:t>
      </w:r>
      <w:r>
        <w:rPr>
          <w:i/>
          <w:iCs/>
        </w:rPr>
        <w:t>The Normans and their Myth</w:t>
      </w:r>
      <w:r>
        <w:t xml:space="preserve">, p. 52. </w:t>
      </w:r>
    </w:p>
  </w:footnote>
  <w:footnote w:id="11">
    <w:p w14:paraId="1B1486F2" w14:textId="33325471" w:rsidR="00F143CF" w:rsidRDefault="00F143CF">
      <w:pPr>
        <w:pStyle w:val="FootnoteText"/>
      </w:pPr>
      <w:r>
        <w:rPr>
          <w:rStyle w:val="FootnoteReference"/>
        </w:rPr>
        <w:footnoteRef/>
      </w:r>
      <w:r>
        <w:t xml:space="preserve"> </w:t>
      </w:r>
      <w:r w:rsidRPr="00F143CF">
        <w:t xml:space="preserve">Eric Christiansen, Dudo of St Quentin, </w:t>
      </w:r>
      <w:r w:rsidRPr="00F143CF">
        <w:rPr>
          <w:i/>
          <w:iCs/>
        </w:rPr>
        <w:t>History of the Normans</w:t>
      </w:r>
      <w:r w:rsidRPr="00F143CF">
        <w:t xml:space="preserve"> (Woodbridge, Suffolk, UK</w:t>
      </w:r>
      <w:r w:rsidRPr="00F143CF">
        <w:rPr>
          <w:rFonts w:ascii="Arial" w:hAnsi="Arial" w:cs="Arial"/>
        </w:rPr>
        <w:t> </w:t>
      </w:r>
      <w:r w:rsidRPr="00F143CF">
        <w:t>; Boydell Press, 1998)</w:t>
      </w:r>
      <w:r>
        <w:t xml:space="preserve"> p. 35.</w:t>
      </w:r>
    </w:p>
  </w:footnote>
  <w:footnote w:id="12">
    <w:p w14:paraId="07F8E71A" w14:textId="710B767F" w:rsidR="00F143CF" w:rsidRDefault="00F143CF">
      <w:pPr>
        <w:pStyle w:val="FootnoteText"/>
      </w:pPr>
      <w:r>
        <w:rPr>
          <w:rStyle w:val="FootnoteReference"/>
        </w:rPr>
        <w:footnoteRef/>
      </w:r>
      <w:r>
        <w:t xml:space="preserve"> </w:t>
      </w:r>
      <w:r w:rsidRPr="00F143CF">
        <w:t xml:space="preserve">Hicks, </w:t>
      </w:r>
      <w:r w:rsidRPr="00F143CF">
        <w:rPr>
          <w:i/>
          <w:iCs/>
        </w:rPr>
        <w:t>A Short History of the Normans</w:t>
      </w:r>
      <w:r w:rsidRPr="00F143CF">
        <w:t>, p. 178</w:t>
      </w:r>
      <w:r>
        <w:t>.</w:t>
      </w:r>
    </w:p>
  </w:footnote>
  <w:footnote w:id="13">
    <w:p w14:paraId="75DD3677" w14:textId="65A09239" w:rsidR="00F143CF" w:rsidRDefault="00F143CF">
      <w:pPr>
        <w:pStyle w:val="FootnoteText"/>
      </w:pPr>
      <w:r>
        <w:rPr>
          <w:rStyle w:val="FootnoteReference"/>
        </w:rPr>
        <w:footnoteRef/>
      </w:r>
      <w:r>
        <w:t xml:space="preserve"> Lisa Reilly, </w:t>
      </w:r>
      <w:r>
        <w:rPr>
          <w:i/>
          <w:iCs/>
        </w:rPr>
        <w:t xml:space="preserve">The Invention of Norman Visual Culture: Art, </w:t>
      </w:r>
      <w:r w:rsidRPr="00F143CF">
        <w:rPr>
          <w:i/>
          <w:iCs/>
        </w:rPr>
        <w:t>Politics, and Dynastic Ambition</w:t>
      </w:r>
      <w:r>
        <w:t xml:space="preserve"> (Cambridge: Cambridge University Press, 2020) </w:t>
      </w:r>
      <w:r w:rsidRPr="00F143CF">
        <w:t>p</w:t>
      </w:r>
      <w:r>
        <w:t>. 5.</w:t>
      </w:r>
    </w:p>
  </w:footnote>
  <w:footnote w:id="14">
    <w:p w14:paraId="0B7539D2" w14:textId="2BF57906" w:rsidR="00F143CF" w:rsidRPr="00F143CF" w:rsidRDefault="00F143CF">
      <w:pPr>
        <w:pStyle w:val="FootnoteText"/>
      </w:pPr>
      <w:r>
        <w:rPr>
          <w:rStyle w:val="FootnoteReference"/>
        </w:rPr>
        <w:footnoteRef/>
      </w:r>
      <w:r>
        <w:t xml:space="preserve"> </w:t>
      </w:r>
      <w:r w:rsidRPr="00F143CF">
        <w:t xml:space="preserve">Hicks, </w:t>
      </w:r>
      <w:r w:rsidRPr="00F143CF">
        <w:rPr>
          <w:i/>
          <w:iCs/>
        </w:rPr>
        <w:t>A Short History of the Normans</w:t>
      </w:r>
      <w:r>
        <w:t>, p. 179.</w:t>
      </w:r>
    </w:p>
  </w:footnote>
  <w:footnote w:id="15">
    <w:p w14:paraId="2DD45361" w14:textId="363D9F15" w:rsidR="00F143CF" w:rsidRDefault="00F143CF">
      <w:pPr>
        <w:pStyle w:val="FootnoteText"/>
      </w:pPr>
      <w:r>
        <w:rPr>
          <w:rStyle w:val="FootnoteReference"/>
        </w:rPr>
        <w:footnoteRef/>
      </w:r>
      <w:r>
        <w:t xml:space="preserve"> </w:t>
      </w:r>
      <w:r w:rsidRPr="00F143CF">
        <w:t>David</w:t>
      </w:r>
      <w:r>
        <w:t xml:space="preserve"> Bates</w:t>
      </w:r>
      <w:r w:rsidRPr="00F143CF">
        <w:t xml:space="preserve">, </w:t>
      </w:r>
      <w:r w:rsidRPr="00F143CF">
        <w:rPr>
          <w:i/>
          <w:iCs/>
        </w:rPr>
        <w:t xml:space="preserve">The Normans and Empire </w:t>
      </w:r>
      <w:r w:rsidRPr="00F143CF">
        <w:t>(Oxford: Oxford University Press, 2013)</w:t>
      </w:r>
      <w:r>
        <w:t xml:space="preserve"> p. 12.</w:t>
      </w:r>
    </w:p>
  </w:footnote>
  <w:footnote w:id="16">
    <w:p w14:paraId="1CD2B077" w14:textId="1E9AAEBE" w:rsidR="00F143CF" w:rsidRDefault="00F143CF">
      <w:pPr>
        <w:pStyle w:val="FootnoteText"/>
      </w:pPr>
      <w:r>
        <w:rPr>
          <w:rStyle w:val="FootnoteReference"/>
        </w:rPr>
        <w:footnoteRef/>
      </w:r>
      <w:r>
        <w:t xml:space="preserve"> </w:t>
      </w:r>
      <w:r w:rsidRPr="00F143CF">
        <w:t xml:space="preserve">Hicks, </w:t>
      </w:r>
      <w:r w:rsidRPr="00F143CF">
        <w:rPr>
          <w:i/>
          <w:iCs/>
        </w:rPr>
        <w:t>A Short History of the Normans</w:t>
      </w:r>
      <w:r>
        <w:t>, p. 179.</w:t>
      </w:r>
    </w:p>
  </w:footnote>
  <w:footnote w:id="17">
    <w:p w14:paraId="65B1BC6F" w14:textId="565B8BC5" w:rsidR="00F143CF" w:rsidRDefault="00F143CF">
      <w:pPr>
        <w:pStyle w:val="FootnoteText"/>
      </w:pPr>
      <w:r>
        <w:rPr>
          <w:rStyle w:val="FootnoteReference"/>
        </w:rPr>
        <w:footnoteRef/>
      </w:r>
      <w:r>
        <w:t xml:space="preserve"> Ibid. </w:t>
      </w:r>
    </w:p>
  </w:footnote>
  <w:footnote w:id="18">
    <w:p w14:paraId="53F3FC1F" w14:textId="47CD8A72" w:rsidR="00F143CF" w:rsidRDefault="00F143CF">
      <w:pPr>
        <w:pStyle w:val="FootnoteText"/>
      </w:pPr>
      <w:r>
        <w:rPr>
          <w:rStyle w:val="FootnoteReference"/>
        </w:rPr>
        <w:footnoteRef/>
      </w:r>
      <w:r>
        <w:t xml:space="preserve"> Ibid. p. 180</w:t>
      </w:r>
    </w:p>
  </w:footnote>
  <w:footnote w:id="19">
    <w:p w14:paraId="61DFBC7B" w14:textId="45C7A8F4" w:rsidR="00F143CF" w:rsidRDefault="00F143CF">
      <w:pPr>
        <w:pStyle w:val="FootnoteText"/>
      </w:pPr>
      <w:r>
        <w:rPr>
          <w:rStyle w:val="FootnoteReference"/>
        </w:rPr>
        <w:footnoteRef/>
      </w:r>
      <w:r>
        <w:t xml:space="preserve"> Leah </w:t>
      </w:r>
      <w:proofErr w:type="spellStart"/>
      <w:r w:rsidRPr="00F143CF">
        <w:t>Shopkow</w:t>
      </w:r>
      <w:proofErr w:type="spellEnd"/>
      <w:r w:rsidRPr="00F143CF">
        <w:t xml:space="preserve">, </w:t>
      </w:r>
      <w:r w:rsidRPr="00F143CF">
        <w:rPr>
          <w:i/>
          <w:iCs/>
        </w:rPr>
        <w:t>History and Community</w:t>
      </w:r>
      <w:r w:rsidRPr="00F143CF">
        <w:rPr>
          <w:rFonts w:ascii="Arial" w:hAnsi="Arial" w:cs="Arial"/>
          <w:i/>
          <w:iCs/>
        </w:rPr>
        <w:t> </w:t>
      </w:r>
      <w:r w:rsidRPr="00F143CF">
        <w:rPr>
          <w:i/>
          <w:iCs/>
        </w:rPr>
        <w:t>: Norman Historical Writing in the Eleventh and Twelfth Centuries</w:t>
      </w:r>
      <w:r w:rsidRPr="00F143CF">
        <w:t xml:space="preserve"> (Washington, D.C: Catholic University of America Press, 1997)</w:t>
      </w:r>
      <w:r>
        <w:t xml:space="preserve"> p. 16.</w:t>
      </w:r>
    </w:p>
  </w:footnote>
  <w:footnote w:id="20">
    <w:p w14:paraId="7921CDBF" w14:textId="6EE66077" w:rsidR="00F143CF" w:rsidRDefault="00F143CF">
      <w:pPr>
        <w:pStyle w:val="FootnoteText"/>
      </w:pPr>
      <w:r>
        <w:rPr>
          <w:rStyle w:val="FootnoteReference"/>
        </w:rPr>
        <w:footnoteRef/>
      </w:r>
      <w:r>
        <w:t xml:space="preserve"> </w:t>
      </w:r>
      <w:r w:rsidRPr="00F143CF">
        <w:t>Charles Homer</w:t>
      </w:r>
      <w:r>
        <w:t xml:space="preserve"> Haskins,</w:t>
      </w:r>
      <w:r w:rsidRPr="00F143CF">
        <w:rPr>
          <w:i/>
          <w:iCs/>
        </w:rPr>
        <w:t xml:space="preserve"> The Normans in European History</w:t>
      </w:r>
      <w:r>
        <w:t xml:space="preserve"> (</w:t>
      </w:r>
      <w:r w:rsidRPr="00F143CF">
        <w:t>Boston and New York: Houghton Mifflin Company, 1915</w:t>
      </w:r>
      <w:r>
        <w:t>)</w:t>
      </w:r>
      <w:r w:rsidRPr="00F143CF">
        <w:t xml:space="preserve"> </w:t>
      </w:r>
      <w:r>
        <w:t>p. 246-247</w:t>
      </w:r>
    </w:p>
  </w:footnote>
  <w:footnote w:id="21">
    <w:p w14:paraId="58E4981C" w14:textId="6B2BD6A4" w:rsidR="00F143CF" w:rsidRDefault="00F143CF">
      <w:pPr>
        <w:pStyle w:val="FootnoteText"/>
      </w:pPr>
      <w:r>
        <w:rPr>
          <w:rStyle w:val="FootnoteReference"/>
        </w:rPr>
        <w:footnoteRef/>
      </w:r>
      <w:r>
        <w:t xml:space="preserve"> </w:t>
      </w:r>
      <w:r w:rsidRPr="00F143CF">
        <w:t xml:space="preserve">Leah </w:t>
      </w:r>
      <w:proofErr w:type="spellStart"/>
      <w:r w:rsidRPr="00F143CF">
        <w:t>Shopkow</w:t>
      </w:r>
      <w:proofErr w:type="spellEnd"/>
      <w:r w:rsidRPr="00F143CF">
        <w:t xml:space="preserve">, The Carolingian World of Dudo of Saint-Quentin’, </w:t>
      </w:r>
      <w:r w:rsidRPr="00F143CF">
        <w:rPr>
          <w:i/>
          <w:iCs/>
        </w:rPr>
        <w:t>Journal of Medieval History</w:t>
      </w:r>
      <w:r>
        <w:t>,</w:t>
      </w:r>
      <w:r w:rsidRPr="00F143CF">
        <w:t>15.1 (1989) 19-37</w:t>
      </w:r>
      <w:r>
        <w:t>.</w:t>
      </w:r>
    </w:p>
  </w:footnote>
  <w:footnote w:id="22">
    <w:p w14:paraId="0D86A69F" w14:textId="19FB5877" w:rsidR="00F143CF" w:rsidRDefault="00F143CF">
      <w:pPr>
        <w:pStyle w:val="FootnoteText"/>
      </w:pPr>
      <w:r>
        <w:rPr>
          <w:rStyle w:val="FootnoteReference"/>
        </w:rPr>
        <w:footnoteRef/>
      </w:r>
      <w:r>
        <w:t xml:space="preserve"> Thomas, </w:t>
      </w:r>
      <w:r>
        <w:rPr>
          <w:i/>
          <w:iCs/>
        </w:rPr>
        <w:t xml:space="preserve">The English and the </w:t>
      </w:r>
      <w:r w:rsidRPr="00F143CF">
        <w:t>Normans</w:t>
      </w:r>
      <w:r>
        <w:t xml:space="preserve">, p. </w:t>
      </w:r>
      <w:r w:rsidRPr="00F143CF">
        <w:t>62</w:t>
      </w:r>
      <w:r>
        <w:t>.</w:t>
      </w:r>
    </w:p>
  </w:footnote>
  <w:footnote w:id="23">
    <w:p w14:paraId="4FF14811" w14:textId="45DD0781" w:rsidR="00F143CF" w:rsidRDefault="00F143CF">
      <w:pPr>
        <w:pStyle w:val="FootnoteText"/>
      </w:pPr>
      <w:r>
        <w:rPr>
          <w:rStyle w:val="FootnoteReference"/>
        </w:rPr>
        <w:footnoteRef/>
      </w:r>
      <w:r>
        <w:t xml:space="preserve"> Ibid. p. 43.</w:t>
      </w:r>
    </w:p>
  </w:footnote>
  <w:footnote w:id="24">
    <w:p w14:paraId="3BE13157" w14:textId="77777777" w:rsidR="00F143CF" w:rsidRDefault="00F143CF" w:rsidP="00F143CF">
      <w:pPr>
        <w:pStyle w:val="FootnoteText"/>
      </w:pPr>
      <w:r>
        <w:rPr>
          <w:rStyle w:val="FootnoteReference"/>
        </w:rPr>
        <w:footnoteRef/>
      </w:r>
      <w:r>
        <w:t xml:space="preserve"> </w:t>
      </w:r>
      <w:r w:rsidRPr="00F143CF">
        <w:t>Joanna H</w:t>
      </w:r>
      <w:r>
        <w:t>. Drell</w:t>
      </w:r>
      <w:r w:rsidRPr="00F143CF">
        <w:t xml:space="preserve">, ‘Cultural Syncretism and Ethnic Identity: The Norman “Conquest” of Southern Italy and Sicily’, </w:t>
      </w:r>
      <w:r w:rsidRPr="00F143CF">
        <w:rPr>
          <w:i/>
          <w:iCs/>
        </w:rPr>
        <w:t>Journal of Medieval History,</w:t>
      </w:r>
      <w:r w:rsidRPr="00F143CF">
        <w:t xml:space="preserve"> 25.3 (1999), 187–202</w:t>
      </w:r>
      <w:r>
        <w:t>, p. 188.</w:t>
      </w:r>
    </w:p>
  </w:footnote>
  <w:footnote w:id="25">
    <w:p w14:paraId="492EB384" w14:textId="77777777" w:rsidR="00F143CF" w:rsidRPr="00F143CF" w:rsidRDefault="00F143CF" w:rsidP="00F143CF">
      <w:pPr>
        <w:pStyle w:val="FootnoteText"/>
      </w:pPr>
      <w:r>
        <w:rPr>
          <w:rStyle w:val="FootnoteReference"/>
        </w:rPr>
        <w:footnoteRef/>
      </w:r>
      <w:r>
        <w:t xml:space="preserve"> Bates</w:t>
      </w:r>
      <w:r w:rsidRPr="00F143CF">
        <w:t xml:space="preserve">, </w:t>
      </w:r>
      <w:r w:rsidRPr="00F143CF">
        <w:rPr>
          <w:i/>
          <w:iCs/>
        </w:rPr>
        <w:t>The Normans and Empir</w:t>
      </w:r>
      <w:r>
        <w:rPr>
          <w:i/>
          <w:iCs/>
        </w:rPr>
        <w:t>e</w:t>
      </w:r>
      <w:r>
        <w:t>, p. 13.</w:t>
      </w:r>
    </w:p>
  </w:footnote>
  <w:footnote w:id="26">
    <w:p w14:paraId="6B6B2F47" w14:textId="12FE0381" w:rsidR="00F143CF" w:rsidRPr="00F143CF" w:rsidRDefault="00F143CF">
      <w:pPr>
        <w:pStyle w:val="FootnoteText"/>
      </w:pPr>
      <w:r>
        <w:rPr>
          <w:rStyle w:val="FootnoteReference"/>
        </w:rPr>
        <w:footnoteRef/>
      </w:r>
      <w:r>
        <w:t xml:space="preserve"> Thomas, </w:t>
      </w:r>
      <w:r>
        <w:rPr>
          <w:i/>
          <w:iCs/>
        </w:rPr>
        <w:t>The English and the Normans</w:t>
      </w:r>
      <w:r>
        <w:t>, p. 44.</w:t>
      </w:r>
    </w:p>
  </w:footnote>
  <w:footnote w:id="27">
    <w:p w14:paraId="534F364E" w14:textId="42780001" w:rsidR="00F143CF" w:rsidRDefault="00F143CF">
      <w:pPr>
        <w:pStyle w:val="FootnoteText"/>
      </w:pPr>
      <w:r>
        <w:rPr>
          <w:rStyle w:val="FootnoteReference"/>
        </w:rPr>
        <w:footnoteRef/>
      </w:r>
      <w:r>
        <w:t xml:space="preserve"> Ibid.</w:t>
      </w:r>
    </w:p>
  </w:footnote>
  <w:footnote w:id="28">
    <w:p w14:paraId="50517364" w14:textId="22819028" w:rsidR="00F143CF" w:rsidRDefault="00F143CF">
      <w:pPr>
        <w:pStyle w:val="FootnoteText"/>
      </w:pPr>
      <w:r>
        <w:rPr>
          <w:rStyle w:val="FootnoteReference"/>
        </w:rPr>
        <w:footnoteRef/>
      </w:r>
      <w:r>
        <w:t xml:space="preserve"> </w:t>
      </w:r>
      <w:r w:rsidRPr="00F143CF">
        <w:t xml:space="preserve">Hicks, </w:t>
      </w:r>
      <w:r w:rsidRPr="00F143CF">
        <w:rPr>
          <w:i/>
          <w:iCs/>
        </w:rPr>
        <w:t>A Short History of the Normans</w:t>
      </w:r>
      <w:r w:rsidRPr="00F143CF">
        <w:t xml:space="preserve">, p. </w:t>
      </w:r>
      <w:r>
        <w:t>184.</w:t>
      </w:r>
    </w:p>
  </w:footnote>
  <w:footnote w:id="29">
    <w:p w14:paraId="3BBB523A" w14:textId="7E8C03A4" w:rsidR="00F143CF" w:rsidRDefault="00F143CF">
      <w:pPr>
        <w:pStyle w:val="FootnoteText"/>
      </w:pPr>
      <w:r>
        <w:rPr>
          <w:rStyle w:val="FootnoteReference"/>
        </w:rPr>
        <w:footnoteRef/>
      </w:r>
      <w:r>
        <w:t xml:space="preserve"> Ibid. i85</w:t>
      </w:r>
    </w:p>
  </w:footnote>
  <w:footnote w:id="30">
    <w:p w14:paraId="7B55C93D" w14:textId="4C0732FC" w:rsidR="00F143CF" w:rsidRDefault="00F143CF">
      <w:pPr>
        <w:pStyle w:val="FootnoteText"/>
      </w:pPr>
      <w:r>
        <w:rPr>
          <w:rStyle w:val="FootnoteReference"/>
        </w:rPr>
        <w:footnoteRef/>
      </w:r>
      <w:r>
        <w:t xml:space="preserve"> Ibid.</w:t>
      </w:r>
    </w:p>
  </w:footnote>
  <w:footnote w:id="31">
    <w:p w14:paraId="6BF2395E" w14:textId="519090B2" w:rsidR="00F143CF" w:rsidRDefault="00F143CF">
      <w:pPr>
        <w:pStyle w:val="FootnoteText"/>
      </w:pPr>
      <w:r>
        <w:rPr>
          <w:rStyle w:val="FootnoteReference"/>
        </w:rPr>
        <w:footnoteRef/>
      </w:r>
      <w:r>
        <w:t xml:space="preserve"> </w:t>
      </w:r>
      <w:r>
        <w:t>Drell</w:t>
      </w:r>
      <w:r w:rsidRPr="00F143CF">
        <w:t>, ‘Cultural Syncretism and Ethnic Identity</w:t>
      </w:r>
      <w:r>
        <w:t>’, p. 189.</w:t>
      </w:r>
    </w:p>
  </w:footnote>
  <w:footnote w:id="32">
    <w:p w14:paraId="493EB44B" w14:textId="76491657" w:rsidR="00F143CF" w:rsidRDefault="00F143CF">
      <w:pPr>
        <w:pStyle w:val="FootnoteText"/>
      </w:pPr>
      <w:r>
        <w:rPr>
          <w:rStyle w:val="FootnoteReference"/>
        </w:rPr>
        <w:footnoteRef/>
      </w:r>
      <w:r>
        <w:t xml:space="preserve"> Ibid. p. 199.</w:t>
      </w:r>
    </w:p>
  </w:footnote>
  <w:footnote w:id="33">
    <w:p w14:paraId="42FB9A34" w14:textId="474800BB" w:rsidR="00F143CF" w:rsidRDefault="00F143CF">
      <w:pPr>
        <w:pStyle w:val="FootnoteText"/>
      </w:pPr>
      <w:r>
        <w:rPr>
          <w:rStyle w:val="FootnoteReference"/>
        </w:rPr>
        <w:footnoteRef/>
      </w:r>
      <w:r>
        <w:t xml:space="preserve"> Ibid. p. 200.</w:t>
      </w:r>
    </w:p>
  </w:footnote>
  <w:footnote w:id="34">
    <w:p w14:paraId="22D1BD9A" w14:textId="6DA7C90D" w:rsidR="00F143CF" w:rsidRDefault="00F143CF">
      <w:pPr>
        <w:pStyle w:val="FootnoteText"/>
      </w:pPr>
      <w:r>
        <w:rPr>
          <w:rStyle w:val="FootnoteReference"/>
        </w:rPr>
        <w:footnoteRef/>
      </w:r>
      <w:r>
        <w:t xml:space="preserve"> Ibid.</w:t>
      </w:r>
    </w:p>
  </w:footnote>
  <w:footnote w:id="35">
    <w:p w14:paraId="00F8AE9F" w14:textId="0771B6C0" w:rsidR="00F143CF" w:rsidRDefault="00F143CF">
      <w:pPr>
        <w:pStyle w:val="FootnoteText"/>
      </w:pPr>
      <w:r>
        <w:rPr>
          <w:rStyle w:val="FootnoteReference"/>
        </w:rPr>
        <w:footnoteRef/>
      </w:r>
      <w:r>
        <w:t xml:space="preserve"> Ibid.</w:t>
      </w:r>
    </w:p>
  </w:footnote>
  <w:footnote w:id="36">
    <w:p w14:paraId="21E2A86C" w14:textId="09ABF48C" w:rsidR="00F143CF" w:rsidRDefault="00F143CF">
      <w:pPr>
        <w:pStyle w:val="FootnoteText"/>
      </w:pPr>
      <w:r>
        <w:rPr>
          <w:rStyle w:val="FootnoteReference"/>
        </w:rPr>
        <w:footnoteRef/>
      </w:r>
      <w:r>
        <w:t xml:space="preserve"> </w:t>
      </w:r>
      <w:r w:rsidRPr="00F143CF">
        <w:t xml:space="preserve">Hicks, A Short History of the Normans, p. </w:t>
      </w:r>
      <w:r>
        <w:t>177.</w:t>
      </w:r>
    </w:p>
  </w:footnote>
  <w:footnote w:id="37">
    <w:p w14:paraId="7D79C34A" w14:textId="2CE9EDC8" w:rsidR="00F143CF" w:rsidRDefault="00F143CF">
      <w:pPr>
        <w:pStyle w:val="FootnoteText"/>
      </w:pPr>
      <w:r>
        <w:rPr>
          <w:rStyle w:val="FootnoteReference"/>
        </w:rPr>
        <w:footnoteRef/>
      </w:r>
      <w:r>
        <w:t xml:space="preserve"> </w:t>
      </w:r>
      <w:r>
        <w:t xml:space="preserve">Thomas, </w:t>
      </w:r>
      <w:r>
        <w:rPr>
          <w:i/>
          <w:iCs/>
        </w:rPr>
        <w:t xml:space="preserve">The English and the </w:t>
      </w:r>
      <w:r w:rsidRPr="00F143CF">
        <w:t>Normans</w:t>
      </w:r>
      <w:r>
        <w:t>, p. 43.</w:t>
      </w:r>
    </w:p>
  </w:footnote>
  <w:footnote w:id="38">
    <w:p w14:paraId="69CE8A3A" w14:textId="4D268013" w:rsidR="00F143CF" w:rsidRDefault="00F143CF">
      <w:pPr>
        <w:pStyle w:val="FootnoteText"/>
      </w:pPr>
      <w:r>
        <w:rPr>
          <w:rStyle w:val="FootnoteReference"/>
        </w:rPr>
        <w:footnoteRef/>
      </w:r>
      <w:r>
        <w:t xml:space="preserve"> </w:t>
      </w:r>
      <w:r w:rsidRPr="00F143CF">
        <w:t>Davis, The Normans and their Myth, p. 5</w:t>
      </w:r>
      <w:r>
        <w:t>6.</w:t>
      </w:r>
    </w:p>
  </w:footnote>
  <w:footnote w:id="39">
    <w:p w14:paraId="4991B34B" w14:textId="39DBE96E" w:rsidR="00F143CF" w:rsidRDefault="00F143CF">
      <w:pPr>
        <w:pStyle w:val="FootnoteText"/>
      </w:pPr>
      <w:r>
        <w:rPr>
          <w:rStyle w:val="FootnoteReference"/>
        </w:rPr>
        <w:footnoteRef/>
      </w:r>
      <w:r>
        <w:t xml:space="preserve"> Ibid.</w:t>
      </w:r>
    </w:p>
  </w:footnote>
  <w:footnote w:id="40">
    <w:p w14:paraId="5986F015" w14:textId="68B28E31" w:rsidR="00F143CF" w:rsidRDefault="00F143CF">
      <w:pPr>
        <w:pStyle w:val="FootnoteText"/>
      </w:pPr>
      <w:r>
        <w:rPr>
          <w:rStyle w:val="FootnoteReference"/>
        </w:rPr>
        <w:footnoteRef/>
      </w:r>
      <w:r>
        <w:t xml:space="preserve"> Ibid.</w:t>
      </w:r>
    </w:p>
  </w:footnote>
  <w:footnote w:id="41">
    <w:p w14:paraId="5A04DAF5" w14:textId="01FA9C94" w:rsidR="00F143CF" w:rsidRDefault="00F143CF">
      <w:pPr>
        <w:pStyle w:val="FootnoteText"/>
      </w:pPr>
      <w:r>
        <w:rPr>
          <w:rStyle w:val="FootnoteReference"/>
        </w:rPr>
        <w:footnoteRef/>
      </w:r>
      <w:r>
        <w:t xml:space="preserve"> Thomas, </w:t>
      </w:r>
      <w:r>
        <w:rPr>
          <w:i/>
          <w:iCs/>
        </w:rPr>
        <w:t xml:space="preserve">The English and the </w:t>
      </w:r>
      <w:r w:rsidRPr="00F143CF">
        <w:t>Normans</w:t>
      </w:r>
      <w:r>
        <w:t xml:space="preserve">, p. </w:t>
      </w:r>
      <w:r>
        <w:t>36</w:t>
      </w:r>
      <w:r>
        <w:t>.</w:t>
      </w:r>
    </w:p>
  </w:footnote>
  <w:footnote w:id="42">
    <w:p w14:paraId="2ACC0FCD" w14:textId="2F469EF5" w:rsidR="00F143CF" w:rsidRDefault="00F143CF">
      <w:pPr>
        <w:pStyle w:val="FootnoteText"/>
      </w:pPr>
      <w:r>
        <w:rPr>
          <w:rStyle w:val="FootnoteReference"/>
        </w:rPr>
        <w:footnoteRef/>
      </w:r>
      <w:r>
        <w:t xml:space="preserve"> Ibid. 38.</w:t>
      </w:r>
    </w:p>
  </w:footnote>
  <w:footnote w:id="43">
    <w:p w14:paraId="56F32D06" w14:textId="37A8B8BB" w:rsidR="00F143CF" w:rsidRDefault="00F143CF">
      <w:pPr>
        <w:pStyle w:val="FootnoteText"/>
      </w:pPr>
      <w:r>
        <w:rPr>
          <w:rStyle w:val="FootnoteReference"/>
        </w:rPr>
        <w:footnoteRef/>
      </w:r>
      <w:r>
        <w:t xml:space="preserve"> Ibid. p. 40.</w:t>
      </w:r>
    </w:p>
  </w:footnote>
  <w:footnote w:id="44">
    <w:p w14:paraId="7CB74FC8" w14:textId="39D64F50" w:rsidR="00F143CF" w:rsidRPr="00F143CF" w:rsidRDefault="00F143CF">
      <w:pPr>
        <w:pStyle w:val="FootnoteText"/>
      </w:pPr>
      <w:r>
        <w:rPr>
          <w:rStyle w:val="FootnoteReference"/>
        </w:rPr>
        <w:footnoteRef/>
      </w:r>
      <w:r>
        <w:t xml:space="preserve"> Hicks, </w:t>
      </w:r>
      <w:r>
        <w:rPr>
          <w:i/>
          <w:iCs/>
        </w:rPr>
        <w:t>A Short History of the Normans</w:t>
      </w:r>
      <w:r>
        <w:t>, p. 186.</w:t>
      </w:r>
    </w:p>
  </w:footnote>
  <w:footnote w:id="45">
    <w:p w14:paraId="56FC13A8" w14:textId="7E3EBFC7" w:rsidR="00F143CF" w:rsidRDefault="00F143CF">
      <w:pPr>
        <w:pStyle w:val="FootnoteText"/>
      </w:pPr>
      <w:r>
        <w:rPr>
          <w:rStyle w:val="FootnoteReference"/>
        </w:rPr>
        <w:footnoteRef/>
      </w:r>
      <w:r>
        <w:t xml:space="preserve"> </w:t>
      </w:r>
      <w:proofErr w:type="spellStart"/>
      <w:r>
        <w:t>Albu</w:t>
      </w:r>
      <w:proofErr w:type="spellEnd"/>
      <w:r>
        <w:t xml:space="preserve">, </w:t>
      </w:r>
      <w:r w:rsidRPr="00F143CF">
        <w:rPr>
          <w:i/>
          <w:iCs/>
        </w:rPr>
        <w:t>The Normans in Their Histories</w:t>
      </w:r>
      <w:r>
        <w:rPr>
          <w:i/>
          <w:iCs/>
        </w:rPr>
        <w:t xml:space="preserve">, </w:t>
      </w:r>
      <w:r>
        <w:t>p.</w:t>
      </w:r>
      <w:r>
        <w:t xml:space="preserve"> 239. </w:t>
      </w:r>
    </w:p>
  </w:footnote>
  <w:footnote w:id="46">
    <w:p w14:paraId="31140AC2" w14:textId="21A97DF5" w:rsidR="00F143CF" w:rsidRPr="00F143CF" w:rsidRDefault="00F143CF">
      <w:pPr>
        <w:pStyle w:val="FootnoteText"/>
      </w:pPr>
      <w:r>
        <w:rPr>
          <w:rStyle w:val="FootnoteReference"/>
        </w:rPr>
        <w:footnoteRef/>
      </w:r>
      <w:r>
        <w:t xml:space="preserve"> Haskins, </w:t>
      </w:r>
      <w:r>
        <w:rPr>
          <w:i/>
          <w:iCs/>
        </w:rPr>
        <w:t>The Normans in European History</w:t>
      </w:r>
      <w:r>
        <w:t>, p. 247.</w:t>
      </w:r>
    </w:p>
  </w:footnote>
  <w:footnote w:id="47">
    <w:p w14:paraId="1BF817E8" w14:textId="28911C24" w:rsidR="00F143CF" w:rsidRDefault="00F143CF">
      <w:pPr>
        <w:pStyle w:val="FootnoteText"/>
      </w:pPr>
      <w:r>
        <w:rPr>
          <w:rStyle w:val="FootnoteReference"/>
        </w:rPr>
        <w:footnoteRef/>
      </w:r>
      <w:r>
        <w:t xml:space="preserve"> </w:t>
      </w:r>
      <w:r>
        <w:t xml:space="preserve">Reilly, </w:t>
      </w:r>
      <w:r>
        <w:rPr>
          <w:i/>
          <w:iCs/>
        </w:rPr>
        <w:t>The Invention of Norman Visual Culture</w:t>
      </w:r>
      <w:r>
        <w:rPr>
          <w:i/>
          <w:iCs/>
        </w:rPr>
        <w:t>, p. 1.</w:t>
      </w:r>
    </w:p>
  </w:footnote>
  <w:footnote w:id="48">
    <w:p w14:paraId="72144795" w14:textId="5F7BF190" w:rsidR="00F143CF" w:rsidRDefault="00F143CF">
      <w:pPr>
        <w:pStyle w:val="FootnoteText"/>
      </w:pPr>
      <w:r>
        <w:rPr>
          <w:rStyle w:val="FootnoteReference"/>
        </w:rPr>
        <w:footnoteRef/>
      </w:r>
      <w:r>
        <w:t xml:space="preserve"> Ibid. p. 4-5.</w:t>
      </w:r>
    </w:p>
  </w:footnote>
  <w:footnote w:id="49">
    <w:p w14:paraId="3C74E0A2" w14:textId="3541D977" w:rsidR="00F143CF" w:rsidRDefault="00F143CF">
      <w:pPr>
        <w:pStyle w:val="FootnoteText"/>
      </w:pPr>
      <w:r>
        <w:rPr>
          <w:rStyle w:val="FootnoteReference"/>
        </w:rPr>
        <w:footnoteRef/>
      </w:r>
      <w:r>
        <w:t xml:space="preserve"> Ibid. p. 1.</w:t>
      </w:r>
    </w:p>
  </w:footnote>
  <w:footnote w:id="50">
    <w:p w14:paraId="2DE3DB53" w14:textId="0CADCAD8" w:rsidR="00F143CF" w:rsidRDefault="00F143CF">
      <w:pPr>
        <w:pStyle w:val="FootnoteText"/>
      </w:pPr>
      <w:r>
        <w:rPr>
          <w:rStyle w:val="FootnoteReference"/>
        </w:rPr>
        <w:footnoteRef/>
      </w:r>
      <w:r>
        <w:t xml:space="preserve"> </w:t>
      </w:r>
      <w:r>
        <w:t xml:space="preserve">Thomas, </w:t>
      </w:r>
      <w:r>
        <w:rPr>
          <w:i/>
          <w:iCs/>
        </w:rPr>
        <w:t xml:space="preserve">The English and the </w:t>
      </w:r>
      <w:r w:rsidRPr="00F143CF">
        <w:t>Normans</w:t>
      </w:r>
      <w:r>
        <w:t>, p.</w:t>
      </w:r>
      <w:r>
        <w:t xml:space="preserve"> 42.</w:t>
      </w:r>
    </w:p>
  </w:footnote>
  <w:footnote w:id="51">
    <w:p w14:paraId="0F74D95A" w14:textId="0F2B3737" w:rsidR="00F143CF" w:rsidRDefault="00F143CF">
      <w:pPr>
        <w:pStyle w:val="FootnoteText"/>
      </w:pPr>
      <w:r>
        <w:rPr>
          <w:rStyle w:val="FootnoteReference"/>
        </w:rPr>
        <w:footnoteRef/>
      </w:r>
      <w:r>
        <w:t xml:space="preserve"> Ibid.</w:t>
      </w:r>
    </w:p>
  </w:footnote>
  <w:footnote w:id="52">
    <w:p w14:paraId="3A857067" w14:textId="477FCD0D" w:rsidR="00F143CF" w:rsidRDefault="00F143CF">
      <w:pPr>
        <w:pStyle w:val="FootnoteText"/>
      </w:pPr>
      <w:r>
        <w:rPr>
          <w:rStyle w:val="FootnoteReference"/>
        </w:rPr>
        <w:footnoteRef/>
      </w:r>
      <w:r>
        <w:t xml:space="preserve"> Ibid. 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2"/>
    <w:multiLevelType w:val="singleLevel"/>
    <w:tmpl w:val="00000002"/>
    <w:name w:val="WW8Num2"/>
    <w:lvl w:ilvl="0">
      <w:start w:val="1"/>
      <w:numFmt w:val="decimal"/>
      <w:lvlText w:val="%1."/>
      <w:lvlJc w:val="left"/>
      <w:pPr>
        <w:tabs>
          <w:tab w:val="num" w:pos="0"/>
        </w:tabs>
        <w:ind w:left="720" w:hanging="360"/>
      </w:pPr>
    </w:lvl>
  </w:abstractNum>
  <w:abstractNum w:abstractNumId="1" w15:restartNumberingAfterBreak="0">
    <w:nsid w:val="170C519E"/>
    <w:multiLevelType w:val="hybridMultilevel"/>
    <w:tmpl w:val="C3CE4040"/>
    <w:lvl w:ilvl="0" w:tplc="1B84DDA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23B1A"/>
    <w:multiLevelType w:val="hybridMultilevel"/>
    <w:tmpl w:val="1A4E6E28"/>
    <w:lvl w:ilvl="0" w:tplc="63A422BE">
      <w:start w:val="4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089232">
    <w:abstractNumId w:val="0"/>
  </w:num>
  <w:num w:numId="2" w16cid:durableId="911352233">
    <w:abstractNumId w:val="1"/>
  </w:num>
  <w:num w:numId="3" w16cid:durableId="564534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CF"/>
    <w:rsid w:val="00393833"/>
    <w:rsid w:val="003E7FA8"/>
    <w:rsid w:val="00C14817"/>
    <w:rsid w:val="00E44F4A"/>
    <w:rsid w:val="00F14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32339A"/>
  <w15:chartTrackingRefBased/>
  <w15:docId w15:val="{EF5239C3-A894-514B-8772-3EF15458E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CF"/>
    <w:rPr>
      <w:rFonts w:eastAsiaTheme="majorEastAsia" w:cstheme="majorBidi"/>
      <w:color w:val="272727" w:themeColor="text1" w:themeTint="D8"/>
    </w:rPr>
  </w:style>
  <w:style w:type="paragraph" w:styleId="Title">
    <w:name w:val="Title"/>
    <w:basedOn w:val="Normal"/>
    <w:next w:val="Normal"/>
    <w:link w:val="TitleChar"/>
    <w:uiPriority w:val="10"/>
    <w:qFormat/>
    <w:rsid w:val="00F143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43CF"/>
    <w:rPr>
      <w:i/>
      <w:iCs/>
      <w:color w:val="404040" w:themeColor="text1" w:themeTint="BF"/>
    </w:rPr>
  </w:style>
  <w:style w:type="paragraph" w:styleId="ListParagraph">
    <w:name w:val="List Paragraph"/>
    <w:basedOn w:val="Normal"/>
    <w:uiPriority w:val="34"/>
    <w:qFormat/>
    <w:rsid w:val="00F143CF"/>
    <w:pPr>
      <w:ind w:left="720"/>
      <w:contextualSpacing/>
    </w:pPr>
  </w:style>
  <w:style w:type="character" w:styleId="IntenseEmphasis">
    <w:name w:val="Intense Emphasis"/>
    <w:basedOn w:val="DefaultParagraphFont"/>
    <w:uiPriority w:val="21"/>
    <w:qFormat/>
    <w:rsid w:val="00F143CF"/>
    <w:rPr>
      <w:i/>
      <w:iCs/>
      <w:color w:val="0F4761" w:themeColor="accent1" w:themeShade="BF"/>
    </w:rPr>
  </w:style>
  <w:style w:type="paragraph" w:styleId="IntenseQuote">
    <w:name w:val="Intense Quote"/>
    <w:basedOn w:val="Normal"/>
    <w:next w:val="Normal"/>
    <w:link w:val="IntenseQuoteChar"/>
    <w:uiPriority w:val="30"/>
    <w:qFormat/>
    <w:rsid w:val="00F14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CF"/>
    <w:rPr>
      <w:i/>
      <w:iCs/>
      <w:color w:val="0F4761" w:themeColor="accent1" w:themeShade="BF"/>
    </w:rPr>
  </w:style>
  <w:style w:type="character" w:styleId="IntenseReference">
    <w:name w:val="Intense Reference"/>
    <w:basedOn w:val="DefaultParagraphFont"/>
    <w:uiPriority w:val="32"/>
    <w:qFormat/>
    <w:rsid w:val="00F143CF"/>
    <w:rPr>
      <w:b/>
      <w:bCs/>
      <w:smallCaps/>
      <w:color w:val="0F4761" w:themeColor="accent1" w:themeShade="BF"/>
      <w:spacing w:val="5"/>
    </w:rPr>
  </w:style>
  <w:style w:type="paragraph" w:styleId="BodyText">
    <w:name w:val="Body Text"/>
    <w:basedOn w:val="Normal"/>
    <w:link w:val="BodyTextChar"/>
    <w:rsid w:val="00F143CF"/>
    <w:pPr>
      <w:suppressAutoHyphens/>
      <w:spacing w:line="276" w:lineRule="auto"/>
      <w:jc w:val="both"/>
    </w:pPr>
    <w:rPr>
      <w:rFonts w:ascii="Calibri" w:eastAsia="Times New Roman" w:hAnsi="Calibri" w:cs="Calibri"/>
      <w:kern w:val="0"/>
      <w:sz w:val="22"/>
      <w:lang w:eastAsia="zh-CN"/>
      <w14:ligatures w14:val="none"/>
    </w:rPr>
  </w:style>
  <w:style w:type="character" w:customStyle="1" w:styleId="BodyTextChar">
    <w:name w:val="Body Text Char"/>
    <w:basedOn w:val="DefaultParagraphFont"/>
    <w:link w:val="BodyText"/>
    <w:rsid w:val="00F143CF"/>
    <w:rPr>
      <w:rFonts w:ascii="Calibri" w:eastAsia="Times New Roman" w:hAnsi="Calibri" w:cs="Calibri"/>
      <w:kern w:val="0"/>
      <w:sz w:val="22"/>
      <w:lang w:eastAsia="zh-CN"/>
      <w14:ligatures w14:val="none"/>
    </w:rPr>
  </w:style>
  <w:style w:type="paragraph" w:styleId="FootnoteText">
    <w:name w:val="footnote text"/>
    <w:basedOn w:val="Normal"/>
    <w:link w:val="FootnoteTextChar"/>
    <w:uiPriority w:val="99"/>
    <w:semiHidden/>
    <w:unhideWhenUsed/>
    <w:rsid w:val="00F143CF"/>
    <w:rPr>
      <w:sz w:val="20"/>
      <w:szCs w:val="20"/>
    </w:rPr>
  </w:style>
  <w:style w:type="character" w:customStyle="1" w:styleId="FootnoteTextChar">
    <w:name w:val="Footnote Text Char"/>
    <w:basedOn w:val="DefaultParagraphFont"/>
    <w:link w:val="FootnoteText"/>
    <w:uiPriority w:val="99"/>
    <w:semiHidden/>
    <w:rsid w:val="00F143CF"/>
    <w:rPr>
      <w:sz w:val="20"/>
      <w:szCs w:val="20"/>
    </w:rPr>
  </w:style>
  <w:style w:type="character" w:styleId="FootnoteReference">
    <w:name w:val="footnote reference"/>
    <w:basedOn w:val="DefaultParagraphFont"/>
    <w:uiPriority w:val="99"/>
    <w:semiHidden/>
    <w:unhideWhenUsed/>
    <w:rsid w:val="00F143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0322371">
      <w:bodyDiv w:val="1"/>
      <w:marLeft w:val="0"/>
      <w:marRight w:val="0"/>
      <w:marTop w:val="0"/>
      <w:marBottom w:val="0"/>
      <w:divBdr>
        <w:top w:val="none" w:sz="0" w:space="0" w:color="auto"/>
        <w:left w:val="none" w:sz="0" w:space="0" w:color="auto"/>
        <w:bottom w:val="none" w:sz="0" w:space="0" w:color="auto"/>
        <w:right w:val="none" w:sz="0" w:space="0" w:color="auto"/>
      </w:divBdr>
      <w:divsChild>
        <w:div w:id="1739282712">
          <w:marLeft w:val="0"/>
          <w:marRight w:val="0"/>
          <w:marTop w:val="0"/>
          <w:marBottom w:val="0"/>
          <w:divBdr>
            <w:top w:val="none" w:sz="0" w:space="0" w:color="auto"/>
            <w:left w:val="none" w:sz="0" w:space="0" w:color="auto"/>
            <w:bottom w:val="none" w:sz="0" w:space="0" w:color="auto"/>
            <w:right w:val="none" w:sz="0" w:space="0" w:color="auto"/>
          </w:divBdr>
          <w:divsChild>
            <w:div w:id="1773621446">
              <w:marLeft w:val="0"/>
              <w:marRight w:val="0"/>
              <w:marTop w:val="0"/>
              <w:marBottom w:val="0"/>
              <w:divBdr>
                <w:top w:val="none" w:sz="0" w:space="0" w:color="auto"/>
                <w:left w:val="none" w:sz="0" w:space="0" w:color="auto"/>
                <w:bottom w:val="none" w:sz="0" w:space="0" w:color="auto"/>
                <w:right w:val="none" w:sz="0" w:space="0" w:color="auto"/>
              </w:divBdr>
              <w:divsChild>
                <w:div w:id="39886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9F94D-4035-AD41-B5BD-DCB9A0516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1360</TotalTime>
  <Pages>7</Pages>
  <Words>2636</Words>
  <Characters>13597</Characters>
  <Application>Microsoft Office Word</Application>
  <DocSecurity>0</DocSecurity>
  <Lines>206</Lines>
  <Paragraphs>12</Paragraphs>
  <ScaleCrop>false</ScaleCrop>
  <Company/>
  <LinksUpToDate>false</LinksUpToDate>
  <CharactersWithSpaces>16221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cp:revision>
  <dcterms:created xsi:type="dcterms:W3CDTF">2025-03-15T21:18:00Z</dcterms:created>
  <dcterms:modified xsi:type="dcterms:W3CDTF">2025-03-16T23:14:00Z</dcterms:modified>
</cp:coreProperties>
</file>