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F126C2" w:rsidP="00F126C2" w:rsidRDefault="00F126C2" w14:paraId="6208A2A4" w14:textId="77777777">
      <w:pPr>
        <w:spacing w:after="600"/>
      </w:pPr>
    </w:p>
    <w:p w:rsidR="00F126C2" w:rsidP="00F126C2" w:rsidRDefault="00F126C2" w14:paraId="00544D1E" w14:textId="77777777">
      <w:pPr>
        <w:spacing w:after="100"/>
        <w:jc w:val="center"/>
      </w:pPr>
      <w:r>
        <w:rPr>
          <w:b/>
          <w:bCs/>
          <w:color w:val="808080"/>
          <w:sz w:val="22"/>
          <w:szCs w:val="22"/>
        </w:rPr>
        <w:t>LEVEL 6 BUSINESS RESEARCH PROPOSAL</w:t>
      </w:r>
    </w:p>
    <w:p w:rsidR="00F126C2" w:rsidP="00F126C2" w:rsidRDefault="00F126C2" w14:paraId="3D1F1BB7" w14:textId="77777777">
      <w:pPr>
        <w:spacing w:before="300" w:after="300"/>
        <w:jc w:val="center"/>
      </w:pPr>
      <w:r w:rsidRPr="76D39449" w:rsidR="00F126C2">
        <w:rPr>
          <w:b w:val="1"/>
          <w:bCs w:val="1"/>
          <w:sz w:val="36"/>
          <w:szCs w:val="36"/>
          <w:lang w:val="en-US"/>
        </w:rPr>
        <w:t>Navigating EU and Flemish Regulatory Convergence: A Business Research Proposal on Emissions Reduction Strategy for a Belgian Textile Manufacturer (‘TexCo’)</w:t>
      </w:r>
    </w:p>
    <w:p w:rsidR="00F126C2" w:rsidP="00F126C2" w:rsidRDefault="00F126C2" w14:paraId="6D770E93" w14:textId="77777777">
      <w:pPr>
        <w:spacing w:after="600"/>
        <w:jc w:val="center"/>
      </w:pPr>
      <w:r w:rsidRPr="76D39449" w:rsidR="00F126C2">
        <w:rPr>
          <w:i w:val="1"/>
          <w:iCs w:val="1"/>
          <w:sz w:val="26"/>
          <w:szCs w:val="26"/>
          <w:lang w:val="en-US"/>
        </w:rPr>
        <w:t>Component 1: Business Research Proposal</w:t>
      </w:r>
    </w:p>
    <w:p w:rsidR="00F126C2" w:rsidP="00F126C2" w:rsidRDefault="00F126C2" w14:paraId="0B77167D" w14:textId="77777777">
      <w:pPr>
        <w:spacing w:after="400"/>
      </w:pPr>
    </w:p>
    <w:tbl>
      <w:tblPr>
        <w:tblW w:w="9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00"/>
      </w:tblGrid>
      <w:tr w:rsidR="00F126C2" w:rsidTr="76D39449" w14:paraId="10112485"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72A68143" w14:textId="77777777">
            <w:r>
              <w:rPr>
                <w:b/>
                <w:bCs/>
                <w:sz w:val="22"/>
                <w:szCs w:val="22"/>
              </w:rPr>
              <w:t>Student Name:</w:t>
            </w:r>
          </w:p>
        </w:tc>
        <w:tc>
          <w:tcPr>
            <w:tcW w:w="6400" w:type="dxa"/>
            <w:tcMar>
              <w:top w:w="100" w:type="dxa"/>
              <w:left w:w="120" w:type="dxa"/>
              <w:bottom w:w="100" w:type="dxa"/>
              <w:right w:w="120" w:type="dxa"/>
            </w:tcMar>
          </w:tcPr>
          <w:p w:rsidR="00F126C2" w:rsidP="00DD6F0B" w:rsidRDefault="00F126C2" w14:paraId="78B9EEF5" w14:textId="3AA84A1F">
            <w:r w:rsidRPr="76D39449" w:rsidR="1FB38578">
              <w:rPr>
                <w:sz w:val="22"/>
                <w:szCs w:val="22"/>
                <w:lang w:val="pt-PT"/>
              </w:rPr>
              <w:t>Taim Constantino Ca</w:t>
            </w:r>
          </w:p>
        </w:tc>
      </w:tr>
      <w:tr w:rsidR="00F126C2" w:rsidTr="76D39449" w14:paraId="40359828"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7CB2AB00" w14:textId="77777777">
            <w:r>
              <w:rPr>
                <w:b/>
                <w:bCs/>
                <w:sz w:val="22"/>
                <w:szCs w:val="22"/>
              </w:rPr>
              <w:t>Student ID Number:</w:t>
            </w:r>
          </w:p>
        </w:tc>
        <w:tc>
          <w:tcPr>
            <w:tcW w:w="6400" w:type="dxa"/>
            <w:tcMar>
              <w:top w:w="100" w:type="dxa"/>
              <w:left w:w="120" w:type="dxa"/>
              <w:bottom w:w="100" w:type="dxa"/>
              <w:right w:w="120" w:type="dxa"/>
            </w:tcMar>
          </w:tcPr>
          <w:p w:rsidR="00F126C2" w:rsidP="00DD6F0B" w:rsidRDefault="00F126C2" w14:paraId="6D57110A" w14:textId="6271D823">
            <w:r w:rsidRPr="76D39449" w:rsidR="0D6B2B61">
              <w:rPr>
                <w:sz w:val="22"/>
                <w:szCs w:val="22"/>
              </w:rPr>
              <w:t>2133329</w:t>
            </w:r>
          </w:p>
        </w:tc>
      </w:tr>
      <w:tr w:rsidR="00F126C2" w:rsidTr="76D39449" w14:paraId="62A2BDB5"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631B032E" w14:textId="77777777">
            <w:r w:rsidRPr="76D39449" w:rsidR="00F126C2">
              <w:rPr>
                <w:b w:val="1"/>
                <w:bCs w:val="1"/>
                <w:sz w:val="22"/>
                <w:szCs w:val="22"/>
                <w:lang w:val="en-US"/>
              </w:rPr>
              <w:t>Programme:</w:t>
            </w:r>
          </w:p>
        </w:tc>
        <w:tc>
          <w:tcPr>
            <w:tcW w:w="6400" w:type="dxa"/>
            <w:tcMar>
              <w:top w:w="100" w:type="dxa"/>
              <w:left w:w="120" w:type="dxa"/>
              <w:bottom w:w="100" w:type="dxa"/>
              <w:right w:w="120" w:type="dxa"/>
            </w:tcMar>
          </w:tcPr>
          <w:p w:rsidR="00F126C2" w:rsidP="00DD6F0B" w:rsidRDefault="00F126C2" w14:paraId="1E55F4F3" w14:textId="77777777">
            <w:r>
              <w:rPr>
                <w:sz w:val="22"/>
                <w:szCs w:val="22"/>
              </w:rPr>
              <w:t>BA (Hons) Leadership and Management Skills for the Workplace</w:t>
            </w:r>
          </w:p>
        </w:tc>
      </w:tr>
      <w:tr w:rsidR="00F126C2" w:rsidTr="76D39449" w14:paraId="76B3E16B"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1854A1C5" w14:textId="77777777">
            <w:r>
              <w:rPr>
                <w:b/>
                <w:bCs/>
                <w:sz w:val="22"/>
                <w:szCs w:val="22"/>
              </w:rPr>
              <w:t>Module:</w:t>
            </w:r>
          </w:p>
        </w:tc>
        <w:tc>
          <w:tcPr>
            <w:tcW w:w="6400" w:type="dxa"/>
            <w:tcMar>
              <w:top w:w="100" w:type="dxa"/>
              <w:left w:w="120" w:type="dxa"/>
              <w:bottom w:w="100" w:type="dxa"/>
              <w:right w:w="120" w:type="dxa"/>
            </w:tcMar>
          </w:tcPr>
          <w:p w:rsidR="00F126C2" w:rsidP="00DD6F0B" w:rsidRDefault="00F126C2" w14:paraId="01CED451" w14:textId="77777777">
            <w:r>
              <w:rPr>
                <w:sz w:val="22"/>
                <w:szCs w:val="22"/>
              </w:rPr>
              <w:t>Research Methods for Business (LCLM6004)</w:t>
            </w:r>
          </w:p>
        </w:tc>
      </w:tr>
      <w:tr w:rsidR="00F126C2" w:rsidTr="76D39449" w14:paraId="0D7BB421"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6DDBB657" w14:textId="77777777">
            <w:r>
              <w:rPr>
                <w:b/>
                <w:bCs/>
                <w:sz w:val="22"/>
                <w:szCs w:val="22"/>
              </w:rPr>
              <w:t>Assignment:</w:t>
            </w:r>
          </w:p>
        </w:tc>
        <w:tc>
          <w:tcPr>
            <w:tcW w:w="6400" w:type="dxa"/>
            <w:tcMar>
              <w:top w:w="100" w:type="dxa"/>
              <w:left w:w="120" w:type="dxa"/>
              <w:bottom w:w="100" w:type="dxa"/>
              <w:right w:w="120" w:type="dxa"/>
            </w:tcMar>
          </w:tcPr>
          <w:p w:rsidR="00F126C2" w:rsidP="00DD6F0B" w:rsidRDefault="00F126C2" w14:paraId="20EF0ABD" w14:textId="77777777">
            <w:r w:rsidRPr="76D39449" w:rsidR="00F126C2">
              <w:rPr>
                <w:sz w:val="22"/>
                <w:szCs w:val="22"/>
                <w:lang w:val="en-US"/>
              </w:rPr>
              <w:t>Component 1: Business Research Proposal</w:t>
            </w:r>
          </w:p>
        </w:tc>
      </w:tr>
      <w:tr w:rsidR="00F126C2" w:rsidTr="76D39449" w14:paraId="20ACDC40" w14:textId="77777777">
        <w:tblPrEx>
          <w:tblCellMar>
            <w:top w:w="0" w:type="dxa"/>
            <w:bottom w:w="0" w:type="dxa"/>
          </w:tblCellMar>
        </w:tblPrEx>
        <w:tc>
          <w:tcPr>
            <w:tcW w:w="2600" w:type="dxa"/>
            <w:shd w:val="clear" w:color="auto" w:fill="F2F2F2" w:themeFill="background1" w:themeFillShade="F2"/>
            <w:tcMar>
              <w:top w:w="100" w:type="dxa"/>
              <w:left w:w="120" w:type="dxa"/>
              <w:bottom w:w="100" w:type="dxa"/>
              <w:right w:w="120" w:type="dxa"/>
            </w:tcMar>
          </w:tcPr>
          <w:p w:rsidR="00F126C2" w:rsidP="00DD6F0B" w:rsidRDefault="00F126C2" w14:paraId="6555434F" w14:textId="77777777">
            <w:r>
              <w:rPr>
                <w:b/>
                <w:bCs/>
                <w:sz w:val="22"/>
                <w:szCs w:val="22"/>
              </w:rPr>
              <w:t>Date:</w:t>
            </w:r>
          </w:p>
        </w:tc>
        <w:tc>
          <w:tcPr>
            <w:tcW w:w="6400" w:type="dxa"/>
            <w:tcMar>
              <w:top w:w="100" w:type="dxa"/>
              <w:left w:w="120" w:type="dxa"/>
              <w:bottom w:w="100" w:type="dxa"/>
              <w:right w:w="120" w:type="dxa"/>
            </w:tcMar>
          </w:tcPr>
          <w:p w:rsidR="00F126C2" w:rsidP="00DD6F0B" w:rsidRDefault="00F126C2" w14:paraId="13042284" w14:textId="77777777">
            <w:r>
              <w:rPr>
                <w:sz w:val="22"/>
                <w:szCs w:val="22"/>
              </w:rPr>
              <w:t>July 2026</w:t>
            </w:r>
          </w:p>
        </w:tc>
      </w:tr>
    </w:tbl>
    <w:p w:rsidR="00F126C2" w:rsidP="00F126C2" w:rsidRDefault="00F126C2" w14:paraId="228A42DE" w14:textId="77777777">
      <w:pPr>
        <w:spacing w:before="600"/>
      </w:pPr>
      <w:r>
        <w:br w:type="page"/>
      </w:r>
    </w:p>
    <w:p w:rsidR="00F126C2" w:rsidP="00F126C2" w:rsidRDefault="00F126C2" w14:paraId="2D33FA4B" w14:textId="77777777">
      <w:pPr>
        <w:sectPr w:rsidR="00F126C2" w:rsidSect="00F126C2">
          <w:pgSz w:w="11906" w:h="16838" w:orient="portrait"/>
          <w:pgMar w:top="1440" w:right="1440" w:bottom="1440" w:left="1440" w:header="708" w:footer="708" w:gutter="0"/>
          <w:cols w:space="720"/>
          <w:docGrid w:linePitch="360"/>
        </w:sectPr>
      </w:pPr>
    </w:p>
    <w:sdt>
      <w:sdtPr>
        <w:id w:val="923990808"/>
        <w:docPartObj>
          <w:docPartGallery w:val="Table of Contents"/>
          <w:docPartUnique/>
        </w:docPartObj>
      </w:sdtPr>
      <w:sdtEndPr>
        <w:rPr>
          <w:rFonts w:ascii="Times New Roman" w:hAnsi="Times New Roman" w:eastAsia="Times New Roman" w:cs="Times New Roman"/>
          <w:noProof/>
          <w:color w:val="auto"/>
          <w:sz w:val="24"/>
          <w:szCs w:val="24"/>
          <w:lang w:val="en-US" w:eastAsia="en-GB"/>
        </w:rPr>
      </w:sdtEndPr>
      <w:sdtContent>
        <w:p w:rsidR="009E36AC" w:rsidRDefault="009E36AC" w14:paraId="1AC56247" w14:textId="79EEA190">
          <w:pPr>
            <w:pStyle w:val="TOCHeading"/>
          </w:pPr>
          <w:r>
            <w:t>Table of Contents</w:t>
          </w:r>
        </w:p>
        <w:p w:rsidR="009E36AC" w:rsidRDefault="009E36AC" w14:paraId="218A61E1" w14:textId="7F7220D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history="1" w:anchor="_Toc234278753">
            <w:r w:rsidRPr="001D24AF">
              <w:rPr>
                <w:rStyle w:val="Hyperlink"/>
                <w:rFonts w:ascii="Times New Roman" w:hAnsi="Times New Roman"/>
                <w:noProof/>
              </w:rPr>
              <w:t>1. Introduction and the Business Problem</w:t>
            </w:r>
            <w:r>
              <w:rPr>
                <w:noProof/>
                <w:webHidden/>
              </w:rPr>
              <w:tab/>
            </w:r>
            <w:r>
              <w:rPr>
                <w:noProof/>
                <w:webHidden/>
              </w:rPr>
              <w:fldChar w:fldCharType="begin"/>
            </w:r>
            <w:r>
              <w:rPr>
                <w:noProof/>
                <w:webHidden/>
              </w:rPr>
              <w:instrText xml:space="preserve"> PAGEREF _Toc234278753 \h </w:instrText>
            </w:r>
            <w:r>
              <w:rPr>
                <w:noProof/>
                <w:webHidden/>
              </w:rPr>
            </w:r>
            <w:r>
              <w:rPr>
                <w:noProof/>
                <w:webHidden/>
              </w:rPr>
              <w:fldChar w:fldCharType="separate"/>
            </w:r>
            <w:r w:rsidR="005A5E63">
              <w:rPr>
                <w:noProof/>
                <w:webHidden/>
              </w:rPr>
              <w:t>3</w:t>
            </w:r>
            <w:r>
              <w:rPr>
                <w:noProof/>
                <w:webHidden/>
              </w:rPr>
              <w:fldChar w:fldCharType="end"/>
            </w:r>
          </w:hyperlink>
        </w:p>
        <w:p w:rsidR="009E36AC" w:rsidRDefault="009E36AC" w14:paraId="54D9A9A3" w14:textId="73C93FCD">
          <w:pPr>
            <w:pStyle w:val="TOC1"/>
            <w:tabs>
              <w:tab w:val="right" w:leader="dot" w:pos="9016"/>
            </w:tabs>
            <w:rPr>
              <w:noProof/>
            </w:rPr>
          </w:pPr>
          <w:hyperlink w:history="1" w:anchor="_Toc234278754">
            <w:r w:rsidRPr="001D24AF">
              <w:rPr>
                <w:rStyle w:val="Hyperlink"/>
                <w:rFonts w:ascii="Times New Roman" w:hAnsi="Times New Roman"/>
                <w:noProof/>
              </w:rPr>
              <w:t>2. Research Aim, Objectives and Questions</w:t>
            </w:r>
            <w:r>
              <w:rPr>
                <w:noProof/>
                <w:webHidden/>
              </w:rPr>
              <w:tab/>
            </w:r>
            <w:r>
              <w:rPr>
                <w:noProof/>
                <w:webHidden/>
              </w:rPr>
              <w:fldChar w:fldCharType="begin"/>
            </w:r>
            <w:r>
              <w:rPr>
                <w:noProof/>
                <w:webHidden/>
              </w:rPr>
              <w:instrText xml:space="preserve"> PAGEREF _Toc234278754 \h </w:instrText>
            </w:r>
            <w:r>
              <w:rPr>
                <w:noProof/>
                <w:webHidden/>
              </w:rPr>
            </w:r>
            <w:r>
              <w:rPr>
                <w:noProof/>
                <w:webHidden/>
              </w:rPr>
              <w:fldChar w:fldCharType="separate"/>
            </w:r>
            <w:r w:rsidR="005A5E63">
              <w:rPr>
                <w:noProof/>
                <w:webHidden/>
              </w:rPr>
              <w:t>4</w:t>
            </w:r>
            <w:r>
              <w:rPr>
                <w:noProof/>
                <w:webHidden/>
              </w:rPr>
              <w:fldChar w:fldCharType="end"/>
            </w:r>
          </w:hyperlink>
        </w:p>
        <w:p w:rsidR="009E36AC" w:rsidRDefault="009E36AC" w14:paraId="3D4DB532" w14:textId="7514AB36">
          <w:pPr>
            <w:pStyle w:val="TOC1"/>
            <w:tabs>
              <w:tab w:val="right" w:leader="dot" w:pos="9016"/>
            </w:tabs>
            <w:rPr>
              <w:noProof/>
            </w:rPr>
          </w:pPr>
          <w:hyperlink w:history="1" w:anchor="_Toc234278755">
            <w:r w:rsidRPr="001D24AF">
              <w:rPr>
                <w:rStyle w:val="Hyperlink"/>
                <w:rFonts w:ascii="Times New Roman" w:hAnsi="Times New Roman"/>
                <w:noProof/>
              </w:rPr>
              <w:t>3. Critical Literature Review</w:t>
            </w:r>
            <w:r>
              <w:rPr>
                <w:noProof/>
                <w:webHidden/>
              </w:rPr>
              <w:tab/>
            </w:r>
            <w:r>
              <w:rPr>
                <w:noProof/>
                <w:webHidden/>
              </w:rPr>
              <w:fldChar w:fldCharType="begin"/>
            </w:r>
            <w:r>
              <w:rPr>
                <w:noProof/>
                <w:webHidden/>
              </w:rPr>
              <w:instrText xml:space="preserve"> PAGEREF _Toc234278755 \h </w:instrText>
            </w:r>
            <w:r>
              <w:rPr>
                <w:noProof/>
                <w:webHidden/>
              </w:rPr>
            </w:r>
            <w:r>
              <w:rPr>
                <w:noProof/>
                <w:webHidden/>
              </w:rPr>
              <w:fldChar w:fldCharType="separate"/>
            </w:r>
            <w:r w:rsidR="005A5E63">
              <w:rPr>
                <w:noProof/>
                <w:webHidden/>
              </w:rPr>
              <w:t>5</w:t>
            </w:r>
            <w:r>
              <w:rPr>
                <w:noProof/>
                <w:webHidden/>
              </w:rPr>
              <w:fldChar w:fldCharType="end"/>
            </w:r>
          </w:hyperlink>
        </w:p>
        <w:p w:rsidR="009E36AC" w:rsidRDefault="009E36AC" w14:paraId="692D16FA" w14:textId="53C235C3">
          <w:pPr>
            <w:pStyle w:val="TOC2"/>
            <w:tabs>
              <w:tab w:val="right" w:leader="dot" w:pos="9016"/>
            </w:tabs>
            <w:rPr>
              <w:noProof/>
            </w:rPr>
          </w:pPr>
          <w:hyperlink w:history="1" w:anchor="_Toc234278756">
            <w:r w:rsidRPr="001D24AF">
              <w:rPr>
                <w:rStyle w:val="Hyperlink"/>
                <w:rFonts w:ascii="Times New Roman" w:hAnsi="Times New Roman"/>
                <w:i/>
                <w:iCs/>
                <w:noProof/>
              </w:rPr>
              <w:t>3.1 Regulatory Drivers and Their Scope</w:t>
            </w:r>
            <w:r>
              <w:rPr>
                <w:noProof/>
                <w:webHidden/>
              </w:rPr>
              <w:tab/>
            </w:r>
            <w:r>
              <w:rPr>
                <w:noProof/>
                <w:webHidden/>
              </w:rPr>
              <w:fldChar w:fldCharType="begin"/>
            </w:r>
            <w:r>
              <w:rPr>
                <w:noProof/>
                <w:webHidden/>
              </w:rPr>
              <w:instrText xml:space="preserve"> PAGEREF _Toc234278756 \h </w:instrText>
            </w:r>
            <w:r>
              <w:rPr>
                <w:noProof/>
                <w:webHidden/>
              </w:rPr>
            </w:r>
            <w:r>
              <w:rPr>
                <w:noProof/>
                <w:webHidden/>
              </w:rPr>
              <w:fldChar w:fldCharType="separate"/>
            </w:r>
            <w:r w:rsidR="005A5E63">
              <w:rPr>
                <w:noProof/>
                <w:webHidden/>
              </w:rPr>
              <w:t>5</w:t>
            </w:r>
            <w:r>
              <w:rPr>
                <w:noProof/>
                <w:webHidden/>
              </w:rPr>
              <w:fldChar w:fldCharType="end"/>
            </w:r>
          </w:hyperlink>
        </w:p>
        <w:p w:rsidR="009E36AC" w:rsidRDefault="009E36AC" w14:paraId="01D77088" w14:textId="694799E7">
          <w:pPr>
            <w:pStyle w:val="TOC2"/>
            <w:tabs>
              <w:tab w:val="right" w:leader="dot" w:pos="9016"/>
            </w:tabs>
            <w:rPr>
              <w:noProof/>
            </w:rPr>
          </w:pPr>
          <w:hyperlink w:history="1" w:anchor="_Toc234278757">
            <w:r w:rsidRPr="001D24AF">
              <w:rPr>
                <w:rStyle w:val="Hyperlink"/>
                <w:rFonts w:ascii="Times New Roman" w:hAnsi="Times New Roman"/>
                <w:i/>
                <w:iCs/>
                <w:noProof/>
              </w:rPr>
              <w:t>3.2 Energy Management Adoption Barriers in SMEs</w:t>
            </w:r>
            <w:r>
              <w:rPr>
                <w:noProof/>
                <w:webHidden/>
              </w:rPr>
              <w:tab/>
            </w:r>
            <w:r>
              <w:rPr>
                <w:noProof/>
                <w:webHidden/>
              </w:rPr>
              <w:fldChar w:fldCharType="begin"/>
            </w:r>
            <w:r>
              <w:rPr>
                <w:noProof/>
                <w:webHidden/>
              </w:rPr>
              <w:instrText xml:space="preserve"> PAGEREF _Toc234278757 \h </w:instrText>
            </w:r>
            <w:r>
              <w:rPr>
                <w:noProof/>
                <w:webHidden/>
              </w:rPr>
            </w:r>
            <w:r>
              <w:rPr>
                <w:noProof/>
                <w:webHidden/>
              </w:rPr>
              <w:fldChar w:fldCharType="separate"/>
            </w:r>
            <w:r w:rsidR="005A5E63">
              <w:rPr>
                <w:noProof/>
                <w:webHidden/>
              </w:rPr>
              <w:t>6</w:t>
            </w:r>
            <w:r>
              <w:rPr>
                <w:noProof/>
                <w:webHidden/>
              </w:rPr>
              <w:fldChar w:fldCharType="end"/>
            </w:r>
          </w:hyperlink>
        </w:p>
        <w:p w:rsidR="009E36AC" w:rsidRDefault="009E36AC" w14:paraId="4104C09D" w14:textId="39515A2F">
          <w:pPr>
            <w:pStyle w:val="TOC2"/>
            <w:tabs>
              <w:tab w:val="right" w:leader="dot" w:pos="9016"/>
            </w:tabs>
            <w:rPr>
              <w:noProof/>
            </w:rPr>
          </w:pPr>
          <w:hyperlink w:history="1" w:anchor="_Toc234278758">
            <w:r w:rsidRPr="001D24AF">
              <w:rPr>
                <w:rStyle w:val="Hyperlink"/>
                <w:rFonts w:ascii="Times New Roman" w:hAnsi="Times New Roman"/>
                <w:i/>
                <w:iCs/>
                <w:noProof/>
              </w:rPr>
              <w:t>3.3 Sector Emissions Context</w:t>
            </w:r>
            <w:r>
              <w:rPr>
                <w:noProof/>
                <w:webHidden/>
              </w:rPr>
              <w:tab/>
            </w:r>
            <w:r>
              <w:rPr>
                <w:noProof/>
                <w:webHidden/>
              </w:rPr>
              <w:fldChar w:fldCharType="begin"/>
            </w:r>
            <w:r>
              <w:rPr>
                <w:noProof/>
                <w:webHidden/>
              </w:rPr>
              <w:instrText xml:space="preserve"> PAGEREF _Toc234278758 \h </w:instrText>
            </w:r>
            <w:r>
              <w:rPr>
                <w:noProof/>
                <w:webHidden/>
              </w:rPr>
            </w:r>
            <w:r>
              <w:rPr>
                <w:noProof/>
                <w:webHidden/>
              </w:rPr>
              <w:fldChar w:fldCharType="separate"/>
            </w:r>
            <w:r w:rsidR="005A5E63">
              <w:rPr>
                <w:noProof/>
                <w:webHidden/>
              </w:rPr>
              <w:t>6</w:t>
            </w:r>
            <w:r>
              <w:rPr>
                <w:noProof/>
                <w:webHidden/>
              </w:rPr>
              <w:fldChar w:fldCharType="end"/>
            </w:r>
          </w:hyperlink>
        </w:p>
        <w:p w:rsidR="009E36AC" w:rsidRDefault="009E36AC" w14:paraId="6E5E0B25" w14:textId="1ADB68F6">
          <w:pPr>
            <w:pStyle w:val="TOC2"/>
            <w:tabs>
              <w:tab w:val="right" w:leader="dot" w:pos="9016"/>
            </w:tabs>
            <w:rPr>
              <w:noProof/>
            </w:rPr>
          </w:pPr>
          <w:hyperlink w:history="1" w:anchor="_Toc234278759">
            <w:r w:rsidRPr="001D24AF">
              <w:rPr>
                <w:rStyle w:val="Hyperlink"/>
                <w:rFonts w:ascii="Times New Roman" w:hAnsi="Times New Roman"/>
                <w:i/>
                <w:iCs/>
                <w:noProof/>
              </w:rPr>
              <w:t>3.4 The Research Gap</w:t>
            </w:r>
            <w:r>
              <w:rPr>
                <w:noProof/>
                <w:webHidden/>
              </w:rPr>
              <w:tab/>
            </w:r>
            <w:r>
              <w:rPr>
                <w:noProof/>
                <w:webHidden/>
              </w:rPr>
              <w:fldChar w:fldCharType="begin"/>
            </w:r>
            <w:r>
              <w:rPr>
                <w:noProof/>
                <w:webHidden/>
              </w:rPr>
              <w:instrText xml:space="preserve"> PAGEREF _Toc234278759 \h </w:instrText>
            </w:r>
            <w:r>
              <w:rPr>
                <w:noProof/>
                <w:webHidden/>
              </w:rPr>
            </w:r>
            <w:r>
              <w:rPr>
                <w:noProof/>
                <w:webHidden/>
              </w:rPr>
              <w:fldChar w:fldCharType="separate"/>
            </w:r>
            <w:r w:rsidR="005A5E63">
              <w:rPr>
                <w:noProof/>
                <w:webHidden/>
              </w:rPr>
              <w:t>7</w:t>
            </w:r>
            <w:r>
              <w:rPr>
                <w:noProof/>
                <w:webHidden/>
              </w:rPr>
              <w:fldChar w:fldCharType="end"/>
            </w:r>
          </w:hyperlink>
        </w:p>
        <w:p w:rsidR="009E36AC" w:rsidRDefault="009E36AC" w14:paraId="28DE7F8E" w14:textId="00D1FCB3">
          <w:pPr>
            <w:pStyle w:val="TOC1"/>
            <w:tabs>
              <w:tab w:val="right" w:leader="dot" w:pos="9016"/>
            </w:tabs>
            <w:rPr>
              <w:noProof/>
            </w:rPr>
          </w:pPr>
          <w:hyperlink w:history="1" w:anchor="_Toc234278760">
            <w:r w:rsidRPr="001D24AF">
              <w:rPr>
                <w:rStyle w:val="Hyperlink"/>
                <w:rFonts w:ascii="Times New Roman" w:hAnsi="Times New Roman"/>
                <w:noProof/>
              </w:rPr>
              <w:t>4. Research Methodology and Design</w:t>
            </w:r>
            <w:r>
              <w:rPr>
                <w:noProof/>
                <w:webHidden/>
              </w:rPr>
              <w:tab/>
            </w:r>
            <w:r>
              <w:rPr>
                <w:noProof/>
                <w:webHidden/>
              </w:rPr>
              <w:fldChar w:fldCharType="begin"/>
            </w:r>
            <w:r>
              <w:rPr>
                <w:noProof/>
                <w:webHidden/>
              </w:rPr>
              <w:instrText xml:space="preserve"> PAGEREF _Toc234278760 \h </w:instrText>
            </w:r>
            <w:r>
              <w:rPr>
                <w:noProof/>
                <w:webHidden/>
              </w:rPr>
            </w:r>
            <w:r>
              <w:rPr>
                <w:noProof/>
                <w:webHidden/>
              </w:rPr>
              <w:fldChar w:fldCharType="separate"/>
            </w:r>
            <w:r w:rsidR="005A5E63">
              <w:rPr>
                <w:noProof/>
                <w:webHidden/>
              </w:rPr>
              <w:t>7</w:t>
            </w:r>
            <w:r>
              <w:rPr>
                <w:noProof/>
                <w:webHidden/>
              </w:rPr>
              <w:fldChar w:fldCharType="end"/>
            </w:r>
          </w:hyperlink>
        </w:p>
        <w:p w:rsidR="009E36AC" w:rsidRDefault="009E36AC" w14:paraId="7AD040D3" w14:textId="05A9B7C8">
          <w:pPr>
            <w:pStyle w:val="TOC1"/>
            <w:tabs>
              <w:tab w:val="right" w:leader="dot" w:pos="9016"/>
            </w:tabs>
            <w:rPr>
              <w:noProof/>
            </w:rPr>
          </w:pPr>
          <w:hyperlink w:history="1" w:anchor="_Toc234278761">
            <w:r w:rsidRPr="001D24AF">
              <w:rPr>
                <w:rStyle w:val="Hyperlink"/>
                <w:rFonts w:ascii="Times New Roman" w:hAnsi="Times New Roman"/>
                <w:noProof/>
              </w:rPr>
              <w:t>5. Business Relevance and Practical Implications</w:t>
            </w:r>
            <w:r>
              <w:rPr>
                <w:noProof/>
                <w:webHidden/>
              </w:rPr>
              <w:tab/>
            </w:r>
            <w:r>
              <w:rPr>
                <w:noProof/>
                <w:webHidden/>
              </w:rPr>
              <w:fldChar w:fldCharType="begin"/>
            </w:r>
            <w:r>
              <w:rPr>
                <w:noProof/>
                <w:webHidden/>
              </w:rPr>
              <w:instrText xml:space="preserve"> PAGEREF _Toc234278761 \h </w:instrText>
            </w:r>
            <w:r>
              <w:rPr>
                <w:noProof/>
                <w:webHidden/>
              </w:rPr>
            </w:r>
            <w:r>
              <w:rPr>
                <w:noProof/>
                <w:webHidden/>
              </w:rPr>
              <w:fldChar w:fldCharType="separate"/>
            </w:r>
            <w:r w:rsidR="005A5E63">
              <w:rPr>
                <w:noProof/>
                <w:webHidden/>
              </w:rPr>
              <w:t>9</w:t>
            </w:r>
            <w:r>
              <w:rPr>
                <w:noProof/>
                <w:webHidden/>
              </w:rPr>
              <w:fldChar w:fldCharType="end"/>
            </w:r>
          </w:hyperlink>
        </w:p>
        <w:p w:rsidR="009E36AC" w:rsidRDefault="009E36AC" w14:paraId="2253E17B" w14:textId="183510EA">
          <w:pPr>
            <w:pStyle w:val="TOC1"/>
            <w:tabs>
              <w:tab w:val="right" w:leader="dot" w:pos="9016"/>
            </w:tabs>
            <w:rPr>
              <w:noProof/>
            </w:rPr>
          </w:pPr>
          <w:hyperlink w:history="1" w:anchor="_Toc234278762">
            <w:r w:rsidRPr="001D24AF">
              <w:rPr>
                <w:rStyle w:val="Hyperlink"/>
                <w:rFonts w:ascii="Times New Roman" w:hAnsi="Times New Roman"/>
                <w:noProof/>
              </w:rPr>
              <w:t>Reference List</w:t>
            </w:r>
            <w:r>
              <w:rPr>
                <w:noProof/>
                <w:webHidden/>
              </w:rPr>
              <w:tab/>
            </w:r>
            <w:r>
              <w:rPr>
                <w:noProof/>
                <w:webHidden/>
              </w:rPr>
              <w:fldChar w:fldCharType="begin"/>
            </w:r>
            <w:r>
              <w:rPr>
                <w:noProof/>
                <w:webHidden/>
              </w:rPr>
              <w:instrText xml:space="preserve"> PAGEREF _Toc234278762 \h </w:instrText>
            </w:r>
            <w:r>
              <w:rPr>
                <w:noProof/>
                <w:webHidden/>
              </w:rPr>
            </w:r>
            <w:r>
              <w:rPr>
                <w:noProof/>
                <w:webHidden/>
              </w:rPr>
              <w:fldChar w:fldCharType="separate"/>
            </w:r>
            <w:r w:rsidR="005A5E63">
              <w:rPr>
                <w:noProof/>
                <w:webHidden/>
              </w:rPr>
              <w:t>10</w:t>
            </w:r>
            <w:r>
              <w:rPr>
                <w:noProof/>
                <w:webHidden/>
              </w:rPr>
              <w:fldChar w:fldCharType="end"/>
            </w:r>
          </w:hyperlink>
        </w:p>
        <w:p w:rsidR="009E36AC" w:rsidRDefault="009E36AC" w14:paraId="215800DB" w14:textId="388FA661">
          <w:r>
            <w:rPr>
              <w:b/>
              <w:bCs/>
              <w:noProof/>
            </w:rPr>
            <w:fldChar w:fldCharType="end"/>
          </w:r>
        </w:p>
      </w:sdtContent>
    </w:sdt>
    <w:p w:rsidR="00F126C2" w:rsidP="00F126C2" w:rsidRDefault="00F126C2" w14:paraId="2ED42596" w14:textId="77777777">
      <w:r>
        <w:br w:type="page"/>
      </w:r>
    </w:p>
    <w:p w:rsidR="00F126C2" w:rsidP="00F126C2" w:rsidRDefault="00F126C2" w14:paraId="1BB2B2FA" w14:textId="77777777">
      <w:pPr>
        <w:sectPr w:rsidR="00F126C2" w:rsidSect="00F126C2">
          <w:headerReference w:type="default" r:id="rId7"/>
          <w:footerReference w:type="default" r:id="rId8"/>
          <w:pgSz w:w="11906" w:h="16838" w:orient="portrait"/>
          <w:pgMar w:top="1440" w:right="1440" w:bottom="1440" w:left="1440" w:header="708" w:footer="708" w:gutter="0"/>
          <w:cols w:space="720"/>
          <w:docGrid w:linePitch="360"/>
        </w:sectPr>
      </w:pPr>
    </w:p>
    <w:p w:rsidR="00F126C2" w:rsidP="00F126C2" w:rsidRDefault="00F126C2" w14:paraId="3188DF3D" w14:textId="77777777">
      <w:pPr>
        <w:pStyle w:val="Heading1"/>
        <w:spacing w:before="300" w:after="150"/>
      </w:pPr>
      <w:bookmarkStart w:name="_Toc234278753" w:id="0"/>
      <w:r>
        <w:rPr>
          <w:rFonts w:ascii="Times New Roman" w:hAnsi="Times New Roman" w:eastAsia="Times New Roman" w:cs="Times New Roman"/>
          <w:bCs/>
          <w:sz w:val="28"/>
          <w:szCs w:val="28"/>
        </w:rPr>
        <w:lastRenderedPageBreak/>
        <w:t>1. Introduction and the Business Problem</w:t>
      </w:r>
      <w:bookmarkEnd w:id="0"/>
    </w:p>
    <w:p w:rsidR="00B624A5" w:rsidP="00B624A5" w:rsidRDefault="00B624A5" w14:paraId="3B668D24" w14:textId="77777777">
      <w:pPr>
        <w:spacing w:after="200" w:line="360" w:lineRule="auto"/>
        <w:jc w:val="both"/>
      </w:pPr>
      <w:r w:rsidRPr="76D39449" w:rsidR="00B624A5">
        <w:rPr>
          <w:lang w:val="en-US"/>
        </w:rPr>
        <w:t>This proposal is based on TexCo, an anonymised name, used here to protect commercially sensitive information common with organisation-based business research, a mid-sized Belgian textile manufacturer, which is an energy-intensive enterprise under the Flemish government's voluntary Energiebeleidsovereenkomst (EBO) framework.</w:t>
      </w:r>
    </w:p>
    <w:p w:rsidR="00B624A5" w:rsidP="00B624A5" w:rsidRDefault="00B624A5" w14:paraId="68418301" w14:textId="77777777">
      <w:pPr>
        <w:spacing w:after="200" w:line="360" w:lineRule="auto"/>
        <w:jc w:val="both"/>
      </w:pPr>
      <w:r w:rsidRPr="76D39449" w:rsidR="00B624A5">
        <w:rPr>
          <w:lang w:val="en-US"/>
        </w:rPr>
        <w:t>In 2025, the turnover of the Belgian textile industry was EUR 4,88 billion, representing a 2.7% decrease compared to 2024, and the real production volume decreased by 2.9% compared to 2024, and is now 25% lower than in 2021 (Fedustria, 2026). The number of workers employed in the sector declined to 14,570 in 2025, a decrease of 1440 workers, and since about three-quarters of the output is exported, the sector is highly vulnerable to a decline in the demand for its products from its three largest markets in the EU: France, Germany and the Netherlands (Fedustria, 2026). In this context of structural shrinking, TexCo is confronted with a second pressure: the overlap of the EU and Flemish sustainability agendas with each other, without taking sufficient account of the decrease in capacity to absorb compliance costs.</w:t>
      </w:r>
    </w:p>
    <w:p w:rsidR="00F126C2" w:rsidP="00B624A5" w:rsidRDefault="00B624A5" w14:paraId="1FDE7EC4" w14:textId="159C4558">
      <w:pPr>
        <w:spacing w:after="200" w:line="360" w:lineRule="auto"/>
        <w:jc w:val="both"/>
      </w:pPr>
      <w:r w:rsidRPr="76D39449" w:rsidR="00B624A5">
        <w:rPr>
          <w:lang w:val="en-US"/>
        </w:rPr>
        <w:t>This convergence is described in terms of three regulatory instruments, summarised in Table 1. The EU Strategy for Sustainable and Circular Textiles introduces ecodesign requirements, a compulsory Digital Product Passport (DPP) and extended producer responsibility (EPR) obligations that are specific to the textiles value chain (European Commission, 2022). Second, the Corporate Sustainability Reporting Directive requires in-scope companies to disclose Scope 1, 2 and where material, Scope 3 GHGs, but larger customers and value chain partners are increasingly pushing these data requirements down stream to SME suppliers (BDO, 2026). Third, the Flemish EBO 2023-2026 agreement sets an entry barrier for small-scale manufacturers: with a final energy use of 0.1 PJ (or 100 TJ) per year, they will also have to draw up an approved energy plan and, for the largest emitters, a climate roadmap to 2050 (EBO Vlaanderen, 2022); an EBO3 cycle for 2027-2030 is being proposed which would lower this entry barrier to 85 TJ, thus for the first time drawing in smaller manufacturers</w:t>
      </w:r>
      <w:r w:rsidRPr="76D39449" w:rsidR="00B624A5">
        <w:rPr>
          <w:lang w:val="en-US"/>
        </w:rPr>
        <w:t xml:space="preserve"> </w:t>
      </w:r>
      <w:r w:rsidRPr="76D39449" w:rsidR="00F126C2">
        <w:rPr>
          <w:lang w:val="en-US"/>
        </w:rPr>
        <w:t>(Denercon, 2026).</w:t>
      </w:r>
    </w:p>
    <w:p w:rsidR="00F126C2" w:rsidP="00F126C2" w:rsidRDefault="00F126C2" w14:paraId="35B1E87D" w14:textId="63E4F411">
      <w:pPr>
        <w:spacing w:before="100" w:after="200"/>
        <w:jc w:val="center"/>
      </w:pPr>
    </w:p>
    <w:tbl>
      <w:tblPr>
        <w:tblW w:w="9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511"/>
        <w:gridCol w:w="1390"/>
        <w:gridCol w:w="1746"/>
        <w:gridCol w:w="1242"/>
        <w:gridCol w:w="2111"/>
      </w:tblGrid>
      <w:tr w:rsidR="00F126C2" w:rsidTr="76D39449" w14:paraId="16BEF1D5" w14:textId="77777777">
        <w:tblPrEx>
          <w:tblCellMar>
            <w:top w:w="0" w:type="dxa"/>
            <w:bottom w:w="0" w:type="dxa"/>
          </w:tblCellMar>
        </w:tblPrEx>
        <w:trPr>
          <w:tblHeader/>
        </w:trPr>
        <w:tc>
          <w:tcPr>
            <w:tcW w:w="2511" w:type="dxa"/>
            <w:shd w:val="clear" w:color="auto" w:fill="D9E2F3"/>
            <w:tcMar>
              <w:top w:w="80" w:type="dxa"/>
              <w:left w:w="100" w:type="dxa"/>
              <w:bottom w:w="80" w:type="dxa"/>
              <w:right w:w="100" w:type="dxa"/>
            </w:tcMar>
            <w:vAlign w:val="center"/>
          </w:tcPr>
          <w:p w:rsidR="00F126C2" w:rsidP="00DD6F0B" w:rsidRDefault="00F126C2" w14:paraId="0530E199" w14:textId="77777777">
            <w:r w:rsidRPr="76D39449" w:rsidR="00F126C2">
              <w:rPr>
                <w:b w:val="1"/>
                <w:bCs w:val="1"/>
                <w:sz w:val="20"/>
                <w:szCs w:val="20"/>
                <w:lang w:val="pt-PT"/>
              </w:rPr>
              <w:t>Instrument</w:t>
            </w:r>
          </w:p>
        </w:tc>
        <w:tc>
          <w:tcPr>
            <w:tcW w:w="1390" w:type="dxa"/>
            <w:shd w:val="clear" w:color="auto" w:fill="D9E2F3"/>
            <w:tcMar>
              <w:top w:w="80" w:type="dxa"/>
              <w:left w:w="100" w:type="dxa"/>
              <w:bottom w:w="80" w:type="dxa"/>
              <w:right w:w="100" w:type="dxa"/>
            </w:tcMar>
            <w:vAlign w:val="center"/>
          </w:tcPr>
          <w:p w:rsidR="00F126C2" w:rsidP="00DD6F0B" w:rsidRDefault="00F126C2" w14:paraId="3F4B6A6C" w14:textId="77777777">
            <w:r w:rsidRPr="76D39449" w:rsidR="00F126C2">
              <w:rPr>
                <w:b w:val="1"/>
                <w:bCs w:val="1"/>
                <w:sz w:val="20"/>
                <w:szCs w:val="20"/>
                <w:lang w:val="pt-PT"/>
              </w:rPr>
              <w:t>Governing Body</w:t>
            </w:r>
          </w:p>
        </w:tc>
        <w:tc>
          <w:tcPr>
            <w:tcW w:w="1746" w:type="dxa"/>
            <w:shd w:val="clear" w:color="auto" w:fill="D9E2F3"/>
            <w:tcMar>
              <w:top w:w="80" w:type="dxa"/>
              <w:left w:w="100" w:type="dxa"/>
              <w:bottom w:w="80" w:type="dxa"/>
              <w:right w:w="100" w:type="dxa"/>
            </w:tcMar>
            <w:vAlign w:val="center"/>
          </w:tcPr>
          <w:p w:rsidR="00F126C2" w:rsidP="00DD6F0B" w:rsidRDefault="00F126C2" w14:paraId="4B3E81C8" w14:textId="77777777">
            <w:r w:rsidRPr="76D39449" w:rsidR="00F126C2">
              <w:rPr>
                <w:b w:val="1"/>
                <w:bCs w:val="1"/>
                <w:sz w:val="20"/>
                <w:szCs w:val="20"/>
                <w:lang w:val="pt-PT"/>
              </w:rPr>
              <w:t>Scope / Threshold</w:t>
            </w:r>
          </w:p>
        </w:tc>
        <w:tc>
          <w:tcPr>
            <w:tcW w:w="1242" w:type="dxa"/>
            <w:shd w:val="clear" w:color="auto" w:fill="D9E2F3"/>
            <w:tcMar>
              <w:top w:w="80" w:type="dxa"/>
              <w:left w:w="100" w:type="dxa"/>
              <w:bottom w:w="80" w:type="dxa"/>
              <w:right w:w="100" w:type="dxa"/>
            </w:tcMar>
            <w:vAlign w:val="center"/>
          </w:tcPr>
          <w:p w:rsidR="00F126C2" w:rsidP="00DD6F0B" w:rsidRDefault="00F126C2" w14:paraId="3805B99D" w14:textId="77777777">
            <w:r w:rsidRPr="76D39449" w:rsidR="00F126C2">
              <w:rPr>
                <w:b w:val="1"/>
                <w:bCs w:val="1"/>
                <w:sz w:val="20"/>
                <w:szCs w:val="20"/>
                <w:lang w:val="pt-PT"/>
              </w:rPr>
              <w:t>Period</w:t>
            </w:r>
          </w:p>
        </w:tc>
        <w:tc>
          <w:tcPr>
            <w:tcW w:w="2111" w:type="dxa"/>
            <w:shd w:val="clear" w:color="auto" w:fill="D9E2F3"/>
            <w:tcMar>
              <w:top w:w="80" w:type="dxa"/>
              <w:left w:w="100" w:type="dxa"/>
              <w:bottom w:w="80" w:type="dxa"/>
              <w:right w:w="100" w:type="dxa"/>
            </w:tcMar>
            <w:vAlign w:val="center"/>
          </w:tcPr>
          <w:p w:rsidR="00F126C2" w:rsidP="00DD6F0B" w:rsidRDefault="00F126C2" w14:paraId="4EAE7B59" w14:textId="77777777">
            <w:r w:rsidRPr="76D39449" w:rsidR="00F126C2">
              <w:rPr>
                <w:b w:val="1"/>
                <w:bCs w:val="1"/>
                <w:sz w:val="20"/>
                <w:szCs w:val="20"/>
                <w:lang w:val="pt-PT"/>
              </w:rPr>
              <w:t>Key Requirement for TexCo</w:t>
            </w:r>
          </w:p>
        </w:tc>
      </w:tr>
      <w:tr w:rsidR="00F126C2" w:rsidTr="76D39449" w14:paraId="32D57A01" w14:textId="77777777">
        <w:tblPrEx>
          <w:tblCellMar>
            <w:top w:w="0" w:type="dxa"/>
            <w:bottom w:w="0" w:type="dxa"/>
          </w:tblCellMar>
        </w:tblPrEx>
        <w:tc>
          <w:tcPr>
            <w:tcW w:w="2511" w:type="dxa"/>
            <w:tcMar>
              <w:top w:w="80" w:type="dxa"/>
              <w:left w:w="100" w:type="dxa"/>
              <w:bottom w:w="80" w:type="dxa"/>
              <w:right w:w="100" w:type="dxa"/>
            </w:tcMar>
            <w:vAlign w:val="center"/>
          </w:tcPr>
          <w:p w:rsidR="00F126C2" w:rsidP="00DD6F0B" w:rsidRDefault="00F126C2" w14:paraId="36502C74" w14:textId="77777777">
            <w:r w:rsidRPr="76D39449" w:rsidR="00F126C2">
              <w:rPr>
                <w:sz w:val="20"/>
                <w:szCs w:val="20"/>
                <w:lang w:val="pt-PT"/>
              </w:rPr>
              <w:t>EU Strategy for Sustainable and Circular Textiles</w:t>
            </w:r>
          </w:p>
        </w:tc>
        <w:tc>
          <w:tcPr>
            <w:tcW w:w="1390" w:type="dxa"/>
            <w:tcMar>
              <w:top w:w="80" w:type="dxa"/>
              <w:left w:w="100" w:type="dxa"/>
              <w:bottom w:w="80" w:type="dxa"/>
              <w:right w:w="100" w:type="dxa"/>
            </w:tcMar>
            <w:vAlign w:val="center"/>
          </w:tcPr>
          <w:p w:rsidR="00F126C2" w:rsidP="00DD6F0B" w:rsidRDefault="00F126C2" w14:paraId="3CC64132" w14:textId="77777777">
            <w:r w:rsidRPr="76D39449" w:rsidR="00F126C2">
              <w:rPr>
                <w:sz w:val="20"/>
                <w:szCs w:val="20"/>
                <w:lang w:val="pt-PT"/>
              </w:rPr>
              <w:t>European Commission</w:t>
            </w:r>
          </w:p>
        </w:tc>
        <w:tc>
          <w:tcPr>
            <w:tcW w:w="1746" w:type="dxa"/>
            <w:tcMar>
              <w:top w:w="80" w:type="dxa"/>
              <w:left w:w="100" w:type="dxa"/>
              <w:bottom w:w="80" w:type="dxa"/>
              <w:right w:w="100" w:type="dxa"/>
            </w:tcMar>
            <w:vAlign w:val="center"/>
          </w:tcPr>
          <w:p w:rsidR="00F126C2" w:rsidP="00DD6F0B" w:rsidRDefault="00F126C2" w14:paraId="1CBFF9F3" w14:textId="77777777">
            <w:r w:rsidRPr="76D39449" w:rsidR="00F126C2">
              <w:rPr>
                <w:sz w:val="20"/>
                <w:szCs w:val="20"/>
                <w:lang w:val="pt-PT"/>
              </w:rPr>
              <w:t>All textile products placed on the EU market</w:t>
            </w:r>
          </w:p>
        </w:tc>
        <w:tc>
          <w:tcPr>
            <w:tcW w:w="1242" w:type="dxa"/>
            <w:tcMar>
              <w:top w:w="80" w:type="dxa"/>
              <w:left w:w="100" w:type="dxa"/>
              <w:bottom w:w="80" w:type="dxa"/>
              <w:right w:w="100" w:type="dxa"/>
            </w:tcMar>
            <w:vAlign w:val="center"/>
          </w:tcPr>
          <w:p w:rsidR="00F126C2" w:rsidP="00DD6F0B" w:rsidRDefault="00F126C2" w14:paraId="0BE4B081" w14:textId="77777777">
            <w:r w:rsidRPr="76D39449" w:rsidR="00F126C2">
              <w:rPr>
                <w:sz w:val="20"/>
                <w:szCs w:val="20"/>
                <w:lang w:val="pt-PT"/>
              </w:rPr>
              <w:t>Adopted March 2022; actions through 2030</w:t>
            </w:r>
          </w:p>
        </w:tc>
        <w:tc>
          <w:tcPr>
            <w:tcW w:w="2111" w:type="dxa"/>
            <w:tcMar>
              <w:top w:w="80" w:type="dxa"/>
              <w:left w:w="100" w:type="dxa"/>
              <w:bottom w:w="80" w:type="dxa"/>
              <w:right w:w="100" w:type="dxa"/>
            </w:tcMar>
            <w:vAlign w:val="center"/>
          </w:tcPr>
          <w:p w:rsidR="00F126C2" w:rsidP="00DD6F0B" w:rsidRDefault="00F126C2" w14:paraId="5F53F471" w14:textId="77777777">
            <w:r w:rsidRPr="76D39449" w:rsidR="00F126C2">
              <w:rPr>
                <w:sz w:val="20"/>
                <w:szCs w:val="20"/>
                <w:lang w:val="pt-PT"/>
              </w:rPr>
              <w:t>Ecodesign requirements, Digital Product Passport, extended producer responsibility</w:t>
            </w:r>
          </w:p>
        </w:tc>
      </w:tr>
      <w:tr w:rsidR="00F126C2" w:rsidTr="76D39449" w14:paraId="70C7459D" w14:textId="77777777">
        <w:tblPrEx>
          <w:tblCellMar>
            <w:top w:w="0" w:type="dxa"/>
            <w:bottom w:w="0" w:type="dxa"/>
          </w:tblCellMar>
        </w:tblPrEx>
        <w:tc>
          <w:tcPr>
            <w:tcW w:w="2511" w:type="dxa"/>
            <w:tcMar>
              <w:top w:w="80" w:type="dxa"/>
              <w:left w:w="100" w:type="dxa"/>
              <w:bottom w:w="80" w:type="dxa"/>
              <w:right w:w="100" w:type="dxa"/>
            </w:tcMar>
            <w:vAlign w:val="center"/>
          </w:tcPr>
          <w:p w:rsidR="00F126C2" w:rsidP="00DD6F0B" w:rsidRDefault="00F126C2" w14:paraId="42B641DE" w14:textId="77777777">
            <w:r w:rsidRPr="76D39449" w:rsidR="00F126C2">
              <w:rPr>
                <w:sz w:val="20"/>
                <w:szCs w:val="20"/>
                <w:lang w:val="pt-PT"/>
              </w:rPr>
              <w:t>Corporate Sustainability Reporting Directive (post-Omnibus)</w:t>
            </w:r>
          </w:p>
        </w:tc>
        <w:tc>
          <w:tcPr>
            <w:tcW w:w="1390" w:type="dxa"/>
            <w:tcMar>
              <w:top w:w="80" w:type="dxa"/>
              <w:left w:w="100" w:type="dxa"/>
              <w:bottom w:w="80" w:type="dxa"/>
              <w:right w:w="100" w:type="dxa"/>
            </w:tcMar>
            <w:vAlign w:val="center"/>
          </w:tcPr>
          <w:p w:rsidR="00F126C2" w:rsidP="00DD6F0B" w:rsidRDefault="00F126C2" w14:paraId="6509C2C1" w14:textId="77777777">
            <w:r w:rsidRPr="76D39449" w:rsidR="00F126C2">
              <w:rPr>
                <w:sz w:val="20"/>
                <w:szCs w:val="20"/>
                <w:lang w:val="pt-PT"/>
              </w:rPr>
              <w:t>European Commission / EFRAG</w:t>
            </w:r>
          </w:p>
        </w:tc>
        <w:tc>
          <w:tcPr>
            <w:tcW w:w="1746" w:type="dxa"/>
            <w:tcMar>
              <w:top w:w="80" w:type="dxa"/>
              <w:left w:w="100" w:type="dxa"/>
              <w:bottom w:w="80" w:type="dxa"/>
              <w:right w:w="100" w:type="dxa"/>
            </w:tcMar>
            <w:vAlign w:val="center"/>
          </w:tcPr>
          <w:p w:rsidR="00F126C2" w:rsidP="00DD6F0B" w:rsidRDefault="00F126C2" w14:paraId="42814F8A" w14:textId="77777777">
            <w:r w:rsidRPr="76D39449" w:rsidR="00F126C2">
              <w:rPr>
                <w:sz w:val="20"/>
                <w:szCs w:val="20"/>
                <w:lang w:val="pt-PT"/>
              </w:rPr>
              <w:t>Mandatory: over 1,000 employees and over EUR 450m turnover</w:t>
            </w:r>
          </w:p>
        </w:tc>
        <w:tc>
          <w:tcPr>
            <w:tcW w:w="1242" w:type="dxa"/>
            <w:tcMar>
              <w:top w:w="80" w:type="dxa"/>
              <w:left w:w="100" w:type="dxa"/>
              <w:bottom w:w="80" w:type="dxa"/>
              <w:right w:w="100" w:type="dxa"/>
            </w:tcMar>
            <w:vAlign w:val="center"/>
          </w:tcPr>
          <w:p w:rsidR="00F126C2" w:rsidP="00DD6F0B" w:rsidRDefault="00F126C2" w14:paraId="75D52A69" w14:textId="77777777">
            <w:r w:rsidRPr="76D39449" w:rsidR="00F126C2">
              <w:rPr>
                <w:sz w:val="20"/>
                <w:szCs w:val="20"/>
                <w:lang w:val="pt-PT"/>
              </w:rPr>
              <w:t>Large companies report from FY2027; voluntary SME standard from 2026</w:t>
            </w:r>
          </w:p>
        </w:tc>
        <w:tc>
          <w:tcPr>
            <w:tcW w:w="2111" w:type="dxa"/>
            <w:tcMar>
              <w:top w:w="80" w:type="dxa"/>
              <w:left w:w="100" w:type="dxa"/>
              <w:bottom w:w="80" w:type="dxa"/>
              <w:right w:w="100" w:type="dxa"/>
            </w:tcMar>
            <w:vAlign w:val="center"/>
          </w:tcPr>
          <w:p w:rsidR="00F126C2" w:rsidP="00DD6F0B" w:rsidRDefault="00F126C2" w14:paraId="0DC8F0B7" w14:textId="77777777">
            <w:r w:rsidRPr="76D39449" w:rsidR="00F126C2">
              <w:rPr>
                <w:sz w:val="20"/>
                <w:szCs w:val="20"/>
                <w:lang w:val="pt-PT"/>
              </w:rPr>
              <w:t>Scope 1/2/3 GHG disclosure; TexCo affected indirectly via customer data requests</w:t>
            </w:r>
          </w:p>
        </w:tc>
      </w:tr>
      <w:tr w:rsidR="00F126C2" w:rsidTr="76D39449" w14:paraId="0D5A51DC" w14:textId="77777777">
        <w:tblPrEx>
          <w:tblCellMar>
            <w:top w:w="0" w:type="dxa"/>
            <w:bottom w:w="0" w:type="dxa"/>
          </w:tblCellMar>
        </w:tblPrEx>
        <w:tc>
          <w:tcPr>
            <w:tcW w:w="2511" w:type="dxa"/>
            <w:tcMar>
              <w:top w:w="80" w:type="dxa"/>
              <w:left w:w="100" w:type="dxa"/>
              <w:bottom w:w="80" w:type="dxa"/>
              <w:right w:w="100" w:type="dxa"/>
            </w:tcMar>
            <w:vAlign w:val="center"/>
          </w:tcPr>
          <w:p w:rsidR="00F126C2" w:rsidP="00DD6F0B" w:rsidRDefault="00F126C2" w14:paraId="27C68D86" w14:textId="77777777">
            <w:r w:rsidRPr="76D39449" w:rsidR="00F126C2">
              <w:rPr>
                <w:sz w:val="20"/>
                <w:szCs w:val="20"/>
                <w:lang w:val="pt-PT"/>
              </w:rPr>
              <w:t>Energiebeleidsovereenkomst (EBO) 2023-2026</w:t>
            </w:r>
          </w:p>
        </w:tc>
        <w:tc>
          <w:tcPr>
            <w:tcW w:w="1390" w:type="dxa"/>
            <w:tcMar>
              <w:top w:w="80" w:type="dxa"/>
              <w:left w:w="100" w:type="dxa"/>
              <w:bottom w:w="80" w:type="dxa"/>
              <w:right w:w="100" w:type="dxa"/>
            </w:tcMar>
            <w:vAlign w:val="center"/>
          </w:tcPr>
          <w:p w:rsidR="00F126C2" w:rsidP="00DD6F0B" w:rsidRDefault="00F126C2" w14:paraId="07302054" w14:textId="77777777">
            <w:r w:rsidRPr="76D39449" w:rsidR="00F126C2">
              <w:rPr>
                <w:sz w:val="20"/>
                <w:szCs w:val="20"/>
                <w:lang w:val="pt-PT"/>
              </w:rPr>
              <w:t>Flemish Government / VEKA</w:t>
            </w:r>
          </w:p>
        </w:tc>
        <w:tc>
          <w:tcPr>
            <w:tcW w:w="1746" w:type="dxa"/>
            <w:tcMar>
              <w:top w:w="80" w:type="dxa"/>
              <w:left w:w="100" w:type="dxa"/>
              <w:bottom w:w="80" w:type="dxa"/>
              <w:right w:w="100" w:type="dxa"/>
            </w:tcMar>
            <w:vAlign w:val="center"/>
          </w:tcPr>
          <w:p w:rsidR="00F126C2" w:rsidP="00DD6F0B" w:rsidRDefault="00F126C2" w14:paraId="5C54F767" w14:textId="77777777">
            <w:r w:rsidRPr="76D39449" w:rsidR="00F126C2">
              <w:rPr>
                <w:sz w:val="20"/>
                <w:szCs w:val="20"/>
                <w:lang w:val="pt-PT"/>
              </w:rPr>
              <w:t>Energy-intensive enterprises using at least 0.1 PJ (100 TJ) final energy per year</w:t>
            </w:r>
          </w:p>
        </w:tc>
        <w:tc>
          <w:tcPr>
            <w:tcW w:w="1242" w:type="dxa"/>
            <w:tcMar>
              <w:top w:w="80" w:type="dxa"/>
              <w:left w:w="100" w:type="dxa"/>
              <w:bottom w:w="80" w:type="dxa"/>
              <w:right w:w="100" w:type="dxa"/>
            </w:tcMar>
            <w:vAlign w:val="center"/>
          </w:tcPr>
          <w:p w:rsidR="00F126C2" w:rsidP="00DD6F0B" w:rsidRDefault="00F126C2" w14:paraId="42A40FCC" w14:textId="77777777">
            <w:r w:rsidRPr="76D39449" w:rsidR="00F126C2">
              <w:rPr>
                <w:sz w:val="20"/>
                <w:szCs w:val="20"/>
                <w:lang w:val="pt-PT"/>
              </w:rPr>
              <w:t>1 January 2023 to 31 December 2026</w:t>
            </w:r>
          </w:p>
        </w:tc>
        <w:tc>
          <w:tcPr>
            <w:tcW w:w="2111" w:type="dxa"/>
            <w:tcMar>
              <w:top w:w="80" w:type="dxa"/>
              <w:left w:w="100" w:type="dxa"/>
              <w:bottom w:w="80" w:type="dxa"/>
              <w:right w:w="100" w:type="dxa"/>
            </w:tcMar>
            <w:vAlign w:val="center"/>
          </w:tcPr>
          <w:p w:rsidR="00F126C2" w:rsidP="00DD6F0B" w:rsidRDefault="00F126C2" w14:paraId="2AFED5BC" w14:textId="77777777">
            <w:r w:rsidRPr="76D39449" w:rsidR="00F126C2">
              <w:rPr>
                <w:sz w:val="20"/>
                <w:szCs w:val="20"/>
                <w:lang w:val="en-US"/>
              </w:rPr>
              <w:t>Approved energy plan; climate roadmap required for VER (ETS) companies</w:t>
            </w:r>
          </w:p>
        </w:tc>
      </w:tr>
      <w:tr w:rsidR="00F126C2" w:rsidTr="76D39449" w14:paraId="5B9D5ECC" w14:textId="77777777">
        <w:tblPrEx>
          <w:tblCellMar>
            <w:top w:w="0" w:type="dxa"/>
            <w:bottom w:w="0" w:type="dxa"/>
          </w:tblCellMar>
        </w:tblPrEx>
        <w:tc>
          <w:tcPr>
            <w:tcW w:w="2511" w:type="dxa"/>
            <w:tcMar>
              <w:top w:w="80" w:type="dxa"/>
              <w:left w:w="100" w:type="dxa"/>
              <w:bottom w:w="80" w:type="dxa"/>
              <w:right w:w="100" w:type="dxa"/>
            </w:tcMar>
            <w:vAlign w:val="center"/>
          </w:tcPr>
          <w:p w:rsidR="00F126C2" w:rsidP="00DD6F0B" w:rsidRDefault="00F126C2" w14:paraId="5D03201D" w14:textId="77777777">
            <w:r w:rsidRPr="76D39449" w:rsidR="00F126C2">
              <w:rPr>
                <w:sz w:val="20"/>
                <w:szCs w:val="20"/>
                <w:lang w:val="pt-PT"/>
              </w:rPr>
              <w:t>Proposed EBO3</w:t>
            </w:r>
          </w:p>
        </w:tc>
        <w:tc>
          <w:tcPr>
            <w:tcW w:w="1390" w:type="dxa"/>
            <w:tcMar>
              <w:top w:w="80" w:type="dxa"/>
              <w:left w:w="100" w:type="dxa"/>
              <w:bottom w:w="80" w:type="dxa"/>
              <w:right w:w="100" w:type="dxa"/>
            </w:tcMar>
            <w:vAlign w:val="center"/>
          </w:tcPr>
          <w:p w:rsidR="00F126C2" w:rsidP="00DD6F0B" w:rsidRDefault="00F126C2" w14:paraId="5BF3E568" w14:textId="77777777">
            <w:r w:rsidRPr="76D39449" w:rsidR="00F126C2">
              <w:rPr>
                <w:sz w:val="20"/>
                <w:szCs w:val="20"/>
                <w:lang w:val="pt-PT"/>
              </w:rPr>
              <w:t>Flemish Government / VEKA</w:t>
            </w:r>
          </w:p>
        </w:tc>
        <w:tc>
          <w:tcPr>
            <w:tcW w:w="1746" w:type="dxa"/>
            <w:tcMar>
              <w:top w:w="80" w:type="dxa"/>
              <w:left w:w="100" w:type="dxa"/>
              <w:bottom w:w="80" w:type="dxa"/>
              <w:right w:w="100" w:type="dxa"/>
            </w:tcMar>
            <w:vAlign w:val="center"/>
          </w:tcPr>
          <w:p w:rsidR="00F126C2" w:rsidP="00DD6F0B" w:rsidRDefault="00F126C2" w14:paraId="36B49DB3" w14:textId="77777777">
            <w:r w:rsidRPr="76D39449" w:rsidR="00F126C2">
              <w:rPr>
                <w:sz w:val="20"/>
                <w:szCs w:val="20"/>
                <w:lang w:val="pt-PT"/>
              </w:rPr>
              <w:t>Threshold proposed to fall to 85 TJ final energy per year</w:t>
            </w:r>
          </w:p>
        </w:tc>
        <w:tc>
          <w:tcPr>
            <w:tcW w:w="1242" w:type="dxa"/>
            <w:tcMar>
              <w:top w:w="80" w:type="dxa"/>
              <w:left w:w="100" w:type="dxa"/>
              <w:bottom w:w="80" w:type="dxa"/>
              <w:right w:w="100" w:type="dxa"/>
            </w:tcMar>
            <w:vAlign w:val="center"/>
          </w:tcPr>
          <w:p w:rsidR="00F126C2" w:rsidP="00DD6F0B" w:rsidRDefault="00F126C2" w14:paraId="4A12AA7A" w14:textId="77777777">
            <w:r w:rsidRPr="76D39449" w:rsidR="00F126C2">
              <w:rPr>
                <w:sz w:val="20"/>
                <w:szCs w:val="20"/>
                <w:lang w:val="pt-PT"/>
              </w:rPr>
              <w:t>2027 to 2030 (proposed)</w:t>
            </w:r>
          </w:p>
        </w:tc>
        <w:tc>
          <w:tcPr>
            <w:tcW w:w="2111" w:type="dxa"/>
            <w:tcMar>
              <w:top w:w="80" w:type="dxa"/>
              <w:left w:w="100" w:type="dxa"/>
              <w:bottom w:w="80" w:type="dxa"/>
              <w:right w:w="100" w:type="dxa"/>
            </w:tcMar>
            <w:vAlign w:val="center"/>
          </w:tcPr>
          <w:p w:rsidR="00F126C2" w:rsidP="00DD6F0B" w:rsidRDefault="00F126C2" w14:paraId="4922EAFA" w14:textId="77777777">
            <w:r w:rsidRPr="76D39449" w:rsidR="00F126C2">
              <w:rPr>
                <w:sz w:val="20"/>
                <w:szCs w:val="20"/>
                <w:lang w:val="pt-PT"/>
              </w:rPr>
              <w:t>Brings smaller manufacturers, potentially including TexCo, into scope for the first time</w:t>
            </w:r>
          </w:p>
        </w:tc>
      </w:tr>
    </w:tbl>
    <w:p w:rsidRPr="0027248E" w:rsidR="00F126C2" w:rsidP="76D39449" w:rsidRDefault="0027248E" w14:paraId="3F4A9A1E" w14:textId="1B7CB09D">
      <w:pPr>
        <w:spacing w:after="300"/>
        <w:jc w:val="center"/>
        <w:rPr>
          <w:b w:val="1"/>
          <w:bCs w:val="1"/>
          <w:sz w:val="21"/>
          <w:szCs w:val="21"/>
          <w:lang w:val="en-US"/>
        </w:rPr>
      </w:pPr>
      <w:r w:rsidRPr="76D39449" w:rsidR="0027248E">
        <w:rPr>
          <w:b w:val="1"/>
          <w:bCs w:val="1"/>
          <w:sz w:val="21"/>
          <w:szCs w:val="21"/>
          <w:lang w:val="en-US"/>
        </w:rPr>
        <w:t>Table 1: Key EU and Flemish Regulatory Instruments Applicable to TexCo</w:t>
      </w:r>
      <w:r w:rsidRPr="76D39449" w:rsidR="0027248E">
        <w:rPr>
          <w:b w:val="1"/>
          <w:bCs w:val="1"/>
          <w:i w:val="1"/>
          <w:iCs w:val="1"/>
          <w:sz w:val="21"/>
          <w:szCs w:val="21"/>
          <w:lang w:val="en-US"/>
        </w:rPr>
        <w:t xml:space="preserve"> (</w:t>
      </w:r>
      <w:r w:rsidRPr="76D39449" w:rsidR="00F126C2">
        <w:rPr>
          <w:b w:val="1"/>
          <w:bCs w:val="1"/>
          <w:i w:val="1"/>
          <w:iCs w:val="1"/>
          <w:sz w:val="21"/>
          <w:szCs w:val="21"/>
          <w:lang w:val="en-US"/>
        </w:rPr>
        <w:t>Source: compiled by the author from European Commission (2022), BDO (2026), EBO Vlaanderen (2022) and Denercon (2026).</w:t>
      </w:r>
      <w:r w:rsidRPr="76D39449" w:rsidR="0027248E">
        <w:rPr>
          <w:b w:val="1"/>
          <w:bCs w:val="1"/>
          <w:i w:val="1"/>
          <w:iCs w:val="1"/>
          <w:sz w:val="21"/>
          <w:szCs w:val="21"/>
          <w:lang w:val="en-US"/>
        </w:rPr>
        <w:t>)</w:t>
      </w:r>
    </w:p>
    <w:p w:rsidR="00F126C2" w:rsidP="00F126C2" w:rsidRDefault="00B624A5" w14:paraId="2C073ADB" w14:textId="42149FA1">
      <w:pPr>
        <w:spacing w:after="200" w:line="360" w:lineRule="auto"/>
        <w:jc w:val="both"/>
      </w:pPr>
      <w:r w:rsidRPr="76D39449" w:rsidR="00B624A5">
        <w:rPr>
          <w:lang w:val="en-US"/>
        </w:rPr>
        <w:t>It's not just an administrative convergence that's significant. The EBO framework has been evaluated recently, with findings that since 2015, energy intensive Flemish industry has contributed measurably to the regional goals regarding energy efficiency and GHG emissions, but also noted that smaller companies involved with the framework experience a higher administrative burden relative to energy expenditure than large emitters (Vlaams Departement Economie, Wetenschap en Innovatie, 2026). The practical challenge for TexCo is thus one of prioritisation and 'resourcing under constraint': How to fulfil an increasingly complicated and overlapping set of regulatory requirements without taking resources away from the operational efficiency measures needed to stay competitive in a dwindling export market</w:t>
      </w:r>
      <w:r w:rsidRPr="76D39449" w:rsidR="00F126C2">
        <w:rPr>
          <w:lang w:val="en-US"/>
        </w:rPr>
        <w:t>.</w:t>
      </w:r>
    </w:p>
    <w:p w:rsidR="00F126C2" w:rsidP="00F126C2" w:rsidRDefault="00F126C2" w14:paraId="2C69A1C0" w14:textId="77777777">
      <w:pPr>
        <w:pStyle w:val="Heading1"/>
        <w:spacing w:before="300" w:after="150"/>
      </w:pPr>
      <w:bookmarkStart w:name="_Toc234278754" w:id="1"/>
      <w:r>
        <w:rPr>
          <w:rFonts w:ascii="Times New Roman" w:hAnsi="Times New Roman" w:eastAsia="Times New Roman" w:cs="Times New Roman"/>
          <w:bCs/>
          <w:sz w:val="28"/>
          <w:szCs w:val="28"/>
        </w:rPr>
        <w:t>2. Research Aim, Objectives and Questions</w:t>
      </w:r>
      <w:bookmarkEnd w:id="1"/>
    </w:p>
    <w:p w:rsidR="00F126C2" w:rsidP="00F126C2" w:rsidRDefault="00F126C2" w14:paraId="6B6F1372" w14:textId="5AF0ED1E">
      <w:pPr>
        <w:spacing w:after="200" w:line="360" w:lineRule="auto"/>
        <w:jc w:val="both"/>
      </w:pPr>
      <w:r>
        <w:rPr>
          <w:b/>
          <w:bCs/>
        </w:rPr>
        <w:t xml:space="preserve">Aim: </w:t>
      </w:r>
      <w:r w:rsidRPr="004B60B4" w:rsidR="004B60B4">
        <w:t>To explore the possibilities for aligning the emissions-reduction strategy with the combined and overlapping EU and Flemish regulations, without jeopardizing competitiveness of the operation of mid-sized Belgian textile businesses</w:t>
      </w:r>
      <w:r>
        <w:t>.</w:t>
      </w:r>
    </w:p>
    <w:p w:rsidR="00F126C2" w:rsidP="00F126C2" w:rsidRDefault="00F126C2" w14:paraId="1F49EE4F" w14:textId="5D84D048">
      <w:pPr>
        <w:spacing w:after="200" w:line="360" w:lineRule="auto"/>
        <w:jc w:val="both"/>
      </w:pPr>
      <w:r w:rsidRPr="76D39449" w:rsidR="00F126C2">
        <w:rPr>
          <w:b w:val="1"/>
          <w:bCs w:val="1"/>
          <w:lang w:val="en-US"/>
        </w:rPr>
        <w:t xml:space="preserve">Objective 1: </w:t>
      </w:r>
      <w:r w:rsidRPr="76D39449" w:rsidR="004B60B4">
        <w:rPr>
          <w:lang w:val="en-US"/>
        </w:rPr>
        <w:t>To pinpoint the most compliance cost-intensive cross-border regulatory requirements for energy consuming SMEs in the textile sector</w:t>
      </w:r>
      <w:r w:rsidRPr="76D39449" w:rsidR="00F126C2">
        <w:rPr>
          <w:lang w:val="en-US"/>
        </w:rPr>
        <w:t>.</w:t>
      </w:r>
    </w:p>
    <w:p w:rsidR="00F126C2" w:rsidP="00F126C2" w:rsidRDefault="00F126C2" w14:paraId="724803C5" w14:textId="6FCFF133">
      <w:pPr>
        <w:spacing w:after="200" w:line="360" w:lineRule="auto"/>
        <w:jc w:val="both"/>
      </w:pPr>
      <w:r w:rsidRPr="76D39449" w:rsidR="00F126C2">
        <w:rPr>
          <w:i w:val="1"/>
          <w:iCs w:val="1"/>
          <w:lang w:val="en-US"/>
        </w:rPr>
        <w:t xml:space="preserve">Research Question 1: </w:t>
      </w:r>
      <w:r w:rsidRPr="76D39449" w:rsidR="004B60B4">
        <w:rPr>
          <w:lang w:val="en-US"/>
        </w:rPr>
        <w:t>What will manufacturing managers and sustainability managers perceive to be the most resource consuming regulatory combination between EU and Flemish?</w:t>
      </w:r>
    </w:p>
    <w:p w:rsidR="00F126C2" w:rsidP="00F126C2" w:rsidRDefault="00F126C2" w14:paraId="4FC589D0" w14:textId="57F9B2A3">
      <w:pPr>
        <w:spacing w:after="200" w:line="360" w:lineRule="auto"/>
        <w:jc w:val="both"/>
      </w:pPr>
      <w:r w:rsidRPr="76D39449" w:rsidR="00F126C2">
        <w:rPr>
          <w:b w:val="1"/>
          <w:bCs w:val="1"/>
          <w:lang w:val="en-US"/>
        </w:rPr>
        <w:t xml:space="preserve">Objective 2: </w:t>
      </w:r>
      <w:r w:rsidRPr="76D39449" w:rsidR="004B60B4">
        <w:rPr>
          <w:lang w:val="en-US"/>
        </w:rPr>
        <w:t>To assess organisational and financial barriers, which limit energy management uptake in this context</w:t>
      </w:r>
      <w:r w:rsidRPr="76D39449" w:rsidR="00F126C2">
        <w:rPr>
          <w:lang w:val="en-US"/>
        </w:rPr>
        <w:t>.</w:t>
      </w:r>
    </w:p>
    <w:p w:rsidR="00F126C2" w:rsidP="00F126C2" w:rsidRDefault="00F126C2" w14:paraId="6844C41B" w14:textId="22330E4C">
      <w:pPr>
        <w:spacing w:after="200" w:line="360" w:lineRule="auto"/>
        <w:jc w:val="both"/>
      </w:pPr>
      <w:r>
        <w:rPr>
          <w:i/>
          <w:iCs/>
        </w:rPr>
        <w:t xml:space="preserve">Research Question 2: </w:t>
      </w:r>
      <w:r w:rsidRPr="004B60B4" w:rsidR="004B60B4">
        <w:t>What are the most important internal barriers that hinder the implementation of structured energy management in energy intensive textile SMEs?</w:t>
      </w:r>
    </w:p>
    <w:p w:rsidR="00F126C2" w:rsidP="00F126C2" w:rsidRDefault="00F126C2" w14:paraId="31242DF4" w14:textId="77777777">
      <w:pPr>
        <w:spacing w:after="200" w:line="360" w:lineRule="auto"/>
        <w:jc w:val="both"/>
      </w:pPr>
      <w:r>
        <w:rPr>
          <w:b/>
          <w:bCs/>
        </w:rPr>
        <w:t xml:space="preserve">Objective 3: </w:t>
      </w:r>
      <w:r>
        <w:t>To propose a practical framework for sequencing compliance and emissions-reduction activity.</w:t>
      </w:r>
    </w:p>
    <w:p w:rsidR="00F126C2" w:rsidP="00F126C2" w:rsidRDefault="00F126C2" w14:paraId="5403C3EE" w14:textId="6BDC9454">
      <w:pPr>
        <w:spacing w:after="200" w:line="360" w:lineRule="auto"/>
        <w:jc w:val="both"/>
      </w:pPr>
      <w:r w:rsidRPr="76D39449" w:rsidR="00F126C2">
        <w:rPr>
          <w:i w:val="1"/>
          <w:iCs w:val="1"/>
          <w:lang w:val="en-US"/>
        </w:rPr>
        <w:t xml:space="preserve">Research Question 3: </w:t>
      </w:r>
      <w:r w:rsidRPr="76D39449" w:rsidR="004B60B4">
        <w:rPr>
          <w:lang w:val="en-US"/>
        </w:rPr>
        <w:t>What is the sequencing of regulatory compliance and energy efficiency investment that energy-intensive textile manufacturers should consider to minimise resource conflict?</w:t>
      </w:r>
    </w:p>
    <w:p w:rsidR="00F126C2" w:rsidP="00F126C2" w:rsidRDefault="00F126C2" w14:paraId="2F805695" w14:textId="77777777">
      <w:pPr>
        <w:pStyle w:val="Heading1"/>
        <w:spacing w:before="300" w:after="150"/>
      </w:pPr>
      <w:bookmarkStart w:name="_Toc234278755" w:id="2"/>
      <w:r>
        <w:rPr>
          <w:rFonts w:ascii="Times New Roman" w:hAnsi="Times New Roman" w:eastAsia="Times New Roman" w:cs="Times New Roman"/>
          <w:bCs/>
          <w:sz w:val="28"/>
          <w:szCs w:val="28"/>
        </w:rPr>
        <w:t>3. Critical Literature Review</w:t>
      </w:r>
      <w:bookmarkEnd w:id="2"/>
    </w:p>
    <w:p w:rsidR="00F126C2" w:rsidP="00F126C2" w:rsidRDefault="00F126C2" w14:paraId="698652CA" w14:textId="77777777">
      <w:pPr>
        <w:pStyle w:val="Heading2"/>
        <w:spacing w:before="200" w:after="120"/>
      </w:pPr>
      <w:bookmarkStart w:name="_Toc234278756" w:id="3"/>
      <w:r>
        <w:rPr>
          <w:rFonts w:ascii="Times New Roman" w:hAnsi="Times New Roman" w:eastAsia="Times New Roman" w:cs="Times New Roman"/>
          <w:bCs/>
          <w:i/>
          <w:iCs/>
          <w:sz w:val="26"/>
          <w:szCs w:val="26"/>
        </w:rPr>
        <w:t>3.1 Regulatory Drivers and Their Scope</w:t>
      </w:r>
      <w:bookmarkEnd w:id="3"/>
    </w:p>
    <w:p w:rsidR="001B1673" w:rsidP="00A544F1" w:rsidRDefault="001B1673" w14:paraId="2FAC3CED" w14:textId="77777777">
      <w:pPr>
        <w:spacing w:after="200" w:line="360" w:lineRule="auto"/>
        <w:jc w:val="both"/>
      </w:pPr>
      <w:r w:rsidRPr="76D39449" w:rsidR="001B1673">
        <w:rPr>
          <w:lang w:val="en-US"/>
        </w:rPr>
        <w:t>The EU Strategy for Sustainable and Circular Textiles was adopted in March 2022, and is the first EU industrial strategy to make textiles a priority value chain due to the textiles' footprint in terms of water, land and material consumption compared to other consumer sectors (European Commission, 2022). The ecodesign and Digital Product Passport clauses put the responsibility of design and traceability directly on manufacturers, unlike some previous voluntary industry sustainability programs.</w:t>
      </w:r>
    </w:p>
    <w:p w:rsidR="001B1673" w:rsidP="00A544F1" w:rsidRDefault="001B1673" w14:paraId="7DAA14BB" w14:textId="77777777">
      <w:pPr>
        <w:spacing w:after="200" w:line="360" w:lineRule="auto"/>
        <w:jc w:val="both"/>
      </w:pPr>
      <w:r w:rsidRPr="76D39449" w:rsidR="001B1673">
        <w:rPr>
          <w:lang w:val="en-US"/>
        </w:rPr>
        <w:t xml:space="preserve">The EU Carbon Border Adjustment Mechanism (CBAM) is a pricing mechanism that is assumed by many early-stage practitioners to already be impacting textile manufacturers. This is not to be found in the literature. As confirmed by Bellora and Fontagne (2023), the initial scope of CBAM, formalised in Regulation (EU) 2023/956, is limited to iron and steel, cement, aluminium, fertilisers, hydrogen and electricity; the next step of the inclusion of textiles is not yet confirmed and there is no certain timetable. This is relevant to the research question of TexCo, that the regulatory pressure is not related to carbon border pricing, but to the Textiles </w:t>
      </w:r>
      <w:r w:rsidRPr="76D39449" w:rsidR="001B1673">
        <w:rPr>
          <w:lang w:val="en-US"/>
        </w:rPr>
        <w:t>Strategy, the CSRD and the EBO framework, and a proposal that mixes the two would erroneously indicate the underlying driver.</w:t>
      </w:r>
    </w:p>
    <w:p w:rsidR="00F126C2" w:rsidP="00A544F1" w:rsidRDefault="001B1673" w14:paraId="3365D351" w14:textId="4FCD3979">
      <w:pPr>
        <w:spacing w:after="200" w:line="360" w:lineRule="auto"/>
        <w:jc w:val="both"/>
      </w:pPr>
      <w:r w:rsidRPr="76D39449" w:rsidR="001B1673">
        <w:rPr>
          <w:lang w:val="en-US"/>
        </w:rPr>
        <w:t>The CSRD has been a moving target in itself. It was adopted in 2022, with a view to gradually expanding its scope to listed SMEs and financial holding companies by 2028, but was significantly reduced in scope in the December 2025 Omnibus agreement (Akin Gump, 2025). This narrowing does not take the pressure off smaller suppliers like TexCo as larger customers that are subject to CSRD are still voluntarily asking for Scope 3 supply chain emissions data, as explicitly foreseen by the value-chain provisions in the Directive</w:t>
      </w:r>
      <w:r w:rsidRPr="76D39449" w:rsidR="001B1673">
        <w:rPr>
          <w:lang w:val="en-US"/>
        </w:rPr>
        <w:t xml:space="preserve"> </w:t>
      </w:r>
      <w:r w:rsidRPr="76D39449" w:rsidR="00F126C2">
        <w:rPr>
          <w:lang w:val="en-US"/>
        </w:rPr>
        <w:t>(European Commission, 2026).</w:t>
      </w:r>
    </w:p>
    <w:p w:rsidR="00F126C2" w:rsidP="00F126C2" w:rsidRDefault="00F126C2" w14:paraId="6468902F" w14:textId="77777777">
      <w:pPr>
        <w:pStyle w:val="Heading2"/>
        <w:spacing w:before="200" w:after="120"/>
      </w:pPr>
      <w:bookmarkStart w:name="_Toc234278757" w:id="4"/>
      <w:r>
        <w:rPr>
          <w:rFonts w:ascii="Times New Roman" w:hAnsi="Times New Roman" w:eastAsia="Times New Roman" w:cs="Times New Roman"/>
          <w:bCs/>
          <w:i/>
          <w:iCs/>
          <w:sz w:val="26"/>
          <w:szCs w:val="26"/>
        </w:rPr>
        <w:t>3.2 Energy Management Adoption Barriers in SMEs</w:t>
      </w:r>
      <w:bookmarkEnd w:id="4"/>
    </w:p>
    <w:p w:rsidR="00A544F1" w:rsidP="00AA5FF4" w:rsidRDefault="00A544F1" w14:paraId="73A25E4D" w14:textId="77777777">
      <w:pPr>
        <w:spacing w:after="200" w:line="360" w:lineRule="auto"/>
        <w:jc w:val="both"/>
      </w:pPr>
      <w:r w:rsidRPr="76D39449" w:rsidR="00A544F1">
        <w:rPr>
          <w:lang w:val="en-US"/>
        </w:rPr>
        <w:t>Finance and awareness gaps were found to be the most common obstacles to taking action, exceeding regulatory pressure, and owner or manager attitude and customer demand were identified as the most significant positive factors for adoption of structured environmental and energy practices in a qualitative study on environmental sustainability adoption by SMEs (Durrani et al., 2024). It's a helpful addition to a compliance-only view of TexCo's issue, because regulation by itself might not be enough to spur adoption if they don't focus on internal capability and buy-in from leaders at the same time.</w:t>
      </w:r>
    </w:p>
    <w:p w:rsidR="00F126C2" w:rsidP="00AA5FF4" w:rsidRDefault="00A544F1" w14:paraId="5E48DF91" w14:textId="5C3A3F16">
      <w:pPr>
        <w:spacing w:after="200" w:line="360" w:lineRule="auto"/>
        <w:jc w:val="both"/>
      </w:pPr>
      <w:r w:rsidRPr="76D39449" w:rsidR="00A544F1">
        <w:rPr>
          <w:lang w:val="en-US"/>
        </w:rPr>
        <w:t>International Standard Organization (ISO) 50001 is the international standard for energy management systems (EMS) which provides a structured Plan-Do-Check-Act (PDCA) framework that is explicitly designed to be scalable to organisations of any size. The EBO's energy thresholds are included in the revised EU Energy Efficiency Directive and to meet this directive, Flemish businesses above these thresholds are more and more expected to keep a certified EMS instead of a one-off energy audit (Denercon, 2026). The evidence sources show that, on average, organisations adopting structured energy management reduce energy use by approximately 12% within 15 months of adopting structured energy management (Oxmaint, 2026), indicating a significant potential energy efficiency dividend for TexCo if the barriers to implementing structured energy management can be resolved</w:t>
      </w:r>
      <w:r w:rsidRPr="76D39449" w:rsidR="00F126C2">
        <w:rPr>
          <w:lang w:val="en-US"/>
        </w:rPr>
        <w:t>.</w:t>
      </w:r>
    </w:p>
    <w:p w:rsidR="00F126C2" w:rsidP="00F126C2" w:rsidRDefault="00F126C2" w14:paraId="2CB59A97" w14:textId="77777777">
      <w:pPr>
        <w:pStyle w:val="Heading2"/>
        <w:spacing w:before="200" w:after="120"/>
      </w:pPr>
      <w:bookmarkStart w:name="_Toc234278758" w:id="5"/>
      <w:r>
        <w:rPr>
          <w:rFonts w:ascii="Times New Roman" w:hAnsi="Times New Roman" w:eastAsia="Times New Roman" w:cs="Times New Roman"/>
          <w:bCs/>
          <w:i/>
          <w:iCs/>
          <w:sz w:val="26"/>
          <w:szCs w:val="26"/>
        </w:rPr>
        <w:t>3.3 Sector Emissions Context</w:t>
      </w:r>
      <w:bookmarkEnd w:id="5"/>
    </w:p>
    <w:p w:rsidR="00AA5FF4" w:rsidP="00374FBC" w:rsidRDefault="00AA5FF4" w14:paraId="7C825A74" w14:textId="77777777">
      <w:pPr>
        <w:spacing w:after="200" w:line="360" w:lineRule="auto"/>
        <w:jc w:val="both"/>
      </w:pPr>
      <w:r w:rsidRPr="76D39449" w:rsidR="00AA5FF4">
        <w:rPr>
          <w:lang w:val="en-US"/>
        </w:rPr>
        <w:t xml:space="preserve">Global fashion and textile industry greenhouse gas emissions were around 2.1 billion tonnes of CO2 equivalent in 2018, accounting for around 4% of global greenhouse gas emissions, of which about 70% is generated upstream in fibre and fabric manufacturing, whereas around 30% is generated downstream in retailing and use by consumers (McKinsey &amp; Company, </w:t>
      </w:r>
      <w:r w:rsidRPr="76D39449" w:rsidR="00AA5FF4">
        <w:rPr>
          <w:lang w:val="en-US"/>
        </w:rPr>
        <w:t>2024). In the absence of abatement measures, industry emissions saw a forecast increase of some 30% until 2030 (McKinsey &amp; Company, 2024). Another analysis of the sector's climate contribution indicates that the amount of textile production has increased significantly in the last 20 years, making the sector more vulnerable to future regulation, irrespective of the contribution of any individual company (Filho et al., 2022). This upstream accumulation of emissions is relevant to TexCo, as the company's Scope 1 and Scope 2 emissions under the GHG Protocol Corporate Standard are concentrated in the upstream segment of the value chain for fabric production and finishing, as opposed to downstream distribution.</w:t>
      </w:r>
    </w:p>
    <w:p w:rsidR="00F126C2" w:rsidP="00374FBC" w:rsidRDefault="00AA5FF4" w14:paraId="4A07ED08" w14:textId="60311B25">
      <w:pPr>
        <w:spacing w:after="200" w:line="360" w:lineRule="auto"/>
        <w:jc w:val="both"/>
      </w:pPr>
      <w:r w:rsidRPr="76D39449" w:rsidR="00AA5FF4">
        <w:rPr>
          <w:lang w:val="en-US"/>
        </w:rPr>
        <w:t>At the company level, Beaulieu International Group, a Belgian technical textile and flooring manufacturer, has seen a decrease in its group-wide emissions from 2.7 million tonnes CO2 equivalent in 2021 to 2.4 million tonnes in 2022, while increasing the share of renewable electricity and heat to 12% (Beaulieu International Group, 2023). By 2023, savings were realised at the individual sites in the group at process level, such as a 14% reduction in gas use per m2 produced at one flooring site, and by 2025 Belgian production sites transitioned to fully renewable electricity (Beaulieu Fibres, 2025). This trend, from a similarly sized Belgian manufacturer, which can only be performed under the same regulatory regime as TexCo, does show that meaningful emissions reduction is possible in the sector, but only via multi-year and site-by-site investment, and not as part of any one compliance push</w:t>
      </w:r>
      <w:r w:rsidRPr="76D39449" w:rsidR="00F126C2">
        <w:rPr>
          <w:lang w:val="en-US"/>
        </w:rPr>
        <w:t>.</w:t>
      </w:r>
    </w:p>
    <w:p w:rsidR="00F126C2" w:rsidP="00F126C2" w:rsidRDefault="00F126C2" w14:paraId="2D1D297E" w14:textId="77777777">
      <w:pPr>
        <w:pStyle w:val="Heading2"/>
        <w:spacing w:before="200" w:after="120"/>
      </w:pPr>
      <w:bookmarkStart w:name="_Toc234278759" w:id="6"/>
      <w:r>
        <w:rPr>
          <w:rFonts w:ascii="Times New Roman" w:hAnsi="Times New Roman" w:eastAsia="Times New Roman" w:cs="Times New Roman"/>
          <w:bCs/>
          <w:i/>
          <w:iCs/>
          <w:sz w:val="26"/>
          <w:szCs w:val="26"/>
        </w:rPr>
        <w:t>3.4 The Research Gap</w:t>
      </w:r>
      <w:bookmarkEnd w:id="6"/>
    </w:p>
    <w:p w:rsidR="00F126C2" w:rsidP="00F126C2" w:rsidRDefault="00045852" w14:paraId="52CD9B97" w14:textId="4E320E27">
      <w:pPr>
        <w:spacing w:after="200" w:line="360" w:lineRule="auto"/>
        <w:jc w:val="both"/>
      </w:pPr>
      <w:r w:rsidRPr="76D39449" w:rsidR="00045852">
        <w:rPr>
          <w:lang w:val="en-US"/>
        </w:rPr>
        <w:t>In all this literature, the barriers to SME adoption, regulatory scope and timelines and sector-level emissions data, are all well documented separately. What is less explored is what it is like for a single SME manufacturer to experience</w:t>
      </w:r>
      <w:r w:rsidRPr="76D39449" w:rsidR="00045852">
        <w:rPr>
          <w:lang w:val="en-US"/>
        </w:rPr>
        <w:t>,</w:t>
      </w:r>
      <w:r w:rsidRPr="76D39449" w:rsidR="00045852">
        <w:rPr>
          <w:lang w:val="en-US"/>
        </w:rPr>
        <w:t xml:space="preserve"> and prioritise these pressures when they come not sequentially but simultaneously; a gap this methodology of this project would seek to fill by engaging directly with practitioners within one SME manufacturer</w:t>
      </w:r>
      <w:r w:rsidRPr="76D39449" w:rsidR="00F126C2">
        <w:rPr>
          <w:lang w:val="en-US"/>
        </w:rPr>
        <w:t>.</w:t>
      </w:r>
    </w:p>
    <w:p w:rsidR="00F126C2" w:rsidP="00F126C2" w:rsidRDefault="00F126C2" w14:paraId="34D6E15F" w14:textId="77777777">
      <w:pPr>
        <w:pStyle w:val="Heading1"/>
        <w:spacing w:before="300" w:after="150"/>
      </w:pPr>
      <w:bookmarkStart w:name="_Toc234278760" w:id="7"/>
      <w:r>
        <w:rPr>
          <w:rFonts w:ascii="Times New Roman" w:hAnsi="Times New Roman" w:eastAsia="Times New Roman" w:cs="Times New Roman"/>
          <w:bCs/>
          <w:sz w:val="28"/>
          <w:szCs w:val="28"/>
        </w:rPr>
        <w:t>4. Research Methodology and Design</w:t>
      </w:r>
      <w:bookmarkEnd w:id="7"/>
    </w:p>
    <w:p w:rsidR="00F126C2" w:rsidP="00F126C2" w:rsidRDefault="00045852" w14:paraId="3290DA78" w14:textId="1F590F28">
      <w:pPr>
        <w:spacing w:after="200" w:line="360" w:lineRule="auto"/>
        <w:jc w:val="both"/>
      </w:pPr>
      <w:r w:rsidRPr="76D39449" w:rsidR="00045852">
        <w:rPr>
          <w:lang w:val="en-US"/>
        </w:rPr>
        <w:t>Following the research onion proposed by Saunders, Lewis and Thornhill (2019), methodological choices in this study will be made from assumptions through to specific methods for data collection, summarised in Table 2</w:t>
      </w:r>
      <w:r w:rsidRPr="76D39449" w:rsidR="00F126C2">
        <w:rPr>
          <w:lang w:val="en-US"/>
        </w:rPr>
        <w:t>.</w:t>
      </w:r>
    </w:p>
    <w:p w:rsidR="00F126C2" w:rsidP="00F126C2" w:rsidRDefault="00F126C2" w14:paraId="7A1A0914" w14:textId="3677DDAC">
      <w:pPr>
        <w:spacing w:before="100" w:after="200"/>
        <w:jc w:val="center"/>
      </w:pPr>
    </w:p>
    <w:tbl>
      <w:tblPr>
        <w:tblW w:w="9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400"/>
        <w:gridCol w:w="6600"/>
      </w:tblGrid>
      <w:tr w:rsidR="00F126C2" w:rsidTr="76D39449" w14:paraId="2B89FD3B" w14:textId="77777777">
        <w:tblPrEx>
          <w:tblCellMar>
            <w:top w:w="0" w:type="dxa"/>
            <w:bottom w:w="0" w:type="dxa"/>
          </w:tblCellMar>
        </w:tblPrEx>
        <w:trPr>
          <w:tblHeader/>
        </w:trPr>
        <w:tc>
          <w:tcPr>
            <w:tcW w:w="2400" w:type="dxa"/>
            <w:shd w:val="clear" w:color="auto" w:fill="D9E2F3"/>
            <w:tcMar>
              <w:top w:w="80" w:type="dxa"/>
              <w:left w:w="100" w:type="dxa"/>
              <w:bottom w:w="80" w:type="dxa"/>
              <w:right w:w="100" w:type="dxa"/>
            </w:tcMar>
            <w:vAlign w:val="center"/>
          </w:tcPr>
          <w:p w:rsidR="00F126C2" w:rsidP="00DD6F0B" w:rsidRDefault="00F126C2" w14:paraId="53DB3C26" w14:textId="77777777">
            <w:r w:rsidRPr="76D39449" w:rsidR="00F126C2">
              <w:rPr>
                <w:b w:val="1"/>
                <w:bCs w:val="1"/>
                <w:sz w:val="20"/>
                <w:szCs w:val="20"/>
                <w:lang w:val="pt-PT"/>
              </w:rPr>
              <w:t>Research Onion Layer</w:t>
            </w:r>
          </w:p>
        </w:tc>
        <w:tc>
          <w:tcPr>
            <w:tcW w:w="6600" w:type="dxa"/>
            <w:shd w:val="clear" w:color="auto" w:fill="D9E2F3"/>
            <w:tcMar>
              <w:top w:w="80" w:type="dxa"/>
              <w:left w:w="100" w:type="dxa"/>
              <w:bottom w:w="80" w:type="dxa"/>
              <w:right w:w="100" w:type="dxa"/>
            </w:tcMar>
            <w:vAlign w:val="center"/>
          </w:tcPr>
          <w:p w:rsidR="00F126C2" w:rsidP="00DD6F0B" w:rsidRDefault="00F126C2" w14:paraId="1C9F6FA0" w14:textId="77777777">
            <w:r w:rsidRPr="76D39449" w:rsidR="00F126C2">
              <w:rPr>
                <w:b w:val="1"/>
                <w:bCs w:val="1"/>
                <w:sz w:val="20"/>
                <w:szCs w:val="20"/>
                <w:lang w:val="pt-PT"/>
              </w:rPr>
              <w:t>Choice Adopted for This Proposal</w:t>
            </w:r>
          </w:p>
        </w:tc>
      </w:tr>
      <w:tr w:rsidR="00F126C2" w:rsidTr="76D39449" w14:paraId="22DB757C"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67C48B6F" w14:textId="77777777">
            <w:r w:rsidRPr="76D39449" w:rsidR="00F126C2">
              <w:rPr>
                <w:sz w:val="20"/>
                <w:szCs w:val="20"/>
                <w:lang w:val="pt-PT"/>
              </w:rPr>
              <w:t>Philosophy</w:t>
            </w:r>
          </w:p>
        </w:tc>
        <w:tc>
          <w:tcPr>
            <w:tcW w:w="6600" w:type="dxa"/>
            <w:tcMar>
              <w:top w:w="80" w:type="dxa"/>
              <w:left w:w="100" w:type="dxa"/>
              <w:bottom w:w="80" w:type="dxa"/>
              <w:right w:w="100" w:type="dxa"/>
            </w:tcMar>
            <w:vAlign w:val="center"/>
          </w:tcPr>
          <w:p w:rsidR="00F126C2" w:rsidP="00DD6F0B" w:rsidRDefault="00F126C2" w14:paraId="7A261AB4" w14:textId="77777777">
            <w:r w:rsidRPr="76D39449" w:rsidR="00F126C2">
              <w:rPr>
                <w:sz w:val="20"/>
                <w:szCs w:val="20"/>
                <w:lang w:val="pt-PT"/>
              </w:rPr>
              <w:t>Pragmatism: the research question is practical and decision-oriented rather than aimed at testing a single theoretical position</w:t>
            </w:r>
          </w:p>
        </w:tc>
      </w:tr>
      <w:tr w:rsidR="00F126C2" w:rsidTr="76D39449" w14:paraId="606CDA39"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5836E6E5" w14:textId="77777777">
            <w:r w:rsidRPr="76D39449" w:rsidR="00F126C2">
              <w:rPr>
                <w:sz w:val="20"/>
                <w:szCs w:val="20"/>
                <w:lang w:val="pt-PT"/>
              </w:rPr>
              <w:t>Approach to theory development</w:t>
            </w:r>
          </w:p>
        </w:tc>
        <w:tc>
          <w:tcPr>
            <w:tcW w:w="6600" w:type="dxa"/>
            <w:tcMar>
              <w:top w:w="80" w:type="dxa"/>
              <w:left w:w="100" w:type="dxa"/>
              <w:bottom w:w="80" w:type="dxa"/>
              <w:right w:w="100" w:type="dxa"/>
            </w:tcMar>
            <w:vAlign w:val="center"/>
          </w:tcPr>
          <w:p w:rsidR="00F126C2" w:rsidP="00DD6F0B" w:rsidRDefault="00F126C2" w14:paraId="4D44B8A8" w14:textId="77777777">
            <w:r w:rsidRPr="76D39449" w:rsidR="00F126C2">
              <w:rPr>
                <w:sz w:val="20"/>
                <w:szCs w:val="20"/>
                <w:lang w:val="en-US"/>
              </w:rPr>
              <w:t>Abductive: moving iteratively between the literature on regulatory compliance and emerging data from TexCo</w:t>
            </w:r>
          </w:p>
        </w:tc>
      </w:tr>
      <w:tr w:rsidR="00F126C2" w:rsidTr="76D39449" w14:paraId="1FBD6163"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4AFCAAB4" w14:textId="77777777">
            <w:r w:rsidRPr="76D39449" w:rsidR="00F126C2">
              <w:rPr>
                <w:sz w:val="20"/>
                <w:szCs w:val="20"/>
                <w:lang w:val="pt-PT"/>
              </w:rPr>
              <w:t>Methodological choice</w:t>
            </w:r>
          </w:p>
        </w:tc>
        <w:tc>
          <w:tcPr>
            <w:tcW w:w="6600" w:type="dxa"/>
            <w:tcMar>
              <w:top w:w="80" w:type="dxa"/>
              <w:left w:w="100" w:type="dxa"/>
              <w:bottom w:w="80" w:type="dxa"/>
              <w:right w:w="100" w:type="dxa"/>
            </w:tcMar>
            <w:vAlign w:val="center"/>
          </w:tcPr>
          <w:p w:rsidR="00F126C2" w:rsidP="00DD6F0B" w:rsidRDefault="00F126C2" w14:paraId="5A2D87BE" w14:textId="77777777">
            <w:r w:rsidRPr="76D39449" w:rsidR="00F126C2">
              <w:rPr>
                <w:sz w:val="20"/>
                <w:szCs w:val="20"/>
                <w:lang w:val="pt-PT"/>
              </w:rPr>
              <w:t>Mixed methods: quantitative energy/emissions data combined with qualitative interview data</w:t>
            </w:r>
          </w:p>
        </w:tc>
      </w:tr>
      <w:tr w:rsidR="00F126C2" w:rsidTr="76D39449" w14:paraId="3A5E7272"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3F4DD2E1" w14:textId="77777777">
            <w:r w:rsidRPr="76D39449" w:rsidR="00F126C2">
              <w:rPr>
                <w:sz w:val="20"/>
                <w:szCs w:val="20"/>
                <w:lang w:val="pt-PT"/>
              </w:rPr>
              <w:t>Strategy</w:t>
            </w:r>
          </w:p>
        </w:tc>
        <w:tc>
          <w:tcPr>
            <w:tcW w:w="6600" w:type="dxa"/>
            <w:tcMar>
              <w:top w:w="80" w:type="dxa"/>
              <w:left w:w="100" w:type="dxa"/>
              <w:bottom w:w="80" w:type="dxa"/>
              <w:right w:w="100" w:type="dxa"/>
            </w:tcMar>
            <w:vAlign w:val="center"/>
          </w:tcPr>
          <w:p w:rsidR="00F126C2" w:rsidP="00DD6F0B" w:rsidRDefault="00F126C2" w14:paraId="279FD942" w14:textId="77777777">
            <w:r w:rsidRPr="76D39449" w:rsidR="00F126C2">
              <w:rPr>
                <w:sz w:val="20"/>
                <w:szCs w:val="20"/>
                <w:lang w:val="en-US"/>
              </w:rPr>
              <w:t>Single case study of TexCo</w:t>
            </w:r>
          </w:p>
        </w:tc>
      </w:tr>
      <w:tr w:rsidR="00F126C2" w:rsidTr="76D39449" w14:paraId="1A350A17"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54596577" w14:textId="77777777">
            <w:r w:rsidRPr="76D39449" w:rsidR="00F126C2">
              <w:rPr>
                <w:sz w:val="20"/>
                <w:szCs w:val="20"/>
                <w:lang w:val="pt-PT"/>
              </w:rPr>
              <w:t>Time horizon</w:t>
            </w:r>
          </w:p>
        </w:tc>
        <w:tc>
          <w:tcPr>
            <w:tcW w:w="6600" w:type="dxa"/>
            <w:tcMar>
              <w:top w:w="80" w:type="dxa"/>
              <w:left w:w="100" w:type="dxa"/>
              <w:bottom w:w="80" w:type="dxa"/>
              <w:right w:w="100" w:type="dxa"/>
            </w:tcMar>
            <w:vAlign w:val="center"/>
          </w:tcPr>
          <w:p w:rsidR="00F126C2" w:rsidP="00DD6F0B" w:rsidRDefault="00F126C2" w14:paraId="04966F35" w14:textId="77777777">
            <w:r w:rsidRPr="76D39449" w:rsidR="00F126C2">
              <w:rPr>
                <w:sz w:val="20"/>
                <w:szCs w:val="20"/>
                <w:lang w:val="pt-PT"/>
              </w:rPr>
              <w:t>Cross-sectional, incorporating a review of 2021 to 2026 historical energy data</w:t>
            </w:r>
          </w:p>
        </w:tc>
      </w:tr>
      <w:tr w:rsidR="00F126C2" w:rsidTr="76D39449" w14:paraId="55E9EC14" w14:textId="77777777">
        <w:tblPrEx>
          <w:tblCellMar>
            <w:top w:w="0" w:type="dxa"/>
            <w:bottom w:w="0" w:type="dxa"/>
          </w:tblCellMar>
        </w:tblPrEx>
        <w:tc>
          <w:tcPr>
            <w:tcW w:w="2400" w:type="dxa"/>
            <w:tcMar>
              <w:top w:w="80" w:type="dxa"/>
              <w:left w:w="100" w:type="dxa"/>
              <w:bottom w:w="80" w:type="dxa"/>
              <w:right w:w="100" w:type="dxa"/>
            </w:tcMar>
            <w:vAlign w:val="center"/>
          </w:tcPr>
          <w:p w:rsidR="00F126C2" w:rsidP="00DD6F0B" w:rsidRDefault="00F126C2" w14:paraId="7FD0D2EB" w14:textId="77777777">
            <w:r w:rsidRPr="76D39449" w:rsidR="00F126C2">
              <w:rPr>
                <w:sz w:val="20"/>
                <w:szCs w:val="20"/>
                <w:lang w:val="pt-PT"/>
              </w:rPr>
              <w:t>Techniques and procedures</w:t>
            </w:r>
          </w:p>
        </w:tc>
        <w:tc>
          <w:tcPr>
            <w:tcW w:w="6600" w:type="dxa"/>
            <w:tcMar>
              <w:top w:w="80" w:type="dxa"/>
              <w:left w:w="100" w:type="dxa"/>
              <w:bottom w:w="80" w:type="dxa"/>
              <w:right w:w="100" w:type="dxa"/>
            </w:tcMar>
            <w:vAlign w:val="center"/>
          </w:tcPr>
          <w:p w:rsidR="00F126C2" w:rsidP="00DD6F0B" w:rsidRDefault="00F126C2" w14:paraId="093874EA" w14:textId="77777777">
            <w:r w:rsidRPr="76D39449" w:rsidR="00F126C2">
              <w:rPr>
                <w:sz w:val="20"/>
                <w:szCs w:val="20"/>
                <w:lang w:val="pt-PT"/>
              </w:rPr>
              <w:t>Semi-structured interviews; secondary energy and emissions data analysis; documentary analysis of regulatory texts</w:t>
            </w:r>
          </w:p>
        </w:tc>
      </w:tr>
    </w:tbl>
    <w:p w:rsidRPr="009A411C" w:rsidR="00F126C2" w:rsidP="76D39449" w:rsidRDefault="009A411C" w14:paraId="0A12A884" w14:textId="1423F723">
      <w:pPr>
        <w:spacing w:after="300"/>
        <w:jc w:val="center"/>
        <w:rPr>
          <w:b w:val="1"/>
          <w:bCs w:val="1"/>
          <w:sz w:val="21"/>
          <w:szCs w:val="21"/>
          <w:lang w:val="en-US"/>
        </w:rPr>
      </w:pPr>
      <w:r w:rsidRPr="76D39449" w:rsidR="009A411C">
        <w:rPr>
          <w:b w:val="1"/>
          <w:bCs w:val="1"/>
          <w:i w:val="1"/>
          <w:iCs w:val="1"/>
          <w:sz w:val="21"/>
          <w:szCs w:val="21"/>
          <w:lang w:val="en-US"/>
        </w:rPr>
        <w:t xml:space="preserve"> </w:t>
      </w:r>
      <w:r w:rsidRPr="76D39449" w:rsidR="009A411C">
        <w:rPr>
          <w:b w:val="1"/>
          <w:bCs w:val="1"/>
          <w:sz w:val="21"/>
          <w:szCs w:val="21"/>
          <w:lang w:val="en-US"/>
        </w:rPr>
        <w:t>Table 2: Research Onion Mapping for This Proposal</w:t>
      </w:r>
      <w:r w:rsidRPr="76D39449" w:rsidR="009A411C">
        <w:rPr>
          <w:b w:val="1"/>
          <w:bCs w:val="1"/>
          <w:i w:val="1"/>
          <w:iCs w:val="1"/>
          <w:sz w:val="21"/>
          <w:szCs w:val="21"/>
          <w:lang w:val="en-US"/>
        </w:rPr>
        <w:t xml:space="preserve"> (</w:t>
      </w:r>
      <w:r w:rsidRPr="76D39449" w:rsidR="00F126C2">
        <w:rPr>
          <w:b w:val="1"/>
          <w:bCs w:val="1"/>
          <w:i w:val="1"/>
          <w:iCs w:val="1"/>
          <w:sz w:val="21"/>
          <w:szCs w:val="21"/>
          <w:lang w:val="en-US"/>
        </w:rPr>
        <w:t>Source: framework adapted by the author from Saunders, Lewis and Thornhill (2019).</w:t>
      </w:r>
      <w:r w:rsidRPr="76D39449" w:rsidR="009A411C">
        <w:rPr>
          <w:b w:val="1"/>
          <w:bCs w:val="1"/>
          <w:i w:val="1"/>
          <w:iCs w:val="1"/>
          <w:sz w:val="21"/>
          <w:szCs w:val="21"/>
          <w:lang w:val="en-US"/>
        </w:rPr>
        <w:t>)</w:t>
      </w:r>
    </w:p>
    <w:p w:rsidR="00045852" w:rsidP="00045852" w:rsidRDefault="00045852" w14:paraId="619E5B20" w14:textId="77777777">
      <w:pPr>
        <w:spacing w:after="200" w:line="360" w:lineRule="auto"/>
        <w:jc w:val="both"/>
      </w:pPr>
      <w:r w:rsidRPr="76D39449" w:rsidR="00045852">
        <w:rPr>
          <w:lang w:val="en-US"/>
        </w:rPr>
        <w:t>A pragmatist research philosophy is proposed, because the research question is practical and decision oriented, and not to test one theoretical position, pragmatism allows for a mix of qualitative and quantitative evidence that are best suited to answering the research question (Saunders, Lewis and Thornhill, 2019). A mixed methods design is preferred to a purely qualitative or quantitative alternative as recent methodological guidance highlights that the mixed methods design is particularly suited to applied, practitioner facing research questions, where both the numerical trends, and lived experience in the organisation, can play an explanatory role (Jonsson et al., 2025).</w:t>
      </w:r>
    </w:p>
    <w:p w:rsidR="00045852" w:rsidP="00045852" w:rsidRDefault="00045852" w14:paraId="131ABDE8" w14:textId="77777777">
      <w:pPr>
        <w:spacing w:after="200" w:line="360" w:lineRule="auto"/>
        <w:jc w:val="both"/>
      </w:pPr>
      <w:r w:rsidRPr="76D39449" w:rsidR="00045852">
        <w:rPr>
          <w:lang w:val="en-US"/>
        </w:rPr>
        <w:t>A single case study approach (on TexCo) is recommended instead of a multi-company comparative design. This is a conscious compromise; the advantages of that particular case are sacrificed for the depth of access necessary to track how one organisation orders overlapping obligations that's what the research gap identifies. This is because recent methodological literature in the field of applied case study design agrees that when the research question is about process, prevalence, and prioritisation within a bounded setting, then the case study should be used (Alhassan, 2024).</w:t>
      </w:r>
    </w:p>
    <w:p w:rsidR="00045852" w:rsidP="00045852" w:rsidRDefault="00045852" w14:paraId="03F43A9C" w14:textId="77777777">
      <w:pPr>
        <w:spacing w:after="200" w:line="360" w:lineRule="auto"/>
        <w:jc w:val="both"/>
      </w:pPr>
      <w:r w:rsidRPr="76D39449" w:rsidR="00045852">
        <w:rPr>
          <w:lang w:val="en-US"/>
        </w:rPr>
        <w:t>Data collection will be a mix of two elements. Quantitatively, data on internal energy consumption and emissions (2021-2026) for TexCo will be analysed, to set a baseline for EBO and CSRD reporting requirements. Semi-structured interviews will be undertaken qualitatively with the TexCo energy manager, sustainability lead and a member of senior management in order to discuss the current state of priority setting for compliance obligations in comparison to operational investments. Since the population of relevant internal stakeholders is small and specific, purposive sampling is suitable (Saunders, Lewis and Thornhill, 2019).</w:t>
      </w:r>
    </w:p>
    <w:p w:rsidR="00F126C2" w:rsidP="00045852" w:rsidRDefault="00045852" w14:paraId="4117CB50" w14:textId="021166B9">
      <w:pPr>
        <w:spacing w:after="200" w:line="360" w:lineRule="auto"/>
        <w:jc w:val="both"/>
      </w:pPr>
      <w:r w:rsidRPr="76D39449" w:rsidR="00045852">
        <w:rPr>
          <w:lang w:val="en-US"/>
        </w:rPr>
        <w:t>Ethical issues have been considered through informed consent for all interview participants, anonymisation of TexCo and individual respondents throughout the interview and in the reporting, and ensuring any energy/financial data used is dealt with in accordance with GDPR requirements in handling all personal data that may be incidentally collected during interviews. Methodological triangulation of the interview data and the quantitative data on energy use and documented regulatory obligations will enhance the credibility and validity as explicitly advised in recent guidance on mixed methods to better support confidence in applied case findings</w:t>
      </w:r>
      <w:r w:rsidRPr="76D39449" w:rsidR="00045852">
        <w:rPr>
          <w:lang w:val="en-US"/>
        </w:rPr>
        <w:t xml:space="preserve"> </w:t>
      </w:r>
      <w:r w:rsidRPr="76D39449" w:rsidR="00F126C2">
        <w:rPr>
          <w:lang w:val="en-US"/>
        </w:rPr>
        <w:t>(Jonsson et al., 2025).</w:t>
      </w:r>
    </w:p>
    <w:p w:rsidR="00F126C2" w:rsidP="00F126C2" w:rsidRDefault="00F126C2" w14:paraId="48DF83C5" w14:textId="77777777">
      <w:pPr>
        <w:pStyle w:val="Heading1"/>
        <w:spacing w:before="300" w:after="150"/>
      </w:pPr>
      <w:bookmarkStart w:name="_Toc234278761" w:id="8"/>
      <w:r>
        <w:rPr>
          <w:rFonts w:ascii="Times New Roman" w:hAnsi="Times New Roman" w:eastAsia="Times New Roman" w:cs="Times New Roman"/>
          <w:bCs/>
          <w:sz w:val="28"/>
          <w:szCs w:val="28"/>
        </w:rPr>
        <w:t>5. Business Relevance and Practical Implications</w:t>
      </w:r>
      <w:bookmarkEnd w:id="8"/>
    </w:p>
    <w:p w:rsidR="00F126C2" w:rsidP="00F126C2" w:rsidRDefault="009569A8" w14:paraId="41CEEFE3" w14:textId="5EB08D26">
      <w:pPr>
        <w:spacing w:after="200" w:line="360" w:lineRule="auto"/>
        <w:jc w:val="both"/>
      </w:pPr>
      <w:r w:rsidRPr="76D39449" w:rsidR="009569A8">
        <w:rPr>
          <w:lang w:val="en-US"/>
        </w:rPr>
        <w:t>This study aims to establish the decision-support framework which could sequentially support TexCo's management when dealing with regulatory compliance activity and energy efficiency investment instead of addressing each one separately. A practical prioritisation tool is directly commercially relevant for TexCo and other similar Belgian manufacturers facing the same convergence of obligations, because of the higher percentage of administrative load per unit of energy spend for smaller companies, compared to larger emitters, as is the case in the current EBO framework (Vlaams Departement Economie, Wetenschap en Innovatie, 2026). On a wider level, the study would provide a practical, practitioner-led angle on a body of research which largely views regulatory compliance and the adoption of energy management as distinct research fields, which would help facilitate more realistic policy and consultancy involvement with SME manufacturers as the sector faces a recognised period of decline</w:t>
      </w:r>
      <w:r w:rsidRPr="76D39449" w:rsidR="00F126C2">
        <w:rPr>
          <w:lang w:val="en-US"/>
        </w:rPr>
        <w:t>.</w:t>
      </w:r>
    </w:p>
    <w:p w:rsidR="00F126C2" w:rsidP="00F126C2" w:rsidRDefault="00F126C2" w14:paraId="3AD5B0B5" w14:textId="77777777">
      <w:pPr>
        <w:spacing w:before="300"/>
        <w:jc w:val="center"/>
      </w:pPr>
      <w:r>
        <w:rPr>
          <w:noProof/>
        </w:rPr>
        <w:drawing>
          <wp:inline distT="0" distB="0" distL="0" distR="0" wp14:anchorId="13C62D7A" wp14:editId="34CB65E1">
            <wp:extent cx="4381500" cy="254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381500" cy="2543175"/>
                    </a:xfrm>
                    <a:prstGeom prst="rect">
                      <a:avLst/>
                    </a:prstGeom>
                  </pic:spPr>
                </pic:pic>
              </a:graphicData>
            </a:graphic>
          </wp:inline>
        </w:drawing>
      </w:r>
    </w:p>
    <w:p w:rsidR="00F126C2" w:rsidP="009C1051" w:rsidRDefault="00F126C2" w14:paraId="288209FE" w14:textId="2952E0C3">
      <w:pPr>
        <w:spacing w:after="300"/>
        <w:jc w:val="center"/>
      </w:pPr>
      <w:r w:rsidRPr="76D39449" w:rsidR="00F126C2">
        <w:rPr>
          <w:i w:val="1"/>
          <w:iCs w:val="1"/>
          <w:sz w:val="20"/>
          <w:szCs w:val="20"/>
          <w:lang w:val="en-US"/>
        </w:rPr>
        <w:t>Source: compiled by the author from Fedustria (2026), as reported in Interior Daily (28 May 2026). Index: 2021 = 100 (peak production volume); 2025 = 75, reflecting the reported 25% decline from the 2021 peak.</w:t>
      </w:r>
    </w:p>
    <w:p w:rsidR="00F126C2" w:rsidP="00F126C2" w:rsidRDefault="00F126C2" w14:paraId="1FC62081" w14:textId="77777777">
      <w:pPr>
        <w:pStyle w:val="Heading1"/>
        <w:spacing w:before="300" w:after="150"/>
      </w:pPr>
      <w:bookmarkStart w:name="_Toc234278762" w:id="9"/>
      <w:r>
        <w:rPr>
          <w:rFonts w:ascii="Times New Roman" w:hAnsi="Times New Roman" w:eastAsia="Times New Roman" w:cs="Times New Roman"/>
          <w:bCs/>
          <w:sz w:val="28"/>
          <w:szCs w:val="28"/>
        </w:rPr>
        <w:lastRenderedPageBreak/>
        <w:t>Reference List</w:t>
      </w:r>
      <w:bookmarkEnd w:id="9"/>
    </w:p>
    <w:p w:rsidR="00F126C2" w:rsidP="00F126C2" w:rsidRDefault="00F126C2" w14:paraId="0ED9B66E" w14:textId="54B6FB24">
      <w:pPr>
        <w:spacing w:after="200" w:line="300" w:lineRule="auto"/>
        <w:ind w:left="720" w:hanging="720"/>
        <w:jc w:val="both"/>
      </w:pPr>
      <w:r>
        <w:rPr>
          <w:sz w:val="22"/>
          <w:szCs w:val="22"/>
        </w:rPr>
        <w:t xml:space="preserve">Akin Gump (2025) Summary: Simplification of EU Sustainability Reporting. Available at: </w:t>
      </w:r>
      <w:hyperlink w:history="1" r:id="rId10">
        <w:r w:rsidRPr="00E40358" w:rsidR="00F3548F">
          <w:rPr>
            <w:rStyle w:val="Hyperlink"/>
            <w:sz w:val="22"/>
            <w:szCs w:val="22"/>
          </w:rPr>
          <w:t>https://www.akingump.com/en/insights/alerts/summary-simplification-of-eu-sustainability-reporting</w:t>
        </w:r>
      </w:hyperlink>
      <w:r w:rsidR="00F3548F">
        <w:rPr>
          <w:sz w:val="22"/>
          <w:szCs w:val="22"/>
        </w:rPr>
        <w:t xml:space="preserve"> </w:t>
      </w:r>
      <w:r>
        <w:rPr>
          <w:sz w:val="22"/>
          <w:szCs w:val="22"/>
        </w:rPr>
        <w:t xml:space="preserve"> (Accessed: 6 July 2026).</w:t>
      </w:r>
    </w:p>
    <w:p w:rsidR="00F126C2" w:rsidP="00F126C2" w:rsidRDefault="00F126C2" w14:paraId="51384AF7" w14:textId="77777777">
      <w:pPr>
        <w:spacing w:after="200" w:line="300" w:lineRule="auto"/>
        <w:ind w:left="720" w:hanging="720"/>
        <w:jc w:val="both"/>
      </w:pPr>
      <w:r w:rsidRPr="76D39449" w:rsidR="00F126C2">
        <w:rPr>
          <w:sz w:val="22"/>
          <w:szCs w:val="22"/>
          <w:lang w:val="en-US"/>
        </w:rPr>
        <w:t>Alhassan, A.I. (2024) 'Analyzing the application of mixed method methodology in medical education: a qualitative study', BMC Medical Education, 24, Article 231. doi: 10.1186/s12909-024-05242-3.</w:t>
      </w:r>
    </w:p>
    <w:p w:rsidR="00F126C2" w:rsidP="00F126C2" w:rsidRDefault="00F126C2" w14:paraId="77A0B7A0" w14:textId="3CEB1420">
      <w:pPr>
        <w:spacing w:after="200" w:line="300" w:lineRule="auto"/>
        <w:ind w:left="720" w:hanging="720"/>
        <w:jc w:val="both"/>
      </w:pPr>
      <w:r>
        <w:rPr>
          <w:sz w:val="22"/>
          <w:szCs w:val="22"/>
        </w:rPr>
        <w:t xml:space="preserve">BDO (2026) CSRD Revised Scope, Timelines, and Requirements. Available at: </w:t>
      </w:r>
      <w:hyperlink w:history="1" r:id="rId11">
        <w:r w:rsidRPr="00E40358" w:rsidR="00F3548F">
          <w:rPr>
            <w:rStyle w:val="Hyperlink"/>
            <w:sz w:val="22"/>
            <w:szCs w:val="22"/>
          </w:rPr>
          <w:t>https://www.bdo.com/insights/sustainability-and-esg/csrd-post-omnibus-revised-scope-and-requirements</w:t>
        </w:r>
      </w:hyperlink>
      <w:r w:rsidR="00F3548F">
        <w:rPr>
          <w:sz w:val="22"/>
          <w:szCs w:val="22"/>
        </w:rPr>
        <w:t xml:space="preserve"> </w:t>
      </w:r>
      <w:r>
        <w:rPr>
          <w:sz w:val="22"/>
          <w:szCs w:val="22"/>
        </w:rPr>
        <w:t xml:space="preserve"> (Accessed: 6 July 2026).</w:t>
      </w:r>
    </w:p>
    <w:p w:rsidR="00F126C2" w:rsidP="00F126C2" w:rsidRDefault="00F126C2" w14:paraId="6BB1636B" w14:textId="35ED699E">
      <w:pPr>
        <w:spacing w:after="200" w:line="300" w:lineRule="auto"/>
        <w:ind w:left="720" w:hanging="720"/>
        <w:jc w:val="both"/>
      </w:pPr>
      <w:r w:rsidRPr="76D39449" w:rsidR="00F126C2">
        <w:rPr>
          <w:sz w:val="22"/>
          <w:szCs w:val="22"/>
          <w:lang w:val="en-US"/>
        </w:rPr>
        <w:t xml:space="preserve">Beaulieu Fibres (2025) Sustainability. Available at: </w:t>
      </w:r>
      <w:hyperlink r:id="Rdf11b9010f54459d">
        <w:r w:rsidRPr="76D39449" w:rsidR="00F3548F">
          <w:rPr>
            <w:rStyle w:val="Hyperlink"/>
            <w:sz w:val="22"/>
            <w:szCs w:val="22"/>
            <w:lang w:val="en-US"/>
          </w:rPr>
          <w:t>https://www.beaulieufibres.com/en/sustainability/</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0F3FE81A" w14:textId="2E5EC660">
      <w:pPr>
        <w:spacing w:after="200" w:line="300" w:lineRule="auto"/>
        <w:ind w:left="720" w:hanging="720"/>
        <w:jc w:val="both"/>
      </w:pPr>
      <w:r w:rsidRPr="76D39449" w:rsidR="00F126C2">
        <w:rPr>
          <w:sz w:val="22"/>
          <w:szCs w:val="22"/>
          <w:lang w:val="en-US"/>
        </w:rPr>
        <w:t xml:space="preserve">Beaulieu International Group (2023) Annual and Sustainability Report 2023. Waregem: Beaulieu International Group. Available at: </w:t>
      </w:r>
      <w:hyperlink r:id="R0fa26cafa2db4e5f">
        <w:r w:rsidRPr="76D39449" w:rsidR="00F3548F">
          <w:rPr>
            <w:rStyle w:val="Hyperlink"/>
            <w:sz w:val="22"/>
            <w:szCs w:val="22"/>
            <w:lang w:val="en-US"/>
          </w:rPr>
          <w:t>https://www.bintg.com/sites/default/files/2024-06/annual_and_sustainability_report_2023_doc_en.pdf</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21B7D409" w14:textId="77777777">
      <w:pPr>
        <w:spacing w:after="200" w:line="300" w:lineRule="auto"/>
        <w:ind w:left="720" w:hanging="720"/>
        <w:jc w:val="both"/>
      </w:pPr>
      <w:r w:rsidRPr="76D39449" w:rsidR="00F126C2">
        <w:rPr>
          <w:sz w:val="22"/>
          <w:szCs w:val="22"/>
          <w:lang w:val="en-US"/>
        </w:rPr>
        <w:t>Bellora, C. and Fontagne, L. (2023) 'EU in search of a Carbon Border Adjustment Mechanism', Energy Economics, 123, p. 106673. doi: 10.1016/j.eneco.2023.106673.</w:t>
      </w:r>
    </w:p>
    <w:p w:rsidR="00F126C2" w:rsidP="00F126C2" w:rsidRDefault="00F126C2" w14:paraId="244E25A7" w14:textId="12718423">
      <w:pPr>
        <w:spacing w:after="200" w:line="300" w:lineRule="auto"/>
        <w:ind w:left="720" w:hanging="720"/>
        <w:jc w:val="both"/>
      </w:pPr>
      <w:r w:rsidRPr="76D39449" w:rsidR="00F126C2">
        <w:rPr>
          <w:sz w:val="22"/>
          <w:szCs w:val="22"/>
          <w:lang w:val="en-US"/>
        </w:rPr>
        <w:t xml:space="preserve">Denercon (2026) Energieverplichtingen en EBO3 Vlaamse bedrijven: Wat je moet weten. Available at: </w:t>
      </w:r>
      <w:hyperlink r:id="Rf603a1e76a184c1c">
        <w:r w:rsidRPr="76D39449" w:rsidR="00F3548F">
          <w:rPr>
            <w:rStyle w:val="Hyperlink"/>
            <w:sz w:val="22"/>
            <w:szCs w:val="22"/>
            <w:lang w:val="en-US"/>
          </w:rPr>
          <w:t>https://www.denercon.be/post/omzetting-eed-naar-vlaamse-wetgeving</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65073CFA" w14:textId="77777777">
      <w:pPr>
        <w:spacing w:after="200" w:line="300" w:lineRule="auto"/>
        <w:ind w:left="720" w:hanging="720"/>
        <w:jc w:val="both"/>
      </w:pPr>
      <w:r w:rsidRPr="76D39449" w:rsidR="00F126C2">
        <w:rPr>
          <w:sz w:val="22"/>
          <w:szCs w:val="22"/>
          <w:lang w:val="en-US"/>
        </w:rPr>
        <w:t>Durrani, N., Raziq, A., Mahmood, T. and Khan, M.R. (2024) 'Barriers to adaptation of environmental sustainability in SMEs: A qualitative study', PLOS ONE, 19(5), e0298580. doi: 10.1371/journal.pone.0298580.</w:t>
      </w:r>
    </w:p>
    <w:p w:rsidR="00F126C2" w:rsidP="00F126C2" w:rsidRDefault="00F126C2" w14:paraId="61BB1D55" w14:textId="44886A46">
      <w:pPr>
        <w:spacing w:after="200" w:line="300" w:lineRule="auto"/>
        <w:ind w:left="720" w:hanging="720"/>
        <w:jc w:val="both"/>
      </w:pPr>
      <w:r>
        <w:rPr>
          <w:sz w:val="22"/>
          <w:szCs w:val="22"/>
        </w:rPr>
        <w:t xml:space="preserve">EBO Vlaanderen (2022) De EBO's. Available at: </w:t>
      </w:r>
      <w:hyperlink w:history="1" r:id="rId15">
        <w:r w:rsidRPr="00E40358" w:rsidR="00F3548F">
          <w:rPr>
            <w:rStyle w:val="Hyperlink"/>
            <w:sz w:val="22"/>
            <w:szCs w:val="22"/>
          </w:rPr>
          <w:t>https://ebo-vlaanderen.be/nl/de-ebos</w:t>
        </w:r>
      </w:hyperlink>
      <w:r w:rsidR="00F3548F">
        <w:rPr>
          <w:sz w:val="22"/>
          <w:szCs w:val="22"/>
        </w:rPr>
        <w:t xml:space="preserve"> </w:t>
      </w:r>
      <w:r>
        <w:rPr>
          <w:sz w:val="22"/>
          <w:szCs w:val="22"/>
        </w:rPr>
        <w:t xml:space="preserve"> (Accessed: 6 July 2026).</w:t>
      </w:r>
    </w:p>
    <w:p w:rsidR="00F126C2" w:rsidP="00F126C2" w:rsidRDefault="00F126C2" w14:paraId="62612FE7" w14:textId="2A610512">
      <w:pPr>
        <w:spacing w:after="200" w:line="300" w:lineRule="auto"/>
        <w:ind w:left="720" w:hanging="720"/>
        <w:jc w:val="both"/>
      </w:pPr>
      <w:r w:rsidRPr="76D39449" w:rsidR="00F126C2">
        <w:rPr>
          <w:sz w:val="22"/>
          <w:szCs w:val="22"/>
          <w:lang w:val="en-US"/>
        </w:rPr>
        <w:t xml:space="preserve">European Commission (2022) EU Strategy for Sustainable and Circular Textiles, COM(2022) 141 final. Brussels: European Commission. Available at: </w:t>
      </w:r>
      <w:hyperlink r:id="Ra064a56b2e54486f">
        <w:r w:rsidRPr="76D39449" w:rsidR="00F3548F">
          <w:rPr>
            <w:rStyle w:val="Hyperlink"/>
            <w:sz w:val="22"/>
            <w:szCs w:val="22"/>
            <w:lang w:val="en-US"/>
          </w:rPr>
          <w:t>https://eur-lex.europa.eu/legal-content/EN/TXT/?uri=CELEX:52022DC0141</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45778B95" w14:textId="6941FF08">
      <w:pPr>
        <w:spacing w:after="200" w:line="300" w:lineRule="auto"/>
        <w:ind w:left="720" w:hanging="720"/>
        <w:jc w:val="both"/>
      </w:pPr>
      <w:r>
        <w:rPr>
          <w:sz w:val="22"/>
          <w:szCs w:val="22"/>
        </w:rPr>
        <w:t xml:space="preserve">European Commission (2026) Corporate Sustainability Reporting. Available at: </w:t>
      </w:r>
      <w:hyperlink w:history="1" r:id="rId17">
        <w:r w:rsidRPr="00E40358" w:rsidR="00F3548F">
          <w:rPr>
            <w:rStyle w:val="Hyperlink"/>
            <w:sz w:val="22"/>
            <w:szCs w:val="22"/>
          </w:rPr>
          <w:t>https://finance.ec.europa.eu/financial-markets/company-reporting-and-auditing/company-reporting/corporate-sustainability-reporting_en</w:t>
        </w:r>
      </w:hyperlink>
      <w:r w:rsidR="00F3548F">
        <w:rPr>
          <w:sz w:val="22"/>
          <w:szCs w:val="22"/>
        </w:rPr>
        <w:t xml:space="preserve"> </w:t>
      </w:r>
      <w:r>
        <w:rPr>
          <w:sz w:val="22"/>
          <w:szCs w:val="22"/>
        </w:rPr>
        <w:t xml:space="preserve"> (Accessed: 6 July 2026).</w:t>
      </w:r>
    </w:p>
    <w:p w:rsidR="00F126C2" w:rsidP="00F126C2" w:rsidRDefault="00F126C2" w14:paraId="1632A4BB" w14:textId="2B9A7899">
      <w:pPr>
        <w:spacing w:after="200" w:line="300" w:lineRule="auto"/>
        <w:ind w:left="720" w:hanging="720"/>
        <w:jc w:val="both"/>
      </w:pPr>
      <w:r w:rsidRPr="76D39449" w:rsidR="00F126C2">
        <w:rPr>
          <w:sz w:val="22"/>
          <w:szCs w:val="22"/>
          <w:lang w:val="en-US"/>
        </w:rPr>
        <w:t xml:space="preserve">Fedustria (2026) 'Classic textiles in dire straits: Belgian sector shrinks further, technological innovation excels', Interior Daily, 28 May. Available at: </w:t>
      </w:r>
      <w:hyperlink r:id="Rcda408aa9eb241ad">
        <w:r w:rsidRPr="76D39449" w:rsidR="00F3548F">
          <w:rPr>
            <w:rStyle w:val="Hyperlink"/>
            <w:sz w:val="22"/>
            <w:szCs w:val="22"/>
            <w:lang w:val="en-US"/>
          </w:rPr>
          <w:t>https://www.interiordaily.com/article/9841273/classic-textiles-in-dire-straits-belgian-sector-shrinks-further-technological-innovation-excels/</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2FE645FE" w14:textId="77777777">
      <w:pPr>
        <w:spacing w:after="200" w:line="300" w:lineRule="auto"/>
        <w:ind w:left="720" w:hanging="720"/>
        <w:jc w:val="both"/>
      </w:pPr>
      <w:r w:rsidRPr="76D39449" w:rsidR="00F126C2">
        <w:rPr>
          <w:sz w:val="22"/>
          <w:szCs w:val="22"/>
          <w:lang w:val="en-US"/>
        </w:rPr>
        <w:t>Filho, W.L. et al. (2022) 'An overview of the contribution of the textiles sector to climate change', Frontiers in Environmental Science, 10, 973102. doi: 10.3389/fenvs.2022.973102.</w:t>
      </w:r>
    </w:p>
    <w:p w:rsidR="00F126C2" w:rsidP="00F126C2" w:rsidRDefault="00F126C2" w14:paraId="3017F39F" w14:textId="2A2AC0FE">
      <w:pPr>
        <w:spacing w:after="200" w:line="300" w:lineRule="auto"/>
        <w:ind w:left="720" w:hanging="720"/>
        <w:jc w:val="both"/>
      </w:pPr>
      <w:r w:rsidRPr="76D39449" w:rsidR="00F126C2">
        <w:rPr>
          <w:sz w:val="22"/>
          <w:szCs w:val="22"/>
          <w:lang w:val="en-US"/>
        </w:rPr>
        <w:t xml:space="preserve">International Organization for Standardization (2024) ISO 50001:2018/Amd 1:2024 Energy Management Systems, Requirements with Guidance for Use, Amendment 1: Climate Action Changes. Geneva: ISO. Available at: </w:t>
      </w:r>
      <w:hyperlink r:id="R58d28c2122d04981">
        <w:r w:rsidRPr="76D39449" w:rsidR="00F3548F">
          <w:rPr>
            <w:rStyle w:val="Hyperlink"/>
            <w:sz w:val="22"/>
            <w:szCs w:val="22"/>
            <w:lang w:val="en-US"/>
          </w:rPr>
          <w:t>https://www.iso.org/standard/88430.html</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21E9E624" w14:textId="77777777">
      <w:pPr>
        <w:spacing w:after="200" w:line="300" w:lineRule="auto"/>
        <w:ind w:left="720" w:hanging="720"/>
        <w:jc w:val="both"/>
      </w:pPr>
      <w:r w:rsidRPr="76D39449" w:rsidR="00F126C2">
        <w:rPr>
          <w:sz w:val="22"/>
          <w:szCs w:val="22"/>
          <w:lang w:val="en-US"/>
        </w:rPr>
        <w:t>Jonsson, G.K., Portell, M., Losada, J.L. and Schoonenboom, J. (2025) 'Editorial: Best practice approaches for mixed methods research in psychological science, volume II', Frontiers in Psychology, 16, 1647507. doi: 10.3389/fpsyg.2025.1647507.</w:t>
      </w:r>
    </w:p>
    <w:p w:rsidR="00F126C2" w:rsidP="00F126C2" w:rsidRDefault="00F126C2" w14:paraId="252EC294" w14:textId="389E6E32">
      <w:pPr>
        <w:spacing w:after="200" w:line="300" w:lineRule="auto"/>
        <w:ind w:left="720" w:hanging="720"/>
        <w:jc w:val="both"/>
      </w:pPr>
      <w:r>
        <w:rPr>
          <w:sz w:val="22"/>
          <w:szCs w:val="22"/>
        </w:rPr>
        <w:t xml:space="preserve">McKinsey &amp; Company (2024) Sustainable style: How fashion can afford and accelerate decarbonization. Available at: </w:t>
      </w:r>
      <w:hyperlink w:history="1" r:id="rId20">
        <w:r w:rsidRPr="00E40358" w:rsidR="00F3548F">
          <w:rPr>
            <w:rStyle w:val="Hyperlink"/>
            <w:sz w:val="22"/>
            <w:szCs w:val="22"/>
          </w:rPr>
          <w:t>https://www.mckinsey.com/industries/retail/our-insights/sustainable-style-how-fashion-can-afford-and-accelerate-decarbonization</w:t>
        </w:r>
      </w:hyperlink>
      <w:r w:rsidR="00F3548F">
        <w:rPr>
          <w:sz w:val="22"/>
          <w:szCs w:val="22"/>
        </w:rPr>
        <w:t xml:space="preserve"> </w:t>
      </w:r>
      <w:r>
        <w:rPr>
          <w:sz w:val="22"/>
          <w:szCs w:val="22"/>
        </w:rPr>
        <w:t xml:space="preserve"> (Accessed: 6 July 2026).</w:t>
      </w:r>
    </w:p>
    <w:p w:rsidR="00F126C2" w:rsidP="00F126C2" w:rsidRDefault="00F126C2" w14:paraId="0DEB76E5" w14:textId="32664122">
      <w:pPr>
        <w:spacing w:after="200" w:line="300" w:lineRule="auto"/>
        <w:ind w:left="720" w:hanging="720"/>
        <w:jc w:val="both"/>
      </w:pPr>
      <w:r w:rsidRPr="76D39449" w:rsidR="00F126C2">
        <w:rPr>
          <w:sz w:val="22"/>
          <w:szCs w:val="22"/>
          <w:lang w:val="en-US"/>
        </w:rPr>
        <w:t xml:space="preserve">Oxmaint (2026) ISO 50001 Energy Management System Guide for Manufacturing. Available at: </w:t>
      </w:r>
      <w:hyperlink r:id="R25c857b4886f42b1">
        <w:r w:rsidRPr="76D39449" w:rsidR="00F3548F">
          <w:rPr>
            <w:rStyle w:val="Hyperlink"/>
            <w:sz w:val="22"/>
            <w:szCs w:val="22"/>
            <w:lang w:val="en-US"/>
          </w:rPr>
          <w:t>https://oxmaint.com/industries/manufacturing-plant/iso-50001-energy-management-system-manufacturing-guide</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1D3CDB7A" w14:textId="77777777">
      <w:pPr>
        <w:spacing w:after="200" w:line="300" w:lineRule="auto"/>
        <w:ind w:left="720" w:hanging="720"/>
        <w:jc w:val="both"/>
      </w:pPr>
      <w:r w:rsidRPr="76D39449" w:rsidR="00F126C2">
        <w:rPr>
          <w:sz w:val="22"/>
          <w:szCs w:val="22"/>
          <w:lang w:val="en-US"/>
        </w:rPr>
        <w:t>Saunders, M.N.K., Lewis, P. and Thornhill, A. (2019) Research Methods for Business Students. 8th edn. Harlow: Pearson.</w:t>
      </w:r>
    </w:p>
    <w:p w:rsidR="00F126C2" w:rsidP="00F126C2" w:rsidRDefault="00F126C2" w14:paraId="42BC9835" w14:textId="7CA60821">
      <w:pPr>
        <w:spacing w:after="200" w:line="300" w:lineRule="auto"/>
        <w:ind w:left="720" w:hanging="720"/>
        <w:jc w:val="both"/>
      </w:pPr>
      <w:r w:rsidRPr="76D39449" w:rsidR="00F126C2">
        <w:rPr>
          <w:sz w:val="22"/>
          <w:szCs w:val="22"/>
          <w:lang w:val="en-US"/>
        </w:rPr>
        <w:t xml:space="preserve">Vlaams Departement Economie, Wetenschap en Innovatie (2026) Evaluatie 2025 van de Energiebeleidsovereenkomsten (EBO). Brussels: EWI Vlaanderen. Available at: </w:t>
      </w:r>
      <w:hyperlink r:id="R2fdee45e534248f1">
        <w:r w:rsidRPr="76D39449" w:rsidR="00F3548F">
          <w:rPr>
            <w:rStyle w:val="Hyperlink"/>
            <w:sz w:val="22"/>
            <w:szCs w:val="22"/>
            <w:lang w:val="en-US"/>
          </w:rPr>
          <w:t>https://www.ewi-vlaanderen.be/sites/default/files/2026-02/Evaluatie%20-%20Energiebeleidsovereenkomsten%20(EBO)%20-%20rapport%20-%202026_0.pdf</w:t>
        </w:r>
      </w:hyperlink>
      <w:r w:rsidRPr="76D39449" w:rsidR="00F3548F">
        <w:rPr>
          <w:sz w:val="22"/>
          <w:szCs w:val="22"/>
          <w:lang w:val="en-US"/>
        </w:rPr>
        <w:t xml:space="preserve"> </w:t>
      </w:r>
      <w:r w:rsidRPr="76D39449" w:rsidR="00F126C2">
        <w:rPr>
          <w:sz w:val="22"/>
          <w:szCs w:val="22"/>
          <w:lang w:val="en-US"/>
        </w:rPr>
        <w:t xml:space="preserve"> (Accessed: 6 July 2026).</w:t>
      </w:r>
    </w:p>
    <w:p w:rsidR="00F126C2" w:rsidP="00F126C2" w:rsidRDefault="00F126C2" w14:paraId="58280EA1" w14:textId="77777777">
      <w:pPr>
        <w:spacing w:after="200" w:line="300" w:lineRule="auto"/>
        <w:ind w:left="720" w:hanging="720"/>
        <w:jc w:val="both"/>
      </w:pPr>
      <w:r w:rsidRPr="76D39449" w:rsidR="00F126C2">
        <w:rPr>
          <w:sz w:val="22"/>
          <w:szCs w:val="22"/>
          <w:lang w:val="en-US"/>
        </w:rPr>
        <w:t>World Resources Institute and World Business Council for Sustainable Development (2015) The Greenhouse Gas Protocol: A Corporate Accounting and Reporting Standard. Revised edn. Washington, DC: WRI/WBCSD.</w:t>
      </w:r>
    </w:p>
    <w:p w:rsidR="008D4601" w:rsidRDefault="008D4601" w14:paraId="5C4C9B5F" w14:textId="77777777"/>
    <w:sectPr w:rsidR="008D4601" w:rsidSect="00F126C2">
      <w:headerReference w:type="default" r:id="rId23"/>
      <w:footerReference w:type="default" r:id="rId24"/>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2CD9" w:rsidP="009E36AC" w:rsidRDefault="00CF2CD9" w14:paraId="47D123CE" w14:textId="77777777">
      <w:r>
        <w:separator/>
      </w:r>
    </w:p>
  </w:endnote>
  <w:endnote w:type="continuationSeparator" w:id="0">
    <w:p w:rsidR="00CF2CD9" w:rsidP="009E36AC" w:rsidRDefault="00CF2CD9" w14:paraId="5D0841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26C2" w:rsidRDefault="00F126C2" w14:paraId="1C80B1E5" w14:textId="77777777">
    <w:pPr>
      <w:jc w:val="center"/>
    </w:pPr>
    <w:r>
      <w:rPr>
        <w:sz w:val="20"/>
        <w:szCs w:val="20"/>
      </w:rPr>
      <w:fldChar w:fldCharType="begin"/>
    </w:r>
    <w:r>
      <w:rPr>
        <w:sz w:val="20"/>
        <w:szCs w:val="20"/>
      </w:rPr>
      <w:instrText>PAGE</w:instrText>
    </w:r>
    <w:r>
      <w:rPr>
        <w:sz w:val="20"/>
        <w:szCs w:val="20"/>
      </w:rPr>
      <w:fldChar w:fldCharType="separate"/>
    </w:r>
    <w:r>
      <w:rPr>
        <w:noProof/>
        <w:sz w:val="20"/>
        <w:szCs w:val="20"/>
      </w:rPr>
      <w:t>1</w:t>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26C2" w:rsidRDefault="00F126C2" w14:paraId="605FEFFA" w14:textId="77777777">
    <w:pPr>
      <w:jc w:val="center"/>
    </w:pPr>
    <w:r>
      <w:rPr>
        <w:sz w:val="20"/>
        <w:szCs w:val="20"/>
      </w:rPr>
      <w:fldChar w:fldCharType="begin"/>
    </w:r>
    <w:r>
      <w:rPr>
        <w:sz w:val="20"/>
        <w:szCs w:val="20"/>
      </w:rPr>
      <w:instrText>PAGE</w:instrText>
    </w:r>
    <w:r>
      <w:rPr>
        <w:sz w:val="20"/>
        <w:szCs w:val="20"/>
      </w:rPr>
      <w:fldChar w:fldCharType="separate"/>
    </w:r>
    <w:r>
      <w:rPr>
        <w:noProof/>
        <w:sz w:val="20"/>
        <w:szCs w:val="20"/>
      </w:rPr>
      <w:t>1</w:t>
    </w:r>
    <w:r>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2CD9" w:rsidP="009E36AC" w:rsidRDefault="00CF2CD9" w14:paraId="48C3BF51" w14:textId="77777777">
      <w:r>
        <w:separator/>
      </w:r>
    </w:p>
  </w:footnote>
  <w:footnote w:type="continuationSeparator" w:id="0">
    <w:p w:rsidR="00CF2CD9" w:rsidP="009E36AC" w:rsidRDefault="00CF2CD9" w14:paraId="4EEB883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26C2" w:rsidRDefault="00F126C2" w14:paraId="7A104A4B" w14:textId="7BFABE07">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26C2" w:rsidRDefault="00F126C2" w14:paraId="67E1466C" w14:textId="77597562">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6C2"/>
    <w:rsid w:val="00045852"/>
    <w:rsid w:val="001B1673"/>
    <w:rsid w:val="0027248E"/>
    <w:rsid w:val="00374FBC"/>
    <w:rsid w:val="003E0B12"/>
    <w:rsid w:val="00434CA2"/>
    <w:rsid w:val="004B60B4"/>
    <w:rsid w:val="0052024C"/>
    <w:rsid w:val="005A5E63"/>
    <w:rsid w:val="00753088"/>
    <w:rsid w:val="0078729C"/>
    <w:rsid w:val="007A1142"/>
    <w:rsid w:val="008D4601"/>
    <w:rsid w:val="00955366"/>
    <w:rsid w:val="009569A8"/>
    <w:rsid w:val="009A411C"/>
    <w:rsid w:val="009C1051"/>
    <w:rsid w:val="009E36AC"/>
    <w:rsid w:val="00A05B88"/>
    <w:rsid w:val="00A544F1"/>
    <w:rsid w:val="00A8673B"/>
    <w:rsid w:val="00AA5FF4"/>
    <w:rsid w:val="00B624A5"/>
    <w:rsid w:val="00CF2CD9"/>
    <w:rsid w:val="00D76185"/>
    <w:rsid w:val="00DA268E"/>
    <w:rsid w:val="00E34D82"/>
    <w:rsid w:val="00E41CED"/>
    <w:rsid w:val="00E87DA7"/>
    <w:rsid w:val="00EA2F4C"/>
    <w:rsid w:val="00ED25B7"/>
    <w:rsid w:val="00F126C2"/>
    <w:rsid w:val="00F3548F"/>
    <w:rsid w:val="00FF7D73"/>
    <w:rsid w:val="03B913A4"/>
    <w:rsid w:val="0D6B2B61"/>
    <w:rsid w:val="1FB38578"/>
    <w:rsid w:val="475FC3E9"/>
    <w:rsid w:val="518177F0"/>
    <w:rsid w:val="76D39449"/>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15399AF3"/>
  <w15:chartTrackingRefBased/>
  <w15:docId w15:val="{C12D0CA5-66C5-9744-A360-D5A1EF838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26C2"/>
    <w:rPr>
      <w:rFonts w:ascii="Times New Roman" w:hAnsi="Times New Roman" w:eastAsia="Times New Roman" w:cs="Times New Roman"/>
      <w:kern w:val="0"/>
      <w:lang w:eastAsia="en-GB"/>
      <w14:ligatures w14:val="none"/>
    </w:rPr>
  </w:style>
  <w:style w:type="paragraph" w:styleId="Heading1">
    <w:name w:val="heading 1"/>
    <w:basedOn w:val="Normal"/>
    <w:next w:val="Normal"/>
    <w:link w:val="Heading1Char"/>
    <w:autoRedefine/>
    <w:uiPriority w:val="9"/>
    <w:qFormat/>
    <w:rsid w:val="00955366"/>
    <w:pPr>
      <w:keepNext/>
      <w:keepLines/>
      <w:spacing w:before="360" w:after="80" w:line="360" w:lineRule="auto"/>
      <w:outlineLvl w:val="0"/>
    </w:pPr>
    <w:rPr>
      <w:rFonts w:asciiTheme="majorBidi" w:hAnsiTheme="majorBidi" w:eastAsiaTheme="majorEastAsia" w:cstheme="majorBidi"/>
      <w:b/>
      <w:color w:val="000000" w:themeColor="text1"/>
      <w:kern w:val="2"/>
      <w:sz w:val="32"/>
      <w:szCs w:val="40"/>
      <w:lang w:val="en-GB" w:eastAsia="en-US"/>
      <w14:ligatures w14:val="standardContextual"/>
    </w:rPr>
  </w:style>
  <w:style w:type="paragraph" w:styleId="Heading2">
    <w:name w:val="heading 2"/>
    <w:basedOn w:val="Normal"/>
    <w:next w:val="Normal"/>
    <w:link w:val="Heading2Char"/>
    <w:uiPriority w:val="9"/>
    <w:unhideWhenUsed/>
    <w:qFormat/>
    <w:rsid w:val="0078729C"/>
    <w:pPr>
      <w:keepNext/>
      <w:keepLines/>
      <w:spacing w:before="160" w:after="80"/>
      <w:outlineLvl w:val="1"/>
    </w:pPr>
    <w:rPr>
      <w:rFonts w:asciiTheme="majorBidi" w:hAnsiTheme="majorBidi" w:eastAsiaTheme="majorEastAsia" w:cstheme="majorBidi"/>
      <w:b/>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F126C2"/>
    <w:pPr>
      <w:keepNext/>
      <w:keepLines/>
      <w:spacing w:before="160" w:after="80"/>
      <w:outlineLvl w:val="2"/>
    </w:pPr>
    <w:rPr>
      <w:rFonts w:asciiTheme="minorHAnsi" w:hAnsiTheme="minorHAnsi"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F126C2"/>
    <w:pPr>
      <w:keepNext/>
      <w:keepLines/>
      <w:spacing w:before="80" w:after="40"/>
      <w:outlineLvl w:val="3"/>
    </w:pPr>
    <w:rPr>
      <w:rFonts w:asciiTheme="minorHAnsi" w:hAnsiTheme="minorHAnsi"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F126C2"/>
    <w:pPr>
      <w:keepNext/>
      <w:keepLines/>
      <w:spacing w:before="80" w:after="40"/>
      <w:outlineLvl w:val="4"/>
    </w:pPr>
    <w:rPr>
      <w:rFonts w:asciiTheme="minorHAnsi" w:hAnsiTheme="minorHAnsi"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F126C2"/>
    <w:pPr>
      <w:keepNext/>
      <w:keepLines/>
      <w:spacing w:before="40"/>
      <w:outlineLvl w:val="5"/>
    </w:pPr>
    <w:rPr>
      <w:rFonts w:asciiTheme="minorHAnsi" w:hAnsiTheme="minorHAnsi"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F126C2"/>
    <w:pPr>
      <w:keepNext/>
      <w:keepLines/>
      <w:spacing w:before="40"/>
      <w:outlineLvl w:val="6"/>
    </w:pPr>
    <w:rPr>
      <w:rFonts w:asciiTheme="minorHAnsi" w:hAnsiTheme="minorHAnsi"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F126C2"/>
    <w:pPr>
      <w:keepNext/>
      <w:keepLines/>
      <w:outlineLvl w:val="7"/>
    </w:pPr>
    <w:rPr>
      <w:rFonts w:asciiTheme="minorHAnsi" w:hAnsiTheme="minorHAnsi"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F126C2"/>
    <w:pPr>
      <w:keepNext/>
      <w:keepLines/>
      <w:outlineLvl w:val="8"/>
    </w:pPr>
    <w:rPr>
      <w:rFonts w:asciiTheme="minorHAnsi" w:hAnsiTheme="minorHAnsi" w:eastAsiaTheme="majorEastAsia" w:cstheme="majorBidi"/>
      <w:color w:val="272727" w:themeColor="text1" w:themeTint="D8"/>
      <w:kern w:val="2"/>
      <w:lang w:val="en-GB"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78729C"/>
    <w:rPr>
      <w:rFonts w:asciiTheme="majorBidi" w:hAnsiTheme="majorBidi" w:eastAsiaTheme="majorEastAsia" w:cstheme="majorBidi"/>
      <w:b/>
      <w:color w:val="0F4761" w:themeColor="accent1" w:themeShade="BF"/>
      <w:sz w:val="32"/>
      <w:szCs w:val="32"/>
    </w:rPr>
  </w:style>
  <w:style w:type="character" w:styleId="Heading1Char" w:customStyle="1">
    <w:name w:val="Heading 1 Char"/>
    <w:basedOn w:val="DefaultParagraphFont"/>
    <w:link w:val="Heading1"/>
    <w:uiPriority w:val="9"/>
    <w:rsid w:val="00955366"/>
    <w:rPr>
      <w:rFonts w:asciiTheme="majorBidi" w:hAnsiTheme="majorBidi" w:eastAsiaTheme="majorEastAsia" w:cstheme="majorBidi"/>
      <w:b/>
      <w:color w:val="000000" w:themeColor="text1"/>
      <w:sz w:val="32"/>
      <w:szCs w:val="40"/>
      <w:lang w:val="en-GB"/>
    </w:rPr>
  </w:style>
  <w:style w:type="character" w:styleId="Heading3Char" w:customStyle="1">
    <w:name w:val="Heading 3 Char"/>
    <w:basedOn w:val="DefaultParagraphFont"/>
    <w:link w:val="Heading3"/>
    <w:uiPriority w:val="9"/>
    <w:semiHidden/>
    <w:rsid w:val="00F126C2"/>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F126C2"/>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F126C2"/>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F126C2"/>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F126C2"/>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F126C2"/>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F126C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126C2"/>
    <w:pPr>
      <w:spacing w:after="80"/>
      <w:contextualSpacing/>
    </w:pPr>
    <w:rPr>
      <w:rFonts w:asciiTheme="majorHAnsi" w:hAnsiTheme="majorHAnsi" w:eastAsiaTheme="majorEastAsia" w:cstheme="majorBidi"/>
      <w:spacing w:val="-10"/>
      <w:kern w:val="28"/>
      <w:sz w:val="56"/>
      <w:szCs w:val="56"/>
      <w:lang w:val="en-GB" w:eastAsia="en-US"/>
      <w14:ligatures w14:val="standardContextual"/>
    </w:rPr>
  </w:style>
  <w:style w:type="character" w:styleId="TitleChar" w:customStyle="1">
    <w:name w:val="Title Char"/>
    <w:basedOn w:val="DefaultParagraphFont"/>
    <w:link w:val="Title"/>
    <w:uiPriority w:val="10"/>
    <w:rsid w:val="00F126C2"/>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F126C2"/>
    <w:pPr>
      <w:numPr>
        <w:ilvl w:val="1"/>
      </w:numPr>
      <w:spacing w:after="160"/>
    </w:pPr>
    <w:rPr>
      <w:rFonts w:asciiTheme="minorHAnsi" w:hAnsiTheme="minorHAnsi" w:eastAsiaTheme="majorEastAsia" w:cstheme="majorBidi"/>
      <w:color w:val="595959" w:themeColor="text1" w:themeTint="A6"/>
      <w:spacing w:val="15"/>
      <w:kern w:val="2"/>
      <w:sz w:val="28"/>
      <w:szCs w:val="28"/>
      <w:lang w:val="en-GB" w:eastAsia="en-US"/>
      <w14:ligatures w14:val="standardContextual"/>
    </w:rPr>
  </w:style>
  <w:style w:type="character" w:styleId="SubtitleChar" w:customStyle="1">
    <w:name w:val="Subtitle Char"/>
    <w:basedOn w:val="DefaultParagraphFont"/>
    <w:link w:val="Subtitle"/>
    <w:uiPriority w:val="11"/>
    <w:rsid w:val="00F126C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126C2"/>
    <w:pPr>
      <w:spacing w:before="160" w:after="160"/>
      <w:jc w:val="center"/>
    </w:pPr>
    <w:rPr>
      <w:rFonts w:asciiTheme="minorHAnsi" w:hAnsiTheme="minorHAnsi" w:eastAsiaTheme="minorHAnsi" w:cstheme="minorBidi"/>
      <w:i/>
      <w:iCs/>
      <w:color w:val="404040" w:themeColor="text1" w:themeTint="BF"/>
      <w:kern w:val="2"/>
      <w:lang w:val="en-GB" w:eastAsia="en-US"/>
      <w14:ligatures w14:val="standardContextual"/>
    </w:rPr>
  </w:style>
  <w:style w:type="character" w:styleId="QuoteChar" w:customStyle="1">
    <w:name w:val="Quote Char"/>
    <w:basedOn w:val="DefaultParagraphFont"/>
    <w:link w:val="Quote"/>
    <w:uiPriority w:val="29"/>
    <w:rsid w:val="00F126C2"/>
    <w:rPr>
      <w:i/>
      <w:iCs/>
      <w:color w:val="404040" w:themeColor="text1" w:themeTint="BF"/>
      <w:lang w:val="en-GB"/>
    </w:rPr>
  </w:style>
  <w:style w:type="paragraph" w:styleId="ListParagraph">
    <w:name w:val="List Paragraph"/>
    <w:basedOn w:val="Normal"/>
    <w:uiPriority w:val="34"/>
    <w:qFormat/>
    <w:rsid w:val="00F126C2"/>
    <w:pPr>
      <w:ind w:left="720"/>
      <w:contextualSpacing/>
    </w:pPr>
    <w:rPr>
      <w:rFonts w:asciiTheme="minorHAnsi" w:hAnsiTheme="minorHAnsi" w:eastAsiaTheme="minorHAnsi" w:cstheme="minorBidi"/>
      <w:kern w:val="2"/>
      <w:lang w:val="en-GB" w:eastAsia="en-US"/>
      <w14:ligatures w14:val="standardContextual"/>
    </w:rPr>
  </w:style>
  <w:style w:type="character" w:styleId="IntenseEmphasis">
    <w:name w:val="Intense Emphasis"/>
    <w:basedOn w:val="DefaultParagraphFont"/>
    <w:uiPriority w:val="21"/>
    <w:qFormat/>
    <w:rsid w:val="00F126C2"/>
    <w:rPr>
      <w:i/>
      <w:iCs/>
      <w:color w:val="0F4761" w:themeColor="accent1" w:themeShade="BF"/>
    </w:rPr>
  </w:style>
  <w:style w:type="paragraph" w:styleId="IntenseQuote">
    <w:name w:val="Intense Quote"/>
    <w:basedOn w:val="Normal"/>
    <w:next w:val="Normal"/>
    <w:link w:val="IntenseQuoteChar"/>
    <w:uiPriority w:val="30"/>
    <w:qFormat/>
    <w:rsid w:val="00F126C2"/>
    <w:pPr>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eastAsiaTheme="minorHAnsi" w:cstheme="minorBidi"/>
      <w:i/>
      <w:iCs/>
      <w:color w:val="0F4761" w:themeColor="accent1" w:themeShade="BF"/>
      <w:kern w:val="2"/>
      <w:lang w:val="en-GB" w:eastAsia="en-US"/>
      <w14:ligatures w14:val="standardContextual"/>
    </w:rPr>
  </w:style>
  <w:style w:type="character" w:styleId="IntenseQuoteChar" w:customStyle="1">
    <w:name w:val="Intense Quote Char"/>
    <w:basedOn w:val="DefaultParagraphFont"/>
    <w:link w:val="IntenseQuote"/>
    <w:uiPriority w:val="30"/>
    <w:rsid w:val="00F126C2"/>
    <w:rPr>
      <w:i/>
      <w:iCs/>
      <w:color w:val="0F4761" w:themeColor="accent1" w:themeShade="BF"/>
      <w:lang w:val="en-GB"/>
    </w:rPr>
  </w:style>
  <w:style w:type="character" w:styleId="IntenseReference">
    <w:name w:val="Intense Reference"/>
    <w:basedOn w:val="DefaultParagraphFont"/>
    <w:uiPriority w:val="32"/>
    <w:qFormat/>
    <w:rsid w:val="00F126C2"/>
    <w:rPr>
      <w:b/>
      <w:bCs/>
      <w:smallCaps/>
      <w:color w:val="0F4761" w:themeColor="accent1" w:themeShade="BF"/>
      <w:spacing w:val="5"/>
    </w:rPr>
  </w:style>
  <w:style w:type="paragraph" w:styleId="TOCHeading">
    <w:name w:val="TOC Heading"/>
    <w:basedOn w:val="Heading1"/>
    <w:next w:val="Normal"/>
    <w:uiPriority w:val="39"/>
    <w:unhideWhenUsed/>
    <w:qFormat/>
    <w:rsid w:val="009E36AC"/>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9E36AC"/>
    <w:pPr>
      <w:spacing w:before="120"/>
    </w:pPr>
    <w:rPr>
      <w:rFonts w:asciiTheme="minorHAnsi" w:hAnsiTheme="minorHAnsi"/>
      <w:b/>
      <w:bCs/>
      <w:i/>
      <w:iCs/>
      <w:szCs w:val="28"/>
    </w:rPr>
  </w:style>
  <w:style w:type="paragraph" w:styleId="TOC2">
    <w:name w:val="toc 2"/>
    <w:basedOn w:val="Normal"/>
    <w:next w:val="Normal"/>
    <w:autoRedefine/>
    <w:uiPriority w:val="39"/>
    <w:unhideWhenUsed/>
    <w:rsid w:val="009E36AC"/>
    <w:pPr>
      <w:spacing w:before="120"/>
      <w:ind w:left="240"/>
    </w:pPr>
    <w:rPr>
      <w:rFonts w:asciiTheme="minorHAnsi" w:hAnsiTheme="minorHAnsi"/>
      <w:b/>
      <w:bCs/>
      <w:sz w:val="22"/>
      <w:szCs w:val="26"/>
    </w:rPr>
  </w:style>
  <w:style w:type="character" w:styleId="Hyperlink">
    <w:name w:val="Hyperlink"/>
    <w:basedOn w:val="DefaultParagraphFont"/>
    <w:uiPriority w:val="99"/>
    <w:unhideWhenUsed/>
    <w:rsid w:val="009E36AC"/>
    <w:rPr>
      <w:color w:val="467886" w:themeColor="hyperlink"/>
      <w:u w:val="single"/>
    </w:rPr>
  </w:style>
  <w:style w:type="paragraph" w:styleId="TOC3">
    <w:name w:val="toc 3"/>
    <w:basedOn w:val="Normal"/>
    <w:next w:val="Normal"/>
    <w:autoRedefine/>
    <w:uiPriority w:val="39"/>
    <w:semiHidden/>
    <w:unhideWhenUsed/>
    <w:rsid w:val="009E36AC"/>
    <w:pPr>
      <w:ind w:left="480"/>
    </w:pPr>
    <w:rPr>
      <w:rFonts w:asciiTheme="minorHAnsi" w:hAnsiTheme="minorHAnsi"/>
      <w:sz w:val="20"/>
    </w:rPr>
  </w:style>
  <w:style w:type="paragraph" w:styleId="TOC4">
    <w:name w:val="toc 4"/>
    <w:basedOn w:val="Normal"/>
    <w:next w:val="Normal"/>
    <w:autoRedefine/>
    <w:uiPriority w:val="39"/>
    <w:semiHidden/>
    <w:unhideWhenUsed/>
    <w:rsid w:val="009E36AC"/>
    <w:pPr>
      <w:ind w:left="720"/>
    </w:pPr>
    <w:rPr>
      <w:rFonts w:asciiTheme="minorHAnsi" w:hAnsiTheme="minorHAnsi"/>
      <w:sz w:val="20"/>
    </w:rPr>
  </w:style>
  <w:style w:type="paragraph" w:styleId="TOC5">
    <w:name w:val="toc 5"/>
    <w:basedOn w:val="Normal"/>
    <w:next w:val="Normal"/>
    <w:autoRedefine/>
    <w:uiPriority w:val="39"/>
    <w:semiHidden/>
    <w:unhideWhenUsed/>
    <w:rsid w:val="009E36AC"/>
    <w:pPr>
      <w:ind w:left="960"/>
    </w:pPr>
    <w:rPr>
      <w:rFonts w:asciiTheme="minorHAnsi" w:hAnsiTheme="minorHAnsi"/>
      <w:sz w:val="20"/>
    </w:rPr>
  </w:style>
  <w:style w:type="paragraph" w:styleId="TOC6">
    <w:name w:val="toc 6"/>
    <w:basedOn w:val="Normal"/>
    <w:next w:val="Normal"/>
    <w:autoRedefine/>
    <w:uiPriority w:val="39"/>
    <w:semiHidden/>
    <w:unhideWhenUsed/>
    <w:rsid w:val="009E36AC"/>
    <w:pPr>
      <w:ind w:left="1200"/>
    </w:pPr>
    <w:rPr>
      <w:rFonts w:asciiTheme="minorHAnsi" w:hAnsiTheme="minorHAnsi"/>
      <w:sz w:val="20"/>
    </w:rPr>
  </w:style>
  <w:style w:type="paragraph" w:styleId="TOC7">
    <w:name w:val="toc 7"/>
    <w:basedOn w:val="Normal"/>
    <w:next w:val="Normal"/>
    <w:autoRedefine/>
    <w:uiPriority w:val="39"/>
    <w:semiHidden/>
    <w:unhideWhenUsed/>
    <w:rsid w:val="009E36AC"/>
    <w:pPr>
      <w:ind w:left="1440"/>
    </w:pPr>
    <w:rPr>
      <w:rFonts w:asciiTheme="minorHAnsi" w:hAnsiTheme="minorHAnsi"/>
      <w:sz w:val="20"/>
    </w:rPr>
  </w:style>
  <w:style w:type="paragraph" w:styleId="TOC8">
    <w:name w:val="toc 8"/>
    <w:basedOn w:val="Normal"/>
    <w:next w:val="Normal"/>
    <w:autoRedefine/>
    <w:uiPriority w:val="39"/>
    <w:semiHidden/>
    <w:unhideWhenUsed/>
    <w:rsid w:val="009E36AC"/>
    <w:pPr>
      <w:ind w:left="1680"/>
    </w:pPr>
    <w:rPr>
      <w:rFonts w:asciiTheme="minorHAnsi" w:hAnsiTheme="minorHAnsi"/>
      <w:sz w:val="20"/>
    </w:rPr>
  </w:style>
  <w:style w:type="paragraph" w:styleId="TOC9">
    <w:name w:val="toc 9"/>
    <w:basedOn w:val="Normal"/>
    <w:next w:val="Normal"/>
    <w:autoRedefine/>
    <w:uiPriority w:val="39"/>
    <w:semiHidden/>
    <w:unhideWhenUsed/>
    <w:rsid w:val="009E36AC"/>
    <w:pPr>
      <w:ind w:left="1920"/>
    </w:pPr>
    <w:rPr>
      <w:rFonts w:asciiTheme="minorHAnsi" w:hAnsiTheme="minorHAnsi"/>
      <w:sz w:val="20"/>
    </w:rPr>
  </w:style>
  <w:style w:type="paragraph" w:styleId="Header">
    <w:name w:val="header"/>
    <w:basedOn w:val="Normal"/>
    <w:link w:val="HeaderChar"/>
    <w:uiPriority w:val="99"/>
    <w:unhideWhenUsed/>
    <w:rsid w:val="009E36AC"/>
    <w:pPr>
      <w:tabs>
        <w:tab w:val="center" w:pos="4513"/>
        <w:tab w:val="right" w:pos="9026"/>
      </w:tabs>
    </w:pPr>
  </w:style>
  <w:style w:type="character" w:styleId="HeaderChar" w:customStyle="1">
    <w:name w:val="Header Char"/>
    <w:basedOn w:val="DefaultParagraphFont"/>
    <w:link w:val="Header"/>
    <w:uiPriority w:val="99"/>
    <w:rsid w:val="009E36AC"/>
    <w:rPr>
      <w:rFonts w:ascii="Times New Roman" w:hAnsi="Times New Roman" w:eastAsia="Times New Roman" w:cs="Times New Roman"/>
      <w:kern w:val="0"/>
      <w:lang w:eastAsia="en-GB"/>
      <w14:ligatures w14:val="none"/>
    </w:rPr>
  </w:style>
  <w:style w:type="paragraph" w:styleId="Footer">
    <w:name w:val="footer"/>
    <w:basedOn w:val="Normal"/>
    <w:link w:val="FooterChar"/>
    <w:uiPriority w:val="99"/>
    <w:unhideWhenUsed/>
    <w:rsid w:val="009E36AC"/>
    <w:pPr>
      <w:tabs>
        <w:tab w:val="center" w:pos="4513"/>
        <w:tab w:val="right" w:pos="9026"/>
      </w:tabs>
    </w:pPr>
  </w:style>
  <w:style w:type="character" w:styleId="FooterChar" w:customStyle="1">
    <w:name w:val="Footer Char"/>
    <w:basedOn w:val="DefaultParagraphFont"/>
    <w:link w:val="Footer"/>
    <w:uiPriority w:val="99"/>
    <w:rsid w:val="009E36AC"/>
    <w:rPr>
      <w:rFonts w:ascii="Times New Roman" w:hAnsi="Times New Roman" w:eastAsia="Times New Roman" w:cs="Times New Roman"/>
      <w:kern w:val="0"/>
      <w:lang w:eastAsia="en-GB"/>
      <w14:ligatures w14:val="none"/>
    </w:rPr>
  </w:style>
  <w:style w:type="character" w:styleId="UnresolvedMention">
    <w:name w:val="Unresolved Mention"/>
    <w:basedOn w:val="DefaultParagraphFont"/>
    <w:uiPriority w:val="99"/>
    <w:semiHidden/>
    <w:unhideWhenUsed/>
    <w:rsid w:val="00F35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hyperlink" Target="https://finance.ec.europa.eu/financial-markets/company-reporting-and-auditing/company-reporting/corporate-sustainability-reporting_en" TargetMode="External"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yperlink" Target="https://www.mckinsey.com/industries/retail/our-insights/sustainable-style-how-fashion-can-afford-and-accelerate-decarbonization"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bdo.com/insights/sustainability-and-esg/csrd-post-omnibus-revised-scope-and-requirements" TargetMode="External" Id="rId11" /><Relationship Type="http://schemas.openxmlformats.org/officeDocument/2006/relationships/footer" Target="footer2.xml" Id="rId24" /><Relationship Type="http://schemas.openxmlformats.org/officeDocument/2006/relationships/footnotes" Target="footnotes.xml" Id="rId5" /><Relationship Type="http://schemas.openxmlformats.org/officeDocument/2006/relationships/hyperlink" Target="https://ebo-vlaanderen.be/nl/de-ebos" TargetMode="External" Id="rId15" /><Relationship Type="http://schemas.openxmlformats.org/officeDocument/2006/relationships/header" Target="header2.xml" Id="rId23" /><Relationship Type="http://schemas.openxmlformats.org/officeDocument/2006/relationships/hyperlink" Target="https://www.akingump.com/en/insights/alerts/summary-simplification-of-eu-sustainability-reporting" TargetMode="External" Id="rId10"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hyperlink" Target="https://www.beaulieufibres.com/en/sustainability/" TargetMode="External" Id="Rdf11b9010f54459d" /><Relationship Type="http://schemas.openxmlformats.org/officeDocument/2006/relationships/hyperlink" Target="https://www.bintg.com/sites/default/files/2024-06/annual_and_sustainability_report_2023_doc_en.pdf" TargetMode="External" Id="R0fa26cafa2db4e5f" /><Relationship Type="http://schemas.openxmlformats.org/officeDocument/2006/relationships/hyperlink" Target="https://www.denercon.be/post/omzetting-eed-naar-vlaamse-wetgeving" TargetMode="External" Id="Rf603a1e76a184c1c" /><Relationship Type="http://schemas.openxmlformats.org/officeDocument/2006/relationships/hyperlink" Target="https://eur-lex.europa.eu/legal-content/EN/TXT/?uri=CELEX:52022DC0141" TargetMode="External" Id="Ra064a56b2e54486f" /><Relationship Type="http://schemas.openxmlformats.org/officeDocument/2006/relationships/hyperlink" Target="https://www.interiordaily.com/article/9841273/classic-textiles-in-dire-straits-belgian-sector-shrinks-further-technological-innovation-excels/" TargetMode="External" Id="Rcda408aa9eb241ad" /><Relationship Type="http://schemas.openxmlformats.org/officeDocument/2006/relationships/hyperlink" Target="https://www.iso.org/standard/88430.html" TargetMode="External" Id="R58d28c2122d04981" /><Relationship Type="http://schemas.openxmlformats.org/officeDocument/2006/relationships/hyperlink" Target="https://oxmaint.com/industries/manufacturing-plant/iso-50001-energy-management-system-manufacturing-guide" TargetMode="External" Id="R25c857b4886f42b1" /><Relationship Type="http://schemas.openxmlformats.org/officeDocument/2006/relationships/hyperlink" Target="https://www.ewi-vlaanderen.be/sites/default/files/2026-02/Evaluatie%20-%20Energiebeleidsovereenkomsten%20(EBO)%20-%20rapport%20-%202026_0.pdf" TargetMode="External" Id="R2fdee45e534248f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31F79-F5BA-EF42-B671-DD80519679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BBC</dc:creator>
  <keywords/>
  <dc:description/>
  <lastModifiedBy>Taim Ca (2133329)</lastModifiedBy>
  <revision>16</revision>
  <dcterms:created xsi:type="dcterms:W3CDTF">2026-07-06T20:01:00.0000000Z</dcterms:created>
  <dcterms:modified xsi:type="dcterms:W3CDTF">2026-07-14T15:51:35.0422799Z</dcterms:modified>
</coreProperties>
</file>