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615B09" w14:textId="77777777" w:rsidR="00B90423" w:rsidRPr="00A348D6" w:rsidRDefault="00B90423" w:rsidP="00B90423">
      <w:pPr>
        <w:rPr>
          <w:b/>
          <w:bCs/>
          <w:sz w:val="28"/>
          <w:szCs w:val="28"/>
        </w:rPr>
      </w:pPr>
      <w:r>
        <w:rPr>
          <w:b/>
          <w:bCs/>
          <w:sz w:val="28"/>
          <w:szCs w:val="28"/>
        </w:rPr>
        <w:t>Critical review of Winged Human-Headed Bulls of Nineveh: Genesis of an Iconographic Motif by V. Danrey 2004.</w:t>
      </w:r>
    </w:p>
    <w:p w14:paraId="4B59EA21" w14:textId="77777777" w:rsidR="00B90423" w:rsidRDefault="00B90423" w:rsidP="00B90423">
      <w:pPr>
        <w:rPr>
          <w:sz w:val="24"/>
          <w:szCs w:val="24"/>
        </w:rPr>
      </w:pPr>
      <w:r>
        <w:rPr>
          <w:sz w:val="24"/>
          <w:szCs w:val="24"/>
        </w:rPr>
        <w:t xml:space="preserve">The main purpose of this article is to study the genesis of the iconographic motif of the winged human-headed bulls of ancient Mesopotamia, in order “to consider the etymology and iconographic transcriptions of the Akkadian terms traditionally associated with” (Danrey, 2004: 133) these emblematic figures and “their evolution in the various fields of artistic production” (Danrey, 2004: 133).  </w:t>
      </w:r>
    </w:p>
    <w:p w14:paraId="64BFD5FC" w14:textId="07CDBDA6" w:rsidR="0036742F" w:rsidRDefault="00B90423">
      <w:pPr>
        <w:rPr>
          <w:sz w:val="24"/>
          <w:szCs w:val="24"/>
        </w:rPr>
      </w:pPr>
      <w:r>
        <w:rPr>
          <w:sz w:val="24"/>
          <w:szCs w:val="24"/>
        </w:rPr>
        <w:t xml:space="preserve">Although, it is the genesis and subsequent evolution of the winged human-headed bull motif and the etymological and iconographical transcriptions that go along with it that the author is most concerned about, as the title of the article is </w:t>
      </w:r>
      <w:r w:rsidRPr="00B805C6">
        <w:rPr>
          <w:i/>
          <w:iCs/>
          <w:sz w:val="24"/>
          <w:szCs w:val="24"/>
        </w:rPr>
        <w:t>Winged Human-headed Bulls of Nineveh: Genesis of an Iconographic motif</w:t>
      </w:r>
      <w:r>
        <w:rPr>
          <w:sz w:val="24"/>
          <w:szCs w:val="24"/>
        </w:rPr>
        <w:t>, that is where the author starts their analysis.</w:t>
      </w:r>
      <w:r>
        <w:rPr>
          <w:sz w:val="24"/>
          <w:szCs w:val="24"/>
        </w:rPr>
        <w:t xml:space="preserve"> It is here that the author also brings in the arguments of other scholars in regards to </w:t>
      </w:r>
      <w:r w:rsidR="00A610C0">
        <w:rPr>
          <w:sz w:val="24"/>
          <w:szCs w:val="24"/>
        </w:rPr>
        <w:t xml:space="preserve">the structures of the gateways in which the colossal statues of the winged human-headed bulls </w:t>
      </w:r>
      <w:r w:rsidR="00F71CE9">
        <w:rPr>
          <w:sz w:val="24"/>
          <w:szCs w:val="24"/>
        </w:rPr>
        <w:t xml:space="preserve">where placed in Nineveh. However, Danrey wades into this discussion by concluding that neither suggestions were of any great important because of the fact that not all gates were strengthened in this way. </w:t>
      </w:r>
    </w:p>
    <w:p w14:paraId="3CA01CCA" w14:textId="41994F15" w:rsidR="00EB1DC9" w:rsidRDefault="007632E7" w:rsidP="00EB1DC9">
      <w:pPr>
        <w:rPr>
          <w:sz w:val="24"/>
          <w:szCs w:val="24"/>
        </w:rPr>
      </w:pPr>
      <w:r>
        <w:rPr>
          <w:sz w:val="24"/>
          <w:szCs w:val="24"/>
        </w:rPr>
        <w:t xml:space="preserve">After taking the </w:t>
      </w:r>
      <w:r>
        <w:rPr>
          <w:sz w:val="24"/>
          <w:szCs w:val="24"/>
        </w:rPr>
        <w:t>opportunity to explain the purpose of these winged human-headed bulls</w:t>
      </w:r>
      <w:r>
        <w:rPr>
          <w:sz w:val="24"/>
          <w:szCs w:val="24"/>
        </w:rPr>
        <w:t xml:space="preserve">, </w:t>
      </w:r>
      <w:r w:rsidR="00360FCB">
        <w:rPr>
          <w:sz w:val="24"/>
          <w:szCs w:val="24"/>
        </w:rPr>
        <w:t xml:space="preserve">which is then confirmed and built upon later in the article during the discussion of the etymology of the term connected to this representation. </w:t>
      </w:r>
      <w:r>
        <w:rPr>
          <w:sz w:val="24"/>
          <w:szCs w:val="24"/>
        </w:rPr>
        <w:t xml:space="preserve">Danrey then moves </w:t>
      </w:r>
      <w:r w:rsidR="00360FCB">
        <w:rPr>
          <w:sz w:val="24"/>
          <w:szCs w:val="24"/>
        </w:rPr>
        <w:t xml:space="preserve">to discuss what could be the </w:t>
      </w:r>
      <w:r w:rsidR="00360FCB">
        <w:rPr>
          <w:sz w:val="24"/>
          <w:szCs w:val="24"/>
        </w:rPr>
        <w:t>earliest examples of these colossi, i.e their genesis</w:t>
      </w:r>
      <w:r w:rsidR="00560F70">
        <w:rPr>
          <w:sz w:val="24"/>
          <w:szCs w:val="24"/>
        </w:rPr>
        <w:t>.</w:t>
      </w:r>
      <w:r w:rsidR="00AB59FA">
        <w:rPr>
          <w:sz w:val="24"/>
          <w:szCs w:val="24"/>
        </w:rPr>
        <w:t xml:space="preserve"> </w:t>
      </w:r>
      <w:r w:rsidR="00AB59FA">
        <w:rPr>
          <w:sz w:val="24"/>
          <w:szCs w:val="24"/>
        </w:rPr>
        <w:t>This is when it could be said the beginning of the use of the anthropological theory of the itinerary of an object, or in this case a specific type of “artistic motif”, as the author talks us through how the motif of the winged human-headed bulls were represented in the form of colossal sculptures</w:t>
      </w:r>
      <w:r w:rsidR="00AB59FA">
        <w:rPr>
          <w:sz w:val="24"/>
          <w:szCs w:val="24"/>
        </w:rPr>
        <w:t xml:space="preserve"> in </w:t>
      </w:r>
      <w:r w:rsidR="002B5100">
        <w:rPr>
          <w:sz w:val="24"/>
          <w:szCs w:val="24"/>
        </w:rPr>
        <w:t xml:space="preserve">two different places during the reigns of different monarchs a century apart. </w:t>
      </w:r>
      <w:r w:rsidR="00EB1DC9">
        <w:rPr>
          <w:sz w:val="24"/>
          <w:szCs w:val="24"/>
        </w:rPr>
        <w:t xml:space="preserve">This is also </w:t>
      </w:r>
      <w:r w:rsidR="00EB1DC9">
        <w:rPr>
          <w:sz w:val="24"/>
          <w:szCs w:val="24"/>
        </w:rPr>
        <w:t xml:space="preserve">where one key difference between these colossi and those of Nineveh is highlighted, that of the </w:t>
      </w:r>
      <w:r w:rsidR="00C62265">
        <w:rPr>
          <w:sz w:val="24"/>
          <w:szCs w:val="24"/>
        </w:rPr>
        <w:t>five-legged</w:t>
      </w:r>
      <w:r w:rsidR="00EB1DC9">
        <w:rPr>
          <w:sz w:val="24"/>
          <w:szCs w:val="24"/>
        </w:rPr>
        <w:t xml:space="preserve"> representation. Danrey rationalises this difference as “an attempt at realism by the early Assyrian artists” (Danrey, 2004: 134) as when looking at these sculptures from the front they appear to be standing, but from the side they appear to be walking. The theory of enchantment could have been used here to explain this idea </w:t>
      </w:r>
      <w:r w:rsidR="00C62265">
        <w:rPr>
          <w:sz w:val="24"/>
          <w:szCs w:val="24"/>
        </w:rPr>
        <w:t>further and</w:t>
      </w:r>
      <w:r w:rsidR="00EB1DC9">
        <w:rPr>
          <w:sz w:val="24"/>
          <w:szCs w:val="24"/>
        </w:rPr>
        <w:t xml:space="preserve"> will be discussed later in this review. </w:t>
      </w:r>
    </w:p>
    <w:p w14:paraId="27A16D7F" w14:textId="77777777" w:rsidR="004B55B4" w:rsidRDefault="004B55B4" w:rsidP="004B55B4">
      <w:pPr>
        <w:rPr>
          <w:sz w:val="24"/>
          <w:szCs w:val="24"/>
        </w:rPr>
      </w:pPr>
      <w:r>
        <w:rPr>
          <w:sz w:val="24"/>
          <w:szCs w:val="24"/>
        </w:rPr>
        <w:t xml:space="preserve">After this portion of the article, which mainly focused on the placement and design of the winged human-headed bulls from the three different eras and places, we move onto the other aspect of the motifs evolution, that of the etymology of what the Akkadians referred to these figures as. It is within this part of the article that a bit of a debate takes place with the author stating the hypothesis’ of different scholars who were all trying to find the origin of the term lamassu, which is what archaeologists have dubbed the motif that is the focus of this article. As I said before this is a part of the article that we can use to derive more of a purpose for these figures other than as guides for visitors, which Danrey explicitly telling us that all the terms debated “are closely related to a notion of protection: a benevolent spirit attached to an individual, a group, a place or an entrance” (Danrey, 2004: 135).  The article then gives examples that back up this assumption, from first setting the stage with the term </w:t>
      </w:r>
      <w:r w:rsidRPr="001B7C10">
        <w:rPr>
          <w:i/>
          <w:iCs/>
          <w:sz w:val="24"/>
          <w:szCs w:val="24"/>
        </w:rPr>
        <w:lastRenderedPageBreak/>
        <w:t xml:space="preserve">aladlammu </w:t>
      </w:r>
      <w:r>
        <w:rPr>
          <w:sz w:val="24"/>
          <w:szCs w:val="24"/>
        </w:rPr>
        <w:t xml:space="preserve">that only occurs in conjunction with the description of the winged human-headed bull colossi in Neo-Assyrian building inscriptions, even though they have no symbolic meaning in this context, to the Pre-Sargonic term </w:t>
      </w:r>
      <w:r w:rsidRPr="001B7C10">
        <w:rPr>
          <w:i/>
          <w:iCs/>
          <w:sz w:val="24"/>
          <w:szCs w:val="24"/>
        </w:rPr>
        <w:t>lama-lamassu</w:t>
      </w:r>
      <w:r>
        <w:rPr>
          <w:sz w:val="24"/>
          <w:szCs w:val="24"/>
        </w:rPr>
        <w:t xml:space="preserve">, which gives a religious aspect to the term and backs up the purpose of protection through the use of deity. This subscription to a deity, represented through the physical manifestation of the motif, could also be used to back up the theory of the technologies of enchantment in regards to this particular artistic representation. </w:t>
      </w:r>
    </w:p>
    <w:p w14:paraId="718AC939" w14:textId="77950264" w:rsidR="00486C0E" w:rsidRDefault="00486C0E" w:rsidP="00486C0E">
      <w:pPr>
        <w:rPr>
          <w:sz w:val="24"/>
          <w:szCs w:val="24"/>
        </w:rPr>
      </w:pPr>
      <w:r>
        <w:rPr>
          <w:sz w:val="24"/>
          <w:szCs w:val="24"/>
        </w:rPr>
        <w:t>Danrey then takes us back further in time, before the colossal statues of winged human-headed bulls, to the first half of the second millennium, which is when the oldest representations of this motif have been dated to so far.</w:t>
      </w:r>
      <w:r>
        <w:rPr>
          <w:sz w:val="24"/>
          <w:szCs w:val="24"/>
        </w:rPr>
        <w:t xml:space="preserve"> </w:t>
      </w:r>
      <w:r>
        <w:rPr>
          <w:sz w:val="24"/>
          <w:szCs w:val="24"/>
        </w:rPr>
        <w:t>We are treated to a few different representations of the winged human-headed bull in different scenarios</w:t>
      </w:r>
      <w:r>
        <w:rPr>
          <w:sz w:val="24"/>
          <w:szCs w:val="24"/>
        </w:rPr>
        <w:t xml:space="preserve"> and in different mediums, from stele to cylinder seals.</w:t>
      </w:r>
      <w:r>
        <w:rPr>
          <w:sz w:val="24"/>
          <w:szCs w:val="24"/>
        </w:rPr>
        <w:t xml:space="preserve"> It is within the Neo-Assyrian context that these motifs evolve from just being portrayed as relief, or on cylinder seals and stele to also being depicted through the colossal statues that are main topic of this article. And although we are told that the representations of these figures seemed “to have been definitely abandoned” (Danrey, 2004: 137) around 668-627 BC</w:t>
      </w:r>
      <w:r w:rsidR="004A0A28">
        <w:rPr>
          <w:sz w:val="24"/>
          <w:szCs w:val="24"/>
        </w:rPr>
        <w:t xml:space="preserve">, they </w:t>
      </w:r>
      <w:r>
        <w:rPr>
          <w:sz w:val="24"/>
          <w:szCs w:val="24"/>
        </w:rPr>
        <w:t>do</w:t>
      </w:r>
      <w:r w:rsidR="004A0A28">
        <w:rPr>
          <w:sz w:val="24"/>
          <w:szCs w:val="24"/>
        </w:rPr>
        <w:t xml:space="preserve"> </w:t>
      </w:r>
      <w:r>
        <w:rPr>
          <w:sz w:val="24"/>
          <w:szCs w:val="24"/>
        </w:rPr>
        <w:t xml:space="preserve">appear again a century later within Persian art. The original meaning of these figures would have been lost in the ideological and political agenda of the time but they were chosen in order to obtain “the strong aura and prestige of the great Assyrian kings” (Danrey, 2004: 138). This is where the article is then concluded, by stating the first and last appearances of the motif and a suggestion </w:t>
      </w:r>
      <w:r w:rsidR="004A0A28">
        <w:rPr>
          <w:sz w:val="24"/>
          <w:szCs w:val="24"/>
        </w:rPr>
        <w:t xml:space="preserve">as </w:t>
      </w:r>
      <w:r>
        <w:rPr>
          <w:sz w:val="24"/>
          <w:szCs w:val="24"/>
        </w:rPr>
        <w:t xml:space="preserve">to why the motif disappeared from view. </w:t>
      </w:r>
    </w:p>
    <w:p w14:paraId="0CF10ACF" w14:textId="77777777" w:rsidR="004A0A28" w:rsidRDefault="004A0A28" w:rsidP="004A0A28">
      <w:pPr>
        <w:rPr>
          <w:sz w:val="24"/>
          <w:szCs w:val="24"/>
        </w:rPr>
      </w:pPr>
      <w:r>
        <w:rPr>
          <w:sz w:val="24"/>
          <w:szCs w:val="24"/>
        </w:rPr>
        <w:t xml:space="preserve">This author does not explicitly use any anthropological theory to analyse the data that is discussed in the article, however it could be argued that there was a very loose, if unintentional, use of the theory of the itinerary of objects, or as I have said the itinerary of a specific representation or motif. As Joyce tells us in </w:t>
      </w:r>
      <w:r>
        <w:rPr>
          <w:i/>
          <w:iCs/>
          <w:sz w:val="24"/>
          <w:szCs w:val="24"/>
        </w:rPr>
        <w:t xml:space="preserve">Things in Motion </w:t>
      </w:r>
      <w:r>
        <w:rPr>
          <w:sz w:val="24"/>
          <w:szCs w:val="24"/>
        </w:rPr>
        <w:t xml:space="preserve">“object itineraries open the way to understanding how things work both on the intimate scale of the human life and on the vast scales of geology, cosmology, and social history” (Joyce and Gillespie, 2015: 37) which is essentially what Danrey has done here by going through the itinerary of the representation of the winged human-headed bull, from its possible genesis through its disappearance and re-emergence within a different culture, and the implications of this, or the intended implications perceived by the people of the time period. This is when another theory of anthropology would have been useful but was unfortunately neglected, that of the theory of technologies of enchantment, which was mentioned above. The theory of technologies of enchantment by Alfred Gell posited, very simply, that some objects were made to enchant the observer but not necessarily because of the object itself but because of the supposed inherent meanings of the representation placed on it by the people of the time period, and the ability of the crafter to make the object in question, imbuing the object with the magic of the intended representation, thus the people of the time period associate the representation with the meaning behind it instinctually. In the case of the representation of the lamassu in colossal statue form the meaning is inherently clear and this in itself is the technology of enchantment, that in itself transcends time and cultural milieu as even without the research done on the culture that it originates in and the </w:t>
      </w:r>
      <w:r>
        <w:rPr>
          <w:sz w:val="24"/>
          <w:szCs w:val="24"/>
        </w:rPr>
        <w:lastRenderedPageBreak/>
        <w:t xml:space="preserve">etymological data that Danrey presents here it is obvious to those of the modern age that these colossi were meant to guard/protect the entrances in which they are placed. </w:t>
      </w:r>
    </w:p>
    <w:p w14:paraId="16385C67" w14:textId="77777777" w:rsidR="004A0A28" w:rsidRPr="00CC470E" w:rsidRDefault="004A0A28" w:rsidP="004A0A28">
      <w:pPr>
        <w:rPr>
          <w:sz w:val="24"/>
          <w:szCs w:val="24"/>
        </w:rPr>
      </w:pPr>
      <w:r>
        <w:rPr>
          <w:sz w:val="24"/>
          <w:szCs w:val="24"/>
        </w:rPr>
        <w:t xml:space="preserve">Danrey uses many different primary sources to illustrate the different representations of the winged human-headed bulls, from their colossal forms of Nimrud, Khorsabad and in particular Nineveh, to their smaller forms represented on seal impressions. Danrey has gathered these sources from other scholars and from museum entries and they have integrated them within the article as mostly just a visual reference for the reader as most of the references to the figures can be found at least one page before the figure is displayed which makes the article feel a little disjointed. </w:t>
      </w:r>
    </w:p>
    <w:p w14:paraId="0B3D8D8C" w14:textId="0BAE2193" w:rsidR="004A0A28" w:rsidRPr="00B26F38" w:rsidRDefault="004A0A28" w:rsidP="004A0A28">
      <w:pPr>
        <w:rPr>
          <w:b/>
          <w:bCs/>
          <w:sz w:val="28"/>
          <w:szCs w:val="28"/>
        </w:rPr>
      </w:pPr>
      <w:r>
        <w:rPr>
          <w:sz w:val="24"/>
          <w:szCs w:val="24"/>
        </w:rPr>
        <w:t>It is very difficult to ascertain how this article falls within the range of the authors other scholarship as it seems that the author did not publish anything but this article so it is better to move on to how this article relates and contributes to the scholarly debate/discussion of the lamassu of ancient Mesopotamia. In brief this article takes us through the many times periods, locations</w:t>
      </w:r>
      <w:r w:rsidR="00616821">
        <w:rPr>
          <w:sz w:val="24"/>
          <w:szCs w:val="24"/>
        </w:rPr>
        <w:t>,</w:t>
      </w:r>
      <w:r>
        <w:rPr>
          <w:sz w:val="24"/>
          <w:szCs w:val="24"/>
        </w:rPr>
        <w:t xml:space="preserve"> and different representations of the winged human-headed bulls, giving us a brief overview of the history of this particular motif and the ascribed meaning behind it. The author presents the views of many different scholars, presenting their opinions, with the author coming to their own conclusion on the topics they present, as shown above.  As this is article is an overview it could be seen as a presentation of the culmination of all other work that has come before, albeit in brief, as the author has included information from sources that range all the way from 1849 to the very same year in which this article was published, thus presenting the most up to date information on the discussion, at least up until 2004. As the article presents information both on the physical design of the different representations of the motif and the etymological history of the meaning behind the representation this article focuses on then although over a decade has passed since its publication, it would be a good starting point in which to begin research on the topic of winged human-headed bulls.</w:t>
      </w:r>
    </w:p>
    <w:p w14:paraId="536BFB31" w14:textId="3387D733" w:rsidR="004A0A28" w:rsidRDefault="004A0A28" w:rsidP="004A0A28">
      <w:pPr>
        <w:rPr>
          <w:sz w:val="24"/>
          <w:szCs w:val="24"/>
        </w:rPr>
      </w:pPr>
      <w:r>
        <w:rPr>
          <w:sz w:val="24"/>
          <w:szCs w:val="24"/>
        </w:rPr>
        <w:t xml:space="preserve">The article itself is very well written and easy to follow, the author does not use any technical language that would confuse the reader. However, the structure of the article itself leaves something to be desired. How the author goes about presenting the data is very confused. Although it makes sense to speak about the colossal statues of Nineveh first, as Nineveh is mentioned in the title of the article, it is the most recent in time compared to  the colossal statues of Nimrud and Khorsabad which are the second set of representations that the author talks about. Then the author begins talking about the etymology of the term connected to these representations, before going back to talking about representations of the motif, but this time </w:t>
      </w:r>
      <w:r w:rsidR="00C62265">
        <w:rPr>
          <w:sz w:val="24"/>
          <w:szCs w:val="24"/>
        </w:rPr>
        <w:t>they have</w:t>
      </w:r>
      <w:r>
        <w:rPr>
          <w:sz w:val="24"/>
          <w:szCs w:val="24"/>
        </w:rPr>
        <w:t xml:space="preserve"> gone even further back in time to the very first of these representations. So although well written and easy to follow, the structure of this article is confusing, it does not follow the itinerary of the representation in a straight line from genesis to disappearance, nor does it keep to the discussion of the objects the motif is represented through before moving on to talk about the etymology of the term connected to it but places this discussion in the middle of the article. Furthermore, the conclusion of the article is abrupt because of the disjointedness of the discussion, there is no nature flow towards it. </w:t>
      </w:r>
    </w:p>
    <w:p w14:paraId="7FB1692E" w14:textId="77777777" w:rsidR="00C62265" w:rsidRDefault="00C62265" w:rsidP="004A0A28">
      <w:pPr>
        <w:rPr>
          <w:sz w:val="24"/>
          <w:szCs w:val="24"/>
        </w:rPr>
      </w:pPr>
    </w:p>
    <w:p w14:paraId="125A72E0" w14:textId="77777777" w:rsidR="004A0A28" w:rsidRDefault="004A0A28" w:rsidP="004A0A28">
      <w:pPr>
        <w:rPr>
          <w:b/>
          <w:bCs/>
          <w:sz w:val="28"/>
          <w:szCs w:val="28"/>
        </w:rPr>
      </w:pPr>
      <w:r>
        <w:rPr>
          <w:b/>
          <w:bCs/>
          <w:sz w:val="28"/>
          <w:szCs w:val="28"/>
        </w:rPr>
        <w:t>Bibliography</w:t>
      </w:r>
    </w:p>
    <w:p w14:paraId="32F5B106" w14:textId="77777777" w:rsidR="004A0A28" w:rsidRPr="00FF7818" w:rsidRDefault="004A0A28" w:rsidP="004A0A28">
      <w:pPr>
        <w:rPr>
          <w:rFonts w:cstheme="minorHAnsi"/>
          <w:color w:val="000000"/>
          <w:sz w:val="24"/>
          <w:szCs w:val="24"/>
          <w:shd w:val="clear" w:color="auto" w:fill="FFFFFF"/>
        </w:rPr>
      </w:pPr>
      <w:r w:rsidRPr="00FF7818">
        <w:rPr>
          <w:rFonts w:cstheme="minorHAnsi"/>
          <w:color w:val="000000"/>
          <w:sz w:val="24"/>
          <w:szCs w:val="24"/>
          <w:shd w:val="clear" w:color="auto" w:fill="FFFFFF"/>
        </w:rPr>
        <w:t>Danrey, V., 2004. Winged Human-Headed Bulls of Nineveh: Genesis of an Iconographic Motif. </w:t>
      </w:r>
      <w:r w:rsidRPr="00FF7818">
        <w:rPr>
          <w:rFonts w:cstheme="minorHAnsi"/>
          <w:i/>
          <w:iCs/>
          <w:color w:val="000000"/>
          <w:sz w:val="24"/>
          <w:szCs w:val="24"/>
          <w:shd w:val="clear" w:color="auto" w:fill="FFFFFF"/>
        </w:rPr>
        <w:t>Iraq</w:t>
      </w:r>
      <w:r w:rsidRPr="00FF7818">
        <w:rPr>
          <w:rFonts w:cstheme="minorHAnsi"/>
          <w:color w:val="000000"/>
          <w:sz w:val="24"/>
          <w:szCs w:val="24"/>
          <w:shd w:val="clear" w:color="auto" w:fill="FFFFFF"/>
        </w:rPr>
        <w:t>, 66, pp.133-139.</w:t>
      </w:r>
    </w:p>
    <w:p w14:paraId="16950F1F" w14:textId="77777777" w:rsidR="004A0A28" w:rsidRDefault="004A0A28" w:rsidP="004A0A28">
      <w:pPr>
        <w:rPr>
          <w:rFonts w:cstheme="minorHAnsi"/>
          <w:color w:val="000000"/>
          <w:sz w:val="24"/>
          <w:szCs w:val="24"/>
          <w:shd w:val="clear" w:color="auto" w:fill="FFFFFF"/>
        </w:rPr>
      </w:pPr>
      <w:r w:rsidRPr="00FF7818">
        <w:rPr>
          <w:rFonts w:cstheme="minorHAnsi"/>
          <w:color w:val="000000"/>
          <w:sz w:val="24"/>
          <w:szCs w:val="24"/>
          <w:shd w:val="clear" w:color="auto" w:fill="FFFFFF"/>
        </w:rPr>
        <w:t>Deverson, T. and Kennedy, G., 2005. </w:t>
      </w:r>
      <w:r w:rsidRPr="00FF7818">
        <w:rPr>
          <w:rFonts w:cstheme="minorHAnsi"/>
          <w:i/>
          <w:iCs/>
          <w:color w:val="000000"/>
          <w:sz w:val="24"/>
          <w:szCs w:val="24"/>
          <w:shd w:val="clear" w:color="auto" w:fill="FFFFFF"/>
        </w:rPr>
        <w:t>The New Zealand Oxford Dictionary</w:t>
      </w:r>
      <w:r w:rsidRPr="00FF7818">
        <w:rPr>
          <w:rFonts w:cstheme="minorHAnsi"/>
          <w:color w:val="000000"/>
          <w:sz w:val="24"/>
          <w:szCs w:val="24"/>
          <w:shd w:val="clear" w:color="auto" w:fill="FFFFFF"/>
        </w:rPr>
        <w:t>. Auckland, N.Z.: Oxford University Press.</w:t>
      </w:r>
    </w:p>
    <w:p w14:paraId="6F71C6DD" w14:textId="77777777" w:rsidR="004A0A28" w:rsidRDefault="004A0A28" w:rsidP="004A0A28">
      <w:pPr>
        <w:rPr>
          <w:rFonts w:cstheme="minorHAnsi"/>
          <w:color w:val="000000"/>
          <w:sz w:val="24"/>
          <w:szCs w:val="24"/>
          <w:shd w:val="clear" w:color="auto" w:fill="FFFFFF"/>
        </w:rPr>
      </w:pPr>
      <w:r w:rsidRPr="00750EBF">
        <w:rPr>
          <w:rFonts w:cstheme="minorHAnsi"/>
          <w:color w:val="000000"/>
          <w:sz w:val="24"/>
          <w:szCs w:val="24"/>
          <w:shd w:val="clear" w:color="auto" w:fill="FFFFFF"/>
        </w:rPr>
        <w:t>Gell, A., 1994. The Technology of Enchantment and the Enchantment of Technology. In: J. Coote, ed., Anthropology, Art, and Aesthetics. Clarendon Press.</w:t>
      </w:r>
    </w:p>
    <w:p w14:paraId="7AE70BBC" w14:textId="77777777" w:rsidR="004A0A28" w:rsidRPr="00545D49" w:rsidRDefault="004A0A28" w:rsidP="004A0A28">
      <w:pPr>
        <w:rPr>
          <w:rFonts w:cstheme="minorHAnsi"/>
          <w:sz w:val="24"/>
          <w:szCs w:val="24"/>
        </w:rPr>
      </w:pPr>
      <w:r w:rsidRPr="00545D49">
        <w:rPr>
          <w:rFonts w:cstheme="minorHAnsi"/>
          <w:sz w:val="24"/>
          <w:szCs w:val="24"/>
        </w:rPr>
        <w:t>Joyce, R. and Gillespie, S., 2015. Things In Motion: Object Itineraries In Anthropological Practice. Sante Fe: School for Advanced Research Press.</w:t>
      </w:r>
    </w:p>
    <w:p w14:paraId="602CE8CE" w14:textId="7456838B" w:rsidR="00F71CE9" w:rsidRDefault="00F71CE9"/>
    <w:sectPr w:rsidR="00F71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423"/>
    <w:rsid w:val="002B5100"/>
    <w:rsid w:val="00360FCB"/>
    <w:rsid w:val="0036742F"/>
    <w:rsid w:val="00486C0E"/>
    <w:rsid w:val="004A0A28"/>
    <w:rsid w:val="004B55B4"/>
    <w:rsid w:val="00560F70"/>
    <w:rsid w:val="00616821"/>
    <w:rsid w:val="007632E7"/>
    <w:rsid w:val="00A610C0"/>
    <w:rsid w:val="00AB59FA"/>
    <w:rsid w:val="00B90423"/>
    <w:rsid w:val="00C62265"/>
    <w:rsid w:val="00EB1DC9"/>
    <w:rsid w:val="00F71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AE454"/>
  <w15:chartTrackingRefBased/>
  <w15:docId w15:val="{F580E8A2-0921-475B-92D8-B701C4CAD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4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1689</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Tiarnach Leer</dc:creator>
  <cp:keywords/>
  <dc:description/>
  <cp:lastModifiedBy>Tiarnach Leer</cp:lastModifiedBy>
  <cp:revision>1</cp:revision>
  <dcterms:created xsi:type="dcterms:W3CDTF">2020-11-05T20:51:00Z</dcterms:created>
  <dcterms:modified xsi:type="dcterms:W3CDTF">2020-11-05T21:28:00Z</dcterms:modified>
</cp:coreProperties>
</file>