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eg" ContentType="image/jpeg"/>
  <Override PartName="/word/settings.xml" ContentType="application/vnd.openxmlformats-officedocument.wordprocessingml.settings+xml"/>
  <Override PartName="/word/document.xml" ContentType="application/vnd.openxmlformats-officedocument.wordprocessingml.document.main+xml"/>
  <Override PartName="/word/styles.xml" ContentType="application/vnd.openxmlformats-officedocument.wordprocessingml.style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 Id="rId4" Type="http://schemas.openxmlformats.org/package/2006/relationships/metadata/thumbnail" Target="docProps/thumbnail.jpeg"/></Relationships>
</file>

<file path=word/document.xml><?xml version="1.0" encoding="utf-8"?>
<w:document xmlns:w="http://schemas.openxmlformats.org/wordprocessingml/2006/main" xmlns:o="urn:schemas-microsoft-com:office:office" xmlns:r="http://schemas.openxmlformats.org/officeDocument/2006/relationships" xmlns:m="http://schemas.openxmlformats.org/officeDocument/2006/math" xmlns:v="urn:schemas-microsoft-com:vml" xmlns:a="http://schemas.openxmlformats.org/drawingml/2006/main" xmlns:wps="http://schemas.microsoft.com/office/word/2010/wordprocessingShape" xmlns:wp="http://schemas.openxmlformats.org/drawingml/2006/wordprocessingDrawing" xmlns:pic="http://schemas.openxmlformats.org/drawingml/2006/picture" xmlns:mc="http://schemas.openxmlformats.org/markup-compatibility/2006" xmlns:wpg="http://schemas.microsoft.com/office/word/2010/wordprocessingGroup" xmlns:wpc="http://schemas.microsoft.com/office/word/2010/wordprocessingCanvas" xmlns:w10="urn:schemas-microsoft-com:office:word" xmlns:w14="http://schemas.microsoft.com/office/word/2010/wordml" xmlns:a14="http://schemas.microsoft.com/office/drawing/2010/main" mc:Ignorable="w14">
  <w:body>
    <w:p>
      <w:pPr>
        <w:spacing w:after="0" w:line="360" w:lineRule="auto"/>
        <w:jc w:val="center"/>
        <w:rPr>
          <w:rFonts w:ascii="Arial" w:cs="Arial" w:hAnsi="Arial"/>
          <w:b/>
          <w:sz w:val="32"/>
          <w:szCs w:val="32"/>
        </w:rPr>
      </w:pPr>
      <w:bookmarkStart w:id="0" w:name="_GoBack"/>
      <w:bookmarkEnd w:id="0"/>
      <w:r>
        <w:rPr>
          <w:rFonts w:ascii="Arial" w:cs="Arial" w:hAnsi="Arial"/>
          <w:b/>
          <w:sz w:val="32"/>
          <w:szCs w:val="32"/>
        </w:rPr>
        <w:t>LCLM6002 – Design Thinking and Innovation</w:t>
      </w:r>
    </w:p>
    <w:p>
      <w:pPr>
        <w:spacing w:after="0" w:line="360" w:lineRule="auto"/>
        <w:jc w:val="center"/>
        <w:rPr>
          <w:rFonts w:ascii="Arial" w:cs="Arial" w:hAnsi="Arial"/>
          <w:sz w:val="32"/>
          <w:szCs w:val="32"/>
        </w:rPr>
      </w:pPr>
      <w:r>
        <w:rPr>
          <w:rFonts w:ascii="Arial" w:cs="Arial" w:hAnsi="Arial"/>
          <w:b/>
          <w:sz w:val="32"/>
          <w:szCs w:val="32"/>
        </w:rPr>
        <w:t>Title:</w:t>
      </w:r>
      <w:r>
        <w:rPr>
          <w:rFonts w:ascii="Arial" w:cs="Arial" w:hAnsi="Arial"/>
          <w:sz w:val="32"/>
          <w:szCs w:val="32"/>
        </w:rPr>
        <w:t xml:space="preserve"> Innovation&amp;Customer Journey – Jaguar Land Rover UK</w:t>
      </w:r>
    </w:p>
    <w:p>
      <w:pPr>
        <w:spacing w:after="0"/>
        <w:jc w:val="center"/>
      </w:pPr>
    </w:p>
    <w:p>
      <w:pPr>
        <w:spacing w:after="0"/>
        <w:jc w:val="center"/>
      </w:pPr>
    </w:p>
    <w:p>
      <w:pPr>
        <w:spacing w:after="0"/>
        <w:jc w:val="center"/>
      </w:pPr>
    </w:p>
    <w:p>
      <w:pPr>
        <w:spacing w:after="0"/>
        <w:jc w:val="center"/>
      </w:pPr>
    </w:p>
    <w:p>
      <w:pPr>
        <w:spacing w:after="0"/>
        <w:jc w:val="center"/>
      </w:pPr>
    </w:p>
    <w:p>
      <w:pPr>
        <w:spacing w:after="0"/>
        <w:jc w:val="center"/>
      </w:pPr>
    </w:p>
    <w:p>
      <w:pPr>
        <w:spacing w:after="0"/>
        <w:jc w:val="center"/>
      </w:pPr>
    </w:p>
    <w:p>
      <w:pPr>
        <w:spacing w:after="0"/>
        <w:jc w:val="center"/>
      </w:pPr>
    </w:p>
    <w:p>
      <w:pPr>
        <w:spacing w:after="0"/>
        <w:jc w:val="center"/>
      </w:pPr>
    </w:p>
    <w:p>
      <w:pPr>
        <w:spacing w:after="0"/>
      </w:pPr>
    </w:p>
    <w:p>
      <w:pPr>
        <w:spacing w:after="0"/>
        <w:jc w:val="center"/>
      </w:pPr>
    </w:p>
    <w:p>
      <w:pPr>
        <w:spacing w:after="0"/>
        <w:jc w:val="center"/>
      </w:pPr>
    </w:p>
    <w:p>
      <w:pPr>
        <w:spacing w:after="0"/>
        <w:jc w:val="center"/>
      </w:pPr>
    </w:p>
    <w:p>
      <w:pPr>
        <w:spacing w:after="0"/>
        <w:jc w:val="center"/>
      </w:pPr>
    </w:p>
    <w:p>
      <w:pPr>
        <w:spacing w:after="0"/>
        <w:jc w:val="center"/>
      </w:pPr>
    </w:p>
    <w:p>
      <w:pPr>
        <w:spacing w:after="0"/>
        <w:jc w:val="center"/>
      </w:pPr>
    </w:p>
    <w:p>
      <w:pPr>
        <w:spacing w:after="0"/>
        <w:jc w:val="center"/>
      </w:pPr>
    </w:p>
    <w:p>
      <w:pPr>
        <w:spacing w:after="0"/>
        <w:jc w:val="center"/>
        <w:rPr>
          <w:rFonts w:ascii="Arial" w:cs="Arial" w:hAnsi="Arial"/>
          <w:sz w:val="28"/>
          <w:szCs w:val="28"/>
        </w:rPr>
      </w:pPr>
      <w:r>
        <w:br/>
      </w:r>
      <w:r>
        <w:rPr>
          <w:rFonts w:ascii="Arial" w:cs="Arial" w:hAnsi="Arial"/>
          <w:b/>
          <w:sz w:val="28"/>
          <w:szCs w:val="28"/>
        </w:rPr>
        <w:t>Student:</w:t>
      </w:r>
      <w:r>
        <w:rPr>
          <w:rFonts w:ascii="Arial" w:cs="Arial" w:hAnsi="Arial"/>
          <w:sz w:val="28"/>
          <w:szCs w:val="28"/>
        </w:rPr>
        <w:t xml:space="preserve"> Andrei Valentin Gavrila</w:t>
        <w:br/>
      </w:r>
      <w:r>
        <w:rPr>
          <w:rFonts w:ascii="Arial" w:cs="Arial" w:hAnsi="Arial"/>
          <w:b/>
          <w:sz w:val="28"/>
          <w:szCs w:val="28"/>
        </w:rPr>
        <w:t>Student ID:</w:t>
      </w:r>
      <w:r>
        <w:rPr>
          <w:rFonts w:ascii="Arial" w:cs="Arial" w:hAnsi="Arial"/>
          <w:sz w:val="28"/>
          <w:szCs w:val="28"/>
        </w:rPr>
        <w:t xml:space="preserve"> 2311201</w:t>
      </w:r>
    </w:p>
    <w:p>
      <w:pPr>
        <w:spacing w:after="0"/>
        <w:jc w:val="center"/>
        <w:rPr>
          <w:rFonts w:ascii="Arial" w:cs="Arial" w:hAnsi="Arial"/>
          <w:bCs/>
          <w:sz w:val="28"/>
          <w:szCs w:val="28"/>
        </w:rPr>
      </w:pPr>
      <w:r>
        <w:rPr>
          <w:rFonts w:ascii="Arial" w:cs="Arial" w:hAnsi="Arial"/>
          <w:b/>
          <w:sz w:val="28"/>
          <w:szCs w:val="28"/>
        </w:rPr>
        <w:t xml:space="preserve">Word count: </w:t>
      </w:r>
      <w:r>
        <w:rPr>
          <w:rFonts w:ascii="Arial" w:cs="Arial" w:hAnsi="Arial"/>
          <w:bCs/>
          <w:sz w:val="28"/>
          <w:szCs w:val="28"/>
        </w:rPr>
        <w:t>4120</w:t>
      </w:r>
    </w:p>
    <w:p>
      <w:pPr>
        <w:spacing w:after="0"/>
        <w:jc w:val="center"/>
        <w:rPr>
          <w:rFonts w:ascii="Arial" w:cs="Arial" w:hAnsi="Arial"/>
          <w:bCs/>
          <w:sz w:val="28"/>
          <w:szCs w:val="28"/>
        </w:rPr>
      </w:pPr>
    </w:p>
    <w:p>
      <w:pPr>
        <w:spacing w:after="0"/>
        <w:jc w:val="center"/>
        <w:rPr>
          <w:rFonts w:ascii="Arial" w:cs="Arial" w:hAnsi="Arial"/>
          <w:bCs/>
          <w:sz w:val="28"/>
          <w:szCs w:val="28"/>
        </w:rPr>
      </w:pPr>
    </w:p>
    <w:p>
      <w:pPr>
        <w:spacing w:after="0"/>
        <w:jc w:val="center"/>
        <w:rPr>
          <w:rFonts w:ascii="Arial" w:cs="Arial" w:hAnsi="Arial"/>
          <w:bCs/>
          <w:sz w:val="28"/>
          <w:szCs w:val="28"/>
        </w:rPr>
      </w:pPr>
    </w:p>
    <w:p>
      <w:pPr>
        <w:spacing w:after="0"/>
        <w:jc w:val="center"/>
        <w:rPr>
          <w:rFonts w:ascii="Arial" w:cs="Arial" w:hAnsi="Arial"/>
          <w:bCs/>
          <w:sz w:val="28"/>
          <w:szCs w:val="28"/>
        </w:rPr>
      </w:pPr>
    </w:p>
    <w:p>
      <w:pPr>
        <w:spacing w:after="0"/>
        <w:jc w:val="center"/>
        <w:rPr>
          <w:rFonts w:ascii="Arial" w:cs="Arial" w:hAnsi="Arial"/>
          <w:bCs/>
          <w:sz w:val="28"/>
          <w:szCs w:val="28"/>
        </w:rPr>
      </w:pPr>
    </w:p>
    <w:p>
      <w:pPr>
        <w:spacing w:after="0"/>
        <w:jc w:val="center"/>
        <w:rPr>
          <w:rFonts w:ascii="Arial" w:cs="Arial" w:hAnsi="Arial"/>
          <w:bCs/>
          <w:sz w:val="28"/>
          <w:szCs w:val="28"/>
        </w:rPr>
      </w:pPr>
    </w:p>
    <w:p>
      <w:pPr>
        <w:spacing w:after="0"/>
        <w:jc w:val="center"/>
        <w:rPr>
          <w:rFonts w:ascii="Arial" w:cs="Arial" w:hAnsi="Arial"/>
          <w:bCs/>
          <w:sz w:val="28"/>
          <w:szCs w:val="28"/>
        </w:rPr>
      </w:pPr>
    </w:p>
    <w:p>
      <w:pPr>
        <w:spacing w:after="0"/>
        <w:jc w:val="center"/>
        <w:rPr>
          <w:rFonts w:ascii="Arial" w:cs="Arial" w:hAnsi="Arial"/>
          <w:bCs/>
          <w:sz w:val="28"/>
          <w:szCs w:val="28"/>
        </w:rPr>
      </w:pPr>
    </w:p>
    <w:p>
      <w:pPr>
        <w:spacing w:after="0"/>
        <w:jc w:val="center"/>
        <w:rPr>
          <w:rFonts w:ascii="Arial" w:cs="Arial" w:hAnsi="Arial"/>
          <w:bCs/>
          <w:sz w:val="28"/>
          <w:szCs w:val="28"/>
        </w:rPr>
      </w:pPr>
    </w:p>
    <w:p>
      <w:pPr>
        <w:spacing w:after="0"/>
        <w:jc w:val="center"/>
        <w:rPr>
          <w:rFonts w:ascii="Arial" w:cs="Arial" w:hAnsi="Arial"/>
          <w:bCs/>
          <w:sz w:val="28"/>
          <w:szCs w:val="28"/>
        </w:rPr>
      </w:pPr>
    </w:p>
    <w:p>
      <w:pPr>
        <w:spacing w:after="0"/>
        <w:jc w:val="center"/>
        <w:rPr>
          <w:rFonts w:ascii="Arial" w:cs="Arial" w:hAnsi="Arial"/>
          <w:bCs/>
          <w:sz w:val="28"/>
          <w:szCs w:val="28"/>
        </w:rPr>
      </w:pPr>
    </w:p>
    <w:p>
      <w:pPr>
        <w:spacing w:after="0"/>
        <w:jc w:val="center"/>
        <w:rPr>
          <w:rFonts w:ascii="Arial" w:cs="Arial" w:hAnsi="Arial"/>
          <w:bCs/>
          <w:sz w:val="28"/>
          <w:szCs w:val="28"/>
        </w:rPr>
      </w:pPr>
    </w:p>
    <w:sdt>
      <w:sdtPr>
        <w:rPr>
          <w:rFonts w:ascii="Calibri" w:eastAsia="Calibri" w:cs="Arial" w:hAnsi="Calibri"/>
          <w:color w:val="auto"/>
          <w:kern w:val="2"/>
          <w:sz w:val="24"/>
          <w:szCs w:val="24"/>
          <w:lang w:val="en-GB"/>
        </w:rPr>
        <w:id w:val="1758003640"/>
        <w:docPartObj>
          <w:docPartGallery/>
          <w:docPartUnique/>
        </w:docPartObj>
      </w:sdtPr>
      <w:sdtContent>
        <w:p>
          <w:pPr>
            <w:pStyle w:val="22"/>
            <w:spacing w:before="0" w:line="360" w:lineRule="auto"/>
            <w:jc w:val="center"/>
            <w:rPr>
              <w:rFonts w:ascii="Arial" w:cs="Arial" w:hAnsi="Arial"/>
              <w:b/>
              <w:bCs/>
              <w:color w:val="000000"/>
            </w:rPr>
          </w:pPr>
          <w:r>
            <w:rPr>
              <w:rFonts w:ascii="Arial" w:cs="Arial" w:hAnsi="Arial"/>
              <w:b/>
              <w:bCs/>
              <w:color w:val="000000"/>
            </w:rPr>
            <w:t>Contents</w:t>
          </w:r>
        </w:p>
        <w:p>
          <w:pPr>
            <w:pStyle w:val="23"/>
            <w:tabs>
              <w:tab w:val="right" w:leader="dot" w:pos="9350"/>
            </w:tabs>
            <w:rPr>
              <w:rFonts w:eastAsia="等线"/>
              <w:lang w:val="en-US"/>
            </w:rPr>
          </w:pPr>
          <w:r>
            <w:fldChar w:fldCharType="begin"/>
          </w:r>
          <w:r>
            <w:instrText xml:space="preserve"> TOC \o "1-3" \h \z \u </w:instrText>
          </w:r>
          <w:r>
            <w:fldChar w:fldCharType="separate"/>
          </w:r>
          <w:r>
            <w:fldChar w:fldCharType="begin"/>
          </w:r>
          <w:r>
            <w:instrText>Hyperlink \l "_Toc212931313"</w:instrText>
          </w:r>
          <w:r>
            <w:fldChar w:fldCharType="separate"/>
          </w:r>
          <w:r>
            <w:rPr>
              <w:rFonts w:ascii="Arial" w:cs="Arial" w:hAnsi="Arial"/>
              <w:b/>
              <w:bCs/>
              <w:lang w:val="en-US"/>
            </w:rPr>
            <w:t>Key Consumer and Industry Trends</w:t>
          </w:r>
          <w:r>
            <w:tab/>
          </w:r>
          <w:r>
            <w:fldChar w:fldCharType="begin"/>
          </w:r>
          <w:r>
            <w:instrText xml:space="preserve"> PAGEREF _Toc212931313 \h </w:instrText>
          </w:r>
          <w:r>
            <w:fldChar w:fldCharType="separate"/>
          </w:r>
          <w:r>
            <w:t>3</w:t>
          </w:r>
          <w:r>
            <w:fldChar w:fldCharType="end"/>
          </w:r>
          <w:r>
            <w:fldChar w:fldCharType="end"/>
          </w:r>
        </w:p>
        <w:p>
          <w:pPr>
            <w:pStyle w:val="23"/>
            <w:tabs>
              <w:tab w:val="right" w:leader="dot" w:pos="9350"/>
            </w:tabs>
            <w:rPr>
              <w:rFonts w:eastAsia="等线"/>
              <w:lang w:val="en-US"/>
            </w:rPr>
          </w:pPr>
          <w:r>
            <w:fldChar w:fldCharType="begin"/>
          </w:r>
          <w:r>
            <w:instrText>Hyperlink \l "_Toc212931314"</w:instrText>
          </w:r>
          <w:r>
            <w:fldChar w:fldCharType="separate"/>
          </w:r>
          <w:r>
            <w:rPr>
              <w:rFonts w:ascii="Arial" w:cs="Arial" w:hAnsi="Arial"/>
              <w:b/>
              <w:bCs/>
              <w:lang w:val="en-US"/>
            </w:rPr>
            <w:t>PART 1: Organisational Analysis and Assessment</w:t>
          </w:r>
          <w:r>
            <w:tab/>
          </w:r>
          <w:r>
            <w:fldChar w:fldCharType="begin"/>
          </w:r>
          <w:r>
            <w:instrText xml:space="preserve"> PAGEREF _Toc212931314 \h </w:instrText>
          </w:r>
          <w:r>
            <w:fldChar w:fldCharType="separate"/>
          </w:r>
          <w:r>
            <w:t>5</w:t>
          </w:r>
          <w:r>
            <w:fldChar w:fldCharType="end"/>
          </w:r>
          <w:r>
            <w:fldChar w:fldCharType="end"/>
          </w:r>
        </w:p>
        <w:p>
          <w:pPr>
            <w:pStyle w:val="24"/>
            <w:tabs>
              <w:tab w:val="right" w:leader="dot" w:pos="9350"/>
            </w:tabs>
            <w:rPr>
              <w:rFonts w:eastAsia="等线"/>
              <w:lang w:val="en-US"/>
            </w:rPr>
          </w:pPr>
          <w:r>
            <w:fldChar w:fldCharType="begin"/>
          </w:r>
          <w:r>
            <w:instrText>Hyperlink \l "_Toc212931315"</w:instrText>
          </w:r>
          <w:r>
            <w:fldChar w:fldCharType="separate"/>
          </w:r>
          <w:r>
            <w:rPr>
              <w:rFonts w:ascii="Arial" w:cs="Arial" w:hAnsi="Arial"/>
              <w:b/>
              <w:bCs/>
              <w:lang w:val="en-US"/>
            </w:rPr>
            <w:t>1.1. Innovation Ambition Matrix</w:t>
          </w:r>
          <w:r>
            <w:tab/>
          </w:r>
          <w:r>
            <w:fldChar w:fldCharType="begin"/>
          </w:r>
          <w:r>
            <w:instrText xml:space="preserve"> PAGEREF _Toc212931315 \h </w:instrText>
          </w:r>
          <w:r>
            <w:fldChar w:fldCharType="separate"/>
          </w:r>
          <w:r>
            <w:t>5</w:t>
          </w:r>
          <w:r>
            <w:fldChar w:fldCharType="end"/>
          </w:r>
          <w:r>
            <w:fldChar w:fldCharType="end"/>
          </w:r>
        </w:p>
        <w:p>
          <w:pPr>
            <w:pStyle w:val="25"/>
            <w:tabs>
              <w:tab w:val="right" w:leader="dot" w:pos="9350"/>
            </w:tabs>
            <w:rPr>
              <w:rFonts w:eastAsia="等线"/>
              <w:lang w:val="en-US"/>
            </w:rPr>
          </w:pPr>
          <w:r>
            <w:fldChar w:fldCharType="begin"/>
          </w:r>
          <w:r>
            <w:instrText>Hyperlink \l "_Toc212931316"</w:instrText>
          </w:r>
          <w:r>
            <w:fldChar w:fldCharType="separate"/>
          </w:r>
          <w:r>
            <w:rPr>
              <w:rFonts w:ascii="Arial" w:cs="Arial" w:hAnsi="Arial"/>
              <w:b/>
              <w:bCs/>
              <w:lang w:val="en-US"/>
            </w:rPr>
            <w:t>1.1.1. McKinsey’s 3 Horizons model</w:t>
          </w:r>
          <w:r>
            <w:tab/>
          </w:r>
          <w:r>
            <w:fldChar w:fldCharType="begin"/>
          </w:r>
          <w:r>
            <w:instrText xml:space="preserve"> PAGEREF _Toc212931316 \h </w:instrText>
          </w:r>
          <w:r>
            <w:fldChar w:fldCharType="separate"/>
          </w:r>
          <w:r>
            <w:t>6</w:t>
          </w:r>
          <w:r>
            <w:fldChar w:fldCharType="end"/>
          </w:r>
          <w:r>
            <w:fldChar w:fldCharType="end"/>
          </w:r>
        </w:p>
        <w:p>
          <w:pPr>
            <w:pStyle w:val="24"/>
            <w:tabs>
              <w:tab w:val="right" w:leader="dot" w:pos="9350"/>
            </w:tabs>
            <w:rPr>
              <w:rFonts w:eastAsia="等线"/>
              <w:lang w:val="en-US"/>
            </w:rPr>
          </w:pPr>
          <w:r>
            <w:fldChar w:fldCharType="begin"/>
          </w:r>
          <w:r>
            <w:instrText>Hyperlink \l "_Toc212931317"</w:instrText>
          </w:r>
          <w:r>
            <w:fldChar w:fldCharType="separate"/>
          </w:r>
          <w:r>
            <w:rPr>
              <w:rFonts w:ascii="Arial" w:cs="Arial" w:hAnsi="Arial"/>
              <w:b/>
              <w:bCs/>
              <w:lang w:val="en-US"/>
            </w:rPr>
            <w:t>1.2. Customer Journey Mapping</w:t>
          </w:r>
          <w:r>
            <w:tab/>
          </w:r>
          <w:r>
            <w:fldChar w:fldCharType="begin"/>
          </w:r>
          <w:r>
            <w:instrText xml:space="preserve"> PAGEREF _Toc212931317 \h </w:instrText>
          </w:r>
          <w:r>
            <w:fldChar w:fldCharType="separate"/>
          </w:r>
          <w:r>
            <w:t>7</w:t>
          </w:r>
          <w:r>
            <w:fldChar w:fldCharType="end"/>
          </w:r>
          <w:r>
            <w:fldChar w:fldCharType="end"/>
          </w:r>
        </w:p>
        <w:p>
          <w:pPr>
            <w:pStyle w:val="23"/>
            <w:tabs>
              <w:tab w:val="right" w:leader="dot" w:pos="9350"/>
            </w:tabs>
            <w:rPr>
              <w:rFonts w:eastAsia="等线"/>
              <w:lang w:val="en-US"/>
            </w:rPr>
          </w:pPr>
          <w:r>
            <w:fldChar w:fldCharType="begin"/>
          </w:r>
          <w:r>
            <w:instrText>Hyperlink \l "_Toc212931318"</w:instrText>
          </w:r>
          <w:r>
            <w:fldChar w:fldCharType="separate"/>
          </w:r>
          <w:r>
            <w:rPr>
              <w:rFonts w:ascii="Arial" w:cs="Arial" w:hAnsi="Arial"/>
              <w:b/>
              <w:bCs/>
              <w:lang w:val="en-US"/>
            </w:rPr>
            <w:t>PART 2: Proposed Digital Transformation Initiative – “Smart Luxury Ecosystem”</w:t>
          </w:r>
          <w:r>
            <w:tab/>
          </w:r>
          <w:r>
            <w:fldChar w:fldCharType="begin"/>
          </w:r>
          <w:r>
            <w:instrText xml:space="preserve"> PAGEREF _Toc212931318 \h </w:instrText>
          </w:r>
          <w:r>
            <w:fldChar w:fldCharType="separate"/>
          </w:r>
          <w:r>
            <w:t>9</w:t>
          </w:r>
          <w:r>
            <w:fldChar w:fldCharType="end"/>
          </w:r>
          <w:r>
            <w:fldChar w:fldCharType="end"/>
          </w:r>
        </w:p>
        <w:p>
          <w:pPr>
            <w:pStyle w:val="24"/>
            <w:tabs>
              <w:tab w:val="right" w:leader="dot" w:pos="9350"/>
            </w:tabs>
            <w:rPr>
              <w:rFonts w:eastAsia="等线"/>
              <w:lang w:val="en-US"/>
            </w:rPr>
          </w:pPr>
          <w:r>
            <w:fldChar w:fldCharType="begin"/>
          </w:r>
          <w:r>
            <w:instrText>Hyperlink \l "_Toc212931319"</w:instrText>
          </w:r>
          <w:r>
            <w:fldChar w:fldCharType="separate"/>
          </w:r>
          <w:r>
            <w:rPr>
              <w:rFonts w:ascii="Arial" w:cs="Arial" w:hAnsi="Arial"/>
              <w:b/>
              <w:bCs/>
              <w:lang w:val="en-US"/>
            </w:rPr>
            <w:t>2.1. Overview of the Initiative</w:t>
          </w:r>
          <w:r>
            <w:tab/>
          </w:r>
          <w:r>
            <w:fldChar w:fldCharType="begin"/>
          </w:r>
          <w:r>
            <w:instrText xml:space="preserve"> PAGEREF _Toc212931319 \h </w:instrText>
          </w:r>
          <w:r>
            <w:fldChar w:fldCharType="separate"/>
          </w:r>
          <w:r>
            <w:t>9</w:t>
          </w:r>
          <w:r>
            <w:fldChar w:fldCharType="end"/>
          </w:r>
          <w:r>
            <w:fldChar w:fldCharType="end"/>
          </w:r>
        </w:p>
        <w:p>
          <w:pPr>
            <w:pStyle w:val="25"/>
            <w:tabs>
              <w:tab w:val="right" w:leader="dot" w:pos="9350"/>
            </w:tabs>
            <w:rPr>
              <w:rFonts w:eastAsia="等线"/>
              <w:lang w:val="en-US"/>
            </w:rPr>
          </w:pPr>
          <w:r>
            <w:fldChar w:fldCharType="begin"/>
          </w:r>
          <w:r>
            <w:instrText>Hyperlink \l "_Toc212931320"</w:instrText>
          </w:r>
          <w:r>
            <w:fldChar w:fldCharType="separate"/>
          </w:r>
          <w:r>
            <w:rPr>
              <w:rFonts w:ascii="Arial" w:cs="Arial" w:hAnsi="Arial"/>
              <w:b/>
              <w:bCs/>
              <w:lang w:val="en-US"/>
            </w:rPr>
            <w:t>2.1.1. Integration of AI personalisation, immersive retail, and sustainability data tracking</w:t>
          </w:r>
          <w:r>
            <w:tab/>
          </w:r>
          <w:r>
            <w:fldChar w:fldCharType="begin"/>
          </w:r>
          <w:r>
            <w:instrText xml:space="preserve"> PAGEREF _Toc212931320 \h </w:instrText>
          </w:r>
          <w:r>
            <w:fldChar w:fldCharType="separate"/>
          </w:r>
          <w:r>
            <w:t>9</w:t>
          </w:r>
          <w:r>
            <w:fldChar w:fldCharType="end"/>
          </w:r>
          <w:r>
            <w:fldChar w:fldCharType="end"/>
          </w:r>
        </w:p>
        <w:p>
          <w:pPr>
            <w:pStyle w:val="25"/>
            <w:tabs>
              <w:tab w:val="right" w:leader="dot" w:pos="9350"/>
            </w:tabs>
            <w:rPr>
              <w:rFonts w:eastAsia="等线"/>
              <w:lang w:val="en-US"/>
            </w:rPr>
          </w:pPr>
          <w:r>
            <w:fldChar w:fldCharType="begin"/>
          </w:r>
          <w:r>
            <w:instrText>Hyperlink \l "_Toc212931321"</w:instrText>
          </w:r>
          <w:r>
            <w:fldChar w:fldCharType="separate"/>
          </w:r>
          <w:r>
            <w:rPr>
              <w:rFonts w:ascii="Arial" w:cs="Arial" w:hAnsi="Arial"/>
              <w:b/>
              <w:bCs/>
              <w:lang w:val="en-US"/>
            </w:rPr>
            <w:t>2.1.2. Goal: to deliver an intelligent, ethical, and connected ownership experience</w:t>
          </w:r>
          <w:r>
            <w:tab/>
          </w:r>
          <w:r>
            <w:fldChar w:fldCharType="begin"/>
          </w:r>
          <w:r>
            <w:instrText xml:space="preserve"> PAGEREF _Toc212931321 \h </w:instrText>
          </w:r>
          <w:r>
            <w:fldChar w:fldCharType="separate"/>
          </w:r>
          <w:r>
            <w:t>10</w:t>
          </w:r>
          <w:r>
            <w:fldChar w:fldCharType="end"/>
          </w:r>
          <w:r>
            <w:fldChar w:fldCharType="end"/>
          </w:r>
        </w:p>
        <w:p>
          <w:pPr>
            <w:pStyle w:val="24"/>
            <w:tabs>
              <w:tab w:val="right" w:leader="dot" w:pos="9350"/>
            </w:tabs>
            <w:rPr>
              <w:rFonts w:eastAsia="等线"/>
              <w:lang w:val="en-US"/>
            </w:rPr>
          </w:pPr>
          <w:r>
            <w:fldChar w:fldCharType="begin"/>
          </w:r>
          <w:r>
            <w:instrText>Hyperlink \l "_Toc212931322"</w:instrText>
          </w:r>
          <w:r>
            <w:fldChar w:fldCharType="separate"/>
          </w:r>
          <w:r>
            <w:rPr>
              <w:rFonts w:ascii="Arial" w:cs="Arial" w:hAnsi="Arial"/>
              <w:b/>
              <w:bCs/>
              <w:lang w:val="en-US"/>
            </w:rPr>
            <w:t>2.2. AI-Driven Customer Experience</w:t>
          </w:r>
          <w:r>
            <w:tab/>
          </w:r>
          <w:r>
            <w:fldChar w:fldCharType="begin"/>
          </w:r>
          <w:r>
            <w:instrText xml:space="preserve"> PAGEREF _Toc212931322 \h </w:instrText>
          </w:r>
          <w:r>
            <w:fldChar w:fldCharType="separate"/>
          </w:r>
          <w:r>
            <w:t>11</w:t>
          </w:r>
          <w:r>
            <w:fldChar w:fldCharType="end"/>
          </w:r>
          <w:r>
            <w:fldChar w:fldCharType="end"/>
          </w:r>
        </w:p>
        <w:p>
          <w:pPr>
            <w:pStyle w:val="25"/>
            <w:tabs>
              <w:tab w:val="right" w:leader="dot" w:pos="9350"/>
            </w:tabs>
            <w:rPr>
              <w:rFonts w:eastAsia="等线"/>
              <w:lang w:val="en-US"/>
            </w:rPr>
          </w:pPr>
          <w:r>
            <w:fldChar w:fldCharType="begin"/>
          </w:r>
          <w:r>
            <w:instrText>Hyperlink \l "_Toc212931323"</w:instrText>
          </w:r>
          <w:r>
            <w:fldChar w:fldCharType="separate"/>
          </w:r>
          <w:r>
            <w:rPr>
              <w:rFonts w:ascii="Arial" w:cs="Arial" w:hAnsi="Arial"/>
              <w:b/>
              <w:bCs/>
              <w:lang w:val="en-US"/>
            </w:rPr>
            <w:t>2.2.1. Predictive analytics for service</w:t>
          </w:r>
          <w:r>
            <w:tab/>
          </w:r>
          <w:r>
            <w:fldChar w:fldCharType="begin"/>
          </w:r>
          <w:r>
            <w:instrText xml:space="preserve"> PAGEREF _Toc212931323 \h </w:instrText>
          </w:r>
          <w:r>
            <w:fldChar w:fldCharType="separate"/>
          </w:r>
          <w:r>
            <w:t>11</w:t>
          </w:r>
          <w:r>
            <w:fldChar w:fldCharType="end"/>
          </w:r>
          <w:r>
            <w:fldChar w:fldCharType="end"/>
          </w:r>
        </w:p>
        <w:p>
          <w:pPr>
            <w:pStyle w:val="25"/>
            <w:tabs>
              <w:tab w:val="right" w:leader="dot" w:pos="9350"/>
            </w:tabs>
            <w:rPr>
              <w:rFonts w:eastAsia="等线"/>
              <w:lang w:val="en-US"/>
            </w:rPr>
          </w:pPr>
          <w:r>
            <w:fldChar w:fldCharType="begin"/>
          </w:r>
          <w:r>
            <w:instrText>Hyperlink \l "_Toc212931324"</w:instrText>
          </w:r>
          <w:r>
            <w:fldChar w:fldCharType="separate"/>
          </w:r>
          <w:r>
            <w:rPr>
              <w:rFonts w:ascii="Arial" w:cs="Arial" w:hAnsi="Arial"/>
              <w:b/>
              <w:bCs/>
              <w:lang w:val="en-US"/>
            </w:rPr>
            <w:t>2.2.2. Data unification across app, CRM, dealerships</w:t>
          </w:r>
          <w:r>
            <w:tab/>
          </w:r>
          <w:r>
            <w:fldChar w:fldCharType="begin"/>
          </w:r>
          <w:r>
            <w:instrText xml:space="preserve"> PAGEREF _Toc212931324 \h </w:instrText>
          </w:r>
          <w:r>
            <w:fldChar w:fldCharType="separate"/>
          </w:r>
          <w:r>
            <w:t>12</w:t>
          </w:r>
          <w:r>
            <w:fldChar w:fldCharType="end"/>
          </w:r>
          <w:r>
            <w:fldChar w:fldCharType="end"/>
          </w:r>
        </w:p>
        <w:p>
          <w:pPr>
            <w:pStyle w:val="25"/>
            <w:tabs>
              <w:tab w:val="right" w:leader="dot" w:pos="9350"/>
            </w:tabs>
            <w:rPr>
              <w:rFonts w:eastAsia="等线"/>
              <w:lang w:val="en-US"/>
            </w:rPr>
          </w:pPr>
          <w:r>
            <w:fldChar w:fldCharType="begin"/>
          </w:r>
          <w:r>
            <w:instrText>Hyperlink \l "_Toc212931325"</w:instrText>
          </w:r>
          <w:r>
            <w:fldChar w:fldCharType="separate"/>
          </w:r>
          <w:r>
            <w:rPr>
              <w:rFonts w:ascii="Arial" w:cs="Arial" w:hAnsi="Arial"/>
              <w:b/>
              <w:bCs/>
              <w:lang w:val="en-US"/>
            </w:rPr>
            <w:t>2.2.3. KPIs: customer satisfaction, service efficiency, NPS</w:t>
          </w:r>
          <w:r>
            <w:tab/>
          </w:r>
          <w:r>
            <w:fldChar w:fldCharType="begin"/>
          </w:r>
          <w:r>
            <w:instrText xml:space="preserve"> PAGEREF _Toc212931325 \h </w:instrText>
          </w:r>
          <w:r>
            <w:fldChar w:fldCharType="separate"/>
          </w:r>
          <w:r>
            <w:t>12</w:t>
          </w:r>
          <w:r>
            <w:fldChar w:fldCharType="end"/>
          </w:r>
          <w:r>
            <w:fldChar w:fldCharType="end"/>
          </w:r>
        </w:p>
        <w:p>
          <w:pPr>
            <w:pStyle w:val="24"/>
            <w:tabs>
              <w:tab w:val="right" w:leader="dot" w:pos="9350"/>
            </w:tabs>
            <w:rPr>
              <w:rFonts w:eastAsia="等线"/>
              <w:lang w:val="en-US"/>
            </w:rPr>
          </w:pPr>
          <w:r>
            <w:fldChar w:fldCharType="begin"/>
          </w:r>
          <w:r>
            <w:instrText>Hyperlink \l "_Toc212931326"</w:instrText>
          </w:r>
          <w:r>
            <w:fldChar w:fldCharType="separate"/>
          </w:r>
          <w:r>
            <w:rPr>
              <w:rFonts w:ascii="Arial" w:cs="Arial" w:hAnsi="Arial"/>
              <w:b/>
              <w:bCs/>
              <w:lang w:val="en-US"/>
            </w:rPr>
            <w:t>2.3. Sustainability&amp;Circular Design Platform</w:t>
          </w:r>
          <w:r>
            <w:tab/>
          </w:r>
          <w:r>
            <w:fldChar w:fldCharType="begin"/>
          </w:r>
          <w:r>
            <w:instrText xml:space="preserve"> PAGEREF _Toc212931326 \h </w:instrText>
          </w:r>
          <w:r>
            <w:fldChar w:fldCharType="separate"/>
          </w:r>
          <w:r>
            <w:t>13</w:t>
          </w:r>
          <w:r>
            <w:fldChar w:fldCharType="end"/>
          </w:r>
          <w:r>
            <w:fldChar w:fldCharType="end"/>
          </w:r>
        </w:p>
        <w:p>
          <w:pPr>
            <w:pStyle w:val="25"/>
            <w:tabs>
              <w:tab w:val="right" w:leader="dot" w:pos="9350"/>
            </w:tabs>
            <w:rPr>
              <w:rFonts w:eastAsia="等线"/>
              <w:lang w:val="en-US"/>
            </w:rPr>
          </w:pPr>
          <w:r>
            <w:fldChar w:fldCharType="begin"/>
          </w:r>
          <w:r>
            <w:instrText>Hyperlink \l "_Toc212931327"</w:instrText>
          </w:r>
          <w:r>
            <w:fldChar w:fldCharType="separate"/>
          </w:r>
          <w:r>
            <w:rPr>
              <w:rFonts w:ascii="Arial" w:cs="Arial" w:hAnsi="Arial"/>
              <w:b/>
              <w:bCs/>
              <w:lang w:val="en-US"/>
            </w:rPr>
            <w:t>2.3.1. Block-chain traceability for materials</w:t>
          </w:r>
          <w:r>
            <w:tab/>
          </w:r>
          <w:r>
            <w:fldChar w:fldCharType="begin"/>
          </w:r>
          <w:r>
            <w:instrText xml:space="preserve"> PAGEREF _Toc212931327 \h </w:instrText>
          </w:r>
          <w:r>
            <w:fldChar w:fldCharType="separate"/>
          </w:r>
          <w:r>
            <w:t>13</w:t>
          </w:r>
          <w:r>
            <w:fldChar w:fldCharType="end"/>
          </w:r>
          <w:r>
            <w:fldChar w:fldCharType="end"/>
          </w:r>
        </w:p>
        <w:p>
          <w:pPr>
            <w:pStyle w:val="25"/>
            <w:tabs>
              <w:tab w:val="right" w:leader="dot" w:pos="9350"/>
            </w:tabs>
            <w:rPr>
              <w:rFonts w:eastAsia="等线"/>
              <w:lang w:val="en-US"/>
            </w:rPr>
          </w:pPr>
          <w:r>
            <w:fldChar w:fldCharType="begin"/>
          </w:r>
          <w:r>
            <w:instrText>Hyperlink \l "_Toc212931328"</w:instrText>
          </w:r>
          <w:r>
            <w:fldChar w:fldCharType="separate"/>
          </w:r>
          <w:r>
            <w:rPr>
              <w:rFonts w:ascii="Arial" w:cs="Arial" w:hAnsi="Arial"/>
              <w:b/>
              <w:bCs/>
              <w:lang w:val="en-US"/>
            </w:rPr>
            <w:t>2.3.2. Real-time CO</w:t>
          </w:r>
          <w:r>
            <w:rPr>
              <w:rFonts w:ascii="Cambria Math" w:cs="Cambria Math" w:hAnsi="Cambria Math"/>
              <w:b/>
              <w:bCs/>
              <w:lang w:val="en-US"/>
            </w:rPr>
            <w:t>₂</w:t>
          </w:r>
          <w:r>
            <w:rPr>
              <w:rFonts w:ascii="Arial" w:cs="Arial" w:hAnsi="Arial"/>
              <w:b/>
              <w:bCs/>
              <w:lang w:val="en-US"/>
            </w:rPr>
            <w:t xml:space="preserve"> dashboard per vehicle</w:t>
          </w:r>
          <w:r>
            <w:tab/>
          </w:r>
          <w:r>
            <w:fldChar w:fldCharType="begin"/>
          </w:r>
          <w:r>
            <w:instrText xml:space="preserve"> PAGEREF _Toc212931328 \h </w:instrText>
          </w:r>
          <w:r>
            <w:fldChar w:fldCharType="separate"/>
          </w:r>
          <w:r>
            <w:t>14</w:t>
          </w:r>
          <w:r>
            <w:fldChar w:fldCharType="end"/>
          </w:r>
          <w:r>
            <w:fldChar w:fldCharType="end"/>
          </w:r>
        </w:p>
        <w:p>
          <w:pPr>
            <w:pStyle w:val="25"/>
            <w:tabs>
              <w:tab w:val="right" w:leader="dot" w:pos="9350"/>
            </w:tabs>
            <w:rPr>
              <w:rFonts w:eastAsia="等线"/>
              <w:lang w:val="en-US"/>
            </w:rPr>
          </w:pPr>
          <w:r>
            <w:fldChar w:fldCharType="begin"/>
          </w:r>
          <w:r>
            <w:instrText>Hyperlink \l "_Toc212931329"</w:instrText>
          </w:r>
          <w:r>
            <w:fldChar w:fldCharType="separate"/>
          </w:r>
          <w:r>
            <w:rPr>
              <w:rFonts w:ascii="Arial" w:cs="Arial" w:hAnsi="Arial"/>
              <w:b/>
              <w:bCs/>
              <w:lang w:val="en-US"/>
            </w:rPr>
            <w:t>2.3.3. KPIs: carbon reduction, brand trust metrics, supplier transparency</w:t>
          </w:r>
          <w:r>
            <w:tab/>
          </w:r>
          <w:r>
            <w:fldChar w:fldCharType="begin"/>
          </w:r>
          <w:r>
            <w:instrText xml:space="preserve"> PAGEREF _Toc212931329 \h </w:instrText>
          </w:r>
          <w:r>
            <w:fldChar w:fldCharType="separate"/>
          </w:r>
          <w:r>
            <w:t>14</w:t>
          </w:r>
          <w:r>
            <w:fldChar w:fldCharType="end"/>
          </w:r>
          <w:r>
            <w:fldChar w:fldCharType="end"/>
          </w:r>
        </w:p>
        <w:p>
          <w:pPr>
            <w:pStyle w:val="24"/>
            <w:tabs>
              <w:tab w:val="right" w:leader="dot" w:pos="9350"/>
            </w:tabs>
            <w:rPr>
              <w:rFonts w:eastAsia="等线"/>
              <w:lang w:val="en-US"/>
            </w:rPr>
          </w:pPr>
          <w:r>
            <w:fldChar w:fldCharType="begin"/>
          </w:r>
          <w:r>
            <w:instrText>Hyperlink \l "_Toc212931330"</w:instrText>
          </w:r>
          <w:r>
            <w:fldChar w:fldCharType="separate"/>
          </w:r>
          <w:r>
            <w:rPr>
              <w:rFonts w:ascii="Arial" w:cs="Arial" w:hAnsi="Arial"/>
              <w:b/>
              <w:bCs/>
              <w:lang w:val="en-US"/>
            </w:rPr>
            <w:t>2.4. Immersive Virtual Retail Experience</w:t>
          </w:r>
          <w:r>
            <w:tab/>
          </w:r>
          <w:r>
            <w:fldChar w:fldCharType="begin"/>
          </w:r>
          <w:r>
            <w:instrText xml:space="preserve"> PAGEREF _Toc212931330 \h </w:instrText>
          </w:r>
          <w:r>
            <w:fldChar w:fldCharType="separate"/>
          </w:r>
          <w:r>
            <w:t>14</w:t>
          </w:r>
          <w:r>
            <w:fldChar w:fldCharType="end"/>
          </w:r>
          <w:r>
            <w:fldChar w:fldCharType="end"/>
          </w:r>
        </w:p>
        <w:p>
          <w:pPr>
            <w:pStyle w:val="25"/>
            <w:tabs>
              <w:tab w:val="right" w:leader="dot" w:pos="9350"/>
            </w:tabs>
            <w:rPr>
              <w:rFonts w:eastAsia="等线"/>
              <w:lang w:val="en-US"/>
            </w:rPr>
          </w:pPr>
          <w:r>
            <w:fldChar w:fldCharType="begin"/>
          </w:r>
          <w:r>
            <w:instrText>Hyperlink \l "_Toc212931331"</w:instrText>
          </w:r>
          <w:r>
            <w:fldChar w:fldCharType="separate"/>
          </w:r>
          <w:r>
            <w:rPr>
              <w:rFonts w:ascii="Arial" w:cs="Arial" w:hAnsi="Arial"/>
              <w:b/>
              <w:bCs/>
              <w:lang w:val="en-US"/>
            </w:rPr>
            <w:t>2.4.1. VR/AR product configurator</w:t>
          </w:r>
          <w:r>
            <w:tab/>
          </w:r>
          <w:r>
            <w:fldChar w:fldCharType="begin"/>
          </w:r>
          <w:r>
            <w:instrText xml:space="preserve"> PAGEREF _Toc212931331 \h </w:instrText>
          </w:r>
          <w:r>
            <w:fldChar w:fldCharType="separate"/>
          </w:r>
          <w:r>
            <w:t>15</w:t>
          </w:r>
          <w:r>
            <w:fldChar w:fldCharType="end"/>
          </w:r>
          <w:r>
            <w:fldChar w:fldCharType="end"/>
          </w:r>
        </w:p>
        <w:p>
          <w:pPr>
            <w:pStyle w:val="25"/>
            <w:tabs>
              <w:tab w:val="right" w:leader="dot" w:pos="9350"/>
            </w:tabs>
            <w:rPr>
              <w:rFonts w:eastAsia="等线"/>
              <w:lang w:val="en-US"/>
            </w:rPr>
          </w:pPr>
          <w:r>
            <w:fldChar w:fldCharType="begin"/>
          </w:r>
          <w:r>
            <w:instrText>Hyperlink \l "_Toc212931332"</w:instrText>
          </w:r>
          <w:r>
            <w:fldChar w:fldCharType="separate"/>
          </w:r>
          <w:r>
            <w:rPr>
              <w:rFonts w:ascii="Arial" w:cs="Arial" w:hAnsi="Arial"/>
              <w:b/>
              <w:bCs/>
              <w:lang w:val="en-US"/>
            </w:rPr>
            <w:t>2.4.2. Integrated online–offline journey</w:t>
          </w:r>
          <w:r>
            <w:tab/>
          </w:r>
          <w:r>
            <w:fldChar w:fldCharType="begin"/>
          </w:r>
          <w:r>
            <w:instrText xml:space="preserve"> PAGEREF _Toc212931332 \h </w:instrText>
          </w:r>
          <w:r>
            <w:fldChar w:fldCharType="separate"/>
          </w:r>
          <w:r>
            <w:t>15</w:t>
          </w:r>
          <w:r>
            <w:fldChar w:fldCharType="end"/>
          </w:r>
          <w:r>
            <w:fldChar w:fldCharType="end"/>
          </w:r>
        </w:p>
        <w:p>
          <w:pPr>
            <w:pStyle w:val="25"/>
            <w:tabs>
              <w:tab w:val="right" w:leader="dot" w:pos="9350"/>
            </w:tabs>
            <w:rPr>
              <w:rFonts w:eastAsia="等线"/>
              <w:lang w:val="en-US"/>
            </w:rPr>
          </w:pPr>
          <w:r>
            <w:fldChar w:fldCharType="begin"/>
          </w:r>
          <w:r>
            <w:instrText>Hyperlink \l "_Toc212931333"</w:instrText>
          </w:r>
          <w:r>
            <w:fldChar w:fldCharType="separate"/>
          </w:r>
          <w:r>
            <w:rPr>
              <w:rFonts w:ascii="Arial" w:cs="Arial" w:hAnsi="Arial"/>
              <w:b/>
              <w:bCs/>
              <w:lang w:val="en-US"/>
            </w:rPr>
            <w:t>2.4.3. KPIs: conversion rate, digital engagement, dealer network performance</w:t>
          </w:r>
          <w:r>
            <w:tab/>
          </w:r>
          <w:r>
            <w:fldChar w:fldCharType="begin"/>
          </w:r>
          <w:r>
            <w:instrText xml:space="preserve"> PAGEREF _Toc212931333 \h </w:instrText>
          </w:r>
          <w:r>
            <w:fldChar w:fldCharType="separate"/>
          </w:r>
          <w:r>
            <w:t>15</w:t>
          </w:r>
          <w:r>
            <w:fldChar w:fldCharType="end"/>
          </w:r>
          <w:r>
            <w:fldChar w:fldCharType="end"/>
          </w:r>
        </w:p>
        <w:p>
          <w:pPr>
            <w:pStyle w:val="24"/>
            <w:tabs>
              <w:tab w:val="right" w:leader="dot" w:pos="9350"/>
            </w:tabs>
            <w:rPr>
              <w:rFonts w:eastAsia="等线"/>
              <w:lang w:val="en-US"/>
            </w:rPr>
          </w:pPr>
          <w:r>
            <w:fldChar w:fldCharType="begin"/>
          </w:r>
          <w:r>
            <w:instrText>Hyperlink \l "_Toc212931334"</w:instrText>
          </w:r>
          <w:r>
            <w:fldChar w:fldCharType="separate"/>
          </w:r>
          <w:r>
            <w:rPr>
              <w:rFonts w:ascii="Arial" w:cs="Arial" w:hAnsi="Arial"/>
              <w:b/>
              <w:bCs/>
              <w:lang w:val="en-US"/>
            </w:rPr>
            <w:t>2.5. Enhanced Customer Journey Map</w:t>
          </w:r>
          <w:r>
            <w:tab/>
          </w:r>
          <w:r>
            <w:fldChar w:fldCharType="begin"/>
          </w:r>
          <w:r>
            <w:instrText xml:space="preserve"> PAGEREF _Toc212931334 \h </w:instrText>
          </w:r>
          <w:r>
            <w:fldChar w:fldCharType="separate"/>
          </w:r>
          <w:r>
            <w:t>16</w:t>
          </w:r>
          <w:r>
            <w:fldChar w:fldCharType="end"/>
          </w:r>
          <w:r>
            <w:fldChar w:fldCharType="end"/>
          </w:r>
        </w:p>
        <w:p>
          <w:pPr>
            <w:pStyle w:val="24"/>
            <w:tabs>
              <w:tab w:val="right" w:leader="dot" w:pos="9350"/>
            </w:tabs>
            <w:rPr>
              <w:rFonts w:eastAsia="等线"/>
              <w:lang w:val="en-US"/>
            </w:rPr>
          </w:pPr>
          <w:r>
            <w:fldChar w:fldCharType="begin"/>
          </w:r>
          <w:r>
            <w:instrText>Hyperlink \l "_Toc212931335"</w:instrText>
          </w:r>
          <w:r>
            <w:fldChar w:fldCharType="separate"/>
          </w:r>
          <w:r>
            <w:rPr>
              <w:rFonts w:ascii="Arial" w:cs="Arial" w:hAnsi="Arial"/>
              <w:b/>
              <w:bCs/>
              <w:lang w:val="en-US"/>
            </w:rPr>
            <w:t>2.6. Measuring Success</w:t>
          </w:r>
          <w:r>
            <w:tab/>
          </w:r>
          <w:r>
            <w:fldChar w:fldCharType="begin"/>
          </w:r>
          <w:r>
            <w:instrText xml:space="preserve"> PAGEREF _Toc212931335 \h </w:instrText>
          </w:r>
          <w:r>
            <w:fldChar w:fldCharType="separate"/>
          </w:r>
          <w:r>
            <w:t>16</w:t>
          </w:r>
          <w:r>
            <w:fldChar w:fldCharType="end"/>
          </w:r>
          <w:r>
            <w:fldChar w:fldCharType="end"/>
          </w:r>
        </w:p>
        <w:p>
          <w:pPr>
            <w:pStyle w:val="23"/>
            <w:tabs>
              <w:tab w:val="right" w:leader="dot" w:pos="9350"/>
            </w:tabs>
            <w:rPr>
              <w:rFonts w:eastAsia="等线"/>
              <w:lang w:val="en-US"/>
            </w:rPr>
          </w:pPr>
          <w:r>
            <w:fldChar w:fldCharType="begin"/>
          </w:r>
          <w:r>
            <w:instrText>Hyperlink \l "_Toc212931336"</w:instrText>
          </w:r>
          <w:r>
            <w:fldChar w:fldCharType="separate"/>
          </w:r>
          <w:r>
            <w:rPr>
              <w:rFonts w:ascii="Arial" w:cs="Arial" w:hAnsi="Arial"/>
              <w:b/>
              <w:bCs/>
              <w:lang w:val="en-US"/>
            </w:rPr>
            <w:t>3. Conclusion</w:t>
          </w:r>
          <w:r>
            <w:tab/>
          </w:r>
          <w:r>
            <w:fldChar w:fldCharType="begin"/>
          </w:r>
          <w:r>
            <w:instrText xml:space="preserve"> PAGEREF _Toc212931336 \h </w:instrText>
          </w:r>
          <w:r>
            <w:fldChar w:fldCharType="separate"/>
          </w:r>
          <w:r>
            <w:t>18</w:t>
          </w:r>
          <w:r>
            <w:fldChar w:fldCharType="end"/>
          </w:r>
          <w:r>
            <w:fldChar w:fldCharType="end"/>
          </w:r>
        </w:p>
        <w:p>
          <w:pPr>
            <w:pStyle w:val="23"/>
            <w:tabs>
              <w:tab w:val="right" w:leader="dot" w:pos="9350"/>
            </w:tabs>
            <w:rPr>
              <w:rFonts w:eastAsia="等线"/>
              <w:lang w:val="en-US"/>
            </w:rPr>
          </w:pPr>
          <w:r>
            <w:fldChar w:fldCharType="begin"/>
          </w:r>
          <w:r>
            <w:instrText>Hyperlink \l "_Toc212931337"</w:instrText>
          </w:r>
          <w:r>
            <w:fldChar w:fldCharType="separate"/>
          </w:r>
          <w:r>
            <w:rPr>
              <w:rFonts w:ascii="Arial" w:cs="Arial" w:hAnsi="Arial"/>
              <w:b/>
              <w:bCs/>
              <w:lang w:val="en-US"/>
            </w:rPr>
            <w:t>References</w:t>
          </w:r>
          <w:r>
            <w:tab/>
          </w:r>
          <w:r>
            <w:fldChar w:fldCharType="begin"/>
          </w:r>
          <w:r>
            <w:instrText xml:space="preserve"> PAGEREF _Toc212931337 \h </w:instrText>
          </w:r>
          <w:r>
            <w:fldChar w:fldCharType="separate"/>
          </w:r>
          <w:r>
            <w:t>19</w:t>
          </w:r>
          <w:r>
            <w:fldChar w:fldCharType="end"/>
          </w:r>
          <w:r>
            <w:fldChar w:fldCharType="end"/>
          </w:r>
        </w:p>
        <w:p>
          <w:pPr>
            <w:rPr>
              <w:b/>
              <w:bCs/>
            </w:rPr>
          </w:pPr>
          <w:r>
            <w:rPr>
              <w:b/>
              <w:bCs/>
            </w:rPr>
            <w:fldChar w:fldCharType="end"/>
          </w:r>
        </w:p>
      </w:sdtContent>
    </w:sdt>
    <w:p>
      <w:pPr>
        <w:jc w:val="center"/>
        <w:rPr>
          <w:rFonts w:ascii="Arial" w:cs="Arial" w:hAnsi="Arial"/>
          <w:b/>
          <w:bCs/>
          <w:color w:val="000000"/>
          <w:sz w:val="28"/>
          <w:szCs w:val="28"/>
          <w:lang w:val="en-US"/>
        </w:rPr>
      </w:pPr>
      <w:r>
        <w:rPr>
          <w:rFonts w:ascii="Arial" w:cs="Arial" w:hAnsi="Arial"/>
          <w:b/>
          <w:bCs/>
          <w:color w:val="000000"/>
          <w:sz w:val="28"/>
          <w:szCs w:val="28"/>
          <w:lang w:val="en-US"/>
        </w:rPr>
        <w:t>Introduction to Jaguar Land Rover UK</w:t>
      </w:r>
    </w:p>
    <w:p>
      <w:pPr>
        <w:jc w:val="center"/>
        <w:rPr>
          <w:rFonts w:ascii="Arial" w:cs="Arial" w:hAnsi="Arial"/>
          <w:b/>
          <w:bCs/>
          <w:color w:val="000000"/>
          <w:sz w:val="28"/>
          <w:szCs w:val="28"/>
          <w:lang w:val="en-US"/>
        </w:rPr>
      </w:pPr>
    </w:p>
    <w:p>
      <w:pPr>
        <w:spacing w:after="0" w:line="360" w:lineRule="auto"/>
        <w:ind w:firstLine="720"/>
        <w:jc w:val="both"/>
        <w:rPr>
          <w:rFonts w:ascii="Arial" w:cs="Arial" w:hAnsi="Arial"/>
          <w:sz w:val="22"/>
          <w:szCs w:val="22"/>
        </w:rPr>
      </w:pPr>
      <w:r>
        <w:rPr>
          <w:rFonts w:ascii="Arial" w:cs="Arial" w:hAnsi="Arial"/>
          <w:sz w:val="22"/>
          <w:szCs w:val="22"/>
        </w:rPr>
        <w:t>Jaguar Land Rover (JLR) is the UK's biggest car maker and a leader in high-end and performance cars worldwide. Based in Coventry, it has been a fully owned branch of Tata Motors since 2008 when it brought together two famous British brands, Jaguar and Land Rover, into one new, innovation-focused identity (Johnson et al., 2020). Its clear plan under the Reimagine programme aims first for carbon neutrality across the supply chain by 2039 and ends with sustainable modern luxury creation at JLR (Tata Motors, 2023).</w:t>
      </w:r>
    </w:p>
    <w:p>
      <w:pPr>
        <w:spacing w:after="0" w:line="360" w:lineRule="auto"/>
        <w:ind w:firstLine="720"/>
        <w:jc w:val="both"/>
        <w:rPr>
          <w:rFonts w:ascii="Arial" w:cs="Arial" w:hAnsi="Arial"/>
          <w:sz w:val="22"/>
          <w:szCs w:val="22"/>
        </w:rPr>
      </w:pPr>
      <w:r>
        <w:rPr>
          <w:rFonts w:ascii="Arial" w:cs="Arial" w:hAnsi="Arial"/>
          <w:sz w:val="22"/>
          <w:szCs w:val="22"/>
        </w:rPr>
        <w:t>JLR has been redefining itself through high-tech electrification, artificial intelligence (AI), and data-driven customer engagement. As a wave of digital mobility, connectivity, and green innovation sweeps across the global automotive sector, JLR is increasingly being perceived as competing with the likes of Tesla and BMW-who are reimagining premium ownership experiences through technology integration (Grant 2021).</w:t>
      </w:r>
    </w:p>
    <w:p>
      <w:pPr>
        <w:spacing w:after="0" w:line="360" w:lineRule="auto"/>
        <w:ind w:firstLine="720"/>
        <w:jc w:val="both"/>
        <w:rPr>
          <w:rFonts w:ascii="Arial" w:cs="Arial" w:hAnsi="Arial"/>
          <w:sz w:val="22"/>
          <w:szCs w:val="22"/>
        </w:rPr>
      </w:pPr>
      <w:r>
        <w:rPr>
          <w:rFonts w:ascii="Arial" w:cs="Arial" w:hAnsi="Arial"/>
          <w:sz w:val="22"/>
          <w:szCs w:val="22"/>
        </w:rPr>
        <w:t>To stay ahead and competitive, JLR places customer-centric innovation at the core of its transformation, combining AI-enhanced design with immersive retail technologies and transparency through the blockchain. The paper will provide a critical analysis of the innovation framework at JLR and its customer journey before proposing a Smart Luxury Ecosystem: digital transformation driven by AI personalisation, sustainability traceability, and immersive experiences resulting in building customer trust, engagement, and long-term brand loyalty (Kotler and Keller, 2022).</w:t>
      </w:r>
    </w:p>
    <w:p>
      <w:pPr>
        <w:jc w:val="center"/>
      </w:pPr>
    </w:p>
    <w:p>
      <w:pPr>
        <w:pStyle w:val="1"/>
        <w:spacing w:before="0" w:after="0" w:line="360" w:lineRule="auto"/>
        <w:jc w:val="center"/>
        <w:rPr>
          <w:rFonts w:ascii="Arial" w:cs="Arial" w:hAnsi="Arial"/>
          <w:b/>
          <w:bCs/>
          <w:color w:val="000000"/>
          <w:sz w:val="28"/>
          <w:szCs w:val="28"/>
          <w:lang w:val="en-US"/>
        </w:rPr>
      </w:pPr>
      <w:bookmarkStart w:id="1" w:name="_Toc212931313"/>
      <w:r>
        <w:rPr>
          <w:rFonts w:ascii="Arial" w:cs="Arial" w:hAnsi="Arial"/>
          <w:b/>
          <w:bCs/>
          <w:color w:val="000000"/>
          <w:sz w:val="28"/>
          <w:szCs w:val="28"/>
          <w:lang w:val="en-US"/>
        </w:rPr>
        <w:t>Key Consumer and Industry Trends</w:t>
      </w:r>
      <w:bookmarkEnd w:id="1"/>
    </w:p>
    <w:p>
      <w:pPr>
        <w:pStyle w:val="1"/>
        <w:spacing w:before="0" w:after="0" w:line="360" w:lineRule="auto"/>
        <w:jc w:val="center"/>
        <w:rPr>
          <w:rFonts w:ascii="Arial" w:cs="Arial" w:hAnsi="Arial"/>
          <w:color w:val="000000"/>
          <w:sz w:val="28"/>
          <w:szCs w:val="28"/>
          <w:lang w:val="en-US"/>
        </w:rPr>
      </w:pPr>
    </w:p>
    <w:p>
      <w:pPr>
        <w:spacing w:after="0" w:line="360" w:lineRule="auto"/>
        <w:ind w:firstLine="720"/>
        <w:jc w:val="both"/>
        <w:rPr>
          <w:rFonts w:ascii="Arial" w:cs="Arial" w:hAnsi="Arial"/>
          <w:sz w:val="22"/>
          <w:szCs w:val="22"/>
        </w:rPr>
      </w:pPr>
      <w:r>
        <w:rPr>
          <w:rFonts w:ascii="Arial" w:cs="Arial" w:hAnsi="Arial"/>
          <w:sz w:val="22"/>
          <w:szCs w:val="22"/>
        </w:rPr>
        <w:t>The core and the face of the global auto industry are being redefined by technological changes, innovation, sustainability in the environment, and market preference both locally and internationally for goods and services. Hence, against this background of change toward electrification, connectivity, and online digital retailing both locally within the UK as well as globally that change represents opportunity plus disruption particularly to a top-end manufacturer such as Jaguar Land Rover (JLR) (Hollensen,2020). Top-end manufacturers always structurally lag behind volume players in all-new technology adoptions. According to SMMT 2024 data releases electric plus hybrid vehicles now account for over 30 percent share of total new car registrations within just the UK market alone! Strong structural consumer turn toward sustainability plus ethical consumption is very apparent.</w:t>
      </w:r>
    </w:p>
    <w:p>
      <w:pPr>
        <w:spacing w:after="0" w:line="360" w:lineRule="auto"/>
        <w:ind w:firstLine="720"/>
        <w:jc w:val="both"/>
        <w:rPr>
          <w:rFonts w:ascii="Arial" w:cs="Arial" w:hAnsi="Arial"/>
          <w:sz w:val="22"/>
          <w:szCs w:val="22"/>
        </w:rPr>
      </w:pPr>
      <w:r>
        <w:rPr>
          <w:rFonts w:ascii="Arial" w:cs="Arial" w:hAnsi="Arial"/>
          <w:sz w:val="22"/>
          <w:szCs w:val="22"/>
        </w:rPr>
        <w:t>Meanwhile, digitalisation has rerouted customer journeys within the sector. Today’s car buyers demand smooth omni-channel interaction—from online configuration and virtual showrooms to AI-enabled post-sale services (Chaffey and Ellis-Chadwick, 2022). Web 3.0 and immersive experiences like AR/VR are overhauling the way customers interact with vehicles for purchase and are forcing JLR to rethink its retail model (Kotler et al., 2021).</w:t>
      </w:r>
    </w:p>
    <w:p>
      <w:pPr>
        <w:spacing w:after="0" w:line="360" w:lineRule="auto"/>
        <w:ind w:firstLine="720"/>
        <w:jc w:val="both"/>
        <w:rPr>
          <w:rFonts w:ascii="Arial" w:cs="Arial" w:hAnsi="Arial"/>
          <w:sz w:val="22"/>
          <w:szCs w:val="22"/>
        </w:rPr>
      </w:pPr>
      <w:r>
        <w:rPr>
          <w:rFonts w:ascii="Arial" w:cs="Arial" w:hAnsi="Arial"/>
          <w:sz w:val="22"/>
          <w:szCs w:val="22"/>
        </w:rPr>
        <w:t>The cultural transformation towards sustainability and authenticity redefines transparency, craftsmanship, and corporate responsibility added to the values of consumers beside conspicuous consumption (Kapferer and Bastien, 2020). JLR has made an investment in a blockchain-based supply chain tracking system that reflects the transition and materializes customer trust towards its materials and design ethics (Christopher, 2022).</w:t>
      </w:r>
    </w:p>
    <w:p>
      <w:pPr>
        <w:spacing w:after="0" w:line="360" w:lineRule="auto"/>
        <w:ind w:firstLine="720"/>
        <w:jc w:val="both"/>
        <w:rPr>
          <w:rFonts w:ascii="Arial" w:cs="Arial" w:hAnsi="Arial"/>
          <w:sz w:val="22"/>
          <w:szCs w:val="22"/>
          <w:lang w:val="en-US"/>
        </w:rPr>
      </w:pPr>
      <w:r>
        <w:rPr>
          <w:rFonts w:ascii="Arial" w:cs="Arial" w:hAnsi="Arial"/>
          <w:sz w:val="22"/>
          <w:szCs w:val="22"/>
        </w:rPr>
        <w:t>At the same time, an up-and-down inflation production of raw materials has challenged the stability of production together with supply chains worldwide (Hill 2020). Therefore, JLR is technologically and strategically oriented toward resilience and agility hence innovation that anchors extra value through digital transformation. Such trends at a macro level and the consumer provide imperatives as well as opportunities for JLR to ensure via digital transformation growth, loyalty, and competitive advantage.</w:t>
      </w:r>
    </w:p>
    <w:p>
      <w:pPr>
        <w:rPr>
          <w:lang w:val="en-US"/>
        </w:rPr>
      </w:pPr>
    </w:p>
    <w:p>
      <w:pPr>
        <w:rPr>
          <w:lang w:val="en-US"/>
        </w:rPr>
      </w:pPr>
    </w:p>
    <w:p>
      <w:pPr>
        <w:rPr>
          <w:lang w:val="en-US"/>
        </w:rPr>
      </w:pPr>
    </w:p>
    <w:p>
      <w:pPr>
        <w:rPr>
          <w:lang w:val="en-US"/>
        </w:rPr>
      </w:pPr>
    </w:p>
    <w:p>
      <w:pPr>
        <w:rPr>
          <w:lang w:val="en-US"/>
        </w:rPr>
      </w:pPr>
    </w:p>
    <w:p>
      <w:pPr>
        <w:rPr>
          <w:lang w:val="en-US"/>
        </w:rPr>
      </w:pPr>
    </w:p>
    <w:p>
      <w:pPr>
        <w:rPr>
          <w:lang w:val="en-US"/>
        </w:rPr>
      </w:pPr>
    </w:p>
    <w:p>
      <w:pPr>
        <w:rPr>
          <w:lang w:val="en-US"/>
        </w:rPr>
      </w:pPr>
    </w:p>
    <w:p>
      <w:pPr>
        <w:rPr>
          <w:lang w:val="en-US"/>
        </w:rPr>
      </w:pPr>
    </w:p>
    <w:p>
      <w:pPr>
        <w:pStyle w:val="1"/>
        <w:spacing w:before="0" w:after="0" w:line="360" w:lineRule="auto"/>
        <w:jc w:val="center"/>
        <w:rPr>
          <w:rFonts w:ascii="Arial" w:cs="Arial" w:hAnsi="Arial"/>
          <w:b/>
          <w:bCs/>
          <w:color w:val="000000"/>
          <w:sz w:val="28"/>
          <w:szCs w:val="28"/>
          <w:lang w:val="en-US"/>
        </w:rPr>
      </w:pPr>
      <w:bookmarkStart w:id="2" w:name="_Toc212931314"/>
      <w:r>
        <w:rPr>
          <w:rFonts w:ascii="Arial" w:cs="Arial" w:hAnsi="Arial"/>
          <w:b/>
          <w:bCs/>
          <w:color w:val="000000"/>
          <w:sz w:val="28"/>
          <w:szCs w:val="28"/>
          <w:lang w:val="en-US"/>
        </w:rPr>
        <w:t>PART 1: Organisational Analysis and Assessment</w:t>
      </w:r>
      <w:bookmarkEnd w:id="2"/>
    </w:p>
    <w:p>
      <w:pPr>
        <w:pStyle w:val="2"/>
        <w:spacing w:before="0" w:after="0" w:line="360" w:lineRule="auto"/>
        <w:rPr>
          <w:rFonts w:ascii="Arial" w:cs="Arial" w:hAnsi="Arial"/>
          <w:b/>
          <w:bCs/>
          <w:color w:val="000000"/>
          <w:sz w:val="24"/>
          <w:szCs w:val="24"/>
          <w:lang w:val="en-US"/>
        </w:rPr>
      </w:pPr>
    </w:p>
    <w:p>
      <w:pPr>
        <w:pStyle w:val="2"/>
        <w:spacing w:before="0" w:after="0" w:line="360" w:lineRule="auto"/>
        <w:ind w:firstLine="720"/>
        <w:rPr>
          <w:rFonts w:ascii="Arial" w:cs="Arial" w:hAnsi="Arial"/>
          <w:b/>
          <w:bCs/>
          <w:color w:val="000000"/>
          <w:sz w:val="24"/>
          <w:szCs w:val="24"/>
          <w:lang w:val="en-US"/>
        </w:rPr>
      </w:pPr>
      <w:bookmarkStart w:id="3" w:name="_Toc212931315"/>
      <w:r>
        <w:rPr>
          <w:rFonts w:ascii="Arial" w:cs="Arial" w:hAnsi="Arial"/>
          <w:b/>
          <w:bCs/>
          <w:color w:val="000000"/>
          <w:sz w:val="24"/>
          <w:szCs w:val="24"/>
          <w:lang w:val="en-US"/>
        </w:rPr>
        <w:t>1.1. Innovation Ambition Matrix</w:t>
      </w:r>
      <w:bookmarkEnd w:id="3"/>
    </w:p>
    <w:p>
      <w:pPr>
        <w:spacing w:after="0" w:line="360" w:lineRule="auto"/>
        <w:ind w:firstLine="720"/>
        <w:jc w:val="both"/>
        <w:rPr>
          <w:rFonts w:ascii="Arial" w:cs="Arial" w:hAnsi="Arial"/>
          <w:sz w:val="22"/>
          <w:szCs w:val="22"/>
        </w:rPr>
      </w:pPr>
      <w:r>
        <w:rPr>
          <w:rFonts w:ascii="Arial" w:cs="Arial" w:hAnsi="Arial"/>
          <w:sz w:val="22"/>
          <w:szCs w:val="22"/>
        </w:rPr>
        <w:t>The Innovation Ambition Matrix by Nagji and Tuff (2012) essentially defines three categories for organisational innovation: core, adjacent, and transformational. For Jaguar Land Rover (JLR), the application of this model brings out how innovation efforts are channelled towards maintaining luxury positioning even as the firm undergoes a digital transformation process and environmental transition.</w:t>
      </w:r>
    </w:p>
    <w:p>
      <w:pPr>
        <w:spacing w:after="0" w:line="360" w:lineRule="auto"/>
        <w:ind w:firstLine="720"/>
        <w:jc w:val="both"/>
        <w:rPr>
          <w:rFonts w:ascii="Arial" w:cs="Arial" w:hAnsi="Arial"/>
          <w:sz w:val="22"/>
          <w:szCs w:val="22"/>
        </w:rPr>
      </w:pPr>
      <w:r>
        <w:rPr>
          <w:rFonts w:ascii="Arial" w:cs="Arial" w:hAnsi="Arial"/>
          <w:sz w:val="22"/>
          <w:szCs w:val="22"/>
        </w:rPr>
        <w:t>At the core level, JLR concentrates on improving present models of Range Rover and Jaguar I-PACE by minor innovations in electrification, connectivity, and infotainment developments which enhance established capabilities adding efficiency improvement maintaining customer familiarity with high premium performance (Kotler and Keller, 2022).</w:t>
      </w:r>
    </w:p>
    <w:p>
      <w:pPr>
        <w:spacing w:after="0" w:line="360" w:lineRule="auto"/>
        <w:ind w:firstLine="720"/>
        <w:jc w:val="both"/>
        <w:rPr>
          <w:rFonts w:ascii="Arial" w:cs="Arial" w:hAnsi="Arial"/>
          <w:sz w:val="22"/>
          <w:szCs w:val="22"/>
        </w:rPr>
      </w:pPr>
      <w:r>
        <w:rPr>
          <w:rFonts w:ascii="Arial" w:cs="Arial" w:hAnsi="Arial"/>
          <w:sz w:val="22"/>
          <w:szCs w:val="22"/>
        </w:rPr>
        <w:t>Adjacent innovations have been at the core of JLR’s transformation under Tata Motors. Initiatives include the Reimagine strategy, Electric Modular Architecture (EMA), and agreements with NVIDIA to develop AI-enabled driving systems that extend JLR’s competencies into new technological domains (Tata Motors, 2023). This places the brand somewhat nearer to a data-centric intelligent mobility solution and connected vehicles (Hollensen, 2020).</w:t>
      </w:r>
    </w:p>
    <w:p>
      <w:pPr>
        <w:spacing w:after="0" w:line="360" w:lineRule="auto"/>
        <w:ind w:firstLine="720"/>
        <w:jc w:val="both"/>
        <w:rPr>
          <w:rFonts w:ascii="Arial" w:cs="Arial" w:hAnsi="Arial"/>
          <w:sz w:val="22"/>
          <w:szCs w:val="22"/>
        </w:rPr>
      </w:pPr>
      <w:r>
        <w:rPr>
          <w:rFonts w:ascii="Arial" w:cs="Arial" w:hAnsi="Arial"/>
          <w:sz w:val="22"/>
          <w:szCs w:val="22"/>
        </w:rPr>
        <w:t>JLR’s transformational ambition is to redefine luxury mobility with sustainability, digital and AI-driven personalisation as core elements. However, the proposed Smart Luxury Ecosystem initiative goes further than this ambition by giving a single platform vision of AI analytics, blockchain traceability and immersive digital experiences coming together to deliver an ethical yet bespoke ownership experience (Kapferer and Bastien, 2020).</w:t>
      </w:r>
    </w:p>
    <w:p>
      <w:pPr>
        <w:spacing w:after="0" w:line="360" w:lineRule="auto"/>
        <w:ind w:firstLine="720"/>
        <w:jc w:val="both"/>
        <w:rPr>
          <w:rFonts w:ascii="Arial" w:cs="Arial" w:hAnsi="Arial"/>
          <w:sz w:val="22"/>
          <w:szCs w:val="22"/>
          <w:lang w:val="en-US"/>
        </w:rPr>
      </w:pPr>
      <w:r>
        <w:rPr>
          <w:rFonts w:ascii="Arial" w:cs="Arial" w:hAnsi="Arial"/>
          <w:sz w:val="22"/>
          <w:szCs w:val="22"/>
        </w:rPr>
        <w:t>Yet, in reality, innovation portfolio management is a balancing act. Overemphasizing techno-logical transformation runs the risk of turning away traditional luxury customers who value craft skills and emotional engagement (Hill, 2020). Therefore, for JLR techno-logical integration without destroying heritage is required for successful innovation management; balancing digital progress with timeless design. The Innovation Ambition Matrix provides a roadmap on how to align R&amp;D resources with strategic growth imperatives in the changing automotive landscape.</w:t>
      </w:r>
    </w:p>
    <w:p>
      <w:pPr>
        <w:rPr>
          <w:lang w:val="en-US"/>
        </w:rPr>
      </w:pPr>
    </w:p>
    <w:tbl>
      <w:tblPr>
        <w:jc w:val="left"/>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Pr>
      <w:tblGrid>
        <w:gridCol w:w="1858"/>
        <w:gridCol w:w="2845"/>
        <w:gridCol w:w="3623"/>
        <w:gridCol w:w="1114"/>
      </w:tblGrid>
      <w:tr>
        <w:trPr>
          <w:tblHeader/>
        </w:trPr>
        <w:tc>
          <w:tcPr>
            <w:vAlign w:val="center"/>
          </w:tcPr>
          <w:p>
            <w:pPr>
              <w:rPr>
                <w:rFonts w:ascii="Arial" w:cs="Arial" w:hAnsi="Arial"/>
                <w:b/>
                <w:bCs/>
                <w:sz w:val="22"/>
                <w:szCs w:val="22"/>
                <w:lang w:val="en-US"/>
              </w:rPr>
            </w:pPr>
            <w:r>
              <w:rPr>
                <w:rFonts w:ascii="Arial" w:cs="Arial" w:hAnsi="Arial"/>
                <w:b/>
                <w:bCs/>
                <w:sz w:val="22"/>
                <w:szCs w:val="22"/>
                <w:lang w:val="en-US"/>
              </w:rPr>
              <w:t>Category</w:t>
            </w:r>
          </w:p>
        </w:tc>
        <w:tc>
          <w:tcPr>
            <w:vAlign w:val="center"/>
          </w:tcPr>
          <w:p>
            <w:pPr>
              <w:rPr>
                <w:rFonts w:ascii="Arial" w:cs="Arial" w:hAnsi="Arial"/>
                <w:b/>
                <w:bCs/>
                <w:sz w:val="22"/>
                <w:szCs w:val="22"/>
                <w:lang w:val="en-US"/>
              </w:rPr>
            </w:pPr>
            <w:r>
              <w:rPr>
                <w:rFonts w:ascii="Arial" w:cs="Arial" w:hAnsi="Arial"/>
                <w:b/>
                <w:bCs/>
                <w:sz w:val="22"/>
                <w:szCs w:val="22"/>
                <w:lang w:val="en-US"/>
              </w:rPr>
              <w:t>Description (Based on the Model)</w:t>
            </w:r>
          </w:p>
        </w:tc>
        <w:tc>
          <w:tcPr>
            <w:vAlign w:val="center"/>
          </w:tcPr>
          <w:p>
            <w:pPr>
              <w:rPr>
                <w:rFonts w:ascii="Arial" w:cs="Arial" w:hAnsi="Arial"/>
                <w:b/>
                <w:bCs/>
                <w:sz w:val="22"/>
                <w:szCs w:val="22"/>
                <w:lang w:val="en-US"/>
              </w:rPr>
            </w:pPr>
            <w:r>
              <w:rPr>
                <w:rFonts w:ascii="Arial" w:cs="Arial" w:hAnsi="Arial"/>
                <w:b/>
                <w:bCs/>
                <w:sz w:val="22"/>
                <w:szCs w:val="22"/>
                <w:lang w:val="en-US"/>
              </w:rPr>
              <w:t>JLR Applications</w:t>
            </w:r>
          </w:p>
        </w:tc>
        <w:tc>
          <w:tcPr>
            <w:vAlign w:val="center"/>
          </w:tcPr>
          <w:p>
            <w:pPr>
              <w:rPr>
                <w:rFonts w:ascii="Arial" w:cs="Arial" w:hAnsi="Arial"/>
                <w:b/>
                <w:bCs/>
                <w:sz w:val="22"/>
                <w:szCs w:val="22"/>
                <w:lang w:val="en-US"/>
              </w:rPr>
            </w:pPr>
            <w:r>
              <w:rPr>
                <w:rFonts w:ascii="Arial" w:cs="Arial" w:hAnsi="Arial"/>
                <w:b/>
                <w:bCs/>
                <w:sz w:val="22"/>
                <w:szCs w:val="22"/>
                <w:lang w:val="en-US"/>
              </w:rPr>
              <w:t>Resource Allocation</w:t>
            </w:r>
          </w:p>
        </w:tc>
      </w:tr>
      <w:tr>
        <w:tc>
          <w:tcPr>
            <w:vAlign w:val="center"/>
          </w:tcPr>
          <w:p>
            <w:pPr>
              <w:rPr>
                <w:rFonts w:ascii="Arial" w:cs="Arial" w:hAnsi="Arial"/>
                <w:sz w:val="22"/>
                <w:szCs w:val="22"/>
                <w:lang w:val="en-US"/>
              </w:rPr>
            </w:pPr>
            <w:r>
              <w:rPr>
                <w:rFonts w:ascii="Arial" w:cs="Arial" w:hAnsi="Arial"/>
                <w:b/>
                <w:bCs/>
                <w:sz w:val="22"/>
                <w:szCs w:val="22"/>
                <w:lang w:val="en-US"/>
              </w:rPr>
              <w:t>Core Innovations</w:t>
            </w:r>
          </w:p>
        </w:tc>
        <w:tc>
          <w:tcPr>
            <w:vAlign w:val="center"/>
          </w:tcPr>
          <w:p>
            <w:pPr>
              <w:rPr>
                <w:rFonts w:ascii="Arial" w:cs="Arial" w:hAnsi="Arial"/>
                <w:sz w:val="22"/>
                <w:szCs w:val="22"/>
                <w:lang w:val="en-US"/>
              </w:rPr>
            </w:pPr>
            <w:r>
              <w:rPr>
                <w:rFonts w:ascii="Arial" w:cs="Arial" w:hAnsi="Arial"/>
                <w:sz w:val="22"/>
                <w:szCs w:val="22"/>
                <w:lang w:val="en-US"/>
              </w:rPr>
              <w:t>Optimising existing products for existing customers using existing products and assets</w:t>
            </w:r>
          </w:p>
        </w:tc>
        <w:tc>
          <w:tcPr>
            <w:vAlign w:val="center"/>
          </w:tcPr>
          <w:p>
            <w:pPr>
              <w:rPr>
                <w:rFonts w:ascii="Arial" w:cs="Arial" w:hAnsi="Arial"/>
                <w:sz w:val="22"/>
                <w:szCs w:val="22"/>
                <w:lang w:val="en-US"/>
              </w:rPr>
            </w:pPr>
            <w:r>
              <w:rPr>
                <w:rFonts w:ascii="Arial" w:cs="Arial" w:hAnsi="Arial"/>
                <w:sz w:val="22"/>
                <w:szCs w:val="22"/>
                <w:lang w:val="en-US"/>
              </w:rPr>
              <w:t>Enhancements to Range Rover and Jaguar I-PACE; improved electrification, connectivity, infotainment; efficiency gains without altering heritage</w:t>
            </w:r>
          </w:p>
        </w:tc>
        <w:tc>
          <w:tcPr>
            <w:vAlign w:val="center"/>
          </w:tcPr>
          <w:p>
            <w:pPr>
              <w:rPr>
                <w:rFonts w:ascii="Arial" w:cs="Arial" w:hAnsi="Arial"/>
                <w:sz w:val="22"/>
                <w:szCs w:val="22"/>
                <w:lang w:val="en-US"/>
              </w:rPr>
            </w:pPr>
            <w:r>
              <w:rPr>
                <w:rFonts w:ascii="Arial" w:cs="Arial" w:hAnsi="Arial"/>
                <w:b/>
                <w:bCs/>
                <w:sz w:val="22"/>
                <w:szCs w:val="22"/>
                <w:lang w:val="en-US"/>
              </w:rPr>
              <w:t>70%</w:t>
            </w:r>
          </w:p>
        </w:tc>
      </w:tr>
      <w:tr>
        <w:tc>
          <w:tcPr>
            <w:vAlign w:val="center"/>
          </w:tcPr>
          <w:p>
            <w:pPr>
              <w:rPr>
                <w:rFonts w:ascii="Arial" w:cs="Arial" w:hAnsi="Arial"/>
                <w:sz w:val="22"/>
                <w:szCs w:val="22"/>
                <w:lang w:val="en-US"/>
              </w:rPr>
            </w:pPr>
            <w:r>
              <w:rPr>
                <w:rFonts w:ascii="Arial" w:cs="Arial" w:hAnsi="Arial"/>
                <w:b/>
                <w:bCs/>
                <w:sz w:val="22"/>
                <w:szCs w:val="22"/>
                <w:lang w:val="en-US"/>
              </w:rPr>
              <w:t>Adjacent Innovations</w:t>
            </w:r>
          </w:p>
        </w:tc>
        <w:tc>
          <w:tcPr>
            <w:vAlign w:val="center"/>
          </w:tcPr>
          <w:p>
            <w:pPr>
              <w:rPr>
                <w:rFonts w:ascii="Arial" w:cs="Arial" w:hAnsi="Arial"/>
                <w:sz w:val="22"/>
                <w:szCs w:val="22"/>
                <w:lang w:val="en-US"/>
              </w:rPr>
            </w:pPr>
            <w:r>
              <w:rPr>
                <w:rFonts w:ascii="Arial" w:cs="Arial" w:hAnsi="Arial"/>
                <w:sz w:val="22"/>
                <w:szCs w:val="22"/>
                <w:lang w:val="en-US"/>
              </w:rPr>
              <w:t>Expanding into “new-to-the-company” markets or technologies using adjacent products and assets</w:t>
            </w:r>
          </w:p>
        </w:tc>
        <w:tc>
          <w:tcPr>
            <w:vAlign w:val="center"/>
          </w:tcPr>
          <w:p>
            <w:pPr>
              <w:rPr>
                <w:rFonts w:ascii="Arial" w:cs="Arial" w:hAnsi="Arial"/>
                <w:sz w:val="22"/>
                <w:szCs w:val="22"/>
                <w:lang w:val="en-US"/>
              </w:rPr>
            </w:pPr>
            <w:r>
              <w:rPr>
                <w:rFonts w:ascii="Arial" w:cs="Arial" w:hAnsi="Arial"/>
                <w:sz w:val="22"/>
                <w:szCs w:val="22"/>
                <w:lang w:val="en-US"/>
              </w:rPr>
              <w:t>Reimagine strategy; Electric Modular Architecture (EMA); NVIDIA partnership for AI-driven systems; connected mobility services</w:t>
            </w:r>
          </w:p>
        </w:tc>
        <w:tc>
          <w:tcPr>
            <w:vAlign w:val="center"/>
          </w:tcPr>
          <w:p>
            <w:pPr>
              <w:rPr>
                <w:rFonts w:ascii="Arial" w:cs="Arial" w:hAnsi="Arial"/>
                <w:sz w:val="22"/>
                <w:szCs w:val="22"/>
                <w:lang w:val="en-US"/>
              </w:rPr>
            </w:pPr>
            <w:r>
              <w:rPr>
                <w:rFonts w:ascii="Arial" w:cs="Arial" w:hAnsi="Arial"/>
                <w:b/>
                <w:bCs/>
                <w:sz w:val="22"/>
                <w:szCs w:val="22"/>
                <w:lang w:val="en-US"/>
              </w:rPr>
              <w:t>20%</w:t>
            </w:r>
          </w:p>
        </w:tc>
      </w:tr>
      <w:tr>
        <w:tc>
          <w:tcPr>
            <w:vAlign w:val="center"/>
          </w:tcPr>
          <w:p>
            <w:pPr>
              <w:rPr>
                <w:rFonts w:ascii="Arial" w:cs="Arial" w:hAnsi="Arial"/>
                <w:sz w:val="22"/>
                <w:szCs w:val="22"/>
                <w:lang w:val="en-US"/>
              </w:rPr>
            </w:pPr>
            <w:r>
              <w:rPr>
                <w:rFonts w:ascii="Arial" w:cs="Arial" w:hAnsi="Arial"/>
                <w:b/>
                <w:bCs/>
                <w:sz w:val="22"/>
                <w:szCs w:val="22"/>
                <w:lang w:val="en-US"/>
              </w:rPr>
              <w:t>Transformational Innovations</w:t>
            </w:r>
          </w:p>
        </w:tc>
        <w:tc>
          <w:tcPr>
            <w:vAlign w:val="center"/>
          </w:tcPr>
          <w:p>
            <w:pPr>
              <w:rPr>
                <w:rFonts w:ascii="Arial" w:cs="Arial" w:hAnsi="Arial"/>
                <w:sz w:val="22"/>
                <w:szCs w:val="22"/>
                <w:lang w:val="en-US"/>
              </w:rPr>
            </w:pPr>
            <w:r>
              <w:rPr>
                <w:rFonts w:ascii="Arial" w:cs="Arial" w:hAnsi="Arial"/>
                <w:sz w:val="22"/>
                <w:szCs w:val="22"/>
                <w:lang w:val="en-US"/>
              </w:rPr>
              <w:t>Developing breakthroughs and creating offerings for markets that do not yet exist using new products and assets</w:t>
            </w:r>
          </w:p>
        </w:tc>
        <w:tc>
          <w:tcPr>
            <w:vAlign w:val="center"/>
          </w:tcPr>
          <w:p>
            <w:pPr>
              <w:rPr>
                <w:rFonts w:ascii="Arial" w:cs="Arial" w:hAnsi="Arial"/>
                <w:sz w:val="22"/>
                <w:szCs w:val="22"/>
                <w:lang w:val="en-US"/>
              </w:rPr>
            </w:pPr>
            <w:r>
              <w:rPr>
                <w:rFonts w:ascii="Arial" w:cs="Arial" w:hAnsi="Arial"/>
                <w:sz w:val="22"/>
                <w:szCs w:val="22"/>
                <w:lang w:val="en-US"/>
              </w:rPr>
              <w:t>Smart Luxury Ecosystem combining AI analytics, blockchain traceability, digital immersion; redefining sustainable intelligent luxury mobility</w:t>
            </w:r>
          </w:p>
        </w:tc>
        <w:tc>
          <w:tcPr>
            <w:vAlign w:val="center"/>
          </w:tcPr>
          <w:p>
            <w:pPr>
              <w:rPr>
                <w:rFonts w:ascii="Arial" w:cs="Arial" w:hAnsi="Arial"/>
                <w:sz w:val="22"/>
                <w:szCs w:val="22"/>
                <w:lang w:val="en-US"/>
              </w:rPr>
            </w:pPr>
            <w:r>
              <w:rPr>
                <w:rFonts w:ascii="Arial" w:cs="Arial" w:hAnsi="Arial"/>
                <w:b/>
                <w:bCs/>
                <w:sz w:val="22"/>
                <w:szCs w:val="22"/>
                <w:lang w:val="en-US"/>
              </w:rPr>
              <w:t>10%</w:t>
            </w:r>
          </w:p>
        </w:tc>
      </w:tr>
    </w:tbl>
    <w:p>
      <w:pPr>
        <w:spacing w:after="0" w:line="360" w:lineRule="auto"/>
        <w:jc w:val="both"/>
        <w:rPr>
          <w:rFonts w:ascii="Arial" w:cs="Arial" w:hAnsi="Arial"/>
          <w:sz w:val="22"/>
          <w:szCs w:val="22"/>
          <w:lang w:val="en-US"/>
        </w:rPr>
      </w:pPr>
    </w:p>
    <w:p>
      <w:pPr>
        <w:spacing w:after="0" w:line="360" w:lineRule="auto"/>
        <w:ind w:firstLine="720"/>
        <w:jc w:val="both"/>
        <w:rPr>
          <w:rFonts w:ascii="Arial" w:cs="Arial" w:hAnsi="Arial"/>
          <w:sz w:val="22"/>
          <w:szCs w:val="22"/>
        </w:rPr>
      </w:pPr>
      <w:r>
        <w:rPr>
          <w:rFonts w:ascii="Arial" w:cs="Arial" w:hAnsi="Arial"/>
          <w:sz w:val="22"/>
          <w:szCs w:val="22"/>
        </w:rPr>
        <w:t>Through the Innovation Ambition Matrix, JLR can balance incremental improvements with long-term reinvention. Seventy percent of core innovations are aimed at improving electrification, connectivity, and infotainment within existing luxury models while maintaining performance aspects and features familiar to the brand. Adjacent innovation comprises twenty percent which includes the Reimagine strategy; EMA platform; partnership between NVIDIA AI and intelligent mobility plus new digital capabilities for JLR. Ten percent transformational innovation attempts to redefine luxury mobility as Smart Luxury Ecosystem that integrates AI/blockchain/immersive experiences signifies. Technological advancement preserves artisan heritage but enables future-oriented sustainable growth wherein all elements find equilibrium.</w:t>
      </w:r>
    </w:p>
    <w:p>
      <w:pPr>
        <w:rPr>
          <w:lang w:val="en-US"/>
        </w:rPr>
      </w:pPr>
    </w:p>
    <w:p>
      <w:pPr>
        <w:pStyle w:val="3"/>
        <w:spacing w:before="0" w:after="0" w:line="360" w:lineRule="auto"/>
        <w:ind w:firstLine="720"/>
        <w:rPr>
          <w:rFonts w:ascii="Arial" w:cs="Arial" w:hAnsi="Arial"/>
          <w:b/>
          <w:bCs/>
          <w:color w:val="000000"/>
          <w:sz w:val="22"/>
          <w:szCs w:val="22"/>
          <w:lang w:val="en-US"/>
        </w:rPr>
      </w:pPr>
      <w:bookmarkStart w:id="4" w:name="_Toc212931316"/>
      <w:r>
        <w:rPr>
          <w:rFonts w:ascii="Arial" w:cs="Arial" w:hAnsi="Arial"/>
          <w:b/>
          <w:bCs/>
          <w:color w:val="000000"/>
          <w:sz w:val="22"/>
          <w:szCs w:val="22"/>
          <w:lang w:val="en-US"/>
        </w:rPr>
        <w:t>1.1.1. McKinsey’s 3 Horizons model</w:t>
      </w:r>
      <w:bookmarkEnd w:id="4"/>
    </w:p>
    <w:p>
      <w:pPr>
        <w:spacing w:after="0" w:line="360" w:lineRule="auto"/>
        <w:ind w:firstLine="720"/>
        <w:jc w:val="both"/>
        <w:rPr>
          <w:rFonts w:ascii="Arial" w:cs="Arial" w:hAnsi="Arial"/>
          <w:sz w:val="22"/>
          <w:szCs w:val="22"/>
        </w:rPr>
      </w:pPr>
      <w:r>
        <w:rPr>
          <w:rFonts w:ascii="Arial" w:cs="Arial" w:hAnsi="Arial"/>
          <w:sz w:val="22"/>
          <w:szCs w:val="22"/>
        </w:rPr>
        <w:t>The McKinsey’s Three Horizons Model introduces a strategic approach to support innovations and operations in the short, medium, and long-term priorities by balancing them (Baghai, Coley and White, 2000). For Jaguar Land Rover (JLR), the model demonstrates how its present performance is managed concurrently with investments in transformative digital initiatives.</w:t>
      </w:r>
    </w:p>
    <w:p>
      <w:pPr>
        <w:spacing w:after="0" w:line="360" w:lineRule="auto"/>
        <w:ind w:firstLine="720"/>
        <w:jc w:val="both"/>
        <w:rPr>
          <w:rFonts w:ascii="Arial" w:cs="Arial" w:hAnsi="Arial"/>
          <w:sz w:val="22"/>
          <w:szCs w:val="22"/>
        </w:rPr>
      </w:pPr>
      <w:r>
        <w:rPr>
          <w:rFonts w:ascii="Arial" w:cs="Arial" w:hAnsi="Arial"/>
          <w:sz w:val="22"/>
          <w:szCs w:val="22"/>
        </w:rPr>
        <w:t>Horizon 1 is about how JLR runs now to keep getting better at what it does: making sure vehicles are of top quality, improving production efficiency, and keeping the business profitable through models like Range Rover and Defender. Small digital upgrades add to the competitiveness of the company in aspects such as predictive maintenance and connected car services (Grant, 2021).</w:t>
      </w:r>
    </w:p>
    <w:p>
      <w:pPr>
        <w:spacing w:after="0" w:line="360" w:lineRule="auto"/>
        <w:ind w:firstLine="720"/>
        <w:jc w:val="both"/>
        <w:rPr>
          <w:rFonts w:ascii="Arial" w:cs="Arial" w:hAnsi="Arial"/>
          <w:sz w:val="22"/>
          <w:szCs w:val="22"/>
        </w:rPr>
      </w:pPr>
      <w:r>
        <w:rPr>
          <w:rFonts w:ascii="Arial" w:cs="Arial" w:hAnsi="Arial"/>
          <w:sz w:val="22"/>
          <w:szCs w:val="22"/>
        </w:rPr>
        <w:t>Horizon 2 focuses on scaling electrification, sustainable sourcing, and digital customer interfaces. An example of a mid-term innovation is enhanced data insight and customer experience that JLR has partnered with NVIDIA to work on AI-driven autonomous driving and Amazon Web Services for cloud integration (Kotler and Keller, 2022).</w:t>
      </w:r>
    </w:p>
    <w:p>
      <w:pPr>
        <w:spacing w:after="0" w:line="360" w:lineRule="auto"/>
        <w:ind w:firstLine="720"/>
        <w:jc w:val="both"/>
        <w:rPr>
          <w:rFonts w:ascii="Arial" w:cs="Arial" w:hAnsi="Arial"/>
          <w:sz w:val="22"/>
          <w:szCs w:val="22"/>
          <w:lang w:val="en-US"/>
        </w:rPr>
      </w:pPr>
      <w:r>
        <w:rPr>
          <w:rFonts w:ascii="Arial" w:cs="Arial" w:hAnsi="Arial"/>
          <w:sz w:val="22"/>
          <w:szCs w:val="22"/>
        </w:rPr>
        <w:t>Horizon 3 is about transformational innovation- integration of AI, blockchain, and immersive digital experiences into one Smart Luxury Ecosystem. In this horizon, JLR is a tech-integrated mobility brand with sustainability at its core. Balancing the horizons ensures strategic continuity while preventing innovation fatigue by bridging JLR’s strong heritage of artistry with the digital desires of today’s luxury consumer (Hollensen, 2020).</w:t>
      </w:r>
    </w:p>
    <w:p>
      <w:pPr>
        <w:rPr>
          <w:lang w:val="en-US"/>
        </w:rPr>
      </w:pPr>
    </w:p>
    <w:p>
      <w:pPr>
        <w:pStyle w:val="2"/>
        <w:spacing w:before="0" w:after="0" w:line="360" w:lineRule="auto"/>
        <w:ind w:firstLine="720"/>
        <w:rPr>
          <w:rFonts w:ascii="Arial" w:cs="Arial" w:hAnsi="Arial"/>
          <w:b/>
          <w:bCs/>
          <w:color w:val="000000"/>
          <w:sz w:val="24"/>
          <w:szCs w:val="24"/>
          <w:lang w:val="en-US"/>
        </w:rPr>
      </w:pPr>
      <w:bookmarkStart w:id="5" w:name="_Toc212931317"/>
      <w:r>
        <w:rPr>
          <w:rFonts w:ascii="Arial" w:cs="Arial" w:hAnsi="Arial"/>
          <w:b/>
          <w:bCs/>
          <w:color w:val="000000"/>
          <w:sz w:val="24"/>
          <w:szCs w:val="24"/>
          <w:lang w:val="en-US"/>
        </w:rPr>
        <w:t>1.2. Customer Journey Mapping</w:t>
      </w:r>
      <w:bookmarkEnd w:id="5"/>
      <w:r>
        <w:rPr>
          <w:rFonts w:ascii="Arial" w:cs="Arial" w:hAnsi="Arial"/>
          <w:b/>
          <w:bCs/>
          <w:color w:val="000000"/>
          <w:sz w:val="24"/>
          <w:szCs w:val="24"/>
          <w:lang w:val="en-US"/>
        </w:rPr>
        <w:t xml:space="preserve"> </w:t>
      </w:r>
    </w:p>
    <w:p>
      <w:pPr>
        <w:spacing w:after="0" w:line="360" w:lineRule="auto"/>
        <w:ind w:firstLine="720"/>
        <w:jc w:val="both"/>
        <w:rPr>
          <w:rFonts w:ascii="Arial" w:cs="Arial" w:hAnsi="Arial"/>
          <w:sz w:val="22"/>
          <w:szCs w:val="22"/>
        </w:rPr>
      </w:pPr>
      <w:r>
        <w:rPr>
          <w:rFonts w:ascii="Arial" w:cs="Arial" w:hAnsi="Arial"/>
          <w:sz w:val="22"/>
          <w:szCs w:val="22"/>
        </w:rPr>
        <w:t>The customer journey at Jaguar Land Rover (JLR) follows a linear path in the traditional model-Awareness→Consideration→Purchase→Ownership→Loyalty. This is reflective of the emotional and experiential way luxury vehicles are purchased (Chaffey and Ellis-Chadwick, 2022).</w:t>
      </w:r>
    </w:p>
    <w:p>
      <w:pPr>
        <w:spacing w:after="0" w:line="360" w:lineRule="auto"/>
        <w:ind w:firstLine="720"/>
        <w:jc w:val="both"/>
        <w:rPr>
          <w:rFonts w:ascii="Arial" w:cs="Arial" w:hAnsi="Arial"/>
          <w:sz w:val="22"/>
          <w:szCs w:val="22"/>
        </w:rPr>
      </w:pPr>
      <w:r>
        <w:rPr>
          <w:rFonts w:ascii="Arial" w:cs="Arial" w:hAnsi="Arial"/>
          <w:sz w:val="22"/>
          <w:szCs w:val="22"/>
        </w:rPr>
        <w:t>At the awareness stage, digital advertising, influencer collaborations, and auto shows introducing new models continue to reinforce aspirational brand values. Consideration is experiential immersion through JLR’s online configurator and visit to the dealership supported by luxury service touchpoints. Personalised consultancy and flexible financing options express trust and exclusivity with the buyer during the purchase.</w:t>
      </w:r>
    </w:p>
    <w:p>
      <w:pPr>
        <w:spacing w:after="0" w:line="360" w:lineRule="auto"/>
        <w:ind w:firstLine="720"/>
        <w:jc w:val="both"/>
        <w:rPr>
          <w:rFonts w:ascii="Arial" w:cs="Arial" w:hAnsi="Arial"/>
          <w:sz w:val="22"/>
          <w:szCs w:val="22"/>
        </w:rPr>
      </w:pPr>
      <w:r>
        <w:rPr>
          <w:rFonts w:ascii="Arial" w:cs="Arial" w:hAnsi="Arial"/>
          <w:sz w:val="22"/>
          <w:szCs w:val="22"/>
        </w:rPr>
        <w:t>However, pain points exist. Research indicates inconsistencies in online–offline integration and limited post-purchase digital engagement (Christopher, 2022). The ownership phase still relies heavily on physical servicing, while customer data remains fragmented across platforms.</w:t>
      </w:r>
    </w:p>
    <w:p>
      <w:pPr>
        <w:spacing w:after="0" w:line="360" w:lineRule="auto"/>
        <w:ind w:firstLine="720"/>
        <w:jc w:val="both"/>
        <w:rPr>
          <w:rFonts w:ascii="Arial" w:cs="Arial" w:hAnsi="Arial"/>
          <w:sz w:val="22"/>
          <w:szCs w:val="22"/>
        </w:rPr>
      </w:pPr>
      <w:r>
        <w:rPr>
          <w:rFonts w:ascii="Arial" w:cs="Arial" w:hAnsi="Arial"/>
          <w:sz w:val="22"/>
          <w:szCs w:val="22"/>
        </w:rPr>
        <w:t>Opportunities may comprise further widening digital touchpoints, integrating customer data, and leveraging predictive AI to transform the service model from reactive to proactive while enhancing personalization. This would make customers loyal and satisfied beyond vehicle delivery in association with the brand’s “Modern Luxury” vision (Tata Motors, 2023).</w:t>
      </w:r>
    </w:p>
    <w:p>
      <w:pPr>
        <w:spacing w:after="0" w:line="360" w:lineRule="auto"/>
        <w:jc w:val="both"/>
        <w:rPr>
          <w:rFonts w:ascii="Arial" w:cs="Arial" w:hAnsi="Arial"/>
          <w:sz w:val="22"/>
          <w:szCs w:val="22"/>
        </w:rPr>
      </w:pPr>
    </w:p>
    <w:p>
      <w:pPr>
        <w:spacing w:after="0" w:line="360" w:lineRule="auto"/>
        <w:jc w:val="center"/>
        <w:rPr>
          <w:rFonts w:ascii="Arial" w:cs="Arial" w:hAnsi="Arial"/>
          <w:sz w:val="22"/>
          <w:szCs w:val="22"/>
        </w:rPr>
      </w:pPr>
      <w:r>
        <w:drawing>
          <wp:inline distT="0" distB="0" distL="0" distR="0">
            <wp:extent cx="5943600" cy="3405504"/>
            <wp:effectExtent l="0" t="0" r="0" b="0"/>
            <wp:docPr id="1" name="Images 1"/>
            <wp:cNvGraphicFramePr>
              <a:graphicFrameLocks noChangeAspect="1"/>
            </wp:cNvGraphicFramePr>
            <a:graphic>
              <a:graphicData uri="http://schemas.openxmlformats.org/drawingml/2006/picture">
                <pic:pic>
                  <pic:nvPicPr>
                    <pic:cNvPr id="3" name="Images 3"/>
                    <pic:cNvPicPr/>
                  </pic:nvPicPr>
                  <pic:blipFill>
                    <a:blip r:embed="rId2"/>
                    <a:stretch>
                      <a:fillRect/>
                    </a:stretch>
                  </pic:blipFill>
                  <pic:spPr>
                    <a:xfrm rot="0">
                      <a:off x="0" y="0"/>
                      <a:ext cx="5943600" cy="3405504"/>
                    </a:xfrm>
                    <a:prstGeom prst="rect"/>
                    <a:noFill/>
                    <a:ln w="12700" cmpd="sng" cap="flat">
                      <a:noFill/>
                      <a:prstDash val="solid"/>
                      <a:round/>
                    </a:ln>
                  </pic:spPr>
                </pic:pic>
              </a:graphicData>
            </a:graphic>
          </wp:inline>
        </w:drawing>
      </w:r>
    </w:p>
    <w:p>
      <w:pPr>
        <w:rPr>
          <w:lang w:val="en-US"/>
        </w:rPr>
      </w:pPr>
    </w:p>
    <w:p>
      <w:pPr>
        <w:rPr>
          <w:lang w:val="en-US"/>
        </w:rPr>
      </w:pPr>
    </w:p>
    <w:p>
      <w:pPr>
        <w:rPr>
          <w:lang w:val="en-US"/>
        </w:rPr>
      </w:pPr>
    </w:p>
    <w:p>
      <w:pPr>
        <w:rPr>
          <w:lang w:val="en-US"/>
        </w:rPr>
      </w:pPr>
    </w:p>
    <w:p>
      <w:pPr>
        <w:rPr>
          <w:lang w:val="en-US"/>
        </w:rPr>
      </w:pPr>
    </w:p>
    <w:p>
      <w:pPr>
        <w:rPr>
          <w:lang w:val="en-US"/>
        </w:rPr>
      </w:pPr>
    </w:p>
    <w:p>
      <w:pPr>
        <w:rPr>
          <w:lang w:val="en-US"/>
        </w:rPr>
      </w:pPr>
    </w:p>
    <w:p>
      <w:pPr>
        <w:rPr>
          <w:lang w:val="en-US"/>
        </w:rPr>
      </w:pPr>
    </w:p>
    <w:p>
      <w:pPr>
        <w:rPr>
          <w:lang w:val="en-US"/>
        </w:rPr>
      </w:pPr>
    </w:p>
    <w:p>
      <w:pPr>
        <w:rPr>
          <w:lang w:val="en-US"/>
        </w:rPr>
      </w:pPr>
    </w:p>
    <w:p>
      <w:pPr>
        <w:rPr>
          <w:lang w:val="en-US"/>
        </w:rPr>
      </w:pPr>
    </w:p>
    <w:p>
      <w:pPr>
        <w:rPr>
          <w:lang w:val="en-US"/>
        </w:rPr>
      </w:pPr>
    </w:p>
    <w:p>
      <w:pPr>
        <w:rPr>
          <w:lang w:val="en-US"/>
        </w:rPr>
      </w:pPr>
    </w:p>
    <w:p>
      <w:pPr>
        <w:rPr>
          <w:lang w:val="en-US"/>
        </w:rPr>
      </w:pPr>
    </w:p>
    <w:p>
      <w:pPr>
        <w:pStyle w:val="1"/>
        <w:spacing w:before="0" w:after="0" w:line="360" w:lineRule="auto"/>
        <w:jc w:val="center"/>
        <w:rPr>
          <w:rFonts w:ascii="Arial" w:cs="Arial" w:hAnsi="Arial"/>
          <w:b/>
          <w:bCs/>
          <w:color w:val="000000"/>
          <w:sz w:val="28"/>
          <w:szCs w:val="28"/>
          <w:lang w:val="en-US"/>
        </w:rPr>
      </w:pPr>
      <w:bookmarkStart w:id="6" w:name="_Toc212931318"/>
      <w:r>
        <w:rPr>
          <w:rFonts w:ascii="Arial" w:cs="Arial" w:hAnsi="Arial"/>
          <w:b/>
          <w:bCs/>
          <w:color w:val="000000"/>
          <w:sz w:val="28"/>
          <w:szCs w:val="28"/>
          <w:lang w:val="en-US"/>
        </w:rPr>
        <w:t>PART 2: Proposed Digital Transformation Initiative – “Smart Luxury Ecosystem”</w:t>
      </w:r>
      <w:bookmarkEnd w:id="6"/>
    </w:p>
    <w:p>
      <w:pPr>
        <w:rPr>
          <w:lang w:val="en-US"/>
        </w:rPr>
      </w:pPr>
    </w:p>
    <w:p>
      <w:pPr>
        <w:pStyle w:val="2"/>
        <w:spacing w:before="0" w:after="0" w:line="360" w:lineRule="auto"/>
        <w:ind w:firstLine="720"/>
        <w:rPr>
          <w:rFonts w:ascii="Arial" w:cs="Arial" w:hAnsi="Arial"/>
          <w:b/>
          <w:bCs/>
          <w:color w:val="000000"/>
          <w:sz w:val="24"/>
          <w:szCs w:val="24"/>
          <w:lang w:val="en-US"/>
        </w:rPr>
      </w:pPr>
      <w:bookmarkStart w:id="7" w:name="_Toc212931319"/>
      <w:r>
        <w:rPr>
          <w:rFonts w:ascii="Arial" w:cs="Arial" w:hAnsi="Arial"/>
          <w:b/>
          <w:bCs/>
          <w:color w:val="000000"/>
          <w:sz w:val="24"/>
          <w:szCs w:val="24"/>
          <w:lang w:val="en-US"/>
        </w:rPr>
        <w:t>2.1. Overview of the Initiative</w:t>
      </w:r>
      <w:bookmarkEnd w:id="7"/>
    </w:p>
    <w:p>
      <w:pPr>
        <w:spacing w:after="0" w:line="360" w:lineRule="auto"/>
        <w:ind w:firstLine="720"/>
        <w:jc w:val="both"/>
        <w:rPr>
          <w:rFonts w:ascii="Arial" w:cs="Arial" w:hAnsi="Arial"/>
          <w:sz w:val="22"/>
          <w:szCs w:val="22"/>
        </w:rPr>
      </w:pPr>
      <w:r>
        <w:rPr>
          <w:rFonts w:ascii="Arial" w:cs="Arial" w:hAnsi="Arial"/>
          <w:sz w:val="22"/>
          <w:szCs w:val="22"/>
        </w:rPr>
        <w:t>Jaguar Land Rover’s (JLR) proposed, Smart Luxury Ecosystem is a holistic digital transformation program intended to eventually merge artificial intelligence (AI), immersive retail, and sustainability intelligence into one flawless ownership experience. The program emanates from JLR’s Reimagine strategy that places major emphasis on sustainable modern luxury, electrification, and intelligent mobility (Tata Motors, 2023).</w:t>
      </w:r>
    </w:p>
    <w:p>
      <w:pPr>
        <w:spacing w:after="0" w:line="360" w:lineRule="auto"/>
        <w:ind w:firstLine="720"/>
        <w:jc w:val="both"/>
        <w:rPr>
          <w:rFonts w:ascii="Arial" w:cs="Arial" w:hAnsi="Arial"/>
          <w:sz w:val="22"/>
          <w:szCs w:val="22"/>
        </w:rPr>
      </w:pPr>
      <w:r>
        <w:rPr>
          <w:rFonts w:ascii="Arial" w:cs="Arial" w:hAnsi="Arial"/>
          <w:sz w:val="22"/>
          <w:szCs w:val="22"/>
        </w:rPr>
        <w:t>This transformation initiative aims at two main issues: one, the fragmentation between JLR’s online and offline customer experiences, and a rising consumer expectation towards transparency, ethics, and personalisation in the luxury purchase (Kapferer and Bastien 2020). Advanced analytics, blockchain traceability, and VR-based retail engagement experience place JLR as a new company—not simply an automotive Original Equipment Manufacturer but Sustainable Lifestyle Tech (Hollensen 2020).</w:t>
      </w:r>
    </w:p>
    <w:p>
      <w:pPr>
        <w:spacing w:after="0" w:line="360" w:lineRule="auto"/>
        <w:ind w:firstLine="720"/>
        <w:jc w:val="both"/>
        <w:rPr>
          <w:rFonts w:ascii="Arial" w:cs="Arial" w:hAnsi="Arial"/>
          <w:sz w:val="22"/>
          <w:szCs w:val="22"/>
          <w:lang w:val="en-US"/>
        </w:rPr>
      </w:pPr>
      <w:r>
        <w:rPr>
          <w:rFonts w:ascii="Arial" w:cs="Arial" w:hAnsi="Arial"/>
          <w:sz w:val="22"/>
          <w:szCs w:val="22"/>
        </w:rPr>
        <w:t>The Smart Luxury Ecosystem will be designed around a connected digital framework enhancing interactions at every touchpoint of the customer journey-from brand discovery to long-term ownership and advocacy. The core vision involves using artificial intelligence to read behavioural data, mapping consumer needs, and delivering personalised services (Kotler et al., 2021). The project brings together heritage artistry with digital acumen emphasizing JLR’s avant-garde leadership in the transformation of modern luxury within the worldwide automotive sector.</w:t>
      </w:r>
    </w:p>
    <w:p>
      <w:pPr>
        <w:rPr>
          <w:lang w:val="en-US"/>
        </w:rPr>
      </w:pPr>
    </w:p>
    <w:p>
      <w:pPr>
        <w:pStyle w:val="3"/>
        <w:spacing w:before="0" w:after="0" w:line="360" w:lineRule="auto"/>
        <w:ind w:firstLine="720"/>
        <w:rPr>
          <w:rFonts w:ascii="Arial" w:cs="Arial" w:hAnsi="Arial"/>
          <w:b/>
          <w:bCs/>
          <w:color w:val="000000"/>
          <w:sz w:val="22"/>
          <w:szCs w:val="22"/>
          <w:lang w:val="en-US"/>
        </w:rPr>
      </w:pPr>
      <w:bookmarkStart w:id="8" w:name="_Toc212931320"/>
      <w:r>
        <w:rPr>
          <w:rFonts w:ascii="Arial" w:cs="Arial" w:hAnsi="Arial"/>
          <w:b/>
          <w:bCs/>
          <w:color w:val="000000"/>
          <w:sz w:val="22"/>
          <w:szCs w:val="22"/>
          <w:lang w:val="en-US"/>
        </w:rPr>
        <w:t>2.1.1. Integration of AI personalisation, immersive retail, and sustainability data tracking</w:t>
      </w:r>
      <w:bookmarkEnd w:id="8"/>
    </w:p>
    <w:p>
      <w:pPr>
        <w:spacing w:after="0" w:line="360" w:lineRule="auto"/>
        <w:ind w:firstLine="720"/>
        <w:jc w:val="both"/>
        <w:rPr>
          <w:rFonts w:ascii="Arial" w:cs="Arial" w:hAnsi="Arial"/>
          <w:sz w:val="22"/>
          <w:szCs w:val="22"/>
        </w:rPr>
      </w:pPr>
      <w:r>
        <w:rPr>
          <w:rFonts w:ascii="Arial" w:cs="Arial" w:hAnsi="Arial"/>
          <w:sz w:val="22"/>
          <w:szCs w:val="22"/>
        </w:rPr>
        <w:t>The unified digital experience that the integration of AI personalisation, immersive retail and sustainability data tracking within the Smart Luxury Ecosystem offers supports and aligns with new and emerging consumer expectations.</w:t>
      </w:r>
    </w:p>
    <w:p>
      <w:pPr>
        <w:spacing w:after="0" w:line="360" w:lineRule="auto"/>
        <w:ind w:firstLine="720"/>
        <w:jc w:val="both"/>
        <w:rPr>
          <w:rFonts w:ascii="Arial" w:cs="Arial" w:hAnsi="Arial"/>
          <w:sz w:val="22"/>
          <w:szCs w:val="22"/>
        </w:rPr>
      </w:pPr>
      <w:r>
        <w:rPr>
          <w:rFonts w:ascii="Arial" w:cs="Arial" w:hAnsi="Arial"/>
          <w:sz w:val="22"/>
          <w:szCs w:val="22"/>
        </w:rPr>
        <w:t>Firstly, it enables JLR to shift from being reactive to interactions with customers to becoming predictive of engagements. Through the application of machine learning algorithms, analysis can be undertaken on purchasing behaviour, use patterns as well as explicit feedback information to detect early signals related to needs-for example service requirements on vehicles; accessories recommendations or offers customised per user (Davenport and Ronanki 2018). This makes both brand-and customer-facing transformation into anticipatory, data-driven relationship enhancing satisfaction and retention (Chaffey and Ellis-Chadwick, 2022).</w:t>
      </w:r>
    </w:p>
    <w:p>
      <w:pPr>
        <w:spacing w:after="0" w:line="360" w:lineRule="auto"/>
        <w:ind w:firstLine="720"/>
        <w:jc w:val="both"/>
        <w:rPr>
          <w:rFonts w:ascii="Arial" w:cs="Arial" w:hAnsi="Arial"/>
          <w:sz w:val="22"/>
          <w:szCs w:val="22"/>
        </w:rPr>
      </w:pPr>
      <w:r>
        <w:rPr>
          <w:rFonts w:ascii="Arial" w:cs="Arial" w:hAnsi="Arial"/>
          <w:sz w:val="22"/>
          <w:szCs w:val="22"/>
        </w:rPr>
        <w:t>Secondly, immersive retail uses AR/VR tools to boost brand experiences. Users can perceive customized configurations in high-quality 3D environments, inspect design elements virtually, and sense the attractiveness of luxury artistry manifested on the web (Kotler and Keller, 2022). Virtual experiences implemented inside showrooms and as complementary features to digital platforms decrease uncertainty over the purchase, raise conversion ratios, and reflect international tendencies toward experiential marketing (Hollensen, 2020).</w:t>
      </w:r>
    </w:p>
    <w:p>
      <w:pPr>
        <w:spacing w:after="0" w:line="360" w:lineRule="auto"/>
        <w:ind w:firstLine="720"/>
        <w:jc w:val="both"/>
        <w:rPr>
          <w:rFonts w:ascii="Arial" w:cs="Arial" w:hAnsi="Arial"/>
          <w:sz w:val="22"/>
          <w:szCs w:val="22"/>
        </w:rPr>
      </w:pPr>
      <w:r>
        <w:rPr>
          <w:rFonts w:ascii="Arial" w:cs="Arial" w:hAnsi="Arial"/>
          <w:sz w:val="22"/>
          <w:szCs w:val="22"/>
        </w:rPr>
        <w:t>Sustainability data tracking supply harnesses blockchain technology to provide an accountable and transparent and traceable supply chain of responsible sourcing of materials to carbon emissions associated with production and ownership (Christopher, 2022). Environmental performance indicators per vehicle can be reported in real time dashboards enhancing elements of JLR’s authenticity and accountability in sustainable luxury (Kapferer and Michaut, 2021).</w:t>
      </w:r>
    </w:p>
    <w:p>
      <w:pPr>
        <w:spacing w:after="0" w:line="360" w:lineRule="auto"/>
        <w:ind w:firstLine="720"/>
        <w:jc w:val="both"/>
        <w:rPr>
          <w:rFonts w:ascii="Arial" w:cs="Arial" w:hAnsi="Arial"/>
          <w:sz w:val="22"/>
          <w:szCs w:val="22"/>
        </w:rPr>
      </w:pPr>
      <w:r>
        <w:rPr>
          <w:rFonts w:ascii="Arial" w:cs="Arial" w:hAnsi="Arial"/>
          <w:sz w:val="22"/>
          <w:szCs w:val="22"/>
        </w:rPr>
        <w:t>The systems work as a holistic ecosystem that solidifies consumer confidence and trust while streamlining operation effectiveness added with brand distinction makes JLR digital plus ethical pacesetter of the automotive industry.</w:t>
      </w:r>
    </w:p>
    <w:p>
      <w:pPr>
        <w:spacing w:after="0" w:line="360" w:lineRule="auto"/>
        <w:ind w:firstLine="720"/>
        <w:jc w:val="both"/>
        <w:rPr>
          <w:rFonts w:ascii="Arial" w:cs="Arial" w:hAnsi="Arial"/>
          <w:sz w:val="22"/>
          <w:szCs w:val="22"/>
          <w:lang w:val="en-US"/>
        </w:rPr>
      </w:pPr>
    </w:p>
    <w:p>
      <w:pPr>
        <w:pStyle w:val="3"/>
        <w:spacing w:before="0" w:after="0" w:line="360" w:lineRule="auto"/>
        <w:ind w:firstLine="720"/>
        <w:rPr>
          <w:rFonts w:ascii="Arial" w:cs="Arial" w:hAnsi="Arial"/>
          <w:b/>
          <w:bCs/>
          <w:color w:val="000000"/>
          <w:sz w:val="22"/>
          <w:szCs w:val="22"/>
          <w:lang w:val="en-US"/>
        </w:rPr>
      </w:pPr>
      <w:bookmarkStart w:id="9" w:name="_Toc212931321"/>
      <w:r>
        <w:rPr>
          <w:rFonts w:ascii="Arial" w:cs="Arial" w:hAnsi="Arial"/>
          <w:b/>
          <w:bCs/>
          <w:color w:val="000000"/>
          <w:sz w:val="22"/>
          <w:szCs w:val="22"/>
          <w:lang w:val="en-US"/>
        </w:rPr>
        <w:t>2.1.2. Goal: to deliver an intelligent, ethical, and connected ownership experience</w:t>
      </w:r>
      <w:bookmarkEnd w:id="9"/>
    </w:p>
    <w:p>
      <w:pPr>
        <w:spacing w:after="0" w:line="360" w:lineRule="auto"/>
        <w:ind w:firstLine="720"/>
        <w:jc w:val="both"/>
        <w:rPr>
          <w:rFonts w:ascii="Arial" w:cs="Arial" w:hAnsi="Arial"/>
          <w:sz w:val="22"/>
          <w:szCs w:val="22"/>
        </w:rPr>
      </w:pPr>
      <w:r>
        <w:rPr>
          <w:rFonts w:ascii="Arial" w:cs="Arial" w:hAnsi="Arial"/>
          <w:sz w:val="22"/>
          <w:szCs w:val="22"/>
        </w:rPr>
        <w:t>The final outcome of JLR’s Smart Luxury Ecosystem is to frame an experience around intelligence, ethical and connected-considerate ownership that blends tech with emotion. Intelligent here means the use of data-driven insight through AI and analytics both predictive of customer needs and personalisation enhancing future potential as found in (Davenport and Kirby 2020). It transforms a transactional mode of ownership into a relational one fostering loyalty to the brand over a lifetime.</w:t>
      </w:r>
    </w:p>
    <w:p>
      <w:pPr>
        <w:spacing w:after="0" w:line="360" w:lineRule="auto"/>
        <w:ind w:firstLine="720"/>
        <w:jc w:val="both"/>
        <w:rPr>
          <w:rFonts w:ascii="Arial" w:cs="Arial" w:hAnsi="Arial"/>
          <w:sz w:val="22"/>
          <w:szCs w:val="22"/>
        </w:rPr>
      </w:pPr>
      <w:r>
        <w:rPr>
          <w:rFonts w:ascii="Arial" w:cs="Arial" w:hAnsi="Arial"/>
          <w:sz w:val="22"/>
          <w:szCs w:val="22"/>
        </w:rPr>
        <w:t>Blockchain enabled transparency and sustainable sourcing initiatives become the operational aspect of ethics, thus making sure that every product delivered reflects environmental and social responsibility at JLR (Christopher, 2022). This in turn enhances consumer trust which subsequently locks in global sustainability agenda such as the UN Sustainable Development Goals (UNDP, 2023).</w:t>
      </w:r>
    </w:p>
    <w:p>
      <w:pPr>
        <w:spacing w:after="0" w:line="360" w:lineRule="auto"/>
        <w:ind w:firstLine="720"/>
        <w:jc w:val="both"/>
        <w:rPr>
          <w:rFonts w:ascii="Arial" w:cs="Arial" w:hAnsi="Arial"/>
          <w:sz w:val="22"/>
          <w:szCs w:val="22"/>
        </w:rPr>
      </w:pPr>
      <w:r>
        <w:rPr>
          <w:rFonts w:ascii="Arial" w:cs="Arial" w:hAnsi="Arial"/>
          <w:sz w:val="22"/>
          <w:szCs w:val="22"/>
        </w:rPr>
        <w:t>Connectivity links the customers, vehicles, and digital touchpoints into a single ecosystem. Integrated CRM solutions, mobile apps, and smart interfaces within the car ensure the continuity from online to physical experiences (Kotler et al., 2021). The resultant experience is one that goes beyond merely satiating functional needs but also speaks to a forward-thinking, values-based lifestyle.</w:t>
      </w:r>
    </w:p>
    <w:p>
      <w:pPr>
        <w:spacing w:after="0" w:line="360" w:lineRule="auto"/>
        <w:ind w:firstLine="720"/>
        <w:jc w:val="both"/>
        <w:rPr>
          <w:rFonts w:ascii="Arial" w:cs="Arial" w:hAnsi="Arial"/>
          <w:sz w:val="22"/>
          <w:szCs w:val="22"/>
          <w:lang w:val="en-US"/>
        </w:rPr>
      </w:pPr>
      <w:r>
        <w:rPr>
          <w:rFonts w:ascii="Arial" w:cs="Arial" w:hAnsi="Arial"/>
          <w:sz w:val="22"/>
          <w:szCs w:val="22"/>
        </w:rPr>
        <w:t>JLR shall be positioned to define modern luxury by a technologically advanced human-centric mode harnessing intelligence, ethics, and connectivity — a move that is purposeful, innovative, and real.</w:t>
      </w:r>
    </w:p>
    <w:p>
      <w:pPr>
        <w:rPr>
          <w:lang w:val="en-US"/>
        </w:rPr>
      </w:pPr>
    </w:p>
    <w:p>
      <w:pPr>
        <w:pStyle w:val="2"/>
        <w:spacing w:before="0" w:after="0" w:line="360" w:lineRule="auto"/>
        <w:ind w:firstLine="720"/>
        <w:rPr>
          <w:rFonts w:ascii="Arial" w:cs="Arial" w:hAnsi="Arial"/>
          <w:b/>
          <w:bCs/>
          <w:color w:val="000000"/>
          <w:sz w:val="24"/>
          <w:szCs w:val="24"/>
          <w:lang w:val="en-US"/>
        </w:rPr>
      </w:pPr>
      <w:bookmarkStart w:id="10" w:name="_Toc212931322"/>
      <w:r>
        <w:rPr>
          <w:rFonts w:ascii="Arial" w:cs="Arial" w:hAnsi="Arial"/>
          <w:b/>
          <w:bCs/>
          <w:color w:val="000000"/>
          <w:sz w:val="24"/>
          <w:szCs w:val="24"/>
          <w:lang w:val="en-US"/>
        </w:rPr>
        <w:t>2.2. AI-Driven Customer Experience</w:t>
      </w:r>
      <w:bookmarkEnd w:id="10"/>
    </w:p>
    <w:p>
      <w:pPr>
        <w:spacing w:after="0" w:line="360" w:lineRule="auto"/>
        <w:ind w:firstLine="720"/>
        <w:jc w:val="both"/>
        <w:rPr>
          <w:rFonts w:ascii="Arial" w:cs="Arial" w:hAnsi="Arial"/>
          <w:sz w:val="22"/>
          <w:szCs w:val="22"/>
        </w:rPr>
      </w:pPr>
      <w:r>
        <w:rPr>
          <w:rFonts w:ascii="Arial" w:cs="Arial" w:hAnsi="Arial"/>
          <w:sz w:val="22"/>
          <w:szCs w:val="22"/>
        </w:rPr>
        <w:t>Artificial Intelligence (AI) is core to changing customer experience in the luxury auto sector, and Jaguar Land Rover (JLR) enables this potential through its Smart Luxury Ecosystem. AI allows for seamless interaction between customer preferences, vehicle data, and service systems that enable a proactive personalized experience (Davenport and Ronanki, 2018).</w:t>
      </w:r>
    </w:p>
    <w:p>
      <w:pPr>
        <w:spacing w:after="0" w:line="360" w:lineRule="auto"/>
        <w:ind w:firstLine="720"/>
        <w:jc w:val="both"/>
        <w:rPr>
          <w:rFonts w:ascii="Arial" w:cs="Arial" w:hAnsi="Arial"/>
          <w:sz w:val="22"/>
          <w:szCs w:val="22"/>
        </w:rPr>
      </w:pPr>
      <w:r>
        <w:rPr>
          <w:rFonts w:ascii="Arial" w:cs="Arial" w:hAnsi="Arial"/>
          <w:sz w:val="22"/>
          <w:szCs w:val="22"/>
        </w:rPr>
        <w:t>By using smart algorithms to analyse a big dataset that includes driving habits, purchase history, and service records, JLR can know the needs of customers in real time. This kind of predictive engagement goes far beyond traditional reminders about maintenance due to be performed and includes such matters as lifestyle recommendations and relevant product experiences (Chaffey and Ellis-Chadwick, 2022).</w:t>
      </w:r>
    </w:p>
    <w:p>
      <w:pPr>
        <w:spacing w:after="0" w:line="360" w:lineRule="auto"/>
        <w:ind w:firstLine="720"/>
        <w:jc w:val="both"/>
        <w:rPr>
          <w:rFonts w:ascii="Arial" w:cs="Arial" w:hAnsi="Arial"/>
          <w:sz w:val="22"/>
          <w:szCs w:val="22"/>
          <w:lang w:val="en-US"/>
        </w:rPr>
      </w:pPr>
      <w:r>
        <w:rPr>
          <w:rFonts w:ascii="Arial" w:cs="Arial" w:hAnsi="Arial"/>
          <w:sz w:val="22"/>
          <w:szCs w:val="22"/>
        </w:rPr>
        <w:t>AI also enables two-way conversations between customers and digital channels like in-car assistants and the JLR mobile application to sustain continuity across ownership stages and turn service interactions into value-creating touchpoints (Kotler and Keller, 2022). In this context, JLR’s customer experience transformation becomes relationship-oriented from being product-oriented to ensure brand loyalty in the digital luxury segment by establishing a competitive advantage through relationship management with customers (Hollensen, 2020).</w:t>
      </w:r>
    </w:p>
    <w:p>
      <w:pPr>
        <w:rPr>
          <w:lang w:val="en-US"/>
        </w:rPr>
      </w:pPr>
    </w:p>
    <w:p>
      <w:pPr>
        <w:pStyle w:val="3"/>
        <w:spacing w:before="0" w:after="0" w:line="360" w:lineRule="auto"/>
        <w:ind w:firstLine="720"/>
        <w:rPr>
          <w:rFonts w:ascii="Arial" w:cs="Arial" w:hAnsi="Arial"/>
          <w:b/>
          <w:bCs/>
          <w:color w:val="000000"/>
          <w:sz w:val="22"/>
          <w:szCs w:val="22"/>
          <w:lang w:val="en-US"/>
        </w:rPr>
      </w:pPr>
      <w:bookmarkStart w:id="11" w:name="_Toc212931323"/>
      <w:r>
        <w:rPr>
          <w:rFonts w:ascii="Arial" w:cs="Arial" w:hAnsi="Arial"/>
          <w:b/>
          <w:bCs/>
          <w:color w:val="000000"/>
          <w:sz w:val="22"/>
          <w:szCs w:val="22"/>
          <w:lang w:val="en-US"/>
        </w:rPr>
        <w:t>2.2.1. Predictive analytics for service</w:t>
      </w:r>
      <w:bookmarkEnd w:id="11"/>
    </w:p>
    <w:p>
      <w:pPr>
        <w:spacing w:after="0" w:line="360" w:lineRule="auto"/>
        <w:ind w:firstLine="720"/>
        <w:jc w:val="both"/>
        <w:rPr>
          <w:rFonts w:ascii="Arial" w:cs="Arial" w:hAnsi="Arial"/>
          <w:sz w:val="22"/>
          <w:szCs w:val="22"/>
        </w:rPr>
      </w:pPr>
      <w:r>
        <w:rPr>
          <w:rFonts w:ascii="Arial" w:cs="Arial" w:hAnsi="Arial"/>
          <w:sz w:val="22"/>
          <w:szCs w:val="22"/>
        </w:rPr>
        <w:t>One of the most transformative AI applications in JLR’s customer ecosystem is predictive analytics. By combining vehicle telemetry, user behaviour and environmental data, the systems can make predictions about maintenance needs even before any issue manifests. This goes a long way in cementing reliability and fostering trust with customers (Davenport and Kirby, 2020).</w:t>
      </w:r>
    </w:p>
    <w:p>
      <w:pPr>
        <w:spacing w:after="0" w:line="360" w:lineRule="auto"/>
        <w:ind w:firstLine="720"/>
        <w:jc w:val="both"/>
        <w:rPr>
          <w:rFonts w:ascii="Arial" w:cs="Arial" w:hAnsi="Arial"/>
          <w:sz w:val="22"/>
          <w:szCs w:val="22"/>
        </w:rPr>
      </w:pPr>
      <w:r>
        <w:rPr>
          <w:rFonts w:ascii="Arial" w:cs="Arial" w:hAnsi="Arial"/>
          <w:sz w:val="22"/>
          <w:szCs w:val="22"/>
        </w:rPr>
        <w:t>It uses machine learning to monitor key performance indicators of the engine wear and tear, brake health, and battery efficiency. This predictive maintenance model keeps the service centres informed so that repairs can be proactively scheduled thus minimizing downtime while maximizing customer satisfaction (Grant, 2021). The model also helps in sustainability objectives since it optimizes resource usage besides reducing wastage by replacing parts just in time (Christopher, 2022).</w:t>
      </w:r>
    </w:p>
    <w:p>
      <w:pPr>
        <w:spacing w:after="0" w:line="360" w:lineRule="auto"/>
        <w:ind w:firstLine="720"/>
        <w:jc w:val="both"/>
        <w:rPr>
          <w:rFonts w:ascii="Arial" w:cs="Arial" w:hAnsi="Arial"/>
          <w:sz w:val="22"/>
          <w:szCs w:val="22"/>
        </w:rPr>
      </w:pPr>
      <w:r>
        <w:rPr>
          <w:rFonts w:ascii="Arial" w:cs="Arial" w:hAnsi="Arial"/>
          <w:sz w:val="22"/>
          <w:szCs w:val="22"/>
        </w:rPr>
        <w:t>JLR’s tie-up with Amazon Web Services and NVIDIA delivers cloud-based analytics platforms for real-time monitoring and automation of services (Tata Motors, 2023). Predictive analytics tools find application in the support of sales and marketing activities through the determination of patterns in consumer behaviour, thus helping to envisage preferences in future product development (Kotler et al., 2021).</w:t>
      </w:r>
    </w:p>
    <w:p>
      <w:pPr>
        <w:spacing w:after="0" w:line="360" w:lineRule="auto"/>
        <w:ind w:firstLine="720"/>
        <w:jc w:val="both"/>
        <w:rPr>
          <w:rFonts w:ascii="Arial" w:cs="Arial" w:hAnsi="Arial"/>
          <w:sz w:val="22"/>
          <w:szCs w:val="22"/>
          <w:lang w:val="en-US"/>
        </w:rPr>
      </w:pPr>
      <w:r>
        <w:rPr>
          <w:rFonts w:ascii="Arial" w:cs="Arial" w:hAnsi="Arial"/>
          <w:sz w:val="22"/>
          <w:szCs w:val="22"/>
        </w:rPr>
        <w:t xml:space="preserve">The system can even anticipate emotional and experiential needs-for example, temperature or seat preferences-personalised to each driver, in the larger objective set by JLR that redefines luxury through emotional intelligence and technological empathy (Kapferer and Bastien, 2020). Predictive analytics therefore transforms the traditional service functions into a digital bridge linking customer satisfaction to operational excellence and sustainability. </w:t>
      </w:r>
    </w:p>
    <w:p>
      <w:pPr>
        <w:rPr>
          <w:lang w:val="en-US"/>
        </w:rPr>
      </w:pPr>
    </w:p>
    <w:p>
      <w:pPr>
        <w:pStyle w:val="3"/>
        <w:spacing w:before="0" w:after="0" w:line="360" w:lineRule="auto"/>
        <w:ind w:firstLine="720"/>
        <w:rPr>
          <w:rFonts w:ascii="Arial" w:cs="Arial" w:hAnsi="Arial"/>
          <w:b/>
          <w:bCs/>
          <w:color w:val="000000"/>
          <w:sz w:val="22"/>
          <w:szCs w:val="22"/>
          <w:lang w:val="en-US"/>
        </w:rPr>
      </w:pPr>
      <w:bookmarkStart w:id="12" w:name="_Toc212931324"/>
      <w:r>
        <w:rPr>
          <w:rFonts w:ascii="Arial" w:cs="Arial" w:hAnsi="Arial"/>
          <w:b/>
          <w:bCs/>
          <w:color w:val="000000"/>
          <w:sz w:val="22"/>
          <w:szCs w:val="22"/>
          <w:lang w:val="en-US"/>
        </w:rPr>
        <w:t>2.2.2. Data unification across app, CRM, dealerships</w:t>
      </w:r>
      <w:bookmarkEnd w:id="12"/>
    </w:p>
    <w:p>
      <w:pPr>
        <w:spacing w:after="0" w:line="360" w:lineRule="auto"/>
        <w:ind w:firstLine="720"/>
        <w:jc w:val="both"/>
        <w:rPr>
          <w:rFonts w:ascii="Arial" w:cs="Arial" w:hAnsi="Arial"/>
          <w:sz w:val="22"/>
          <w:szCs w:val="22"/>
        </w:rPr>
      </w:pPr>
      <w:r>
        <w:rPr>
          <w:rFonts w:ascii="Arial" w:cs="Arial" w:hAnsi="Arial"/>
          <w:sz w:val="22"/>
          <w:szCs w:val="22"/>
        </w:rPr>
        <w:t>Data fragmentation has long been the primary inhibitor of a well-consolidated customer experience in automotive retail between dealerships and apps and service platforms, all operating parallel to each other. In this regard, JLR’s Smart Luxury Ecosystem worked out a unification solution by integrating data within CRM systems, vehicle telematics, and digital platforms-(Chaffey-and-Ellis-Chadwick-2022).</w:t>
      </w:r>
    </w:p>
    <w:p>
      <w:pPr>
        <w:spacing w:after="0" w:line="360" w:lineRule="auto"/>
        <w:ind w:firstLine="720"/>
        <w:jc w:val="both"/>
        <w:rPr>
          <w:rFonts w:ascii="Arial" w:cs="Arial" w:hAnsi="Arial"/>
          <w:sz w:val="22"/>
          <w:szCs w:val="22"/>
        </w:rPr>
      </w:pPr>
      <w:r>
        <w:rPr>
          <w:rFonts w:ascii="Arial" w:cs="Arial" w:hAnsi="Arial"/>
          <w:sz w:val="22"/>
          <w:szCs w:val="22"/>
        </w:rPr>
        <w:t>A unified data architecture builds a 360-degree customer view thus enabling an online configuration handover to showroom consultation and post-sale engagement (Kotler et al., 2021). For example, preferences noted in the JLR app - like any particular trim or test drive request - are instantly made available to the dealership staff.</w:t>
      </w:r>
    </w:p>
    <w:p>
      <w:pPr>
        <w:spacing w:after="0" w:line="360" w:lineRule="auto"/>
        <w:ind w:firstLine="720"/>
        <w:jc w:val="both"/>
        <w:rPr>
          <w:rFonts w:ascii="Arial" w:cs="Arial" w:hAnsi="Arial"/>
          <w:sz w:val="22"/>
          <w:szCs w:val="22"/>
          <w:lang w:val="en-US"/>
        </w:rPr>
      </w:pPr>
      <w:r>
        <w:rPr>
          <w:rFonts w:ascii="Arial" w:cs="Arial" w:hAnsi="Arial"/>
          <w:sz w:val="22"/>
          <w:szCs w:val="22"/>
        </w:rPr>
        <w:t>Added to all this is the possibility of prediction customer support through AI, offers personalized and real-time feedback features when AI is integrated with unified data. This cloud- based CRM also enhances marketing precision and operational efficiency (completing best practices for a digital transformation leader) (Westerman, Bonnet and McAfee 2018). The approach ensures holistic support towards data-driven decision making and adaptive (feedback loop) adjustment that will ensure sustenance of brand loyalty.</w:t>
      </w:r>
    </w:p>
    <w:p>
      <w:pPr>
        <w:rPr>
          <w:lang w:val="en-US"/>
        </w:rPr>
      </w:pPr>
    </w:p>
    <w:p>
      <w:pPr>
        <w:pStyle w:val="3"/>
        <w:spacing w:before="0" w:after="0" w:line="360" w:lineRule="auto"/>
        <w:ind w:firstLine="720"/>
        <w:rPr>
          <w:rFonts w:ascii="Arial" w:cs="Arial" w:hAnsi="Arial"/>
          <w:b/>
          <w:bCs/>
          <w:color w:val="000000"/>
          <w:sz w:val="22"/>
          <w:szCs w:val="22"/>
          <w:lang w:val="en-US"/>
        </w:rPr>
      </w:pPr>
      <w:bookmarkStart w:id="13" w:name="_Toc212931325"/>
      <w:r>
        <w:rPr>
          <w:rFonts w:ascii="Arial" w:cs="Arial" w:hAnsi="Arial"/>
          <w:b/>
          <w:bCs/>
          <w:color w:val="000000"/>
          <w:sz w:val="22"/>
          <w:szCs w:val="22"/>
          <w:lang w:val="en-US"/>
        </w:rPr>
        <w:t>2.2.3. KPIs: customer satisfaction, service efficiency, NPS</w:t>
      </w:r>
      <w:bookmarkEnd w:id="13"/>
    </w:p>
    <w:p>
      <w:pPr>
        <w:spacing w:after="0" w:line="360" w:lineRule="auto"/>
        <w:ind w:firstLine="720"/>
        <w:jc w:val="both"/>
        <w:rPr>
          <w:rFonts w:ascii="Arial" w:cs="Arial" w:hAnsi="Arial"/>
          <w:sz w:val="22"/>
          <w:szCs w:val="22"/>
        </w:rPr>
      </w:pPr>
      <w:r>
        <w:rPr>
          <w:rFonts w:ascii="Arial" w:cs="Arial" w:hAnsi="Arial"/>
          <w:sz w:val="22"/>
          <w:szCs w:val="22"/>
        </w:rPr>
        <w:t>Key Performance Indicators are the yardsticks with which success in AI-driven customer experience can be measured. JLR has its performance metrics defined around three core dimensions: customer satisfaction, service efficiency, and Net Promoter Score.</w:t>
      </w:r>
    </w:p>
    <w:p>
      <w:pPr>
        <w:spacing w:after="0" w:line="360" w:lineRule="auto"/>
        <w:ind w:firstLine="720"/>
        <w:jc w:val="both"/>
        <w:rPr>
          <w:rFonts w:ascii="Arial" w:cs="Arial" w:hAnsi="Arial"/>
          <w:sz w:val="22"/>
          <w:szCs w:val="22"/>
        </w:rPr>
      </w:pPr>
      <w:r>
        <w:rPr>
          <w:rFonts w:ascii="Arial" w:cs="Arial" w:hAnsi="Arial"/>
          <w:sz w:val="22"/>
          <w:szCs w:val="22"/>
        </w:rPr>
        <w:t>Customer satisfaction is digitally surveyed and in-app feedback is obtained measuring sentiment across online and offline channels (Kotler and Keller, 2022). Service efficiency measures operational outputs such as average repair time, accuracy of predictive maintenance, and effectiveness of appointment scheduling (Grant, 2021).</w:t>
      </w:r>
    </w:p>
    <w:p>
      <w:pPr>
        <w:spacing w:after="0" w:line="360" w:lineRule="auto"/>
        <w:ind w:firstLine="720"/>
        <w:jc w:val="both"/>
        <w:rPr>
          <w:rFonts w:ascii="Arial" w:cs="Arial" w:hAnsi="Arial"/>
          <w:sz w:val="22"/>
          <w:szCs w:val="22"/>
        </w:rPr>
      </w:pPr>
      <w:r>
        <w:rPr>
          <w:rFonts w:ascii="Arial" w:cs="Arial" w:hAnsi="Arial"/>
          <w:sz w:val="22"/>
          <w:szCs w:val="22"/>
        </w:rPr>
        <w:t>The NPS, a customer advocacy score and willingness to recommend the brand, remains instrumental in measuring loyalty and experiential value (Hollensen, 2020). Regular audits on the data supported by sentiment AI tools that ensure the accuracy of KPIs also help adjust responses to customers’ feedback.</w:t>
      </w:r>
    </w:p>
    <w:p>
      <w:pPr>
        <w:spacing w:after="0" w:line="360" w:lineRule="auto"/>
        <w:ind w:firstLine="720"/>
        <w:jc w:val="both"/>
        <w:rPr>
          <w:rFonts w:ascii="Arial" w:cs="Arial" w:hAnsi="Arial"/>
          <w:sz w:val="22"/>
          <w:szCs w:val="22"/>
          <w:lang w:val="en-US"/>
        </w:rPr>
      </w:pPr>
      <w:r>
        <w:rPr>
          <w:rFonts w:ascii="Arial" w:cs="Arial" w:hAnsi="Arial"/>
          <w:sz w:val="22"/>
          <w:szCs w:val="22"/>
        </w:rPr>
        <w:t>Transparent and accountable KPI reporting to continuously refine customer strategies in alignment between operational performance and the “Modern Luxury” vision. These KPIs are not only measuring functional outcomes but also acting as cultural drivers reinforcing accountability, empathy, and innovation across the organisation.</w:t>
      </w:r>
    </w:p>
    <w:p>
      <w:pPr>
        <w:rPr>
          <w:lang w:val="en-US"/>
        </w:rPr>
      </w:pPr>
    </w:p>
    <w:p>
      <w:pPr>
        <w:pStyle w:val="2"/>
        <w:spacing w:before="0" w:after="0" w:line="360" w:lineRule="auto"/>
        <w:ind w:firstLine="720"/>
        <w:rPr>
          <w:rFonts w:ascii="Arial" w:cs="Arial" w:hAnsi="Arial"/>
          <w:b/>
          <w:bCs/>
          <w:color w:val="000000"/>
          <w:sz w:val="24"/>
          <w:szCs w:val="24"/>
          <w:lang w:val="en-US"/>
        </w:rPr>
      </w:pPr>
      <w:bookmarkStart w:id="14" w:name="_Toc212931326"/>
      <w:r>
        <w:rPr>
          <w:rFonts w:ascii="Arial" w:cs="Arial" w:hAnsi="Arial"/>
          <w:b/>
          <w:bCs/>
          <w:color w:val="000000"/>
          <w:sz w:val="24"/>
          <w:szCs w:val="24"/>
          <w:lang w:val="en-US"/>
        </w:rPr>
        <w:t>2.3. Sustainability&amp;Circular Design Platform</w:t>
      </w:r>
      <w:bookmarkEnd w:id="14"/>
    </w:p>
    <w:p>
      <w:pPr>
        <w:spacing w:after="0" w:line="360" w:lineRule="auto"/>
        <w:ind w:firstLine="720"/>
        <w:jc w:val="both"/>
        <w:rPr>
          <w:rFonts w:ascii="Arial" w:cs="Arial" w:hAnsi="Arial"/>
          <w:sz w:val="22"/>
          <w:szCs w:val="22"/>
        </w:rPr>
      </w:pPr>
      <w:r>
        <w:rPr>
          <w:rFonts w:ascii="Arial" w:cs="Arial" w:hAnsi="Arial"/>
          <w:sz w:val="22"/>
          <w:szCs w:val="22"/>
        </w:rPr>
        <w:t>The Sustainability and Circular Design Platform is a standing proof of the company’s resolve toward the inculcation of environmental values in its total value chain. It integrates digital systems that enable tracing, counting, and optimization of sustainability efforts across material, manufacturing, and vehicle life cycles (Christopher, 2022).</w:t>
      </w:r>
    </w:p>
    <w:p>
      <w:pPr>
        <w:spacing w:after="0" w:line="360" w:lineRule="auto"/>
        <w:ind w:firstLine="720"/>
        <w:jc w:val="both"/>
        <w:rPr>
          <w:rFonts w:ascii="Arial" w:cs="Arial" w:hAnsi="Arial"/>
          <w:sz w:val="22"/>
          <w:szCs w:val="22"/>
          <w:lang w:val="en-US"/>
        </w:rPr>
      </w:pPr>
      <w:r>
        <w:rPr>
          <w:rFonts w:ascii="Arial" w:cs="Arial" w:hAnsi="Arial"/>
          <w:sz w:val="22"/>
          <w:szCs w:val="22"/>
        </w:rPr>
        <w:t>AI and blockchain use, including big data analytics at JLR, should make all sustainability claims transparent and easily traced or checked. In general, the initiative articulates with international ESG policies and underlines one of the main targets in the Reimagine strategy: net-zero carbon emission by 2039 (Tata Motors 2023). The circular design maximizes material reuse for JLR energy efficiency and maintains an ethical supply chain to define a new paradigm in sustainable luxury mobility (Kapferer and Michaut 2021).</w:t>
      </w:r>
    </w:p>
    <w:p>
      <w:pPr>
        <w:rPr>
          <w:lang w:val="en-US"/>
        </w:rPr>
      </w:pPr>
    </w:p>
    <w:p>
      <w:pPr>
        <w:pStyle w:val="3"/>
        <w:spacing w:before="0" w:after="0" w:line="360" w:lineRule="auto"/>
        <w:ind w:firstLine="720"/>
        <w:rPr>
          <w:rFonts w:ascii="Arial" w:cs="Arial" w:hAnsi="Arial"/>
          <w:b/>
          <w:bCs/>
          <w:color w:val="000000"/>
          <w:sz w:val="22"/>
          <w:szCs w:val="22"/>
          <w:lang w:val="en-US"/>
        </w:rPr>
      </w:pPr>
      <w:bookmarkStart w:id="15" w:name="_Toc212931327"/>
      <w:r>
        <w:rPr>
          <w:rFonts w:ascii="Arial" w:cs="Arial" w:hAnsi="Arial"/>
          <w:b/>
          <w:bCs/>
          <w:color w:val="000000"/>
          <w:sz w:val="22"/>
          <w:szCs w:val="22"/>
          <w:lang w:val="en-US"/>
        </w:rPr>
        <w:t>2.3.1. Block-chain traceability for materials</w:t>
      </w:r>
      <w:bookmarkEnd w:id="15"/>
    </w:p>
    <w:p>
      <w:pPr>
        <w:spacing w:after="0" w:line="360" w:lineRule="auto"/>
        <w:ind w:firstLine="720"/>
        <w:jc w:val="both"/>
        <w:rPr>
          <w:rFonts w:ascii="Arial" w:cs="Arial" w:hAnsi="Arial"/>
          <w:sz w:val="22"/>
          <w:szCs w:val="22"/>
        </w:rPr>
      </w:pPr>
      <w:r>
        <w:rPr>
          <w:rFonts w:ascii="Arial" w:cs="Arial" w:hAnsi="Arial"/>
          <w:sz w:val="22"/>
          <w:szCs w:val="22"/>
        </w:rPr>
        <w:t>Blockchain traceability enables JLR to have visibility of its material sourcing, from raw suppliers to final production. The same component can also be used to register its place of origin in compliance with ethical and environmental sourcing policies thus creating an immutable digital ledger (Christopher, 2022).</w:t>
      </w:r>
    </w:p>
    <w:p>
      <w:pPr>
        <w:spacing w:after="0" w:line="360" w:lineRule="auto"/>
        <w:ind w:firstLine="720"/>
        <w:jc w:val="both"/>
        <w:rPr>
          <w:rFonts w:ascii="Arial" w:cs="Arial" w:hAnsi="Arial"/>
          <w:sz w:val="22"/>
          <w:szCs w:val="22"/>
          <w:lang w:val="en-US"/>
        </w:rPr>
      </w:pPr>
      <w:r>
        <w:rPr>
          <w:rFonts w:ascii="Arial" w:cs="Arial" w:hAnsi="Arial"/>
          <w:sz w:val="22"/>
          <w:szCs w:val="22"/>
        </w:rPr>
        <w:t>JLR will ensure trust within the organization by building supplier networks on blockchain infrastructure where each network participant is accountable for delivering aluminium and leather materials that are sustainably sourced. It therefore trusts consumers who demand transparency as emphasized by Kapferer&amp;Bastien (2020) because luxury has a new definition.</w:t>
      </w:r>
    </w:p>
    <w:p>
      <w:pPr>
        <w:rPr>
          <w:lang w:val="en-US"/>
        </w:rPr>
      </w:pPr>
    </w:p>
    <w:p>
      <w:pPr>
        <w:pStyle w:val="3"/>
        <w:spacing w:before="0" w:after="0" w:line="360" w:lineRule="auto"/>
        <w:ind w:firstLine="720"/>
        <w:rPr>
          <w:rFonts w:ascii="Arial" w:cs="Arial" w:hAnsi="Arial"/>
          <w:b/>
          <w:bCs/>
          <w:color w:val="000000"/>
          <w:sz w:val="22"/>
          <w:szCs w:val="22"/>
          <w:lang w:val="en-US"/>
        </w:rPr>
      </w:pPr>
      <w:bookmarkStart w:id="16" w:name="_Toc212931328"/>
      <w:r>
        <w:rPr>
          <w:rFonts w:ascii="Arial" w:cs="Arial" w:hAnsi="Arial"/>
          <w:b/>
          <w:bCs/>
          <w:color w:val="000000"/>
          <w:sz w:val="22"/>
          <w:szCs w:val="22"/>
          <w:lang w:val="en-US"/>
        </w:rPr>
        <w:t>2.3.2. Real-time CO</w:t>
      </w:r>
      <w:r>
        <w:rPr>
          <w:rFonts w:ascii="Cambria Math" w:cs="Cambria Math" w:hAnsi="Cambria Math"/>
          <w:b/>
          <w:bCs/>
          <w:color w:val="000000"/>
          <w:sz w:val="22"/>
          <w:szCs w:val="22"/>
          <w:lang w:val="en-US"/>
        </w:rPr>
        <w:t>₂</w:t>
      </w:r>
      <w:r>
        <w:rPr>
          <w:rFonts w:ascii="Arial" w:cs="Arial" w:hAnsi="Arial"/>
          <w:b/>
          <w:bCs/>
          <w:color w:val="000000"/>
          <w:sz w:val="22"/>
          <w:szCs w:val="22"/>
          <w:lang w:val="en-US"/>
        </w:rPr>
        <w:t xml:space="preserve"> dashboard per vehicle</w:t>
      </w:r>
      <w:bookmarkEnd w:id="16"/>
    </w:p>
    <w:p>
      <w:pPr>
        <w:spacing w:after="0" w:line="360" w:lineRule="auto"/>
        <w:ind w:firstLine="720"/>
        <w:jc w:val="both"/>
        <w:rPr>
          <w:rFonts w:ascii="Arial" w:cs="Arial" w:hAnsi="Arial"/>
          <w:sz w:val="22"/>
          <w:szCs w:val="22"/>
        </w:rPr>
      </w:pPr>
      <w:r>
        <w:rPr>
          <w:rFonts w:ascii="Arial" w:cs="Arial" w:hAnsi="Arial"/>
          <w:sz w:val="22"/>
          <w:szCs w:val="22"/>
        </w:rPr>
        <w:t>The real-time CO</w:t>
      </w:r>
      <w:r>
        <w:rPr>
          <w:rFonts w:ascii="Cambria Math" w:cs="Cambria Math" w:hAnsi="Cambria Math"/>
          <w:sz w:val="22"/>
          <w:szCs w:val="22"/>
        </w:rPr>
        <w:t>₂</w:t>
      </w:r>
      <w:r>
        <w:rPr>
          <w:rFonts w:ascii="Arial" w:cs="Arial" w:hAnsi="Arial"/>
          <w:sz w:val="22"/>
          <w:szCs w:val="22"/>
        </w:rPr>
        <w:t xml:space="preserve"> dashboard provides JLR customers with transparency over their vehicle’s environmental footprint. Running inside the vehicle interface and mobile application, it shows emissions performance, driving efficiency, and lifecycle carbon information (Kotler et al., 2021).</w:t>
      </w:r>
    </w:p>
    <w:p>
      <w:pPr>
        <w:spacing w:after="0" w:line="360" w:lineRule="auto"/>
        <w:ind w:firstLine="720"/>
        <w:jc w:val="both"/>
        <w:rPr>
          <w:rFonts w:ascii="Arial" w:cs="Arial" w:hAnsi="Arial"/>
          <w:sz w:val="22"/>
          <w:szCs w:val="22"/>
          <w:lang w:val="en-US"/>
        </w:rPr>
      </w:pPr>
      <w:r>
        <w:rPr>
          <w:rFonts w:ascii="Arial" w:cs="Arial" w:hAnsi="Arial"/>
          <w:sz w:val="22"/>
          <w:szCs w:val="22"/>
        </w:rPr>
        <w:t>It enables owners to make sustainability driving choices and keep track of personal carbon reduction targets. Enhanced data transparency adds to JLR’s brand equity as a first mover in environmentally responsible luxury (Hollensen, 2020).</w:t>
      </w:r>
    </w:p>
    <w:p>
      <w:pPr>
        <w:rPr>
          <w:lang w:val="en-US"/>
        </w:rPr>
      </w:pPr>
    </w:p>
    <w:p>
      <w:pPr>
        <w:pStyle w:val="3"/>
        <w:spacing w:before="0" w:after="0" w:line="360" w:lineRule="auto"/>
        <w:ind w:firstLine="720"/>
        <w:rPr>
          <w:rFonts w:ascii="Arial" w:cs="Arial" w:hAnsi="Arial"/>
          <w:b/>
          <w:bCs/>
          <w:color w:val="000000"/>
          <w:sz w:val="22"/>
          <w:szCs w:val="22"/>
          <w:lang w:val="en-US"/>
        </w:rPr>
      </w:pPr>
      <w:bookmarkStart w:id="17" w:name="_Toc212931329"/>
      <w:r>
        <w:rPr>
          <w:rFonts w:ascii="Arial" w:cs="Arial" w:hAnsi="Arial"/>
          <w:b/>
          <w:bCs/>
          <w:color w:val="000000"/>
          <w:sz w:val="22"/>
          <w:szCs w:val="22"/>
          <w:lang w:val="en-US"/>
        </w:rPr>
        <w:t>2.3.3. KPIs: carbon reduction, brand trust metrics, supplier transparency</w:t>
      </w:r>
      <w:bookmarkEnd w:id="17"/>
    </w:p>
    <w:p>
      <w:pPr>
        <w:spacing w:after="0" w:line="360" w:lineRule="auto"/>
        <w:ind w:firstLine="720"/>
        <w:jc w:val="both"/>
        <w:rPr>
          <w:rFonts w:ascii="Arial" w:cs="Arial" w:hAnsi="Arial"/>
          <w:sz w:val="22"/>
          <w:szCs w:val="22"/>
        </w:rPr>
      </w:pPr>
      <w:r>
        <w:rPr>
          <w:rFonts w:ascii="Arial" w:cs="Arial" w:hAnsi="Arial"/>
          <w:sz w:val="22"/>
          <w:szCs w:val="22"/>
        </w:rPr>
        <w:t>The measuring of the impact relies on clear KPIs: carbon reduction percentage per vehicle, brand trust index measured through consumer surveys, and transparency compliance rates from suppliers (Christopher, 2022).</w:t>
      </w:r>
    </w:p>
    <w:p>
      <w:pPr>
        <w:spacing w:after="0" w:line="360" w:lineRule="auto"/>
        <w:ind w:firstLine="720"/>
        <w:jc w:val="both"/>
        <w:rPr>
          <w:rFonts w:ascii="Arial" w:cs="Arial" w:hAnsi="Arial"/>
          <w:sz w:val="22"/>
          <w:szCs w:val="22"/>
          <w:lang w:val="en-US"/>
        </w:rPr>
      </w:pPr>
      <w:r>
        <w:rPr>
          <w:rFonts w:ascii="Arial" w:cs="Arial" w:hAnsi="Arial"/>
          <w:sz w:val="22"/>
          <w:szCs w:val="22"/>
        </w:rPr>
        <w:t>Regular audits verified by blockchain ensure accuracy and accountability. The indicators measure environmental outcome in one dimension and another dimension of stakeholder confidence that would support a strategic sustainability narrative for JLR (Kapferer and Michaut, 2021).</w:t>
      </w:r>
    </w:p>
    <w:p>
      <w:pPr>
        <w:rPr>
          <w:lang w:val="en-US"/>
        </w:rPr>
      </w:pPr>
    </w:p>
    <w:p>
      <w:pPr>
        <w:pStyle w:val="2"/>
        <w:spacing w:before="0" w:after="0" w:line="360" w:lineRule="auto"/>
        <w:ind w:firstLine="720"/>
        <w:rPr>
          <w:rFonts w:ascii="Arial" w:cs="Arial" w:hAnsi="Arial"/>
          <w:b/>
          <w:bCs/>
          <w:color w:val="000000"/>
          <w:sz w:val="24"/>
          <w:szCs w:val="24"/>
          <w:lang w:val="en-US"/>
        </w:rPr>
      </w:pPr>
      <w:bookmarkStart w:id="18" w:name="_Toc212931330"/>
      <w:r>
        <w:rPr>
          <w:rFonts w:ascii="Arial" w:cs="Arial" w:hAnsi="Arial"/>
          <w:b/>
          <w:bCs/>
          <w:color w:val="000000"/>
          <w:sz w:val="24"/>
          <w:szCs w:val="24"/>
          <w:lang w:val="en-US"/>
        </w:rPr>
        <w:t>2.4. Immersive Virtual Retail Experience</w:t>
      </w:r>
      <w:bookmarkEnd w:id="18"/>
    </w:p>
    <w:p>
      <w:pPr>
        <w:spacing w:after="0" w:line="360" w:lineRule="auto"/>
        <w:jc w:val="both"/>
        <w:rPr>
          <w:rFonts w:ascii="Arial" w:cs="Arial" w:hAnsi="Arial"/>
          <w:sz w:val="22"/>
          <w:szCs w:val="22"/>
        </w:rPr>
      </w:pPr>
      <w:r>
        <w:rPr>
          <w:rFonts w:ascii="Arial" w:cs="Arial" w:hAnsi="Arial"/>
          <w:sz w:val="22"/>
          <w:szCs w:val="22"/>
        </w:rPr>
        <w:tab/>
        <w:t>The Immersive Virtual Retail Experience is an essential element inside Jaguar Land Rover’s (JLR) Smart Luxury Ecosystem. This program aims to bring digital convenience close to deep emotional engagement and redefines the customer journey, eventually transforming the path experiential into interactive and data-informed through Virtual Reality (VR) and Augmented Reality (AR) technologies (Kotler and Keller, 2022).</w:t>
      </w:r>
    </w:p>
    <w:p>
      <w:pPr>
        <w:spacing w:after="0" w:line="360" w:lineRule="auto"/>
        <w:ind w:firstLine="720"/>
        <w:jc w:val="both"/>
        <w:rPr>
          <w:rFonts w:ascii="Arial" w:cs="Arial" w:hAnsi="Arial"/>
          <w:sz w:val="22"/>
          <w:szCs w:val="22"/>
        </w:rPr>
      </w:pPr>
      <w:r>
        <w:rPr>
          <w:rFonts w:ascii="Arial" w:cs="Arial" w:hAnsi="Arial"/>
          <w:sz w:val="22"/>
          <w:szCs w:val="22"/>
        </w:rPr>
        <w:t>Immersive showrooms will allow customers to undertake virtual experiences of vehicles in hyper-realistic 3D environments, specification personalisation, and experiences of the tactile essence of materials and finishes without being physically present (Hollensen, 2020). This kind of setup gradually reduces the geographical barriers which can be accessed by the global customers while keeping the concept of exclusivity in entry to a luxury brand.</w:t>
      </w:r>
    </w:p>
    <w:p>
      <w:pPr>
        <w:spacing w:after="0" w:line="360" w:lineRule="auto"/>
        <w:ind w:firstLine="720"/>
        <w:jc w:val="both"/>
        <w:rPr>
          <w:rFonts w:ascii="Arial" w:cs="Arial" w:hAnsi="Arial"/>
          <w:sz w:val="22"/>
          <w:szCs w:val="22"/>
          <w:lang w:val="en-US"/>
        </w:rPr>
      </w:pPr>
      <w:r>
        <w:rPr>
          <w:rFonts w:ascii="Arial" w:cs="Arial" w:hAnsi="Arial"/>
          <w:sz w:val="22"/>
          <w:szCs w:val="22"/>
        </w:rPr>
        <w:t>JLR’s approach is in line with the bigger wave taking over automotive-the phygital transformation, defined as a fully integrated physical and digital brand experience (Chaffey and Ellis-Chadwick, 2022). Immersive retail experiences raise both engagement and conversion rates-by emotional storytelling combined with digital precision-but also ensure the perception of JLR as a technologically advanced yet customer-oriented luxury brand.</w:t>
      </w:r>
    </w:p>
    <w:p>
      <w:pPr>
        <w:rPr>
          <w:lang w:val="en-US"/>
        </w:rPr>
      </w:pPr>
    </w:p>
    <w:p>
      <w:pPr>
        <w:pStyle w:val="3"/>
        <w:spacing w:before="0" w:after="0" w:line="360" w:lineRule="auto"/>
        <w:ind w:firstLine="720"/>
        <w:rPr>
          <w:rFonts w:ascii="Arial" w:cs="Arial" w:hAnsi="Arial"/>
          <w:b/>
          <w:bCs/>
          <w:color w:val="000000"/>
          <w:sz w:val="22"/>
          <w:szCs w:val="22"/>
          <w:lang w:val="en-US"/>
        </w:rPr>
      </w:pPr>
      <w:bookmarkStart w:id="19" w:name="_Toc212931331"/>
      <w:r>
        <w:rPr>
          <w:rFonts w:ascii="Arial" w:cs="Arial" w:hAnsi="Arial"/>
          <w:b/>
          <w:bCs/>
          <w:color w:val="000000"/>
          <w:sz w:val="22"/>
          <w:szCs w:val="22"/>
          <w:lang w:val="en-US"/>
        </w:rPr>
        <w:t>2.4.1. VR/AR product configurator</w:t>
      </w:r>
      <w:bookmarkEnd w:id="19"/>
    </w:p>
    <w:p>
      <w:pPr>
        <w:spacing w:after="0" w:line="360" w:lineRule="auto"/>
        <w:ind w:firstLine="720"/>
        <w:jc w:val="both"/>
        <w:rPr>
          <w:rFonts w:ascii="Arial" w:cs="Arial" w:hAnsi="Arial"/>
          <w:sz w:val="22"/>
          <w:szCs w:val="22"/>
        </w:rPr>
      </w:pPr>
      <w:r>
        <w:rPr>
          <w:rFonts w:ascii="Arial" w:cs="Arial" w:hAnsi="Arial"/>
          <w:sz w:val="22"/>
          <w:szCs w:val="22"/>
        </w:rPr>
        <w:t>Customers can use VR/AR to visually experience and interact with a range of bespoke options for their vehicle, from colour palettes and materials to technology packages, all of which can be viewed in real time (Kotler et al., 2021).</w:t>
      </w:r>
    </w:p>
    <w:p>
      <w:pPr>
        <w:spacing w:after="0" w:line="360" w:lineRule="auto"/>
        <w:ind w:firstLine="720"/>
        <w:jc w:val="both"/>
        <w:rPr>
          <w:rFonts w:ascii="Arial" w:cs="Arial" w:hAnsi="Arial"/>
          <w:sz w:val="22"/>
          <w:szCs w:val="22"/>
          <w:lang w:val="en-US"/>
        </w:rPr>
      </w:pPr>
      <w:r>
        <w:rPr>
          <w:rFonts w:ascii="Arial" w:cs="Arial" w:hAnsi="Arial"/>
          <w:sz w:val="22"/>
          <w:szCs w:val="22"/>
        </w:rPr>
        <w:t>Such digital innovation reduces the uncertainty and fatigue of decision-making that become purchase experience barriers in high-value transactions. JLR will have consumer preference data to enhance predictive design and inventory management. Technologically enabled empowerment feeds experiential luxury, according to Kapferer and Bastien (2020).</w:t>
      </w:r>
    </w:p>
    <w:p>
      <w:pPr>
        <w:rPr>
          <w:lang w:val="en-US"/>
        </w:rPr>
      </w:pPr>
    </w:p>
    <w:p>
      <w:pPr>
        <w:pStyle w:val="3"/>
        <w:spacing w:before="0" w:after="0" w:line="360" w:lineRule="auto"/>
        <w:ind w:firstLine="720"/>
        <w:rPr>
          <w:rFonts w:ascii="Arial" w:cs="Arial" w:hAnsi="Arial"/>
          <w:b/>
          <w:bCs/>
          <w:color w:val="000000"/>
          <w:sz w:val="22"/>
          <w:szCs w:val="22"/>
          <w:lang w:val="en-US"/>
        </w:rPr>
      </w:pPr>
      <w:bookmarkStart w:id="20" w:name="_Toc212931332"/>
      <w:r>
        <w:rPr>
          <w:rFonts w:ascii="Arial" w:cs="Arial" w:hAnsi="Arial"/>
          <w:b/>
          <w:bCs/>
          <w:color w:val="000000"/>
          <w:sz w:val="22"/>
          <w:szCs w:val="22"/>
          <w:lang w:val="en-US"/>
        </w:rPr>
        <w:t>2.4.2. Integrated online–offline journey</w:t>
      </w:r>
      <w:bookmarkEnd w:id="20"/>
    </w:p>
    <w:p>
      <w:pPr>
        <w:spacing w:after="0" w:line="360" w:lineRule="auto"/>
        <w:ind w:firstLine="720"/>
        <w:jc w:val="both"/>
        <w:rPr>
          <w:rFonts w:ascii="Arial" w:cs="Arial" w:hAnsi="Arial"/>
          <w:sz w:val="22"/>
          <w:szCs w:val="22"/>
        </w:rPr>
      </w:pPr>
      <w:r>
        <w:rPr>
          <w:rFonts w:ascii="Arial" w:cs="Arial" w:hAnsi="Arial"/>
          <w:sz w:val="22"/>
          <w:szCs w:val="22"/>
        </w:rPr>
        <w:t>The integrated journey connects JLR’s digital and physical channels within one retail structure. Customers who start their configuration online can smoothly complete the process at retailers with contextual continuity ensured by synchronised CRM data (Chaffey and Ellis- Chadwick, 2022).</w:t>
      </w:r>
    </w:p>
    <w:p>
      <w:pPr>
        <w:spacing w:after="0" w:line="360" w:lineRule="auto"/>
        <w:ind w:firstLine="720"/>
        <w:jc w:val="both"/>
        <w:rPr>
          <w:rFonts w:ascii="Arial" w:cs="Arial" w:hAnsi="Arial"/>
          <w:sz w:val="22"/>
          <w:szCs w:val="22"/>
          <w:lang w:val="en-US"/>
        </w:rPr>
      </w:pPr>
      <w:r>
        <w:rPr>
          <w:rFonts w:ascii="Arial" w:cs="Arial" w:hAnsi="Arial"/>
          <w:sz w:val="22"/>
          <w:szCs w:val="22"/>
        </w:rPr>
        <w:t>Retail staff have access to live digital preferences so they can immediately adapt their consultation approach. Omnichannel convenience strongly delivers transparency in building trust, which is a vital element of the luxury automotive purchase experience (Grant, 2021).</w:t>
      </w:r>
    </w:p>
    <w:p>
      <w:pPr>
        <w:rPr>
          <w:lang w:val="en-US"/>
        </w:rPr>
      </w:pPr>
    </w:p>
    <w:p>
      <w:pPr>
        <w:pStyle w:val="3"/>
        <w:spacing w:before="0" w:after="0" w:line="360" w:lineRule="auto"/>
        <w:ind w:firstLine="720"/>
        <w:rPr>
          <w:rFonts w:ascii="Arial" w:cs="Arial" w:hAnsi="Arial"/>
          <w:b/>
          <w:bCs/>
          <w:color w:val="000000"/>
          <w:sz w:val="22"/>
          <w:szCs w:val="22"/>
          <w:lang w:val="en-US"/>
        </w:rPr>
      </w:pPr>
      <w:bookmarkStart w:id="21" w:name="_Toc212931333"/>
      <w:r>
        <w:rPr>
          <w:rFonts w:ascii="Arial" w:cs="Arial" w:hAnsi="Arial"/>
          <w:b/>
          <w:bCs/>
          <w:color w:val="000000"/>
          <w:sz w:val="22"/>
          <w:szCs w:val="22"/>
          <w:lang w:val="en-US"/>
        </w:rPr>
        <w:t>2.4.3. KPIs: conversion rate, digital engagement, dealer network performance</w:t>
      </w:r>
      <w:bookmarkEnd w:id="21"/>
    </w:p>
    <w:p>
      <w:pPr>
        <w:spacing w:after="0" w:line="360" w:lineRule="auto"/>
        <w:ind w:firstLine="720"/>
        <w:jc w:val="both"/>
        <w:rPr>
          <w:rFonts w:ascii="Arial" w:cs="Arial" w:hAnsi="Arial"/>
          <w:sz w:val="22"/>
          <w:szCs w:val="22"/>
        </w:rPr>
      </w:pPr>
      <w:r>
        <w:rPr>
          <w:rFonts w:ascii="Arial" w:cs="Arial" w:hAnsi="Arial"/>
          <w:sz w:val="22"/>
          <w:szCs w:val="22"/>
          <w:lang w:val="en-US"/>
        </w:rPr>
        <w:t>J</w:t>
      </w:r>
      <w:r>
        <w:rPr>
          <w:rFonts w:ascii="Arial" w:cs="Arial" w:hAnsi="Arial"/>
          <w:sz w:val="22"/>
          <w:szCs w:val="22"/>
        </w:rPr>
        <w:t>LR measures success by conversion, digital engagement, and dealer performance. Conversion rates measure conversions from virtual engagements to firm purchase intensions (Kotler and Keller, 2022).</w:t>
      </w:r>
    </w:p>
    <w:p>
      <w:pPr>
        <w:spacing w:after="0" w:line="360" w:lineRule="auto"/>
        <w:ind w:firstLine="720"/>
        <w:jc w:val="both"/>
        <w:rPr>
          <w:rFonts w:ascii="Arial" w:cs="Arial" w:hAnsi="Arial"/>
          <w:sz w:val="22"/>
          <w:szCs w:val="22"/>
          <w:lang w:val="en-US"/>
        </w:rPr>
      </w:pPr>
      <w:r>
        <w:rPr>
          <w:rFonts w:ascii="Arial" w:cs="Arial" w:hAnsi="Arial"/>
          <w:sz w:val="22"/>
          <w:szCs w:val="22"/>
        </w:rPr>
        <w:t>Under digital engagement, time spent on configurators, repeat visits, and depth of interaction can be measured; under dealer network performance, lead conversion and customer satisfaction after a digital experience can be measured (Hollensen, 2020). The KPIs physically manifest the interaction of immersive tech with sales performance in continuous evolution of retail.</w:t>
      </w:r>
    </w:p>
    <w:p>
      <w:pPr>
        <w:rPr>
          <w:lang w:val="en-US"/>
        </w:rPr>
      </w:pPr>
    </w:p>
    <w:p>
      <w:pPr>
        <w:pStyle w:val="2"/>
        <w:spacing w:before="0" w:after="0" w:line="360" w:lineRule="auto"/>
        <w:ind w:firstLine="720"/>
        <w:rPr>
          <w:rFonts w:ascii="Arial" w:cs="Arial" w:hAnsi="Arial"/>
          <w:b/>
          <w:bCs/>
          <w:color w:val="000000"/>
          <w:sz w:val="24"/>
          <w:szCs w:val="24"/>
          <w:lang w:val="en-US"/>
        </w:rPr>
      </w:pPr>
      <w:bookmarkStart w:id="22" w:name="_Toc212931334"/>
      <w:r>
        <w:rPr>
          <w:rFonts w:ascii="Arial" w:cs="Arial" w:hAnsi="Arial"/>
          <w:b/>
          <w:bCs/>
          <w:color w:val="000000"/>
          <w:sz w:val="24"/>
          <w:szCs w:val="24"/>
          <w:lang w:val="en-US"/>
        </w:rPr>
        <w:t>2.5. Enhanced Customer Journey Map</w:t>
      </w:r>
      <w:bookmarkEnd w:id="22"/>
      <w:r>
        <w:rPr>
          <w:rFonts w:ascii="Arial" w:cs="Arial" w:hAnsi="Arial"/>
          <w:b/>
          <w:bCs/>
          <w:color w:val="000000"/>
          <w:sz w:val="24"/>
          <w:szCs w:val="24"/>
          <w:lang w:val="en-US"/>
        </w:rPr>
        <w:t xml:space="preserve"> </w:t>
      </w:r>
    </w:p>
    <w:p>
      <w:pPr>
        <w:spacing w:after="0" w:line="360" w:lineRule="auto"/>
        <w:ind w:firstLine="720"/>
        <w:jc w:val="both"/>
        <w:rPr>
          <w:rFonts w:ascii="Arial" w:cs="Arial" w:hAnsi="Arial"/>
          <w:sz w:val="22"/>
          <w:szCs w:val="22"/>
        </w:rPr>
      </w:pPr>
      <w:r>
        <w:rPr>
          <w:rFonts w:ascii="Arial" w:cs="Arial" w:hAnsi="Arial"/>
          <w:sz w:val="22"/>
          <w:szCs w:val="22"/>
        </w:rPr>
        <w:t>The Enhanced Customer Journey Map articulates the transformed experience within JLR’s Smart Luxury Ecosystem, incorporating digital transformation layers of AI, blockchain, and immersive technologies. All stages-awareness, consideration, purchase, ownership, and advocacy-are now supported with data and articulate emotional intelligence (Kotler et al., 2021).</w:t>
      </w:r>
    </w:p>
    <w:p>
      <w:pPr>
        <w:spacing w:after="0" w:line="360" w:lineRule="auto"/>
        <w:ind w:firstLine="720"/>
        <w:jc w:val="both"/>
        <w:rPr>
          <w:rFonts w:ascii="Arial" w:cs="Arial" w:hAnsi="Arial"/>
          <w:sz w:val="22"/>
          <w:szCs w:val="22"/>
        </w:rPr>
      </w:pPr>
      <w:r>
        <w:rPr>
          <w:rFonts w:ascii="Arial" w:cs="Arial" w:hAnsi="Arial"/>
          <w:sz w:val="22"/>
          <w:szCs w:val="22"/>
        </w:rPr>
        <w:t>AI predicts customer intent, blockchain ensures ethically transparent sourcing, and AR/VR allows immersive participation from experience to acquisition. The journey becomes a singular, clear, added-value experience as it transformed with this linked system- placing JLR at the front of intelligent luxury mobility as a totally new concept (Kapferer and Bastien, 2020).</w:t>
      </w:r>
    </w:p>
    <w:p>
      <w:pPr>
        <w:spacing w:after="0" w:line="360" w:lineRule="auto"/>
        <w:jc w:val="both"/>
        <w:rPr>
          <w:rFonts w:ascii="Arial" w:cs="Arial" w:hAnsi="Arial"/>
          <w:sz w:val="22"/>
          <w:szCs w:val="22"/>
        </w:rPr>
      </w:pPr>
    </w:p>
    <w:p>
      <w:pPr>
        <w:spacing w:after="0" w:line="360" w:lineRule="auto"/>
        <w:jc w:val="center"/>
        <w:rPr>
          <w:rFonts w:ascii="Arial" w:cs="Arial" w:hAnsi="Arial"/>
          <w:sz w:val="22"/>
          <w:szCs w:val="22"/>
          <w:lang w:val="en-US"/>
        </w:rPr>
      </w:pPr>
      <w:r>
        <w:drawing>
          <wp:inline distT="0" distB="0" distL="0" distR="0">
            <wp:extent cx="5943600" cy="3408044"/>
            <wp:effectExtent l="0" t="0" r="0" b="0"/>
            <wp:docPr id="4" name="Images 4"/>
            <wp:cNvGraphicFramePr>
              <a:graphicFrameLocks noChangeAspect="1"/>
            </wp:cNvGraphicFramePr>
            <a:graphic>
              <a:graphicData uri="http://schemas.openxmlformats.org/drawingml/2006/picture">
                <pic:pic>
                  <pic:nvPicPr>
                    <pic:cNvPr id="6" name="Images 6"/>
                    <pic:cNvPicPr/>
                  </pic:nvPicPr>
                  <pic:blipFill>
                    <a:blip r:embed="rId3"/>
                    <a:stretch>
                      <a:fillRect/>
                    </a:stretch>
                  </pic:blipFill>
                  <pic:spPr>
                    <a:xfrm rot="0">
                      <a:off x="0" y="0"/>
                      <a:ext cx="5943600" cy="3408044"/>
                    </a:xfrm>
                    <a:prstGeom prst="rect"/>
                    <a:noFill/>
                    <a:ln w="12700" cmpd="sng" cap="flat">
                      <a:noFill/>
                      <a:prstDash val="solid"/>
                      <a:round/>
                    </a:ln>
                  </pic:spPr>
                </pic:pic>
              </a:graphicData>
            </a:graphic>
          </wp:inline>
        </w:drawing>
      </w:r>
    </w:p>
    <w:p>
      <w:pPr>
        <w:rPr>
          <w:lang w:val="en-US"/>
        </w:rPr>
      </w:pPr>
    </w:p>
    <w:p>
      <w:pPr>
        <w:pStyle w:val="2"/>
        <w:spacing w:before="0" w:after="0" w:line="360" w:lineRule="auto"/>
        <w:ind w:firstLine="720"/>
        <w:rPr>
          <w:rFonts w:ascii="Arial" w:cs="Arial" w:hAnsi="Arial"/>
          <w:b/>
          <w:bCs/>
          <w:color w:val="000000"/>
          <w:sz w:val="24"/>
          <w:szCs w:val="24"/>
          <w:lang w:val="en-US"/>
        </w:rPr>
      </w:pPr>
      <w:bookmarkStart w:id="23" w:name="_Toc212931335"/>
      <w:r>
        <w:rPr>
          <w:rFonts w:ascii="Arial" w:cs="Arial" w:hAnsi="Arial"/>
          <w:b/>
          <w:bCs/>
          <w:color w:val="000000"/>
          <w:sz w:val="24"/>
          <w:szCs w:val="24"/>
          <w:lang w:val="en-US"/>
        </w:rPr>
        <w:t>2.6. Measuring Success</w:t>
      </w:r>
      <w:bookmarkEnd w:id="23"/>
    </w:p>
    <w:p>
      <w:pPr>
        <w:spacing w:after="0" w:line="360" w:lineRule="auto"/>
        <w:ind w:firstLine="720"/>
        <w:jc w:val="both"/>
        <w:rPr>
          <w:rFonts w:ascii="Arial" w:cs="Arial" w:hAnsi="Arial"/>
          <w:sz w:val="22"/>
          <w:szCs w:val="22"/>
        </w:rPr>
      </w:pPr>
      <w:r>
        <w:rPr>
          <w:rFonts w:ascii="Arial" w:cs="Arial" w:hAnsi="Arial"/>
          <w:sz w:val="22"/>
          <w:szCs w:val="22"/>
        </w:rPr>
        <w:t>Key financial, operational, and experiential KPIs support the measurement of success within Smart Luxury alongside Carbon KPIs in a net positive accounting context. Key quantitative metrics include sales growth and customer retention alongside carbon reduction targets (Grant, 2021).</w:t>
        <w:br/>
        <w:br/>
        <w:t>Qualitative metrics include customer satisfaction, brand trust, and ethical perception monitored through AI-enabled sentiment analysis engines (Chaffey and Ellis-Chadwick, 2022). Regular review culminates in agile refinement and leadership accountability.</w:t>
      </w:r>
    </w:p>
    <w:p>
      <w:pPr>
        <w:spacing w:after="0" w:line="360" w:lineRule="auto"/>
        <w:ind w:firstLine="720"/>
        <w:jc w:val="both"/>
      </w:pPr>
      <w:r>
        <w:rPr>
          <w:rFonts w:ascii="Arial" w:cs="Arial" w:hAnsi="Arial"/>
          <w:sz w:val="22"/>
          <w:szCs w:val="22"/>
        </w:rPr>
        <w:t>In effect, output parameters shall be defined in line with the Reimagine vision of JLR: a future</w:t>
      </w:r>
      <w:r>
        <w:t xml:space="preserve"> that is sustainable, digital, and intelligent with enhanced customer value (Tata Motors, 2023).</w:t>
      </w:r>
    </w:p>
    <w:p>
      <w:pPr>
        <w:spacing w:after="0" w:line="360" w:lineRule="auto"/>
        <w:ind w:firstLine="720"/>
        <w:jc w:val="both"/>
        <w:rPr>
          <w:lang w:val="en-US"/>
        </w:rPr>
      </w:pPr>
    </w:p>
    <w:p>
      <w:pPr>
        <w:spacing w:after="0" w:line="360" w:lineRule="auto"/>
        <w:ind w:firstLine="720"/>
        <w:jc w:val="both"/>
        <w:rPr>
          <w:lang w:val="en-US"/>
        </w:rPr>
      </w:pPr>
    </w:p>
    <w:p>
      <w:pPr>
        <w:spacing w:after="0" w:line="360" w:lineRule="auto"/>
        <w:ind w:firstLine="720"/>
        <w:jc w:val="both"/>
        <w:rPr>
          <w:lang w:val="en-US"/>
        </w:rPr>
      </w:pPr>
    </w:p>
    <w:p>
      <w:pPr>
        <w:spacing w:after="0" w:line="360" w:lineRule="auto"/>
        <w:ind w:firstLine="720"/>
        <w:jc w:val="both"/>
        <w:rPr>
          <w:lang w:val="en-US"/>
        </w:rPr>
      </w:pPr>
    </w:p>
    <w:p>
      <w:pPr>
        <w:spacing w:after="0" w:line="360" w:lineRule="auto"/>
        <w:ind w:firstLine="720"/>
        <w:jc w:val="both"/>
        <w:rPr>
          <w:lang w:val="en-US"/>
        </w:rPr>
      </w:pPr>
    </w:p>
    <w:p>
      <w:pPr>
        <w:spacing w:after="0" w:line="360" w:lineRule="auto"/>
        <w:ind w:firstLine="720"/>
        <w:jc w:val="both"/>
        <w:rPr>
          <w:lang w:val="en-US"/>
        </w:rPr>
      </w:pPr>
    </w:p>
    <w:p>
      <w:pPr>
        <w:spacing w:after="0" w:line="360" w:lineRule="auto"/>
        <w:ind w:firstLine="720"/>
        <w:jc w:val="both"/>
        <w:rPr>
          <w:lang w:val="en-US"/>
        </w:rPr>
      </w:pPr>
    </w:p>
    <w:p>
      <w:pPr>
        <w:spacing w:after="0" w:line="360" w:lineRule="auto"/>
        <w:ind w:firstLine="720"/>
        <w:jc w:val="both"/>
        <w:rPr>
          <w:lang w:val="en-US"/>
        </w:rPr>
      </w:pPr>
    </w:p>
    <w:p>
      <w:pPr>
        <w:spacing w:after="0" w:line="360" w:lineRule="auto"/>
        <w:ind w:firstLine="720"/>
        <w:jc w:val="both"/>
        <w:rPr>
          <w:lang w:val="en-US"/>
        </w:rPr>
      </w:pPr>
    </w:p>
    <w:p>
      <w:pPr>
        <w:spacing w:after="0" w:line="360" w:lineRule="auto"/>
        <w:ind w:firstLine="720"/>
        <w:jc w:val="both"/>
        <w:rPr>
          <w:lang w:val="en-US"/>
        </w:rPr>
      </w:pPr>
    </w:p>
    <w:p>
      <w:pPr>
        <w:spacing w:after="0" w:line="360" w:lineRule="auto"/>
        <w:ind w:firstLine="720"/>
        <w:jc w:val="both"/>
        <w:rPr>
          <w:lang w:val="en-US"/>
        </w:rPr>
      </w:pPr>
    </w:p>
    <w:p>
      <w:pPr>
        <w:spacing w:after="0" w:line="360" w:lineRule="auto"/>
        <w:ind w:firstLine="720"/>
        <w:jc w:val="both"/>
        <w:rPr>
          <w:lang w:val="en-US"/>
        </w:rPr>
      </w:pPr>
    </w:p>
    <w:p>
      <w:pPr>
        <w:spacing w:after="0" w:line="360" w:lineRule="auto"/>
        <w:ind w:firstLine="720"/>
        <w:jc w:val="both"/>
        <w:rPr>
          <w:lang w:val="en-US"/>
        </w:rPr>
      </w:pPr>
    </w:p>
    <w:p>
      <w:pPr>
        <w:spacing w:after="0" w:line="360" w:lineRule="auto"/>
        <w:ind w:firstLine="720"/>
        <w:jc w:val="both"/>
        <w:rPr>
          <w:lang w:val="en-US"/>
        </w:rPr>
      </w:pPr>
    </w:p>
    <w:p>
      <w:pPr>
        <w:spacing w:after="0" w:line="360" w:lineRule="auto"/>
        <w:ind w:firstLine="720"/>
        <w:jc w:val="both"/>
        <w:rPr>
          <w:lang w:val="en-US"/>
        </w:rPr>
      </w:pPr>
    </w:p>
    <w:p>
      <w:pPr>
        <w:spacing w:after="0" w:line="360" w:lineRule="auto"/>
        <w:ind w:firstLine="720"/>
        <w:jc w:val="both"/>
        <w:rPr>
          <w:lang w:val="en-US"/>
        </w:rPr>
      </w:pPr>
    </w:p>
    <w:p>
      <w:pPr>
        <w:spacing w:after="0" w:line="360" w:lineRule="auto"/>
        <w:ind w:firstLine="720"/>
        <w:jc w:val="both"/>
        <w:rPr>
          <w:lang w:val="en-US"/>
        </w:rPr>
      </w:pPr>
    </w:p>
    <w:p>
      <w:pPr>
        <w:spacing w:after="0" w:line="360" w:lineRule="auto"/>
        <w:ind w:firstLine="720"/>
        <w:jc w:val="both"/>
        <w:rPr>
          <w:lang w:val="en-US"/>
        </w:rPr>
      </w:pPr>
    </w:p>
    <w:p>
      <w:pPr>
        <w:spacing w:after="0" w:line="360" w:lineRule="auto"/>
        <w:ind w:firstLine="720"/>
        <w:jc w:val="both"/>
        <w:rPr>
          <w:lang w:val="en-US"/>
        </w:rPr>
      </w:pPr>
    </w:p>
    <w:p>
      <w:pPr>
        <w:spacing w:after="0" w:line="360" w:lineRule="auto"/>
        <w:ind w:firstLine="720"/>
        <w:jc w:val="both"/>
        <w:rPr>
          <w:lang w:val="en-US"/>
        </w:rPr>
      </w:pPr>
    </w:p>
    <w:p>
      <w:pPr>
        <w:spacing w:after="0" w:line="360" w:lineRule="auto"/>
        <w:ind w:firstLine="720"/>
        <w:jc w:val="both"/>
        <w:rPr>
          <w:lang w:val="en-US"/>
        </w:rPr>
      </w:pPr>
    </w:p>
    <w:p>
      <w:pPr>
        <w:spacing w:after="0" w:line="360" w:lineRule="auto"/>
        <w:ind w:firstLine="720"/>
        <w:jc w:val="both"/>
        <w:rPr>
          <w:lang w:val="en-US"/>
        </w:rPr>
      </w:pPr>
    </w:p>
    <w:p>
      <w:pPr>
        <w:spacing w:after="0" w:line="360" w:lineRule="auto"/>
        <w:ind w:firstLine="720"/>
        <w:jc w:val="both"/>
        <w:rPr>
          <w:lang w:val="en-US"/>
        </w:rPr>
      </w:pPr>
    </w:p>
    <w:p>
      <w:pPr>
        <w:pStyle w:val="1"/>
        <w:spacing w:before="0" w:after="0" w:line="360" w:lineRule="auto"/>
        <w:jc w:val="center"/>
        <w:rPr>
          <w:rFonts w:ascii="Arial" w:cs="Arial" w:hAnsi="Arial"/>
          <w:color w:val="000000"/>
          <w:sz w:val="28"/>
          <w:szCs w:val="28"/>
          <w:lang w:val="en-US"/>
        </w:rPr>
      </w:pPr>
      <w:bookmarkStart w:id="24" w:name="_Toc212931336"/>
      <w:r>
        <w:rPr>
          <w:rFonts w:ascii="Arial" w:cs="Arial" w:hAnsi="Arial"/>
          <w:b/>
          <w:bCs/>
          <w:color w:val="000000"/>
          <w:sz w:val="28"/>
          <w:szCs w:val="28"/>
          <w:lang w:val="en-US"/>
        </w:rPr>
        <w:t>3. Conclusion</w:t>
      </w:r>
      <w:bookmarkEnd w:id="24"/>
    </w:p>
    <w:p>
      <w:pPr>
        <w:pStyle w:val="1"/>
        <w:spacing w:before="0" w:after="0" w:line="360" w:lineRule="auto"/>
        <w:rPr>
          <w:rFonts w:ascii="Arial" w:cs="Arial" w:hAnsi="Arial"/>
          <w:color w:val="000000"/>
          <w:sz w:val="28"/>
          <w:szCs w:val="28"/>
          <w:lang w:val="en-US"/>
        </w:rPr>
      </w:pPr>
    </w:p>
    <w:p>
      <w:pPr>
        <w:spacing w:after="0" w:line="360" w:lineRule="auto"/>
        <w:ind w:firstLine="720"/>
        <w:jc w:val="both"/>
        <w:rPr>
          <w:rFonts w:ascii="Arial" w:cs="Arial" w:hAnsi="Arial"/>
          <w:sz w:val="22"/>
          <w:szCs w:val="22"/>
        </w:rPr>
      </w:pPr>
      <w:r>
        <w:rPr>
          <w:rFonts w:ascii="Arial" w:cs="Arial" w:hAnsi="Arial"/>
          <w:sz w:val="22"/>
          <w:szCs w:val="22"/>
        </w:rPr>
        <w:t>The transformation of Jaguar Land Rover (JLR) in Smart Luxury Ecosystem displays the potential of high digital technologies, responsible innovation, and human-centric leadership in redefining luxury mobility during the era of artificial intelligence. The study farther brought to light that horizons innovation framework-McKinsey's 3 Horizon Framework and customer journey mapping provide strategic clarity on balancing incremental and radical innovation (Johnson, Whittington and Scholes 2020). JLR shall be placed at the leading edge globally as proposed by Kapferer and Bastien (2020) through initiating AI-driven personalisation; transparent blockchain enabled new immersive virtual retail-considerate intelligent sustainable luxury.</w:t>
      </w:r>
    </w:p>
    <w:p>
      <w:pPr>
        <w:spacing w:after="0" w:line="360" w:lineRule="auto"/>
        <w:ind w:firstLine="720"/>
        <w:jc w:val="both"/>
        <w:rPr>
          <w:rFonts w:ascii="Arial" w:cs="Arial" w:hAnsi="Arial"/>
          <w:sz w:val="22"/>
          <w:szCs w:val="22"/>
        </w:rPr>
      </w:pPr>
      <w:r>
        <w:rPr>
          <w:rFonts w:ascii="Arial" w:cs="Arial" w:hAnsi="Arial"/>
          <w:sz w:val="22"/>
          <w:szCs w:val="22"/>
        </w:rPr>
        <w:t>By fusing digital and emotional dimensions, JLR not only enhances efficiency and loyalty but also reinforces competitive advantage through cultural adaptation and innovation alignment. The measurable outcomes in improved satisfaction, conversion, and sustainability performance suggest an ecosystem based on continuous learning and trust. This is the digital transformation that puts into practice JLR’s Reimagine strategy: profitable for the long term with customers as advocates while leading the transition to net-zero luxury mobility (Tata Motors, 2023; Chaffey and Ellis-Chadwick, 2022).</w:t>
      </w:r>
    </w:p>
    <w:p>
      <w:pPr>
        <w:spacing w:after="0" w:line="360" w:lineRule="auto"/>
        <w:ind w:firstLine="720"/>
        <w:jc w:val="both"/>
        <w:rPr>
          <w:rFonts w:ascii="Arial" w:cs="Arial" w:hAnsi="Arial"/>
          <w:sz w:val="22"/>
          <w:szCs w:val="22"/>
        </w:rPr>
      </w:pPr>
      <w:r>
        <w:rPr>
          <w:rFonts w:ascii="Arial" w:cs="Arial" w:hAnsi="Arial"/>
          <w:sz w:val="22"/>
          <w:szCs w:val="22"/>
        </w:rPr>
        <w:t>The findings emphasise that the future pathway to success for luxury automobiles is not merely through technological adoption but by weaving intelligence, sustainability and human experience at every touch point of the brand journey.</w:t>
      </w:r>
    </w:p>
    <w:p>
      <w:pPr>
        <w:rPr>
          <w:lang w:val="en-US"/>
        </w:rPr>
      </w:pPr>
    </w:p>
    <w:p>
      <w:pPr>
        <w:rPr>
          <w:lang w:val="en-US"/>
        </w:rPr>
      </w:pPr>
    </w:p>
    <w:p>
      <w:pPr>
        <w:rPr>
          <w:lang w:val="en-US"/>
        </w:rPr>
      </w:pPr>
    </w:p>
    <w:p>
      <w:pPr>
        <w:rPr>
          <w:lang w:val="en-US"/>
        </w:rPr>
      </w:pPr>
    </w:p>
    <w:p>
      <w:pPr>
        <w:rPr>
          <w:lang w:val="en-US"/>
        </w:rPr>
      </w:pPr>
    </w:p>
    <w:p>
      <w:pPr>
        <w:rPr>
          <w:lang w:val="en-US"/>
        </w:rPr>
      </w:pPr>
    </w:p>
    <w:p>
      <w:pPr>
        <w:rPr>
          <w:lang w:val="en-US"/>
        </w:rPr>
      </w:pPr>
    </w:p>
    <w:p>
      <w:pPr>
        <w:rPr>
          <w:lang w:val="en-US"/>
        </w:rPr>
      </w:pPr>
    </w:p>
    <w:p>
      <w:pPr>
        <w:rPr>
          <w:lang w:val="en-US"/>
        </w:rPr>
      </w:pPr>
    </w:p>
    <w:p>
      <w:pPr>
        <w:pStyle w:val="1"/>
        <w:spacing w:before="0" w:after="0" w:line="360" w:lineRule="auto"/>
        <w:jc w:val="center"/>
        <w:rPr>
          <w:rFonts w:ascii="Arial" w:cs="Arial" w:hAnsi="Arial"/>
          <w:b/>
          <w:bCs/>
          <w:color w:val="000000"/>
          <w:sz w:val="28"/>
          <w:szCs w:val="28"/>
          <w:lang w:val="en-US"/>
        </w:rPr>
      </w:pPr>
      <w:bookmarkStart w:id="25" w:name="_Toc212931337"/>
      <w:r>
        <w:rPr>
          <w:rFonts w:ascii="Arial" w:cs="Arial" w:hAnsi="Arial"/>
          <w:b/>
          <w:bCs/>
          <w:color w:val="000000"/>
          <w:sz w:val="28"/>
          <w:szCs w:val="28"/>
          <w:lang w:val="en-US"/>
        </w:rPr>
        <w:t>References</w:t>
      </w:r>
      <w:bookmarkEnd w:id="25"/>
    </w:p>
    <w:p>
      <w:pPr>
        <w:rPr>
          <w:lang w:val="en-US"/>
        </w:rPr>
      </w:pPr>
    </w:p>
    <w:p>
      <w:pPr>
        <w:spacing w:after="0" w:line="360" w:lineRule="auto"/>
        <w:jc w:val="both"/>
        <w:rPr>
          <w:rFonts w:ascii="Arial" w:cs="Arial" w:hAnsi="Arial"/>
          <w:sz w:val="22"/>
          <w:szCs w:val="22"/>
          <w:lang w:val="en-US"/>
        </w:rPr>
      </w:pPr>
      <w:r>
        <w:rPr>
          <w:rFonts w:ascii="Arial" w:cs="Arial" w:hAnsi="Arial"/>
          <w:sz w:val="22"/>
          <w:szCs w:val="22"/>
          <w:lang w:val="en-US"/>
        </w:rPr>
        <w:t xml:space="preserve">Afuah, A. (2014) </w:t>
      </w:r>
      <w:r>
        <w:rPr>
          <w:rFonts w:ascii="Arial" w:cs="Arial" w:hAnsi="Arial"/>
          <w:i/>
          <w:iCs/>
          <w:sz w:val="22"/>
          <w:szCs w:val="22"/>
          <w:lang w:val="en-US"/>
        </w:rPr>
        <w:t>Business Model Innovation: Concepts, Analysis, and Cases.</w:t>
      </w:r>
      <w:r>
        <w:rPr>
          <w:rFonts w:ascii="Arial" w:cs="Arial" w:hAnsi="Arial"/>
          <w:sz w:val="22"/>
          <w:szCs w:val="22"/>
          <w:lang w:val="en-US"/>
        </w:rPr>
        <w:t xml:space="preserve"> New York: Routledge.</w:t>
      </w:r>
    </w:p>
    <w:p>
      <w:pPr>
        <w:spacing w:after="0" w:line="360" w:lineRule="auto"/>
        <w:jc w:val="both"/>
        <w:rPr>
          <w:rFonts w:ascii="Arial" w:cs="Arial" w:hAnsi="Arial"/>
          <w:sz w:val="22"/>
          <w:szCs w:val="22"/>
          <w:lang w:val="en-US"/>
        </w:rPr>
      </w:pPr>
      <w:r>
        <w:rPr>
          <w:rFonts w:ascii="Arial" w:cs="Arial" w:hAnsi="Arial"/>
          <w:sz w:val="22"/>
          <w:szCs w:val="22"/>
          <w:lang w:val="en-US"/>
        </w:rPr>
        <w:t xml:space="preserve">Aithal, A. and Kumar, P. (2020) </w:t>
      </w:r>
      <w:r>
        <w:rPr>
          <w:rFonts w:ascii="Arial" w:cs="Arial" w:hAnsi="Arial"/>
          <w:i/>
          <w:iCs/>
          <w:sz w:val="22"/>
          <w:szCs w:val="22"/>
          <w:lang w:val="en-US"/>
        </w:rPr>
        <w:t>Strategic Management and Innovation in the Digital Age.</w:t>
      </w:r>
      <w:r>
        <w:rPr>
          <w:rFonts w:ascii="Arial" w:cs="Arial" w:hAnsi="Arial"/>
          <w:sz w:val="22"/>
          <w:szCs w:val="22"/>
          <w:lang w:val="en-US"/>
        </w:rPr>
        <w:t xml:space="preserve"> London: Emerald Publishing.</w:t>
      </w:r>
    </w:p>
    <w:p>
      <w:pPr>
        <w:spacing w:after="0" w:line="360" w:lineRule="auto"/>
        <w:jc w:val="both"/>
        <w:rPr>
          <w:rFonts w:ascii="Arial" w:cs="Arial" w:hAnsi="Arial"/>
          <w:sz w:val="22"/>
          <w:szCs w:val="22"/>
          <w:lang w:val="en-US"/>
        </w:rPr>
      </w:pPr>
      <w:r>
        <w:rPr>
          <w:rFonts w:ascii="Arial" w:cs="Arial" w:hAnsi="Arial"/>
          <w:sz w:val="22"/>
          <w:szCs w:val="22"/>
          <w:lang w:val="en-US"/>
        </w:rPr>
        <w:t xml:space="preserve">Armstrong, G. and Kotler, P. (2020) </w:t>
      </w:r>
      <w:r>
        <w:rPr>
          <w:rFonts w:ascii="Arial" w:cs="Arial" w:hAnsi="Arial"/>
          <w:i/>
          <w:iCs/>
          <w:sz w:val="22"/>
          <w:szCs w:val="22"/>
          <w:lang w:val="en-US"/>
        </w:rPr>
        <w:t>Marketing: An Introduction.</w:t>
      </w:r>
      <w:r>
        <w:rPr>
          <w:rFonts w:ascii="Arial" w:cs="Arial" w:hAnsi="Arial"/>
          <w:sz w:val="22"/>
          <w:szCs w:val="22"/>
          <w:lang w:val="en-US"/>
        </w:rPr>
        <w:t xml:space="preserve"> 14th edn. Harlow: Pearson Education.</w:t>
      </w:r>
    </w:p>
    <w:p>
      <w:pPr>
        <w:spacing w:after="0" w:line="360" w:lineRule="auto"/>
        <w:jc w:val="both"/>
        <w:rPr>
          <w:rFonts w:ascii="Arial" w:cs="Arial" w:hAnsi="Arial"/>
          <w:sz w:val="22"/>
          <w:szCs w:val="22"/>
          <w:lang w:val="en-US"/>
        </w:rPr>
      </w:pPr>
      <w:r>
        <w:rPr>
          <w:rFonts w:ascii="Arial" w:cs="Arial" w:hAnsi="Arial"/>
          <w:sz w:val="22"/>
          <w:szCs w:val="22"/>
          <w:lang w:val="en-US"/>
        </w:rPr>
        <w:t xml:space="preserve">Barney, J.B. and Hesterly, W.S. (2019) </w:t>
      </w:r>
      <w:r>
        <w:rPr>
          <w:rFonts w:ascii="Arial" w:cs="Arial" w:hAnsi="Arial"/>
          <w:i/>
          <w:iCs/>
          <w:sz w:val="22"/>
          <w:szCs w:val="22"/>
          <w:lang w:val="en-US"/>
        </w:rPr>
        <w:t>Strategic Management and Competitive Advantage: Concepts and Cases.</w:t>
      </w:r>
      <w:r>
        <w:rPr>
          <w:rFonts w:ascii="Arial" w:cs="Arial" w:hAnsi="Arial"/>
          <w:sz w:val="22"/>
          <w:szCs w:val="22"/>
          <w:lang w:val="en-US"/>
        </w:rPr>
        <w:t xml:space="preserve"> 6th edn. Harlow: Pearson Education.</w:t>
      </w:r>
    </w:p>
    <w:p>
      <w:pPr>
        <w:spacing w:after="0" w:line="360" w:lineRule="auto"/>
        <w:jc w:val="both"/>
        <w:rPr>
          <w:rFonts w:ascii="Arial" w:cs="Arial" w:hAnsi="Arial"/>
          <w:sz w:val="22"/>
          <w:szCs w:val="22"/>
          <w:lang w:val="en-US"/>
        </w:rPr>
      </w:pPr>
      <w:r>
        <w:rPr>
          <w:rFonts w:ascii="Arial" w:cs="Arial" w:hAnsi="Arial"/>
          <w:sz w:val="22"/>
          <w:szCs w:val="22"/>
          <w:lang w:val="en-US"/>
        </w:rPr>
        <w:t xml:space="preserve">Blythe, J. and Megicks, P. (2021) </w:t>
      </w:r>
      <w:r>
        <w:rPr>
          <w:rFonts w:ascii="Arial" w:cs="Arial" w:hAnsi="Arial"/>
          <w:i/>
          <w:iCs/>
          <w:sz w:val="22"/>
          <w:szCs w:val="22"/>
          <w:lang w:val="en-US"/>
        </w:rPr>
        <w:t>Marketing Planning: Strategy, Environment and Context.</w:t>
      </w:r>
      <w:r>
        <w:rPr>
          <w:rFonts w:ascii="Arial" w:cs="Arial" w:hAnsi="Arial"/>
          <w:sz w:val="22"/>
          <w:szCs w:val="22"/>
          <w:lang w:val="en-US"/>
        </w:rPr>
        <w:t xml:space="preserve"> 3rd edn. London: Sage Publications.</w:t>
      </w:r>
    </w:p>
    <w:p>
      <w:pPr>
        <w:spacing w:after="0" w:line="360" w:lineRule="auto"/>
        <w:jc w:val="both"/>
        <w:rPr>
          <w:rFonts w:ascii="Arial" w:cs="Arial" w:hAnsi="Arial"/>
          <w:sz w:val="22"/>
          <w:szCs w:val="22"/>
          <w:lang w:val="en-US"/>
        </w:rPr>
      </w:pPr>
      <w:r>
        <w:rPr>
          <w:rFonts w:ascii="Arial" w:cs="Arial" w:hAnsi="Arial"/>
          <w:sz w:val="22"/>
          <w:szCs w:val="22"/>
          <w:lang w:val="en-US"/>
        </w:rPr>
        <w:t xml:space="preserve">Bryson, J.M. (2018) </w:t>
      </w:r>
      <w:r>
        <w:rPr>
          <w:rFonts w:ascii="Arial" w:cs="Arial" w:hAnsi="Arial"/>
          <w:i/>
          <w:iCs/>
          <w:sz w:val="22"/>
          <w:szCs w:val="22"/>
          <w:lang w:val="en-US"/>
        </w:rPr>
        <w:t>Strategic Planning for Public and Nonprofit Organizations.</w:t>
      </w:r>
      <w:r>
        <w:rPr>
          <w:rFonts w:ascii="Arial" w:cs="Arial" w:hAnsi="Arial"/>
          <w:sz w:val="22"/>
          <w:szCs w:val="22"/>
          <w:lang w:val="en-US"/>
        </w:rPr>
        <w:t xml:space="preserve"> 5th edn. San Francisco: Jossey-Bass.</w:t>
      </w:r>
    </w:p>
    <w:p>
      <w:pPr>
        <w:spacing w:after="0" w:line="360" w:lineRule="auto"/>
        <w:jc w:val="both"/>
        <w:rPr>
          <w:rFonts w:ascii="Arial" w:cs="Arial" w:hAnsi="Arial"/>
          <w:sz w:val="22"/>
          <w:szCs w:val="22"/>
          <w:lang w:val="en-US"/>
        </w:rPr>
      </w:pPr>
      <w:r>
        <w:rPr>
          <w:rFonts w:ascii="Arial" w:cs="Arial" w:hAnsi="Arial"/>
          <w:sz w:val="22"/>
          <w:szCs w:val="22"/>
          <w:lang w:val="en-US"/>
        </w:rPr>
        <w:t xml:space="preserve">Chaffey, D. and Ellis-Chadwick, F. (2022) </w:t>
      </w:r>
      <w:r>
        <w:rPr>
          <w:rFonts w:ascii="Arial" w:cs="Arial" w:hAnsi="Arial"/>
          <w:i/>
          <w:iCs/>
          <w:sz w:val="22"/>
          <w:szCs w:val="22"/>
          <w:lang w:val="en-US"/>
        </w:rPr>
        <w:t>Digital Marketing.</w:t>
      </w:r>
      <w:r>
        <w:rPr>
          <w:rFonts w:ascii="Arial" w:cs="Arial" w:hAnsi="Arial"/>
          <w:sz w:val="22"/>
          <w:szCs w:val="22"/>
          <w:lang w:val="en-US"/>
        </w:rPr>
        <w:t xml:space="preserve"> 8th edn. Harlow: Pearson Education.</w:t>
      </w:r>
    </w:p>
    <w:p>
      <w:pPr>
        <w:spacing w:after="0" w:line="360" w:lineRule="auto"/>
        <w:jc w:val="both"/>
        <w:rPr>
          <w:rFonts w:ascii="Arial" w:cs="Arial" w:hAnsi="Arial"/>
          <w:sz w:val="22"/>
          <w:szCs w:val="22"/>
          <w:lang w:val="en-US"/>
        </w:rPr>
      </w:pPr>
      <w:r>
        <w:rPr>
          <w:rFonts w:ascii="Arial" w:cs="Arial" w:hAnsi="Arial"/>
          <w:sz w:val="22"/>
          <w:szCs w:val="22"/>
          <w:lang w:val="en-US"/>
        </w:rPr>
        <w:t xml:space="preserve">Christensen, C.M., Raynor, M.E. and McDonald, R. (2015) </w:t>
      </w:r>
      <w:r>
        <w:rPr>
          <w:rFonts w:ascii="Arial" w:cs="Arial" w:hAnsi="Arial"/>
          <w:i/>
          <w:iCs/>
          <w:sz w:val="22"/>
          <w:szCs w:val="22"/>
          <w:lang w:val="en-US"/>
        </w:rPr>
        <w:t>Disruptive Innovation: What It Is and What It Isn’t.</w:t>
      </w:r>
      <w:r>
        <w:rPr>
          <w:rFonts w:ascii="Arial" w:cs="Arial" w:hAnsi="Arial"/>
          <w:sz w:val="22"/>
          <w:szCs w:val="22"/>
          <w:lang w:val="en-US"/>
        </w:rPr>
        <w:t xml:space="preserve"> Boston, MA: Harvard Business Review Press.</w:t>
      </w:r>
    </w:p>
    <w:p>
      <w:pPr>
        <w:spacing w:after="0" w:line="360" w:lineRule="auto"/>
        <w:jc w:val="both"/>
        <w:rPr>
          <w:rFonts w:ascii="Arial" w:cs="Arial" w:hAnsi="Arial"/>
          <w:sz w:val="22"/>
          <w:szCs w:val="22"/>
          <w:lang w:val="en-US"/>
        </w:rPr>
      </w:pPr>
      <w:r>
        <w:rPr>
          <w:rFonts w:ascii="Arial" w:cs="Arial" w:hAnsi="Arial"/>
          <w:sz w:val="22"/>
          <w:szCs w:val="22"/>
          <w:lang w:val="en-US"/>
        </w:rPr>
        <w:t xml:space="preserve">Cooper, R.G. (2019) </w:t>
      </w:r>
      <w:r>
        <w:rPr>
          <w:rFonts w:ascii="Arial" w:cs="Arial" w:hAnsi="Arial"/>
          <w:i/>
          <w:iCs/>
          <w:sz w:val="22"/>
          <w:szCs w:val="22"/>
          <w:lang w:val="en-US"/>
        </w:rPr>
        <w:t>Winning at New Products: Creating Value through Innovation.</w:t>
      </w:r>
      <w:r>
        <w:rPr>
          <w:rFonts w:ascii="Arial" w:cs="Arial" w:hAnsi="Arial"/>
          <w:sz w:val="22"/>
          <w:szCs w:val="22"/>
          <w:lang w:val="en-US"/>
        </w:rPr>
        <w:t xml:space="preserve"> 5th edn. New York: Basic Books.</w:t>
      </w:r>
    </w:p>
    <w:p>
      <w:pPr>
        <w:spacing w:after="0" w:line="360" w:lineRule="auto"/>
        <w:jc w:val="both"/>
        <w:rPr>
          <w:rFonts w:ascii="Arial" w:cs="Arial" w:hAnsi="Arial"/>
          <w:sz w:val="22"/>
          <w:szCs w:val="22"/>
          <w:lang w:val="en-US"/>
        </w:rPr>
      </w:pPr>
      <w:r>
        <w:rPr>
          <w:rFonts w:ascii="Arial" w:cs="Arial" w:hAnsi="Arial"/>
          <w:sz w:val="22"/>
          <w:szCs w:val="22"/>
          <w:lang w:val="en-US"/>
        </w:rPr>
        <w:t xml:space="preserve">Davenport, T.H. and Ronanki, R. (2018) </w:t>
      </w:r>
      <w:r>
        <w:rPr>
          <w:rFonts w:ascii="Arial" w:cs="Arial" w:hAnsi="Arial"/>
          <w:i/>
          <w:iCs/>
          <w:sz w:val="22"/>
          <w:szCs w:val="22"/>
          <w:lang w:val="en-US"/>
        </w:rPr>
        <w:t>Artificial Intelligence in Practice: Applying AI in Real-World Business Problems.</w:t>
      </w:r>
      <w:r>
        <w:rPr>
          <w:rFonts w:ascii="Arial" w:cs="Arial" w:hAnsi="Arial"/>
          <w:sz w:val="22"/>
          <w:szCs w:val="22"/>
          <w:lang w:val="en-US"/>
        </w:rPr>
        <w:t xml:space="preserve"> London: Kogan Page.</w:t>
      </w:r>
    </w:p>
    <w:p>
      <w:pPr>
        <w:spacing w:after="0" w:line="360" w:lineRule="auto"/>
        <w:jc w:val="both"/>
        <w:rPr>
          <w:rFonts w:ascii="Arial" w:cs="Arial" w:hAnsi="Arial"/>
          <w:sz w:val="22"/>
          <w:szCs w:val="22"/>
          <w:lang w:val="en-US"/>
        </w:rPr>
      </w:pPr>
      <w:r>
        <w:rPr>
          <w:rFonts w:ascii="Arial" w:cs="Arial" w:hAnsi="Arial"/>
          <w:sz w:val="22"/>
          <w:szCs w:val="22"/>
          <w:lang w:val="en-US"/>
        </w:rPr>
        <w:t xml:space="preserve">Davila, T., Epstein, M.J. and Shelton, R. (2019) </w:t>
      </w:r>
      <w:r>
        <w:rPr>
          <w:rFonts w:ascii="Arial" w:cs="Arial" w:hAnsi="Arial"/>
          <w:i/>
          <w:iCs/>
          <w:sz w:val="22"/>
          <w:szCs w:val="22"/>
          <w:lang w:val="en-US"/>
        </w:rPr>
        <w:t>Making Innovation Work: How to Manage It, Measure It, and Profit from It.</w:t>
      </w:r>
      <w:r>
        <w:rPr>
          <w:rFonts w:ascii="Arial" w:cs="Arial" w:hAnsi="Arial"/>
          <w:sz w:val="22"/>
          <w:szCs w:val="22"/>
          <w:lang w:val="en-US"/>
        </w:rPr>
        <w:t xml:space="preserve"> 2nd edn. Upper Saddle River, NJ: Pearson Education.</w:t>
      </w:r>
    </w:p>
    <w:p>
      <w:pPr>
        <w:spacing w:after="0" w:line="360" w:lineRule="auto"/>
        <w:jc w:val="both"/>
        <w:rPr>
          <w:rFonts w:ascii="Arial" w:cs="Arial" w:hAnsi="Arial"/>
          <w:sz w:val="22"/>
          <w:szCs w:val="22"/>
          <w:lang w:val="en-US"/>
        </w:rPr>
      </w:pPr>
      <w:r>
        <w:rPr>
          <w:rFonts w:ascii="Arial" w:cs="Arial" w:hAnsi="Arial"/>
          <w:sz w:val="22"/>
          <w:szCs w:val="22"/>
          <w:lang w:val="en-US"/>
        </w:rPr>
        <w:t xml:space="preserve">Dess, G.G., McNamara, G. and Eisner, A.B. (2021) </w:t>
      </w:r>
      <w:r>
        <w:rPr>
          <w:rFonts w:ascii="Arial" w:cs="Arial" w:hAnsi="Arial"/>
          <w:i/>
          <w:iCs/>
          <w:sz w:val="22"/>
          <w:szCs w:val="22"/>
          <w:lang w:val="en-US"/>
        </w:rPr>
        <w:t>Strategic Management: Creating Competitive Advantages.</w:t>
      </w:r>
      <w:r>
        <w:rPr>
          <w:rFonts w:ascii="Arial" w:cs="Arial" w:hAnsi="Arial"/>
          <w:sz w:val="22"/>
          <w:szCs w:val="22"/>
          <w:lang w:val="en-US"/>
        </w:rPr>
        <w:t xml:space="preserve"> 10th edn. New York: McGraw-Hill Education.</w:t>
      </w:r>
    </w:p>
    <w:p>
      <w:pPr>
        <w:spacing w:after="0" w:line="360" w:lineRule="auto"/>
        <w:jc w:val="both"/>
        <w:rPr>
          <w:rFonts w:ascii="Arial" w:cs="Arial" w:hAnsi="Arial"/>
          <w:sz w:val="22"/>
          <w:szCs w:val="22"/>
          <w:lang w:val="en-US"/>
        </w:rPr>
      </w:pPr>
      <w:r>
        <w:rPr>
          <w:rFonts w:ascii="Arial" w:cs="Arial" w:hAnsi="Arial"/>
          <w:sz w:val="22"/>
          <w:szCs w:val="22"/>
          <w:lang w:val="en-US"/>
        </w:rPr>
        <w:t xml:space="preserve">Grant, R.M. (2021) </w:t>
      </w:r>
      <w:r>
        <w:rPr>
          <w:rFonts w:ascii="Arial" w:cs="Arial" w:hAnsi="Arial"/>
          <w:i/>
          <w:iCs/>
          <w:sz w:val="22"/>
          <w:szCs w:val="22"/>
          <w:lang w:val="en-US"/>
        </w:rPr>
        <w:t>Contemporary Strategy Analysis: Text and Cases Edition.</w:t>
      </w:r>
      <w:r>
        <w:rPr>
          <w:rFonts w:ascii="Arial" w:cs="Arial" w:hAnsi="Arial"/>
          <w:sz w:val="22"/>
          <w:szCs w:val="22"/>
          <w:lang w:val="en-US"/>
        </w:rPr>
        <w:t xml:space="preserve"> 11th edn. Hoboken, NJ: Wiley.</w:t>
      </w:r>
    </w:p>
    <w:p>
      <w:pPr>
        <w:spacing w:after="0" w:line="360" w:lineRule="auto"/>
        <w:jc w:val="both"/>
        <w:rPr>
          <w:rFonts w:ascii="Arial" w:cs="Arial" w:hAnsi="Arial"/>
          <w:sz w:val="22"/>
          <w:szCs w:val="22"/>
          <w:lang w:val="en-US"/>
        </w:rPr>
      </w:pPr>
      <w:r>
        <w:rPr>
          <w:rFonts w:ascii="Arial" w:cs="Arial" w:hAnsi="Arial"/>
          <w:sz w:val="22"/>
          <w:szCs w:val="22"/>
          <w:lang w:val="en-US"/>
        </w:rPr>
        <w:t xml:space="preserve">Hollensen, S. (2020) </w:t>
      </w:r>
      <w:r>
        <w:rPr>
          <w:rFonts w:ascii="Arial" w:cs="Arial" w:hAnsi="Arial"/>
          <w:i/>
          <w:iCs/>
          <w:sz w:val="22"/>
          <w:szCs w:val="22"/>
          <w:lang w:val="en-US"/>
        </w:rPr>
        <w:t>Marketing Management: A Relationship Approach.</w:t>
      </w:r>
      <w:r>
        <w:rPr>
          <w:rFonts w:ascii="Arial" w:cs="Arial" w:hAnsi="Arial"/>
          <w:sz w:val="22"/>
          <w:szCs w:val="22"/>
          <w:lang w:val="en-US"/>
        </w:rPr>
        <w:t xml:space="preserve"> 4th edn. Harlow: Pearson Education.</w:t>
      </w:r>
    </w:p>
    <w:p>
      <w:pPr>
        <w:spacing w:after="0" w:line="360" w:lineRule="auto"/>
        <w:jc w:val="both"/>
        <w:rPr>
          <w:rFonts w:ascii="Arial" w:cs="Arial" w:hAnsi="Arial"/>
          <w:sz w:val="22"/>
          <w:szCs w:val="22"/>
          <w:lang w:val="en-US"/>
        </w:rPr>
      </w:pPr>
      <w:r>
        <w:rPr>
          <w:rFonts w:ascii="Arial" w:cs="Arial" w:hAnsi="Arial"/>
          <w:sz w:val="22"/>
          <w:szCs w:val="22"/>
          <w:lang w:val="en-US"/>
        </w:rPr>
        <w:t xml:space="preserve">Johnson, G., Whittington, R. and Scholes, K. (2020) </w:t>
      </w:r>
      <w:r>
        <w:rPr>
          <w:rFonts w:ascii="Arial" w:cs="Arial" w:hAnsi="Arial"/>
          <w:i/>
          <w:iCs/>
          <w:sz w:val="22"/>
          <w:szCs w:val="22"/>
          <w:lang w:val="en-US"/>
        </w:rPr>
        <w:t>Exploring Strategy: Text and Cases.</w:t>
      </w:r>
      <w:r>
        <w:rPr>
          <w:rFonts w:ascii="Arial" w:cs="Arial" w:hAnsi="Arial"/>
          <w:sz w:val="22"/>
          <w:szCs w:val="22"/>
          <w:lang w:val="en-US"/>
        </w:rPr>
        <w:t xml:space="preserve"> 12th edn. Harlow: Pearson Education.</w:t>
      </w:r>
    </w:p>
    <w:p>
      <w:pPr>
        <w:spacing w:after="0" w:line="360" w:lineRule="auto"/>
        <w:jc w:val="both"/>
        <w:rPr>
          <w:rFonts w:ascii="Arial" w:cs="Arial" w:hAnsi="Arial"/>
          <w:sz w:val="22"/>
          <w:szCs w:val="22"/>
          <w:lang w:val="en-US"/>
        </w:rPr>
      </w:pPr>
      <w:r>
        <w:rPr>
          <w:rFonts w:ascii="Arial" w:cs="Arial" w:hAnsi="Arial"/>
          <w:sz w:val="22"/>
          <w:szCs w:val="22"/>
          <w:lang w:val="en-US"/>
        </w:rPr>
        <w:t xml:space="preserve">Kapferer, J.N. and Bastien, V. (2020) </w:t>
      </w:r>
      <w:r>
        <w:rPr>
          <w:rFonts w:ascii="Arial" w:cs="Arial" w:hAnsi="Arial"/>
          <w:i/>
          <w:iCs/>
          <w:sz w:val="22"/>
          <w:szCs w:val="22"/>
          <w:lang w:val="en-US"/>
        </w:rPr>
        <w:t>The Luxury Strategy: Break the Rules of Marketing to Build Luxury Brands.</w:t>
      </w:r>
      <w:r>
        <w:rPr>
          <w:rFonts w:ascii="Arial" w:cs="Arial" w:hAnsi="Arial"/>
          <w:sz w:val="22"/>
          <w:szCs w:val="22"/>
          <w:lang w:val="en-US"/>
        </w:rPr>
        <w:t xml:space="preserve"> 3rd edn. London: Kogan Page.</w:t>
      </w:r>
    </w:p>
    <w:p>
      <w:pPr>
        <w:spacing w:after="0" w:line="360" w:lineRule="auto"/>
        <w:jc w:val="both"/>
        <w:rPr>
          <w:rFonts w:ascii="Arial" w:cs="Arial" w:hAnsi="Arial"/>
          <w:sz w:val="22"/>
          <w:szCs w:val="22"/>
          <w:lang w:val="en-US"/>
        </w:rPr>
      </w:pPr>
      <w:r>
        <w:rPr>
          <w:rFonts w:ascii="Arial" w:cs="Arial" w:hAnsi="Arial"/>
          <w:sz w:val="22"/>
          <w:szCs w:val="22"/>
          <w:lang w:val="en-US"/>
        </w:rPr>
        <w:t xml:space="preserve">Kietzmann, J.H. and Pitt, L.F. (2020) </w:t>
      </w:r>
      <w:r>
        <w:rPr>
          <w:rFonts w:ascii="Arial" w:cs="Arial" w:hAnsi="Arial"/>
          <w:i/>
          <w:iCs/>
          <w:sz w:val="22"/>
          <w:szCs w:val="22"/>
          <w:lang w:val="en-US"/>
        </w:rPr>
        <w:t>Innovation and Digital Transformation: A Strategic Perspective.</w:t>
      </w:r>
      <w:r>
        <w:rPr>
          <w:rFonts w:ascii="Arial" w:cs="Arial" w:hAnsi="Arial"/>
          <w:sz w:val="22"/>
          <w:szCs w:val="22"/>
          <w:lang w:val="en-US"/>
        </w:rPr>
        <w:t xml:space="preserve"> New York: Routledge.</w:t>
      </w:r>
    </w:p>
    <w:p>
      <w:pPr>
        <w:spacing w:after="0" w:line="360" w:lineRule="auto"/>
        <w:jc w:val="both"/>
        <w:rPr>
          <w:rFonts w:ascii="Arial" w:cs="Arial" w:hAnsi="Arial"/>
          <w:sz w:val="22"/>
          <w:szCs w:val="22"/>
          <w:lang w:val="en-US"/>
        </w:rPr>
      </w:pPr>
      <w:r>
        <w:rPr>
          <w:rFonts w:ascii="Arial" w:cs="Arial" w:hAnsi="Arial"/>
          <w:sz w:val="22"/>
          <w:szCs w:val="22"/>
          <w:lang w:val="en-US"/>
        </w:rPr>
        <w:t xml:space="preserve">Kim, W.C. and Mauborgne, R. (2017) </w:t>
      </w:r>
      <w:r>
        <w:rPr>
          <w:rFonts w:ascii="Arial" w:cs="Arial" w:hAnsi="Arial"/>
          <w:i/>
          <w:iCs/>
          <w:sz w:val="22"/>
          <w:szCs w:val="22"/>
          <w:lang w:val="en-US"/>
        </w:rPr>
        <w:t>Blue Ocean Shift: Beyond Competing.</w:t>
      </w:r>
      <w:r>
        <w:rPr>
          <w:rFonts w:ascii="Arial" w:cs="Arial" w:hAnsi="Arial"/>
          <w:sz w:val="22"/>
          <w:szCs w:val="22"/>
          <w:lang w:val="en-US"/>
        </w:rPr>
        <w:t xml:space="preserve"> Boston, MA: Harvard Business Review Press.</w:t>
      </w:r>
    </w:p>
    <w:p>
      <w:pPr>
        <w:spacing w:after="0" w:line="360" w:lineRule="auto"/>
        <w:jc w:val="both"/>
        <w:rPr>
          <w:rFonts w:ascii="Arial" w:cs="Arial" w:hAnsi="Arial"/>
          <w:sz w:val="22"/>
          <w:szCs w:val="22"/>
          <w:lang w:val="en-US"/>
        </w:rPr>
      </w:pPr>
      <w:r>
        <w:rPr>
          <w:rFonts w:ascii="Arial" w:cs="Arial" w:hAnsi="Arial"/>
          <w:sz w:val="22"/>
          <w:szCs w:val="22"/>
          <w:lang w:val="en-US"/>
        </w:rPr>
        <w:t xml:space="preserve">Kotler, P. and Keller, K.L. (2022) </w:t>
      </w:r>
      <w:r>
        <w:rPr>
          <w:rFonts w:ascii="Arial" w:cs="Arial" w:hAnsi="Arial"/>
          <w:i/>
          <w:iCs/>
          <w:sz w:val="22"/>
          <w:szCs w:val="22"/>
          <w:lang w:val="en-US"/>
        </w:rPr>
        <w:t>Marketing Management.</w:t>
      </w:r>
      <w:r>
        <w:rPr>
          <w:rFonts w:ascii="Arial" w:cs="Arial" w:hAnsi="Arial"/>
          <w:sz w:val="22"/>
          <w:szCs w:val="22"/>
          <w:lang w:val="en-US"/>
        </w:rPr>
        <w:t xml:space="preserve"> 16th edn. Harlow: Pearson Education.</w:t>
      </w:r>
    </w:p>
    <w:p>
      <w:pPr>
        <w:spacing w:after="0" w:line="360" w:lineRule="auto"/>
        <w:jc w:val="both"/>
        <w:rPr>
          <w:rFonts w:ascii="Arial" w:cs="Arial" w:hAnsi="Arial"/>
          <w:sz w:val="22"/>
          <w:szCs w:val="22"/>
          <w:lang w:val="en-US"/>
        </w:rPr>
      </w:pPr>
      <w:r>
        <w:rPr>
          <w:rFonts w:ascii="Arial" w:cs="Arial" w:hAnsi="Arial"/>
          <w:sz w:val="22"/>
          <w:szCs w:val="22"/>
          <w:lang w:val="en-US"/>
        </w:rPr>
        <w:t xml:space="preserve">Kotler, P., Kartajaya, H. and Setiawan, I. (2021) </w:t>
      </w:r>
      <w:r>
        <w:rPr>
          <w:rFonts w:ascii="Arial" w:cs="Arial" w:hAnsi="Arial"/>
          <w:i/>
          <w:iCs/>
          <w:sz w:val="22"/>
          <w:szCs w:val="22"/>
          <w:lang w:val="en-US"/>
        </w:rPr>
        <w:t>Marketing 5.0: Technology for Humanity.</w:t>
      </w:r>
      <w:r>
        <w:rPr>
          <w:rFonts w:ascii="Arial" w:cs="Arial" w:hAnsi="Arial"/>
          <w:sz w:val="22"/>
          <w:szCs w:val="22"/>
          <w:lang w:val="en-US"/>
        </w:rPr>
        <w:t xml:space="preserve"> Hoboken, NJ: Wiley.</w:t>
      </w:r>
    </w:p>
    <w:p>
      <w:pPr>
        <w:spacing w:after="0" w:line="360" w:lineRule="auto"/>
        <w:jc w:val="both"/>
        <w:rPr>
          <w:rFonts w:ascii="Arial" w:cs="Arial" w:hAnsi="Arial"/>
          <w:sz w:val="22"/>
          <w:szCs w:val="22"/>
          <w:lang w:val="en-US"/>
        </w:rPr>
      </w:pPr>
      <w:r>
        <w:rPr>
          <w:rFonts w:ascii="Arial" w:cs="Arial" w:hAnsi="Arial"/>
          <w:sz w:val="22"/>
          <w:szCs w:val="22"/>
          <w:lang w:val="en-US"/>
        </w:rPr>
        <w:t xml:space="preserve">Ladhari, R. and Tchetgna, N.M. (2020) </w:t>
      </w:r>
      <w:r>
        <w:rPr>
          <w:rFonts w:ascii="Arial" w:cs="Arial" w:hAnsi="Arial"/>
          <w:i/>
          <w:iCs/>
          <w:sz w:val="22"/>
          <w:szCs w:val="22"/>
          <w:lang w:val="en-US"/>
        </w:rPr>
        <w:t>Customer Experience and Brand Loyalty in the Digital Age.</w:t>
      </w:r>
      <w:r>
        <w:rPr>
          <w:rFonts w:ascii="Arial" w:cs="Arial" w:hAnsi="Arial"/>
          <w:sz w:val="22"/>
          <w:szCs w:val="22"/>
          <w:lang w:val="en-US"/>
        </w:rPr>
        <w:t xml:space="preserve"> London: Routledge.</w:t>
      </w:r>
    </w:p>
    <w:p>
      <w:pPr>
        <w:spacing w:after="0" w:line="360" w:lineRule="auto"/>
        <w:jc w:val="both"/>
        <w:rPr>
          <w:rFonts w:ascii="Arial" w:cs="Arial" w:hAnsi="Arial"/>
          <w:sz w:val="22"/>
          <w:szCs w:val="22"/>
          <w:lang w:val="en-US"/>
        </w:rPr>
      </w:pPr>
      <w:r>
        <w:rPr>
          <w:rFonts w:ascii="Arial" w:cs="Arial" w:hAnsi="Arial"/>
          <w:sz w:val="22"/>
          <w:szCs w:val="22"/>
          <w:lang w:val="en-US"/>
        </w:rPr>
        <w:t xml:space="preserve">Liu, Y. and Liang, H. (2023) </w:t>
      </w:r>
      <w:r>
        <w:rPr>
          <w:rFonts w:ascii="Arial" w:cs="Arial" w:hAnsi="Arial"/>
          <w:i/>
          <w:iCs/>
          <w:sz w:val="22"/>
          <w:szCs w:val="22"/>
          <w:lang w:val="en-US"/>
        </w:rPr>
        <w:t>AI in Business Transformation: Managing Change for Competitive Advantage.</w:t>
      </w:r>
      <w:r>
        <w:rPr>
          <w:rFonts w:ascii="Arial" w:cs="Arial" w:hAnsi="Arial"/>
          <w:sz w:val="22"/>
          <w:szCs w:val="22"/>
          <w:lang w:val="en-US"/>
        </w:rPr>
        <w:t xml:space="preserve"> Singapore: Springer Nature.</w:t>
      </w:r>
    </w:p>
    <w:p>
      <w:pPr>
        <w:spacing w:after="0" w:line="360" w:lineRule="auto"/>
        <w:jc w:val="both"/>
        <w:rPr>
          <w:rFonts w:ascii="Arial" w:cs="Arial" w:hAnsi="Arial"/>
          <w:sz w:val="22"/>
          <w:szCs w:val="22"/>
          <w:lang w:val="en-US"/>
        </w:rPr>
      </w:pPr>
      <w:r>
        <w:rPr>
          <w:rFonts w:ascii="Arial" w:cs="Arial" w:hAnsi="Arial"/>
          <w:sz w:val="22"/>
          <w:szCs w:val="22"/>
          <w:lang w:val="en-US"/>
        </w:rPr>
        <w:t xml:space="preserve">Lusch, R.F. and Vargo, S.L. (2019) </w:t>
      </w:r>
      <w:r>
        <w:rPr>
          <w:rFonts w:ascii="Arial" w:cs="Arial" w:hAnsi="Arial"/>
          <w:i/>
          <w:iCs/>
          <w:sz w:val="22"/>
          <w:szCs w:val="22"/>
          <w:lang w:val="en-US"/>
        </w:rPr>
        <w:t>Service-Dominant Logic: Premises, Perspectives, Possibilities.</w:t>
      </w:r>
      <w:r>
        <w:rPr>
          <w:rFonts w:ascii="Arial" w:cs="Arial" w:hAnsi="Arial"/>
          <w:sz w:val="22"/>
          <w:szCs w:val="22"/>
          <w:lang w:val="en-US"/>
        </w:rPr>
        <w:t xml:space="preserve"> Cambridge: Cambridge University Press.</w:t>
      </w:r>
    </w:p>
    <w:p>
      <w:pPr>
        <w:spacing w:after="0" w:line="360" w:lineRule="auto"/>
        <w:jc w:val="both"/>
        <w:rPr>
          <w:rFonts w:ascii="Arial" w:cs="Arial" w:hAnsi="Arial"/>
          <w:sz w:val="22"/>
          <w:szCs w:val="22"/>
          <w:lang w:val="en-US"/>
        </w:rPr>
      </w:pPr>
      <w:r>
        <w:rPr>
          <w:rFonts w:ascii="Arial" w:cs="Arial" w:hAnsi="Arial"/>
          <w:sz w:val="22"/>
          <w:szCs w:val="22"/>
          <w:lang w:val="en-US"/>
        </w:rPr>
        <w:t xml:space="preserve">McKinsey &amp; Company (2020) </w:t>
      </w:r>
      <w:r>
        <w:rPr>
          <w:rFonts w:ascii="Arial" w:cs="Arial" w:hAnsi="Arial"/>
          <w:i/>
          <w:iCs/>
          <w:sz w:val="22"/>
          <w:szCs w:val="22"/>
          <w:lang w:val="en-US"/>
        </w:rPr>
        <w:t>The State of AI in 2020: Global Report.</w:t>
      </w:r>
      <w:r>
        <w:rPr>
          <w:rFonts w:ascii="Arial" w:cs="Arial" w:hAnsi="Arial"/>
          <w:sz w:val="22"/>
          <w:szCs w:val="22"/>
          <w:lang w:val="en-US"/>
        </w:rPr>
        <w:t xml:space="preserve"> New York: McKinsey Global Institute.</w:t>
      </w:r>
    </w:p>
    <w:p>
      <w:pPr>
        <w:spacing w:after="0" w:line="360" w:lineRule="auto"/>
        <w:jc w:val="both"/>
        <w:rPr>
          <w:rFonts w:ascii="Arial" w:cs="Arial" w:hAnsi="Arial"/>
          <w:sz w:val="22"/>
          <w:szCs w:val="22"/>
          <w:lang w:val="en-US"/>
        </w:rPr>
      </w:pPr>
      <w:r>
        <w:rPr>
          <w:rFonts w:ascii="Arial" w:cs="Arial" w:hAnsi="Arial"/>
          <w:sz w:val="22"/>
          <w:szCs w:val="22"/>
          <w:lang w:val="en-US"/>
        </w:rPr>
        <w:t xml:space="preserve">Nonaka, I. and Takeuchi, H. (2019) </w:t>
      </w:r>
      <w:r>
        <w:rPr>
          <w:rFonts w:ascii="Arial" w:cs="Arial" w:hAnsi="Arial"/>
          <w:i/>
          <w:iCs/>
          <w:sz w:val="22"/>
          <w:szCs w:val="22"/>
          <w:lang w:val="en-US"/>
        </w:rPr>
        <w:t>The Wise Company: How Companies Create Continuous Innovation.</w:t>
      </w:r>
      <w:r>
        <w:rPr>
          <w:rFonts w:ascii="Arial" w:cs="Arial" w:hAnsi="Arial"/>
          <w:sz w:val="22"/>
          <w:szCs w:val="22"/>
          <w:lang w:val="en-US"/>
        </w:rPr>
        <w:t xml:space="preserve"> Oxford: Oxford University Press.</w:t>
      </w:r>
    </w:p>
    <w:p>
      <w:pPr>
        <w:spacing w:after="0" w:line="360" w:lineRule="auto"/>
        <w:jc w:val="both"/>
        <w:rPr>
          <w:rFonts w:ascii="Arial" w:cs="Arial" w:hAnsi="Arial"/>
          <w:sz w:val="22"/>
          <w:szCs w:val="22"/>
          <w:lang w:val="en-US"/>
        </w:rPr>
      </w:pPr>
      <w:r>
        <w:rPr>
          <w:rFonts w:ascii="Arial" w:cs="Arial" w:hAnsi="Arial"/>
          <w:sz w:val="22"/>
          <w:szCs w:val="22"/>
          <w:lang w:val="en-US"/>
        </w:rPr>
        <w:t xml:space="preserve">Osterwalder, A. and Pigneur, Y. (2020) </w:t>
      </w:r>
      <w:r>
        <w:rPr>
          <w:rFonts w:ascii="Arial" w:cs="Arial" w:hAnsi="Arial"/>
          <w:i/>
          <w:iCs/>
          <w:sz w:val="22"/>
          <w:szCs w:val="22"/>
          <w:lang w:val="en-US"/>
        </w:rPr>
        <w:t>Business Model Generation.</w:t>
      </w:r>
      <w:r>
        <w:rPr>
          <w:rFonts w:ascii="Arial" w:cs="Arial" w:hAnsi="Arial"/>
          <w:sz w:val="22"/>
          <w:szCs w:val="22"/>
          <w:lang w:val="en-US"/>
        </w:rPr>
        <w:t xml:space="preserve"> 3rd edn. Hoboken, NJ: Wiley.</w:t>
      </w:r>
    </w:p>
    <w:p>
      <w:pPr>
        <w:spacing w:after="0" w:line="360" w:lineRule="auto"/>
        <w:jc w:val="both"/>
        <w:rPr>
          <w:rFonts w:ascii="Arial" w:cs="Arial" w:hAnsi="Arial"/>
          <w:sz w:val="22"/>
          <w:szCs w:val="22"/>
          <w:lang w:val="en-US"/>
        </w:rPr>
      </w:pPr>
      <w:r>
        <w:rPr>
          <w:rFonts w:ascii="Arial" w:cs="Arial" w:hAnsi="Arial"/>
          <w:sz w:val="22"/>
          <w:szCs w:val="22"/>
          <w:lang w:val="en-US"/>
        </w:rPr>
        <w:t xml:space="preserve">Prahalad, C.K. and Ramaswamy, V. (2017) </w:t>
      </w:r>
      <w:r>
        <w:rPr>
          <w:rFonts w:ascii="Arial" w:cs="Arial" w:hAnsi="Arial"/>
          <w:i/>
          <w:iCs/>
          <w:sz w:val="22"/>
          <w:szCs w:val="22"/>
          <w:lang w:val="en-US"/>
        </w:rPr>
        <w:t>The Future of Competition: Co-Creating Unique Value with Customers.</w:t>
      </w:r>
      <w:r>
        <w:rPr>
          <w:rFonts w:ascii="Arial" w:cs="Arial" w:hAnsi="Arial"/>
          <w:sz w:val="22"/>
          <w:szCs w:val="22"/>
          <w:lang w:val="en-US"/>
        </w:rPr>
        <w:t xml:space="preserve"> Boston, MA: Harvard Business School Press.</w:t>
      </w:r>
    </w:p>
    <w:p>
      <w:pPr>
        <w:spacing w:after="0" w:line="360" w:lineRule="auto"/>
        <w:jc w:val="both"/>
        <w:rPr>
          <w:rFonts w:ascii="Arial" w:cs="Arial" w:hAnsi="Arial"/>
          <w:sz w:val="22"/>
          <w:szCs w:val="22"/>
          <w:lang w:val="en-US"/>
        </w:rPr>
      </w:pPr>
      <w:r>
        <w:rPr>
          <w:rFonts w:ascii="Arial" w:cs="Arial" w:hAnsi="Arial"/>
          <w:sz w:val="22"/>
          <w:szCs w:val="22"/>
          <w:lang w:val="en-US"/>
        </w:rPr>
        <w:t xml:space="preserve">Porter, M.E. and Heppelmann, J.E. (2017) </w:t>
      </w:r>
      <w:r>
        <w:rPr>
          <w:rFonts w:ascii="Arial" w:cs="Arial" w:hAnsi="Arial"/>
          <w:i/>
          <w:iCs/>
          <w:sz w:val="22"/>
          <w:szCs w:val="22"/>
          <w:lang w:val="en-US"/>
        </w:rPr>
        <w:t>How Smart, Connected Products Are Transforming Competition.</w:t>
      </w:r>
      <w:r>
        <w:rPr>
          <w:rFonts w:ascii="Arial" w:cs="Arial" w:hAnsi="Arial"/>
          <w:sz w:val="22"/>
          <w:szCs w:val="22"/>
          <w:lang w:val="en-US"/>
        </w:rPr>
        <w:t xml:space="preserve"> Boston, MA: Harvard Business Review Press.</w:t>
      </w:r>
    </w:p>
    <w:p>
      <w:pPr>
        <w:spacing w:after="0" w:line="360" w:lineRule="auto"/>
        <w:jc w:val="both"/>
        <w:rPr>
          <w:rFonts w:ascii="Arial" w:cs="Arial" w:hAnsi="Arial"/>
          <w:sz w:val="22"/>
          <w:szCs w:val="22"/>
          <w:lang w:val="en-US"/>
        </w:rPr>
      </w:pPr>
      <w:r>
        <w:rPr>
          <w:rFonts w:ascii="Arial" w:cs="Arial" w:hAnsi="Arial"/>
          <w:sz w:val="22"/>
          <w:szCs w:val="22"/>
          <w:lang w:val="en-US"/>
        </w:rPr>
        <w:t xml:space="preserve">Robbins, S.P. and Judge, T.A. (2022) </w:t>
      </w:r>
      <w:r>
        <w:rPr>
          <w:rFonts w:ascii="Arial" w:cs="Arial" w:hAnsi="Arial"/>
          <w:i/>
          <w:iCs/>
          <w:sz w:val="22"/>
          <w:szCs w:val="22"/>
          <w:lang w:val="en-US"/>
        </w:rPr>
        <w:t>Organizational Behavior.</w:t>
      </w:r>
      <w:r>
        <w:rPr>
          <w:rFonts w:ascii="Arial" w:cs="Arial" w:hAnsi="Arial"/>
          <w:sz w:val="22"/>
          <w:szCs w:val="22"/>
          <w:lang w:val="en-US"/>
        </w:rPr>
        <w:t xml:space="preserve"> 19th edn. Harlow: Pearson Education.</w:t>
      </w:r>
    </w:p>
    <w:p>
      <w:pPr>
        <w:spacing w:after="0" w:line="360" w:lineRule="auto"/>
        <w:jc w:val="both"/>
        <w:rPr>
          <w:rFonts w:ascii="Arial" w:cs="Arial" w:hAnsi="Arial"/>
          <w:sz w:val="22"/>
          <w:szCs w:val="22"/>
          <w:lang w:val="en-US"/>
        </w:rPr>
      </w:pPr>
      <w:r>
        <w:rPr>
          <w:rFonts w:ascii="Arial" w:cs="Arial" w:hAnsi="Arial"/>
          <w:sz w:val="22"/>
          <w:szCs w:val="22"/>
          <w:lang w:val="en-US"/>
        </w:rPr>
        <w:t xml:space="preserve">Schein, E.H. and Schein, P.A. (2019) </w:t>
      </w:r>
      <w:r>
        <w:rPr>
          <w:rFonts w:ascii="Arial" w:cs="Arial" w:hAnsi="Arial"/>
          <w:i/>
          <w:iCs/>
          <w:sz w:val="22"/>
          <w:szCs w:val="22"/>
          <w:lang w:val="en-US"/>
        </w:rPr>
        <w:t>Organizational Culture and Leadership.</w:t>
      </w:r>
      <w:r>
        <w:rPr>
          <w:rFonts w:ascii="Arial" w:cs="Arial" w:hAnsi="Arial"/>
          <w:sz w:val="22"/>
          <w:szCs w:val="22"/>
          <w:lang w:val="en-US"/>
        </w:rPr>
        <w:t xml:space="preserve"> 5th edn. Hoboken, NJ: Wiley.</w:t>
      </w:r>
    </w:p>
    <w:p>
      <w:pPr>
        <w:spacing w:after="0" w:line="360" w:lineRule="auto"/>
        <w:jc w:val="both"/>
        <w:rPr>
          <w:rFonts w:ascii="Arial" w:cs="Arial" w:hAnsi="Arial"/>
          <w:sz w:val="22"/>
          <w:szCs w:val="22"/>
          <w:lang w:val="en-US"/>
        </w:rPr>
      </w:pPr>
      <w:r>
        <w:rPr>
          <w:rFonts w:ascii="Arial" w:cs="Arial" w:hAnsi="Arial"/>
          <w:sz w:val="22"/>
          <w:szCs w:val="22"/>
          <w:lang w:val="en-US"/>
        </w:rPr>
        <w:t xml:space="preserve">Schwab, K. (2018) </w:t>
      </w:r>
      <w:r>
        <w:rPr>
          <w:rFonts w:ascii="Arial" w:cs="Arial" w:hAnsi="Arial"/>
          <w:i/>
          <w:iCs/>
          <w:sz w:val="22"/>
          <w:szCs w:val="22"/>
          <w:lang w:val="en-US"/>
        </w:rPr>
        <w:t>The Fourth Industrial Revolution.</w:t>
      </w:r>
      <w:r>
        <w:rPr>
          <w:rFonts w:ascii="Arial" w:cs="Arial" w:hAnsi="Arial"/>
          <w:sz w:val="22"/>
          <w:szCs w:val="22"/>
          <w:lang w:val="en-US"/>
        </w:rPr>
        <w:t xml:space="preserve"> Geneva: World Economic Forum.</w:t>
      </w:r>
    </w:p>
    <w:p>
      <w:pPr>
        <w:spacing w:after="0" w:line="360" w:lineRule="auto"/>
        <w:jc w:val="both"/>
        <w:rPr>
          <w:rFonts w:ascii="Arial" w:cs="Arial" w:hAnsi="Arial"/>
          <w:sz w:val="22"/>
          <w:szCs w:val="22"/>
          <w:lang w:val="en-US"/>
        </w:rPr>
      </w:pPr>
      <w:r>
        <w:rPr>
          <w:rFonts w:ascii="Arial" w:cs="Arial" w:hAnsi="Arial"/>
          <w:sz w:val="22"/>
          <w:szCs w:val="22"/>
          <w:lang w:val="en-US"/>
        </w:rPr>
        <w:t xml:space="preserve">Solomon, M.R. (2020) </w:t>
      </w:r>
      <w:r>
        <w:rPr>
          <w:rFonts w:ascii="Arial" w:cs="Arial" w:hAnsi="Arial"/>
          <w:i/>
          <w:iCs/>
          <w:sz w:val="22"/>
          <w:szCs w:val="22"/>
          <w:lang w:val="en-US"/>
        </w:rPr>
        <w:t>Consumer Behavior: Buying, Having, and Being.</w:t>
      </w:r>
      <w:r>
        <w:rPr>
          <w:rFonts w:ascii="Arial" w:cs="Arial" w:hAnsi="Arial"/>
          <w:sz w:val="22"/>
          <w:szCs w:val="22"/>
          <w:lang w:val="en-US"/>
        </w:rPr>
        <w:t xml:space="preserve"> 13th edn. Harlow: Pearson Education.</w:t>
      </w:r>
    </w:p>
    <w:p>
      <w:pPr>
        <w:spacing w:after="0" w:line="360" w:lineRule="auto"/>
        <w:jc w:val="both"/>
        <w:rPr>
          <w:rFonts w:ascii="Arial" w:cs="Arial" w:hAnsi="Arial"/>
          <w:sz w:val="22"/>
          <w:szCs w:val="22"/>
          <w:lang w:val="en-US"/>
        </w:rPr>
      </w:pPr>
      <w:r>
        <w:rPr>
          <w:rFonts w:ascii="Arial" w:cs="Arial" w:hAnsi="Arial"/>
          <w:sz w:val="22"/>
          <w:szCs w:val="22"/>
          <w:lang w:val="en-US"/>
        </w:rPr>
        <w:t xml:space="preserve">Tata Motors. (2023) </w:t>
      </w:r>
      <w:r>
        <w:rPr>
          <w:rFonts w:ascii="Arial" w:cs="Arial" w:hAnsi="Arial"/>
          <w:i/>
          <w:iCs/>
          <w:sz w:val="22"/>
          <w:szCs w:val="22"/>
          <w:lang w:val="en-US"/>
        </w:rPr>
        <w:t>Jaguar Land Rover Annual Report 2023: Reimagine the Future of Modern Luxury by Design.</w:t>
      </w:r>
      <w:r>
        <w:rPr>
          <w:rFonts w:ascii="Arial" w:cs="Arial" w:hAnsi="Arial"/>
          <w:sz w:val="22"/>
          <w:szCs w:val="22"/>
          <w:lang w:val="en-US"/>
        </w:rPr>
        <w:t xml:space="preserve"> Coventry: Tata Motors Limited.</w:t>
      </w:r>
    </w:p>
    <w:p>
      <w:pPr>
        <w:spacing w:after="0" w:line="360" w:lineRule="auto"/>
        <w:jc w:val="both"/>
        <w:rPr>
          <w:rFonts w:ascii="Arial" w:cs="Arial" w:hAnsi="Arial"/>
          <w:sz w:val="22"/>
          <w:szCs w:val="22"/>
          <w:lang w:val="en-US"/>
        </w:rPr>
      </w:pPr>
      <w:r>
        <w:rPr>
          <w:rFonts w:ascii="Arial" w:cs="Arial" w:hAnsi="Arial"/>
          <w:sz w:val="22"/>
          <w:szCs w:val="22"/>
          <w:lang w:val="en-US"/>
        </w:rPr>
        <w:t xml:space="preserve">Tidd, J. and Bessant, J. (2021) </w:t>
      </w:r>
      <w:r>
        <w:rPr>
          <w:rFonts w:ascii="Arial" w:cs="Arial" w:hAnsi="Arial"/>
          <w:i/>
          <w:iCs/>
          <w:sz w:val="22"/>
          <w:szCs w:val="22"/>
          <w:lang w:val="en-US"/>
        </w:rPr>
        <w:t>Managing Innovation: Integrating Technological, Market and Organizational Change.</w:t>
      </w:r>
      <w:r>
        <w:rPr>
          <w:rFonts w:ascii="Arial" w:cs="Arial" w:hAnsi="Arial"/>
          <w:sz w:val="22"/>
          <w:szCs w:val="22"/>
          <w:lang w:val="en-US"/>
        </w:rPr>
        <w:t xml:space="preserve"> 7th edn. Hoboken, NJ: Wiley.</w:t>
      </w:r>
    </w:p>
    <w:p>
      <w:pPr>
        <w:spacing w:after="0" w:line="360" w:lineRule="auto"/>
        <w:jc w:val="both"/>
        <w:rPr>
          <w:rFonts w:ascii="Arial" w:cs="Arial" w:hAnsi="Arial"/>
          <w:sz w:val="22"/>
          <w:szCs w:val="22"/>
          <w:lang w:val="en-US"/>
        </w:rPr>
      </w:pPr>
      <w:r>
        <w:rPr>
          <w:rFonts w:ascii="Arial" w:cs="Arial" w:hAnsi="Arial"/>
          <w:sz w:val="22"/>
          <w:szCs w:val="22"/>
          <w:lang w:val="en-US"/>
        </w:rPr>
        <w:t xml:space="preserve">Ulwick, A.W. (2022) </w:t>
      </w:r>
      <w:r>
        <w:rPr>
          <w:rFonts w:ascii="Arial" w:cs="Arial" w:hAnsi="Arial"/>
          <w:i/>
          <w:iCs/>
          <w:sz w:val="22"/>
          <w:szCs w:val="22"/>
          <w:lang w:val="en-US"/>
        </w:rPr>
        <w:t>Jobs to Be Done: Theory to Practice.</w:t>
      </w:r>
      <w:r>
        <w:rPr>
          <w:rFonts w:ascii="Arial" w:cs="Arial" w:hAnsi="Arial"/>
          <w:sz w:val="22"/>
          <w:szCs w:val="22"/>
          <w:lang w:val="en-US"/>
        </w:rPr>
        <w:t xml:space="preserve"> 2nd edn. Boston, MA: IDEA Press.</w:t>
      </w:r>
    </w:p>
    <w:p>
      <w:pPr>
        <w:spacing w:after="0" w:line="360" w:lineRule="auto"/>
        <w:jc w:val="both"/>
        <w:rPr>
          <w:rFonts w:ascii="Arial" w:cs="Arial" w:hAnsi="Arial"/>
          <w:sz w:val="22"/>
          <w:szCs w:val="22"/>
          <w:lang w:val="en-US"/>
        </w:rPr>
      </w:pPr>
      <w:r>
        <w:rPr>
          <w:rFonts w:ascii="Arial" w:cs="Arial" w:hAnsi="Arial"/>
          <w:sz w:val="22"/>
          <w:szCs w:val="22"/>
          <w:lang w:val="en-US"/>
        </w:rPr>
        <w:t xml:space="preserve">Vial, G. (2021) </w:t>
      </w:r>
      <w:r>
        <w:rPr>
          <w:rFonts w:ascii="Arial" w:cs="Arial" w:hAnsi="Arial"/>
          <w:i/>
          <w:iCs/>
          <w:sz w:val="22"/>
          <w:szCs w:val="22"/>
          <w:lang w:val="en-US"/>
        </w:rPr>
        <w:t>Digital Transformation: A Research Synthesis.</w:t>
      </w:r>
      <w:r>
        <w:rPr>
          <w:rFonts w:ascii="Arial" w:cs="Arial" w:hAnsi="Arial"/>
          <w:sz w:val="22"/>
          <w:szCs w:val="22"/>
          <w:lang w:val="en-US"/>
        </w:rPr>
        <w:t xml:space="preserve"> London: Routledge.</w:t>
      </w:r>
    </w:p>
    <w:p>
      <w:pPr>
        <w:rPr>
          <w:lang w:val="en-US"/>
        </w:rPr>
      </w:pPr>
    </w:p>
    <w:p/>
    <w:sectPr>
      <w:pgSz w:w="12240" w:h="15840"/>
      <w:pgMar w:top="1440" w:right="1440" w:bottom="1440" w:left="1440" w:header="720" w:footer="720" w:gutter="0"/>
      <w:docGrid w:linePitch="360" w:charSpace="0"/>
    </w:sectPr>
  </w:body>
</w:document>
</file>

<file path=word/fontTable.xml><?xml version="1.0" encoding="utf-8"?>
<w:fonts xmlns:w="http://schemas.openxmlformats.org/wordprocessingml/2006/main" xmlns:r="http://schemas.openxmlformats.org/officeDocument/2006/relationships">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等线">
    <w:panose1 w:val="00000000000000000000"/>
    <w:charset w:val="00"/>
    <w:family w:val="auto"/>
    <w:pitch w:val="variable"/>
    <w:sig w:usb0="00000000" w:usb1="00000000" w:usb2="00000000" w:usb3="00000000" w:csb0="00000000" w:csb1="00000000"/>
  </w:font>
  <w:font w:name="Cambria Math">
    <w:panose1 w:val="02040503050406030204"/>
    <w:charset w:val="00"/>
    <w:family w:val="roman"/>
    <w:pitch w:val="variable"/>
    <w:sig w:usb0="E00006FF" w:usb1="420024FF" w:usb2="02000000" w:usb3="00000000" w:csb0="0000019F" w:csb1="00000000"/>
  </w:font>
  <w:font w:name="Times New Roman">
    <w:panose1 w:val="02020603050405020304"/>
    <w:charset w:val="00"/>
    <w:family w:val="roman"/>
    <w:pitch w:val="variable"/>
    <w:sig w:usb0="E0002EFF" w:usb1="C000785B" w:usb2="00000009" w:usb3="00000000" w:csb0="000001FF" w:csb1="00000000"/>
  </w:font>
  <w:font w:name="宋体">
    <w:panose1 w:val="00000000000000000000"/>
    <w:charset w:val="00"/>
    <w:family w:val="auto"/>
    <w:pitch w:val="variable"/>
    <w:sig w:usb0="00000000" w:usb1="00000000" w:usb2="00000000" w:usb3="00000000" w:csb0="00000000" w:csb1="00000000"/>
  </w:font>
  <w:font w:name="Calibri Light">
    <w:panose1 w:val="020F0302020204030204"/>
    <w:charset w:val="00"/>
    <w:family w:val="swiss"/>
    <w:pitch w:val="variable"/>
    <w:sig w:usb0="E4002EFF" w:usb1="C200247B" w:usb2="00000009" w:usb3="00000000" w:csb0="000001FF" w:csb1="00000000"/>
  </w:font>
  <w:font w:name="等线 Light">
    <w:panose1 w:val="00000000000000000000"/>
    <w:charset w:val="00"/>
    <w:family w:val="auto"/>
    <w:pitch w:val="variable"/>
    <w:sig w:usb0="00000000" w:usb1="00000000" w:usb2="00000000" w:usb3="00000000" w:csb0="00000000" w:csb1="00000000"/>
  </w:font>
</w:fonts>
</file>

<file path=word/settings.xml><?xml version="1.0" encoding="utf-8"?>
<w:settings xmlns:w="http://schemas.openxmlformats.org/wordprocessingml/2006/main" xmlns:o="urn:schemas-microsoft-com:office:office" xmlns:r="http://schemas.openxmlformats.org/officeDocument/2006/relationships" xmlns:m="http://schemas.openxmlformats.org/officeDocument/2006/math" xmlns:v="urn:schemas-microsoft-com:vml">
  <w:zoom w:percent="173"/>
  <w:bordersDoNotSurroundHeader/>
  <w:bordersDoNotSurroundFooter/>
  <w:defaultTabStop w:val="720"/>
  <w:drawingGridHorizontalSpacing w:val="120"/>
  <w:drawingGridVerticalSpacing w:val="163"/>
  <w:displayHorizontalDrawingGridEvery w:val="0"/>
  <w:displayVerticalDrawingGridEvery w:val="1"/>
  <w:compat>
    <w:spaceForUL/>
    <w:growAutofit/>
    <w:compatSetting w:name="compatibilityMode" w:uri="http://schemas.microsoft.com/office/word" w:val="14"/>
  </w:compat>
  <m:mathPr>
    <m:mathFont m:val="Cambria Math"/>
    <m:brkBin m:val="before"/>
    <m:brkBinSub m:val="--"/>
    <m:smallFrac/>
    <m:dispDef/>
    <m:lMargin m:val="0"/>
    <m:rMargin m:val="0"/>
    <m:defJc m:val="centerGroup"/>
    <m:wrapIndent m:val="1440"/>
    <m:intLim m:val="subSup"/>
    <m:naryLim m:val="undOvr"/>
  </m:mathPr>
</w:settings>
</file>

<file path=word/styles.xml><?xml version="1.0" encoding="utf-8"?>
<w:styles xmlns:w="http://schemas.openxmlformats.org/wordprocessingml/2006/main" xmlns:r="http://schemas.openxmlformats.org/officeDocument/2006/relationships">
  <w:docDefaults>
    <w:rPrDefault>
      <w:rPr>
        <w:rFonts w:ascii="Times New Roman" w:eastAsia="宋体" w:hAnsi="Times New Roman" w:cs="Times New Roman"/>
        <w:lang w:val="en-US" w:eastAsia="zh-CN" w:bidi="ar-SA"/>
      </w:rPr>
    </w:rPrDefault>
    <w:pPrDefault/>
  </w:docDefaults>
  <w:style w:type="paragraph" w:default="1" w:styleId="0">
    <w:name w:val="Normal"/>
    <w:pPr>
      <w:spacing w:after="160" w:line="278" w:lineRule="auto"/>
    </w:pPr>
    <w:rPr>
      <w:rFonts w:ascii="Calibri" w:eastAsia="Calibri" w:cs="Arial" w:hAnsi="Calibri"/>
      <w:kern w:val="2"/>
      <w:sz w:val="24"/>
      <w:szCs w:val="24"/>
      <w:lang w:val="en-GB" w:eastAsia="en-US" w:bidi="ar-SA"/>
    </w:rPr>
  </w:style>
  <w:style w:type="paragraph" w:styleId="1">
    <w:name w:val="heading 1"/>
    <w:basedOn w:val="0"/>
    <w:next w:val="0"/>
    <w:pPr>
      <w:keepNext/>
      <w:keepLines/>
      <w:spacing w:before="360" w:after="80"/>
      <w:outlineLvl w:val="0"/>
    </w:pPr>
    <w:rPr>
      <w:rFonts w:ascii="Calibri Light" w:eastAsia="等线 Light" w:cs="Times New Roman" w:hAnsi="Calibri Light"/>
      <w:color w:val="2F5496"/>
      <w:sz w:val="40"/>
      <w:szCs w:val="40"/>
    </w:rPr>
  </w:style>
  <w:style w:type="paragraph" w:styleId="2">
    <w:name w:val="heading 2"/>
    <w:basedOn w:val="0"/>
    <w:next w:val="0"/>
    <w:pPr>
      <w:keepNext/>
      <w:keepLines/>
      <w:spacing w:before="160" w:after="80"/>
      <w:outlineLvl w:val="1"/>
    </w:pPr>
    <w:rPr>
      <w:rFonts w:ascii="Calibri Light" w:eastAsia="等线 Light" w:cs="Times New Roman" w:hAnsi="Calibri Light"/>
      <w:color w:val="2F5496"/>
      <w:sz w:val="32"/>
      <w:szCs w:val="32"/>
    </w:rPr>
  </w:style>
  <w:style w:type="paragraph" w:styleId="3">
    <w:name w:val="heading 3"/>
    <w:basedOn w:val="0"/>
    <w:next w:val="0"/>
    <w:pPr>
      <w:keepNext/>
      <w:keepLines/>
      <w:spacing w:before="160" w:after="80"/>
      <w:outlineLvl w:val="2"/>
    </w:pPr>
    <w:rPr>
      <w:rFonts w:eastAsia="等线 Light" w:cs="Times New Roman"/>
      <w:color w:val="2F5496"/>
      <w:sz w:val="28"/>
      <w:szCs w:val="28"/>
    </w:rPr>
  </w:style>
  <w:style w:type="paragraph" w:styleId="4">
    <w:name w:val="heading 4"/>
    <w:basedOn w:val="0"/>
    <w:next w:val="0"/>
    <w:pPr>
      <w:keepNext/>
      <w:keepLines/>
      <w:spacing w:before="80" w:after="40"/>
      <w:outlineLvl w:val="3"/>
    </w:pPr>
    <w:rPr>
      <w:rFonts w:eastAsia="等线 Light" w:cs="Times New Roman"/>
      <w:i/>
      <w:iCs/>
      <w:color w:val="2F5496"/>
    </w:rPr>
  </w:style>
  <w:style w:type="paragraph" w:styleId="5">
    <w:name w:val="heading 5"/>
    <w:basedOn w:val="0"/>
    <w:next w:val="0"/>
    <w:pPr>
      <w:keepNext/>
      <w:keepLines/>
      <w:spacing w:before="80" w:after="40"/>
      <w:outlineLvl w:val="4"/>
    </w:pPr>
    <w:rPr>
      <w:rFonts w:eastAsia="等线 Light" w:cs="Times New Roman"/>
      <w:color w:val="2F5496"/>
    </w:rPr>
  </w:style>
  <w:style w:type="paragraph" w:styleId="6">
    <w:name w:val="heading 6"/>
    <w:basedOn w:val="0"/>
    <w:next w:val="0"/>
    <w:pPr>
      <w:keepNext/>
      <w:keepLines/>
      <w:spacing w:before="40" w:after="0"/>
      <w:outlineLvl w:val="5"/>
    </w:pPr>
    <w:rPr>
      <w:rFonts w:eastAsia="等线 Light" w:cs="Times New Roman"/>
      <w:i/>
      <w:iCs/>
      <w:color w:val="595959"/>
    </w:rPr>
  </w:style>
  <w:style w:type="paragraph" w:styleId="7">
    <w:name w:val="heading 7"/>
    <w:basedOn w:val="0"/>
    <w:next w:val="0"/>
    <w:pPr>
      <w:keepNext/>
      <w:keepLines/>
      <w:spacing w:before="40" w:after="0"/>
      <w:outlineLvl w:val="6"/>
    </w:pPr>
    <w:rPr>
      <w:rFonts w:eastAsia="等线 Light" w:cs="Times New Roman"/>
      <w:color w:val="595959"/>
    </w:rPr>
  </w:style>
  <w:style w:type="paragraph" w:styleId="8">
    <w:name w:val="heading 8"/>
    <w:basedOn w:val="0"/>
    <w:next w:val="0"/>
    <w:pPr>
      <w:keepNext/>
      <w:keepLines/>
      <w:spacing w:after="0"/>
      <w:outlineLvl w:val="7"/>
    </w:pPr>
    <w:rPr>
      <w:rFonts w:eastAsia="等线 Light" w:cs="Times New Roman"/>
      <w:i/>
      <w:iCs/>
      <w:color w:val="272727"/>
    </w:rPr>
  </w:style>
  <w:style w:type="paragraph" w:styleId="9">
    <w:name w:val="heading 9"/>
    <w:basedOn w:val="0"/>
    <w:next w:val="0"/>
    <w:pPr>
      <w:keepNext/>
      <w:keepLines/>
      <w:spacing w:after="0"/>
      <w:outlineLvl w:val="8"/>
    </w:pPr>
    <w:rPr>
      <w:rFonts w:eastAsia="等线 Light" w:cs="Times New Roman"/>
      <w:color w:val="272727"/>
    </w:rPr>
  </w:style>
  <w:style w:type="character" w:default="1" w:styleId="10">
    <w:name w:val="Default Paragraph Font"/>
  </w:style>
  <w:style w:type="paragraph" w:styleId="15">
    <w:name w:val="Title"/>
    <w:basedOn w:val="0"/>
    <w:next w:val="0"/>
    <w:pPr>
      <w:spacing w:after="80" w:line="240" w:lineRule="auto"/>
      <w:contextualSpacing/>
    </w:pPr>
    <w:rPr>
      <w:rFonts w:ascii="Calibri Light" w:eastAsia="等线 Light" w:cs="Times New Roman" w:hAnsi="Calibri Light"/>
      <w:spacing w:val="-10"/>
      <w:kern w:val="28"/>
      <w:sz w:val="56"/>
      <w:szCs w:val="56"/>
    </w:rPr>
  </w:style>
  <w:style w:type="paragraph" w:styleId="16">
    <w:name w:val="Subtitle"/>
    <w:basedOn w:val="0"/>
    <w:next w:val="0"/>
    <w:rPr>
      <w:rFonts w:eastAsia="等线 Light" w:cs="Times New Roman"/>
      <w:color w:val="595959"/>
      <w:spacing w:val="15"/>
      <w:sz w:val="28"/>
      <w:szCs w:val="28"/>
    </w:rPr>
  </w:style>
  <w:style w:type="paragraph" w:customStyle="1" w:styleId="17">
    <w:name w:val="Quote"/>
    <w:basedOn w:val="0"/>
    <w:next w:val="0"/>
    <w:pPr>
      <w:spacing w:before="160"/>
      <w:jc w:val="center"/>
    </w:pPr>
    <w:rPr>
      <w:i/>
      <w:iCs/>
      <w:color w:val="404040"/>
    </w:rPr>
  </w:style>
  <w:style w:type="paragraph" w:customStyle="1" w:styleId="18">
    <w:name w:val="List Paragraph"/>
    <w:basedOn w:val="0"/>
    <w:pPr>
      <w:ind w:left="720"/>
      <w:contextualSpacing/>
    </w:pPr>
  </w:style>
  <w:style w:type="character" w:customStyle="1" w:styleId="19">
    <w:name w:val="Intense Emphasis"/>
    <w:basedOn w:val="10"/>
    <w:rPr>
      <w:i/>
      <w:iCs/>
      <w:color w:val="2F5496"/>
    </w:rPr>
  </w:style>
  <w:style w:type="paragraph" w:customStyle="1" w:styleId="20">
    <w:name w:val="Intense Quote"/>
    <w:basedOn w:val="0"/>
    <w:next w:val="0"/>
    <w:pPr>
      <w:pBdr>
        <w:top w:val="single" w:sz="4" w:space="10" w:color="2F5496"/>
        <w:bottom w:val="single" w:sz="4" w:space="10" w:color="2F5496"/>
      </w:pBdr>
      <w:spacing w:before="360" w:after="360"/>
      <w:ind w:left="864" w:right="864"/>
      <w:jc w:val="center"/>
    </w:pPr>
    <w:rPr>
      <w:i/>
      <w:iCs/>
      <w:color w:val="2F5496"/>
    </w:rPr>
  </w:style>
  <w:style w:type="character" w:customStyle="1" w:styleId="21">
    <w:name w:val="Intense Reference"/>
    <w:basedOn w:val="10"/>
    <w:rPr>
      <w:b/>
      <w:bCs/>
      <w:caps w:val="0"/>
      <w:smallCaps/>
      <w:color w:val="2F5496"/>
      <w:spacing w:val="5"/>
    </w:rPr>
  </w:style>
  <w:style w:type="paragraph" w:customStyle="1" w:styleId="22">
    <w:name w:val="TOC Heading"/>
    <w:basedOn w:val="1"/>
    <w:next w:val="0"/>
    <w:pPr>
      <w:spacing w:before="240" w:after="0" w:line="259" w:lineRule="auto"/>
      <w:outlineLvl w:val="9"/>
    </w:pPr>
    <w:rPr>
      <w:kern w:val="0"/>
      <w:sz w:val="32"/>
      <w:szCs w:val="32"/>
      <w:lang w:val="en-US"/>
    </w:rPr>
  </w:style>
  <w:style w:type="paragraph" w:styleId="23">
    <w:name w:val="toc 1"/>
    <w:basedOn w:val="0"/>
    <w:autoRedefine/>
    <w:next w:val="0"/>
    <w:pPr>
      <w:spacing w:after="100"/>
    </w:pPr>
  </w:style>
  <w:style w:type="paragraph" w:styleId="24">
    <w:name w:val="toc 2"/>
    <w:basedOn w:val="0"/>
    <w:autoRedefine/>
    <w:next w:val="0"/>
    <w:pPr>
      <w:spacing w:after="100"/>
      <w:ind w:left="240"/>
    </w:pPr>
  </w:style>
  <w:style w:type="paragraph" w:styleId="25">
    <w:name w:val="toc 3"/>
    <w:basedOn w:val="0"/>
    <w:autoRedefine/>
    <w:next w:val="0"/>
    <w:pPr>
      <w:spacing w:after="100"/>
      <w:ind w:left="480"/>
    </w:pPr>
  </w:style>
  <w:style w:type="character" w:styleId="26">
    <w:name w:val="Hyperlink"/>
    <w:basedOn w:val="10"/>
    <w:rPr>
      <w:color w:val="0563C1"/>
      <w:u w:val="single"/>
    </w:rPr>
  </w:style>
</w:styles>
</file>

<file path=word/_rels/document.xml.rels><?xml version="1.0" encoding="UTF-8" standalone="yes"?>
<Relationships xmlns="http://schemas.openxmlformats.org/package/2006/relationships"><Relationship Id="rId1" Type="http://schemas.openxmlformats.org/officeDocument/2006/relationships/settings" Target="settings.xml"/><Relationship Id="rId2" Type="http://schemas.openxmlformats.org/officeDocument/2006/relationships/image" Target="media/2.png"/><Relationship Id="rId3" Type="http://schemas.openxmlformats.org/officeDocument/2006/relationships/image" Target="media/5.png"/><Relationship Id="rId4" Type="http://schemas.openxmlformats.org/officeDocument/2006/relationships/styles" Target="styles.xml"/><Relationship Id="rId5" Type="http://schemas.openxmlformats.org/officeDocument/2006/relationships/fontTable" Target="fontTable.xml"/></Relationships>
</file>

<file path=docProps/app.xml><?xml version="1.0" encoding="utf-8"?>
<Properties xmlns="http://schemas.openxmlformats.org/officeDocument/2006/extended-properties">
  <Template>Normal.eit</Template>
  <TotalTime>68</TotalTime>
  <Application>Honor_Office</Application>
  <Pages>21</Pages>
  <Words>4974</Words>
  <Characters>31530</Characters>
  <Lines>655</Lines>
  <Paragraphs>180</Paragraphs>
  <CharactersWithSpaces>36267</CharactersWithSpaces>
</Properties>
</file>

<file path=docProps/core.xml><?xml version="1.0" encoding="utf-8"?>
<cp:coreProperties xmlns:cp="http://schemas.openxmlformats.org/package/2006/metadata/core-properties" xmlns:dc="http://purl.org/dc/elements/1.1/" xmlns:dcterms="http://purl.org/dc/terms/" xmlns:xsi="http://www.w3.org/2001/XMLSchema-instance">
  <cp:lastModifiedBy>HONOR Docs</cp:lastModifiedBy>
  <cp:revision>9</cp:revision>
  <dcterms:created xsi:type="dcterms:W3CDTF">2025-11-01T19:40:00Z</dcterms:created>
  <dcterms:modified xsi:type="dcterms:W3CDTF">2025-11-20T00:54:30Z</dcterms:modified>
</cp:coreProperties>
</file>