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1896E" w14:textId="4D3A4551" w:rsidR="0063131F" w:rsidRDefault="00BE1FE6" w:rsidP="00D00316">
      <w:pPr>
        <w:spacing w:after="0" w:line="240" w:lineRule="auto"/>
        <w:textDirection w:val="btLr"/>
        <w:rPr>
          <w:rFonts w:ascii="Play" w:eastAsia="Play" w:hAnsi="Play" w:cs="Play"/>
          <w:color w:val="262626"/>
          <w:sz w:val="72"/>
        </w:rPr>
      </w:pPr>
      <w:r>
        <w:rPr>
          <w:noProof/>
        </w:rPr>
        <w:drawing>
          <wp:inline distT="0" distB="0" distL="0" distR="0" wp14:anchorId="08C10EE5" wp14:editId="716513B2">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4268608" w14:textId="77777777" w:rsidR="0063131F" w:rsidRDefault="0063131F" w:rsidP="00D00316">
      <w:pPr>
        <w:spacing w:after="0" w:line="240" w:lineRule="auto"/>
        <w:textDirection w:val="btLr"/>
        <w:rPr>
          <w:rFonts w:ascii="Play" w:eastAsia="Play" w:hAnsi="Play" w:cs="Play"/>
          <w:color w:val="262626"/>
          <w:sz w:val="72"/>
        </w:rPr>
      </w:pPr>
    </w:p>
    <w:p w14:paraId="73312556" w14:textId="7A3ABCB7" w:rsidR="00D00316" w:rsidRDefault="00D00316" w:rsidP="00D00316">
      <w:pPr>
        <w:spacing w:after="0" w:line="240" w:lineRule="auto"/>
        <w:textDirection w:val="btLr"/>
      </w:pPr>
    </w:p>
    <w:p w14:paraId="3F72441C" w14:textId="2C334B74" w:rsidR="00D00316" w:rsidRPr="00A31A66" w:rsidRDefault="00D00316" w:rsidP="00D00316">
      <w:pPr>
        <w:spacing w:before="120" w:line="277" w:lineRule="auto"/>
        <w:textDirection w:val="btLr"/>
        <w:rPr>
          <w:sz w:val="22"/>
          <w:szCs w:val="22"/>
        </w:rPr>
      </w:pPr>
      <w:r w:rsidRPr="00A31A66">
        <w:rPr>
          <w:color w:val="404040"/>
          <w:sz w:val="22"/>
          <w:szCs w:val="22"/>
        </w:rPr>
        <w:t>Module Name: Digital Skills and Research Method</w:t>
      </w:r>
      <w:r w:rsidR="00201C63" w:rsidRPr="00A31A66">
        <w:rPr>
          <w:color w:val="404040"/>
          <w:sz w:val="22"/>
          <w:szCs w:val="22"/>
        </w:rPr>
        <w:t>s</w:t>
      </w:r>
    </w:p>
    <w:p w14:paraId="1DABC75B" w14:textId="5BAACC88" w:rsidR="00D00316" w:rsidRPr="00A31A66" w:rsidRDefault="00D00316" w:rsidP="00D00316">
      <w:pPr>
        <w:spacing w:before="120" w:line="277" w:lineRule="auto"/>
        <w:textDirection w:val="btLr"/>
        <w:rPr>
          <w:sz w:val="22"/>
          <w:szCs w:val="22"/>
        </w:rPr>
      </w:pPr>
      <w:r w:rsidRPr="00A31A66">
        <w:rPr>
          <w:color w:val="404040"/>
          <w:sz w:val="22"/>
          <w:szCs w:val="22"/>
        </w:rPr>
        <w:t xml:space="preserve">Module Code: LCHS </w:t>
      </w:r>
      <w:r w:rsidR="00201C63" w:rsidRPr="00A31A66">
        <w:rPr>
          <w:color w:val="404040"/>
          <w:sz w:val="22"/>
          <w:szCs w:val="22"/>
        </w:rPr>
        <w:t>4007</w:t>
      </w:r>
    </w:p>
    <w:p w14:paraId="620BB816" w14:textId="41ED93BE" w:rsidR="00D00316" w:rsidRPr="00A31A66" w:rsidRDefault="00D00316" w:rsidP="00D00316">
      <w:pPr>
        <w:spacing w:before="120" w:line="277" w:lineRule="auto"/>
        <w:textDirection w:val="btLr"/>
        <w:rPr>
          <w:sz w:val="22"/>
          <w:szCs w:val="22"/>
        </w:rPr>
      </w:pPr>
      <w:r w:rsidRPr="00A31A66">
        <w:rPr>
          <w:color w:val="404040"/>
          <w:sz w:val="22"/>
          <w:szCs w:val="22"/>
        </w:rPr>
        <w:t xml:space="preserve">Student name: Atinicia Pereira da </w:t>
      </w:r>
      <w:r w:rsidR="00201C63" w:rsidRPr="00A31A66">
        <w:rPr>
          <w:color w:val="404040"/>
          <w:sz w:val="22"/>
          <w:szCs w:val="22"/>
        </w:rPr>
        <w:t>Costa</w:t>
      </w:r>
    </w:p>
    <w:p w14:paraId="76A20F83" w14:textId="0AD3845B" w:rsidR="00D00316" w:rsidRPr="00A31A66" w:rsidRDefault="00D00316" w:rsidP="00D00316">
      <w:pPr>
        <w:spacing w:before="120" w:line="277" w:lineRule="auto"/>
        <w:textDirection w:val="btLr"/>
        <w:rPr>
          <w:sz w:val="22"/>
          <w:szCs w:val="22"/>
        </w:rPr>
      </w:pPr>
      <w:r w:rsidRPr="00A31A66">
        <w:rPr>
          <w:color w:val="404040"/>
          <w:sz w:val="22"/>
          <w:szCs w:val="22"/>
        </w:rPr>
        <w:t>Student ID: 2</w:t>
      </w:r>
      <w:r w:rsidR="00201C63" w:rsidRPr="00A31A66">
        <w:rPr>
          <w:color w:val="404040"/>
          <w:sz w:val="22"/>
          <w:szCs w:val="22"/>
        </w:rPr>
        <w:t>514003</w:t>
      </w:r>
    </w:p>
    <w:p w14:paraId="598DF9CF" w14:textId="6E5B0B9D" w:rsidR="00E14407" w:rsidRPr="00A31A66" w:rsidRDefault="00D00316" w:rsidP="00D00316">
      <w:pPr>
        <w:spacing w:before="120" w:line="277" w:lineRule="auto"/>
        <w:textDirection w:val="btLr"/>
        <w:rPr>
          <w:color w:val="404040"/>
          <w:sz w:val="22"/>
          <w:szCs w:val="22"/>
        </w:rPr>
      </w:pPr>
      <w:r w:rsidRPr="00A31A66">
        <w:rPr>
          <w:color w:val="404040"/>
          <w:sz w:val="22"/>
          <w:szCs w:val="22"/>
        </w:rPr>
        <w:t xml:space="preserve">Lecturer’s Name: </w:t>
      </w:r>
      <w:r w:rsidR="0063131F" w:rsidRPr="00A31A66">
        <w:rPr>
          <w:color w:val="404040"/>
          <w:sz w:val="22"/>
          <w:szCs w:val="22"/>
        </w:rPr>
        <w:t>Md Sadeque Iman Shaikh</w:t>
      </w:r>
    </w:p>
    <w:p w14:paraId="4962CC8A" w14:textId="40C1D056" w:rsidR="0025598C" w:rsidRDefault="0025598C">
      <w:pPr>
        <w:rPr>
          <w:rFonts w:ascii="Arial" w:hAnsi="Arial" w:cs="Arial"/>
        </w:rPr>
      </w:pPr>
    </w:p>
    <w:p w14:paraId="70087C46" w14:textId="77777777" w:rsidR="0063131F" w:rsidRDefault="0063131F">
      <w:pPr>
        <w:rPr>
          <w:rFonts w:ascii="Arial" w:hAnsi="Arial" w:cs="Arial"/>
        </w:rPr>
      </w:pPr>
    </w:p>
    <w:p w14:paraId="2D1201F1" w14:textId="77777777" w:rsidR="0063131F" w:rsidRDefault="0063131F">
      <w:pPr>
        <w:rPr>
          <w:rFonts w:ascii="Arial" w:hAnsi="Arial" w:cs="Arial"/>
        </w:rPr>
      </w:pPr>
    </w:p>
    <w:p w14:paraId="2CD6F8DB" w14:textId="77777777" w:rsidR="0063131F" w:rsidRDefault="0063131F">
      <w:pPr>
        <w:rPr>
          <w:rFonts w:ascii="Arial" w:hAnsi="Arial" w:cs="Arial"/>
        </w:rPr>
      </w:pPr>
    </w:p>
    <w:p w14:paraId="322166CF" w14:textId="77777777" w:rsidR="0063131F" w:rsidRDefault="0063131F">
      <w:pPr>
        <w:rPr>
          <w:rFonts w:ascii="Arial" w:hAnsi="Arial" w:cs="Arial"/>
        </w:rPr>
      </w:pPr>
    </w:p>
    <w:p w14:paraId="18BCAB8B" w14:textId="77777777" w:rsidR="0063131F" w:rsidRDefault="0063131F">
      <w:pPr>
        <w:rPr>
          <w:rFonts w:ascii="Arial" w:hAnsi="Arial" w:cs="Arial"/>
        </w:rPr>
      </w:pPr>
    </w:p>
    <w:p w14:paraId="3F3828AF" w14:textId="77777777" w:rsidR="0063131F" w:rsidRDefault="0063131F">
      <w:pPr>
        <w:rPr>
          <w:rFonts w:ascii="Arial" w:hAnsi="Arial" w:cs="Arial"/>
        </w:rPr>
      </w:pPr>
    </w:p>
    <w:p w14:paraId="370A944F" w14:textId="77777777" w:rsidR="0063131F" w:rsidRDefault="0063131F">
      <w:pPr>
        <w:rPr>
          <w:rFonts w:ascii="Arial" w:hAnsi="Arial" w:cs="Arial"/>
        </w:rPr>
      </w:pPr>
    </w:p>
    <w:p w14:paraId="0DB21BFE" w14:textId="77777777" w:rsidR="0063131F" w:rsidRDefault="0063131F">
      <w:pPr>
        <w:rPr>
          <w:rFonts w:ascii="Arial" w:hAnsi="Arial" w:cs="Arial"/>
        </w:rPr>
      </w:pPr>
    </w:p>
    <w:p w14:paraId="69C2BC60" w14:textId="77777777" w:rsidR="0063131F" w:rsidRDefault="0063131F">
      <w:pPr>
        <w:rPr>
          <w:rFonts w:ascii="Arial" w:hAnsi="Arial" w:cs="Arial"/>
        </w:rPr>
      </w:pPr>
    </w:p>
    <w:p w14:paraId="07FB4F83" w14:textId="76A269CD" w:rsidR="00AE0870" w:rsidRPr="00A31A66" w:rsidRDefault="005C7A79" w:rsidP="00A31A66">
      <w:pPr>
        <w:pStyle w:val="Heading2"/>
        <w:rPr>
          <w:rFonts w:eastAsia="Play"/>
          <w:b/>
          <w:bCs/>
          <w:color w:val="auto"/>
        </w:rPr>
      </w:pPr>
      <w:r w:rsidRPr="00A31A66">
        <w:rPr>
          <w:rFonts w:eastAsia="Play"/>
          <w:b/>
          <w:bCs/>
          <w:color w:val="auto"/>
        </w:rPr>
        <w:lastRenderedPageBreak/>
        <w:t>Table of Contents</w:t>
      </w:r>
    </w:p>
    <w:p w14:paraId="218E8E0A" w14:textId="3095569A" w:rsidR="00B323D8" w:rsidRDefault="005C7A79" w:rsidP="00853C2E">
      <w:pPr>
        <w:keepNext/>
        <w:keepLines/>
        <w:pBdr>
          <w:top w:val="nil"/>
          <w:left w:val="nil"/>
          <w:bottom w:val="nil"/>
          <w:right w:val="nil"/>
          <w:between w:val="nil"/>
        </w:pBdr>
        <w:spacing w:before="240" w:after="0" w:line="259" w:lineRule="auto"/>
        <w:rPr>
          <w:rFonts w:ascii="Arial" w:hAnsi="Arial" w:cs="Arial"/>
          <w:sz w:val="22"/>
          <w:szCs w:val="22"/>
        </w:rPr>
      </w:pPr>
      <w:r w:rsidRPr="00B323D8">
        <w:rPr>
          <w:rFonts w:ascii="Arial" w:eastAsia="Play" w:hAnsi="Arial" w:cs="Arial"/>
          <w:color w:val="000000" w:themeColor="text1"/>
          <w:sz w:val="22"/>
          <w:szCs w:val="22"/>
        </w:rPr>
        <w:t>Research Topic:</w:t>
      </w:r>
      <w:r w:rsidRPr="00B323D8">
        <w:rPr>
          <w:rFonts w:ascii="Play" w:eastAsia="Play" w:hAnsi="Play" w:cs="Play"/>
          <w:color w:val="000000" w:themeColor="text1"/>
          <w:sz w:val="32"/>
          <w:szCs w:val="32"/>
        </w:rPr>
        <w:t xml:space="preserve"> </w:t>
      </w:r>
      <w:r w:rsidRPr="00B323D8">
        <w:rPr>
          <w:rFonts w:ascii="Arial" w:hAnsi="Arial" w:cs="Arial"/>
          <w:sz w:val="22"/>
          <w:szCs w:val="22"/>
        </w:rPr>
        <w:t>Telehealth and Telemedicine: A Research Report……………</w:t>
      </w:r>
      <w:r w:rsidR="00252389" w:rsidRPr="00B323D8">
        <w:rPr>
          <w:rFonts w:ascii="Arial" w:hAnsi="Arial" w:cs="Arial"/>
          <w:sz w:val="22"/>
          <w:szCs w:val="22"/>
        </w:rPr>
        <w:t>1</w:t>
      </w:r>
    </w:p>
    <w:p w14:paraId="7582BE57" w14:textId="6C281E4B" w:rsidR="00252389" w:rsidRPr="00B323D8" w:rsidRDefault="00252389" w:rsidP="00853C2E">
      <w:pPr>
        <w:keepNext/>
        <w:keepLines/>
        <w:pBdr>
          <w:top w:val="nil"/>
          <w:left w:val="nil"/>
          <w:bottom w:val="nil"/>
          <w:right w:val="nil"/>
          <w:between w:val="nil"/>
        </w:pBdr>
        <w:spacing w:before="240" w:after="0" w:line="259" w:lineRule="auto"/>
        <w:rPr>
          <w:rFonts w:ascii="Arial" w:hAnsi="Arial" w:cs="Arial"/>
          <w:sz w:val="22"/>
          <w:szCs w:val="22"/>
        </w:rPr>
      </w:pPr>
      <w:r w:rsidRPr="00B323D8">
        <w:rPr>
          <w:rFonts w:ascii="Arial" w:hAnsi="Arial" w:cs="Arial"/>
          <w:sz w:val="22"/>
          <w:szCs w:val="22"/>
        </w:rPr>
        <w:t>Introduction……………………………………………………………………………1</w:t>
      </w:r>
    </w:p>
    <w:p w14:paraId="0D0FAF33" w14:textId="5A1F26F8" w:rsidR="00252389" w:rsidRPr="00B323D8" w:rsidRDefault="00252389" w:rsidP="00853C2E">
      <w:pPr>
        <w:keepNext/>
        <w:keepLines/>
        <w:pBdr>
          <w:top w:val="nil"/>
          <w:left w:val="nil"/>
          <w:bottom w:val="nil"/>
          <w:right w:val="nil"/>
          <w:between w:val="nil"/>
        </w:pBdr>
        <w:spacing w:before="240" w:after="0" w:line="259" w:lineRule="auto"/>
        <w:rPr>
          <w:rFonts w:ascii="Arial" w:hAnsi="Arial" w:cs="Arial"/>
          <w:sz w:val="22"/>
          <w:szCs w:val="22"/>
        </w:rPr>
      </w:pPr>
      <w:r w:rsidRPr="00B323D8">
        <w:rPr>
          <w:rFonts w:ascii="Arial" w:hAnsi="Arial" w:cs="Arial"/>
          <w:sz w:val="22"/>
          <w:szCs w:val="22"/>
        </w:rPr>
        <w:t>Problem Statement……………………………………………………………………1</w:t>
      </w:r>
    </w:p>
    <w:p w14:paraId="64C7EEAB" w14:textId="063379C6" w:rsidR="00252389" w:rsidRPr="00B323D8" w:rsidRDefault="00252389" w:rsidP="00853C2E">
      <w:pPr>
        <w:keepNext/>
        <w:keepLines/>
        <w:pBdr>
          <w:top w:val="nil"/>
          <w:left w:val="nil"/>
          <w:bottom w:val="nil"/>
          <w:right w:val="nil"/>
          <w:between w:val="nil"/>
        </w:pBdr>
        <w:spacing w:before="240" w:after="0" w:line="259" w:lineRule="auto"/>
        <w:rPr>
          <w:rFonts w:ascii="Arial" w:hAnsi="Arial" w:cs="Arial"/>
          <w:sz w:val="22"/>
          <w:szCs w:val="22"/>
        </w:rPr>
      </w:pPr>
      <w:r w:rsidRPr="00B323D8">
        <w:rPr>
          <w:rFonts w:ascii="Arial" w:hAnsi="Arial" w:cs="Arial"/>
          <w:sz w:val="22"/>
          <w:szCs w:val="22"/>
        </w:rPr>
        <w:t>Justification……………………………………………………………………………1</w:t>
      </w:r>
    </w:p>
    <w:p w14:paraId="1CFFF221" w14:textId="3F5CEE6C" w:rsidR="00252389" w:rsidRPr="00B323D8" w:rsidRDefault="00252389" w:rsidP="00853C2E">
      <w:pPr>
        <w:keepNext/>
        <w:keepLines/>
        <w:pBdr>
          <w:top w:val="nil"/>
          <w:left w:val="nil"/>
          <w:bottom w:val="nil"/>
          <w:right w:val="nil"/>
          <w:between w:val="nil"/>
        </w:pBdr>
        <w:spacing w:before="240" w:after="0" w:line="259" w:lineRule="auto"/>
        <w:rPr>
          <w:rFonts w:ascii="Arial" w:hAnsi="Arial" w:cs="Arial"/>
          <w:sz w:val="22"/>
          <w:szCs w:val="22"/>
        </w:rPr>
      </w:pPr>
      <w:r w:rsidRPr="00B323D8">
        <w:rPr>
          <w:rFonts w:ascii="Arial" w:hAnsi="Arial" w:cs="Arial"/>
          <w:sz w:val="22"/>
          <w:szCs w:val="22"/>
        </w:rPr>
        <w:t>Information Sources and Justification……………………………………………</w:t>
      </w:r>
      <w:r w:rsidR="00963CC5" w:rsidRPr="00B323D8">
        <w:rPr>
          <w:rFonts w:ascii="Arial" w:hAnsi="Arial" w:cs="Arial"/>
          <w:sz w:val="22"/>
          <w:szCs w:val="22"/>
        </w:rPr>
        <w:t>…</w:t>
      </w:r>
      <w:r w:rsidR="00963CC5">
        <w:rPr>
          <w:rFonts w:ascii="Arial" w:hAnsi="Arial" w:cs="Arial"/>
          <w:sz w:val="22"/>
          <w:szCs w:val="22"/>
        </w:rPr>
        <w:t>...</w:t>
      </w:r>
      <w:r w:rsidR="00BF572D" w:rsidRPr="00B323D8">
        <w:rPr>
          <w:rFonts w:ascii="Arial" w:hAnsi="Arial" w:cs="Arial"/>
          <w:sz w:val="22"/>
          <w:szCs w:val="22"/>
        </w:rPr>
        <w:t>1</w:t>
      </w:r>
    </w:p>
    <w:p w14:paraId="499EC8B3" w14:textId="58AC0129" w:rsidR="00252389" w:rsidRPr="00B323D8" w:rsidRDefault="00252389" w:rsidP="00853C2E">
      <w:pPr>
        <w:keepNext/>
        <w:keepLines/>
        <w:pBdr>
          <w:top w:val="nil"/>
          <w:left w:val="nil"/>
          <w:bottom w:val="nil"/>
          <w:right w:val="nil"/>
          <w:between w:val="nil"/>
        </w:pBdr>
        <w:spacing w:before="240" w:after="0" w:line="259" w:lineRule="auto"/>
        <w:rPr>
          <w:rFonts w:ascii="Arial" w:hAnsi="Arial" w:cs="Arial"/>
          <w:sz w:val="22"/>
          <w:szCs w:val="22"/>
        </w:rPr>
      </w:pPr>
      <w:r w:rsidRPr="00B323D8">
        <w:rPr>
          <w:rFonts w:ascii="Arial" w:hAnsi="Arial" w:cs="Arial"/>
          <w:sz w:val="22"/>
          <w:szCs w:val="22"/>
        </w:rPr>
        <w:t>Task 2: Research Methodologies…………………………………………………</w:t>
      </w:r>
      <w:r w:rsidR="00963CC5" w:rsidRPr="00B323D8">
        <w:rPr>
          <w:rFonts w:ascii="Arial" w:hAnsi="Arial" w:cs="Arial"/>
          <w:sz w:val="22"/>
          <w:szCs w:val="22"/>
        </w:rPr>
        <w:t>…</w:t>
      </w:r>
      <w:r w:rsidR="00963CC5">
        <w:rPr>
          <w:rFonts w:ascii="Arial" w:hAnsi="Arial" w:cs="Arial"/>
          <w:sz w:val="22"/>
          <w:szCs w:val="22"/>
        </w:rPr>
        <w:t>...</w:t>
      </w:r>
      <w:r w:rsidRPr="00B323D8">
        <w:rPr>
          <w:rFonts w:ascii="Arial" w:hAnsi="Arial" w:cs="Arial"/>
          <w:sz w:val="22"/>
          <w:szCs w:val="22"/>
        </w:rPr>
        <w:t>1</w:t>
      </w:r>
    </w:p>
    <w:p w14:paraId="6467F7A5" w14:textId="7BF075DB" w:rsidR="00252389" w:rsidRPr="00B323D8" w:rsidRDefault="00252389" w:rsidP="00853C2E">
      <w:pPr>
        <w:keepNext/>
        <w:keepLines/>
        <w:pBdr>
          <w:top w:val="nil"/>
          <w:left w:val="nil"/>
          <w:bottom w:val="nil"/>
          <w:right w:val="nil"/>
          <w:between w:val="nil"/>
        </w:pBdr>
        <w:spacing w:before="240" w:after="0" w:line="259" w:lineRule="auto"/>
        <w:rPr>
          <w:rFonts w:ascii="Arial" w:hAnsi="Arial" w:cs="Arial"/>
          <w:sz w:val="22"/>
          <w:szCs w:val="22"/>
        </w:rPr>
      </w:pPr>
      <w:r w:rsidRPr="00B323D8">
        <w:rPr>
          <w:rFonts w:ascii="Arial" w:hAnsi="Arial" w:cs="Arial"/>
          <w:sz w:val="22"/>
          <w:szCs w:val="22"/>
        </w:rPr>
        <w:t>Give a brief overvi</w:t>
      </w:r>
      <w:r w:rsidR="00BF572D" w:rsidRPr="00B323D8">
        <w:rPr>
          <w:rFonts w:ascii="Arial" w:hAnsi="Arial" w:cs="Arial"/>
          <w:sz w:val="22"/>
          <w:szCs w:val="22"/>
        </w:rPr>
        <w:t>ew of quantitative and qualitative research……………………</w:t>
      </w:r>
      <w:r w:rsidR="00963CC5">
        <w:rPr>
          <w:rFonts w:ascii="Arial" w:hAnsi="Arial" w:cs="Arial"/>
          <w:sz w:val="22"/>
          <w:szCs w:val="22"/>
        </w:rPr>
        <w:t>…</w:t>
      </w:r>
      <w:r w:rsidR="00BF572D" w:rsidRPr="00B323D8">
        <w:rPr>
          <w:rFonts w:ascii="Arial" w:hAnsi="Arial" w:cs="Arial"/>
          <w:sz w:val="22"/>
          <w:szCs w:val="22"/>
        </w:rPr>
        <w:t>1</w:t>
      </w:r>
    </w:p>
    <w:p w14:paraId="70E47B1E" w14:textId="593D8DC6" w:rsidR="00BF572D" w:rsidRPr="00B323D8" w:rsidRDefault="00BF572D" w:rsidP="00B323D8">
      <w:pPr>
        <w:keepNext/>
        <w:keepLines/>
        <w:pBdr>
          <w:top w:val="nil"/>
          <w:left w:val="nil"/>
          <w:bottom w:val="nil"/>
          <w:right w:val="nil"/>
          <w:between w:val="nil"/>
        </w:pBdr>
        <w:spacing w:before="240" w:after="0" w:line="259" w:lineRule="auto"/>
        <w:rPr>
          <w:rFonts w:ascii="Arial" w:hAnsi="Arial" w:cs="Arial"/>
          <w:sz w:val="22"/>
          <w:szCs w:val="22"/>
        </w:rPr>
      </w:pPr>
      <w:r w:rsidRPr="00B323D8">
        <w:rPr>
          <w:rFonts w:ascii="Arial" w:hAnsi="Arial" w:cs="Arial"/>
          <w:sz w:val="22"/>
          <w:szCs w:val="22"/>
        </w:rPr>
        <w:t xml:space="preserve">What type of research methodology will you use for your research and </w:t>
      </w:r>
      <w:r w:rsidR="00963CC5" w:rsidRPr="00B323D8">
        <w:rPr>
          <w:rFonts w:ascii="Arial" w:hAnsi="Arial" w:cs="Arial"/>
          <w:sz w:val="22"/>
          <w:szCs w:val="22"/>
        </w:rPr>
        <w:t>why?</w:t>
      </w:r>
      <w:r w:rsidRPr="00B323D8">
        <w:rPr>
          <w:rFonts w:ascii="Arial" w:hAnsi="Arial" w:cs="Arial"/>
          <w:sz w:val="22"/>
          <w:szCs w:val="22"/>
        </w:rPr>
        <w:t>..</w:t>
      </w:r>
      <w:r w:rsidR="00963CC5">
        <w:rPr>
          <w:rFonts w:ascii="Arial" w:hAnsi="Arial" w:cs="Arial"/>
          <w:sz w:val="22"/>
          <w:szCs w:val="22"/>
        </w:rPr>
        <w:t>.....</w:t>
      </w:r>
      <w:r w:rsidRPr="00B323D8">
        <w:rPr>
          <w:rFonts w:ascii="Arial" w:hAnsi="Arial" w:cs="Arial"/>
          <w:sz w:val="22"/>
          <w:szCs w:val="22"/>
        </w:rPr>
        <w:t>1</w:t>
      </w:r>
    </w:p>
    <w:p w14:paraId="7AAEC78B" w14:textId="21B7B643" w:rsidR="005C7A79" w:rsidRPr="00B323D8" w:rsidRDefault="00BF572D" w:rsidP="00853C2E">
      <w:pPr>
        <w:keepNext/>
        <w:keepLines/>
        <w:pBdr>
          <w:top w:val="nil"/>
          <w:left w:val="nil"/>
          <w:bottom w:val="nil"/>
          <w:right w:val="nil"/>
          <w:between w:val="nil"/>
        </w:pBdr>
        <w:spacing w:before="240" w:after="0" w:line="259" w:lineRule="auto"/>
        <w:rPr>
          <w:rFonts w:ascii="Arial" w:eastAsia="Play" w:hAnsi="Arial" w:cs="Arial"/>
          <w:color w:val="000000" w:themeColor="text1"/>
          <w:sz w:val="22"/>
          <w:szCs w:val="22"/>
        </w:rPr>
      </w:pPr>
      <w:r w:rsidRPr="00B323D8">
        <w:rPr>
          <w:rFonts w:ascii="Arial" w:eastAsia="Play" w:hAnsi="Arial" w:cs="Arial"/>
          <w:color w:val="000000" w:themeColor="text1"/>
          <w:sz w:val="22"/>
          <w:szCs w:val="22"/>
        </w:rPr>
        <w:t>Task 3: Data Collection………………………………………………………………</w:t>
      </w:r>
      <w:r w:rsidR="00963CC5">
        <w:rPr>
          <w:rFonts w:ascii="Arial" w:eastAsia="Play" w:hAnsi="Arial" w:cs="Arial"/>
          <w:color w:val="000000" w:themeColor="text1"/>
          <w:sz w:val="22"/>
          <w:szCs w:val="22"/>
        </w:rPr>
        <w:t>….</w:t>
      </w:r>
      <w:r w:rsidRPr="00B323D8">
        <w:rPr>
          <w:rFonts w:ascii="Arial" w:eastAsia="Play" w:hAnsi="Arial" w:cs="Arial"/>
          <w:color w:val="000000" w:themeColor="text1"/>
          <w:sz w:val="22"/>
          <w:szCs w:val="22"/>
        </w:rPr>
        <w:t>1</w:t>
      </w:r>
    </w:p>
    <w:p w14:paraId="37A02128" w14:textId="65E9C3E5" w:rsidR="00BF572D" w:rsidRPr="00B323D8" w:rsidRDefault="00BF572D" w:rsidP="00853C2E">
      <w:pPr>
        <w:keepNext/>
        <w:keepLines/>
        <w:pBdr>
          <w:top w:val="nil"/>
          <w:left w:val="nil"/>
          <w:bottom w:val="nil"/>
          <w:right w:val="nil"/>
          <w:between w:val="nil"/>
        </w:pBdr>
        <w:spacing w:before="240" w:after="0" w:line="259" w:lineRule="auto"/>
        <w:rPr>
          <w:rFonts w:ascii="Arial" w:eastAsia="Play" w:hAnsi="Arial" w:cs="Arial"/>
          <w:color w:val="000000" w:themeColor="text1"/>
          <w:sz w:val="22"/>
          <w:szCs w:val="22"/>
        </w:rPr>
      </w:pPr>
      <w:r w:rsidRPr="00B323D8">
        <w:rPr>
          <w:rFonts w:ascii="Arial" w:eastAsia="Play" w:hAnsi="Arial" w:cs="Arial"/>
          <w:color w:val="000000" w:themeColor="text1"/>
          <w:sz w:val="22"/>
          <w:szCs w:val="22"/>
        </w:rPr>
        <w:t>Explain the difference between primary and secondary data…………………………</w:t>
      </w:r>
      <w:r w:rsidR="00B323D8" w:rsidRPr="00B323D8">
        <w:rPr>
          <w:rFonts w:ascii="Arial" w:eastAsia="Play" w:hAnsi="Arial" w:cs="Arial"/>
          <w:color w:val="000000" w:themeColor="text1"/>
          <w:sz w:val="22"/>
          <w:szCs w:val="22"/>
        </w:rPr>
        <w:t>1</w:t>
      </w:r>
    </w:p>
    <w:p w14:paraId="30C9BE5E" w14:textId="6550E877" w:rsidR="00BF572D" w:rsidRPr="00B323D8" w:rsidRDefault="00BF572D" w:rsidP="00853C2E">
      <w:pPr>
        <w:keepNext/>
        <w:keepLines/>
        <w:pBdr>
          <w:top w:val="nil"/>
          <w:left w:val="nil"/>
          <w:bottom w:val="nil"/>
          <w:right w:val="nil"/>
          <w:between w:val="nil"/>
        </w:pBdr>
        <w:spacing w:before="240" w:after="0" w:line="259" w:lineRule="auto"/>
        <w:rPr>
          <w:rFonts w:ascii="Arial" w:eastAsia="Play" w:hAnsi="Arial" w:cs="Arial"/>
          <w:color w:val="000000" w:themeColor="text1"/>
          <w:sz w:val="22"/>
          <w:szCs w:val="22"/>
        </w:rPr>
      </w:pPr>
      <w:r w:rsidRPr="00B323D8">
        <w:rPr>
          <w:rFonts w:ascii="Arial" w:eastAsia="Play" w:hAnsi="Arial" w:cs="Arial"/>
          <w:color w:val="000000" w:themeColor="text1"/>
          <w:sz w:val="22"/>
          <w:szCs w:val="22"/>
        </w:rPr>
        <w:t>What form of data will be used to address your research problem, and why?..........1</w:t>
      </w:r>
    </w:p>
    <w:p w14:paraId="56526059" w14:textId="69F7B7E8" w:rsidR="00BF572D" w:rsidRPr="00B323D8" w:rsidRDefault="00BF572D" w:rsidP="00853C2E">
      <w:pPr>
        <w:keepNext/>
        <w:keepLines/>
        <w:pBdr>
          <w:top w:val="nil"/>
          <w:left w:val="nil"/>
          <w:bottom w:val="nil"/>
          <w:right w:val="nil"/>
          <w:between w:val="nil"/>
        </w:pBdr>
        <w:spacing w:before="240" w:after="0" w:line="259" w:lineRule="auto"/>
        <w:rPr>
          <w:rFonts w:ascii="Arial" w:eastAsia="Play" w:hAnsi="Arial" w:cs="Arial"/>
          <w:color w:val="000000" w:themeColor="text1"/>
          <w:sz w:val="22"/>
          <w:szCs w:val="22"/>
        </w:rPr>
      </w:pPr>
      <w:r w:rsidRPr="00B323D8">
        <w:rPr>
          <w:rFonts w:ascii="Arial" w:eastAsia="Play" w:hAnsi="Arial" w:cs="Arial"/>
          <w:color w:val="000000" w:themeColor="text1"/>
          <w:sz w:val="22"/>
          <w:szCs w:val="22"/>
        </w:rPr>
        <w:t>Conclusion………………………………………………………………………………….1</w:t>
      </w:r>
    </w:p>
    <w:p w14:paraId="607F93E2" w14:textId="74C62C4C" w:rsidR="00BF572D" w:rsidRPr="00B323D8" w:rsidRDefault="00BF572D" w:rsidP="00853C2E">
      <w:pPr>
        <w:keepNext/>
        <w:keepLines/>
        <w:pBdr>
          <w:top w:val="nil"/>
          <w:left w:val="nil"/>
          <w:bottom w:val="nil"/>
          <w:right w:val="nil"/>
          <w:between w:val="nil"/>
        </w:pBdr>
        <w:spacing w:before="240" w:after="0" w:line="259" w:lineRule="auto"/>
        <w:rPr>
          <w:rFonts w:ascii="Arial" w:eastAsia="Play" w:hAnsi="Arial" w:cs="Arial"/>
          <w:color w:val="000000" w:themeColor="text1"/>
          <w:sz w:val="22"/>
          <w:szCs w:val="22"/>
        </w:rPr>
      </w:pPr>
      <w:r w:rsidRPr="00B323D8">
        <w:rPr>
          <w:rFonts w:ascii="Arial" w:eastAsia="Play" w:hAnsi="Arial" w:cs="Arial"/>
          <w:color w:val="000000" w:themeColor="text1"/>
          <w:sz w:val="22"/>
          <w:szCs w:val="22"/>
        </w:rPr>
        <w:t>References…………………………………………………………………………………1</w:t>
      </w:r>
    </w:p>
    <w:p w14:paraId="163E5143" w14:textId="3444A55E" w:rsidR="00B323D8" w:rsidRDefault="00B323D8">
      <w:pPr>
        <w:spacing w:line="259" w:lineRule="auto"/>
        <w:rPr>
          <w:rFonts w:ascii="Play" w:eastAsia="Play" w:hAnsi="Play" w:cs="Play"/>
          <w:color w:val="0F4761"/>
          <w:sz w:val="32"/>
          <w:szCs w:val="32"/>
        </w:rPr>
      </w:pPr>
      <w:r w:rsidRPr="00B323D8">
        <w:rPr>
          <w:rFonts w:ascii="Arial" w:eastAsia="Play" w:hAnsi="Arial" w:cs="Arial"/>
          <w:color w:val="0F4761"/>
          <w:sz w:val="22"/>
          <w:szCs w:val="22"/>
        </w:rPr>
        <w:br w:type="page"/>
      </w:r>
    </w:p>
    <w:p w14:paraId="6E25717C" w14:textId="743B9BCE" w:rsidR="00B323D8" w:rsidRPr="00A31A66" w:rsidRDefault="00A31A66" w:rsidP="00A31A66">
      <w:pPr>
        <w:pStyle w:val="Heading2"/>
        <w:rPr>
          <w:rFonts w:eastAsia="Play"/>
          <w:b/>
          <w:bCs/>
          <w:color w:val="auto"/>
        </w:rPr>
      </w:pPr>
      <w:r w:rsidRPr="00A31A66">
        <w:rPr>
          <w:rFonts w:eastAsia="Play"/>
          <w:b/>
          <w:bCs/>
          <w:color w:val="auto"/>
        </w:rPr>
        <w:lastRenderedPageBreak/>
        <w:t>1</w:t>
      </w:r>
      <w:r>
        <w:rPr>
          <w:rFonts w:eastAsia="Play"/>
        </w:rPr>
        <w:t xml:space="preserve"> </w:t>
      </w:r>
      <w:r w:rsidR="00B323D8" w:rsidRPr="00A31A66">
        <w:rPr>
          <w:rFonts w:eastAsia="Play"/>
          <w:b/>
          <w:bCs/>
          <w:color w:val="auto"/>
        </w:rPr>
        <w:t>Introduction</w:t>
      </w:r>
    </w:p>
    <w:p w14:paraId="7AC47F1B" w14:textId="4BB64712" w:rsidR="002373DC" w:rsidRPr="002373DC" w:rsidRDefault="002373DC" w:rsidP="002373DC">
      <w:r w:rsidRPr="001F2566">
        <w:t>Telehealth and telemedicine are becoming very important in modern healthcare. Telehealth uses digital tools to support healthcare, education, and administration from a distance, while telemedicine focuses on providing clinical services such as diagnosis, treatment, and monitoring remotely. These technologies grew rapidly during the COVID</w:t>
      </w:r>
      <w:r w:rsidRPr="001F2566">
        <w:noBreakHyphen/>
        <w:t>19 pandemic, when reducing physical contact was essential. They improve access to care, save travel costs, and can lead to better patient outcomes. At the same time, challenges such as data privacy, digital literacy, and trust between patients and providers remain. This report explores the benefits and barriers of telehealth and telemedicine, the need for research, suitable methodologies, and data collection strategies.</w:t>
      </w:r>
    </w:p>
    <w:p w14:paraId="2E54631E" w14:textId="53157F61" w:rsidR="00970B21" w:rsidRDefault="00642FED" w:rsidP="00A31A66">
      <w:pPr>
        <w:jc w:val="both"/>
        <w:rPr>
          <w:rFonts w:ascii="Arial" w:eastAsia="Play" w:hAnsi="Arial" w:cs="Arial"/>
          <w:color w:val="000000" w:themeColor="text1"/>
          <w:sz w:val="22"/>
          <w:szCs w:val="22"/>
        </w:rPr>
      </w:pPr>
      <w:r>
        <w:rPr>
          <w:rFonts w:ascii="Arial" w:eastAsia="Play" w:hAnsi="Arial" w:cs="Arial"/>
          <w:color w:val="000000" w:themeColor="text1"/>
          <w:sz w:val="22"/>
          <w:szCs w:val="22"/>
        </w:rPr>
        <w:t>The expansion of telehealth and telemedicine has been accelerated by the COVID-19 Pandemic, which highlighted the need for alternative methods of providing medical care</w:t>
      </w:r>
      <w:r w:rsidR="00970B21">
        <w:rPr>
          <w:rFonts w:ascii="Arial" w:eastAsia="Play" w:hAnsi="Arial" w:cs="Arial"/>
          <w:color w:val="000000" w:themeColor="text1"/>
          <w:sz w:val="22"/>
          <w:szCs w:val="22"/>
        </w:rPr>
        <w:t xml:space="preserve"> while minimizing physical contact. These technologies offer numerous benefits, including improved accessibility, reduced travel costs, and enhanced patient outcomes. However, they also present challenges, such as concerns about data privacy, technological literacy, and the quality of remote care.</w:t>
      </w:r>
    </w:p>
    <w:p w14:paraId="302805F8" w14:textId="6E849B5F" w:rsidR="00970B21" w:rsidRDefault="00970B21" w:rsidP="00A31A66">
      <w:pPr>
        <w:jc w:val="both"/>
        <w:rPr>
          <w:rFonts w:ascii="Arial" w:eastAsia="Play" w:hAnsi="Arial" w:cs="Arial"/>
          <w:color w:val="000000" w:themeColor="text1"/>
          <w:sz w:val="22"/>
          <w:szCs w:val="22"/>
        </w:rPr>
      </w:pPr>
      <w:r>
        <w:rPr>
          <w:rFonts w:ascii="Arial" w:eastAsia="Play" w:hAnsi="Arial" w:cs="Arial"/>
          <w:color w:val="000000" w:themeColor="text1"/>
          <w:sz w:val="22"/>
          <w:szCs w:val="22"/>
        </w:rPr>
        <w:t>This report aims to explore the current state of telehealth and telemedicine, identify the problems faced in their implementation, justify the importance of research in this area, discuss appropriate research methodologies, and outline strategies for effective data collection.</w:t>
      </w:r>
    </w:p>
    <w:p w14:paraId="7CE25DE7" w14:textId="69C6BEC1" w:rsidR="00970B21" w:rsidRPr="00A31A66" w:rsidRDefault="00970B21" w:rsidP="00A31A66">
      <w:pPr>
        <w:pStyle w:val="Heading2"/>
        <w:rPr>
          <w:rFonts w:eastAsia="Play"/>
          <w:b/>
          <w:bCs/>
          <w:color w:val="auto"/>
        </w:rPr>
      </w:pPr>
      <w:r w:rsidRPr="00A31A66">
        <w:rPr>
          <w:rFonts w:eastAsia="Play"/>
          <w:b/>
          <w:bCs/>
          <w:color w:val="auto"/>
        </w:rPr>
        <w:t>Problem Statement</w:t>
      </w:r>
    </w:p>
    <w:p w14:paraId="104FAC3B" w14:textId="77777777" w:rsidR="00304122" w:rsidRPr="00304122" w:rsidRDefault="00304122" w:rsidP="00A31A66">
      <w:pPr>
        <w:jc w:val="both"/>
        <w:rPr>
          <w:rFonts w:ascii="Arial" w:eastAsia="Play" w:hAnsi="Arial" w:cs="Arial"/>
          <w:sz w:val="22"/>
          <w:szCs w:val="22"/>
        </w:rPr>
      </w:pPr>
      <w:r w:rsidRPr="00304122">
        <w:rPr>
          <w:rFonts w:ascii="Arial" w:eastAsia="Play" w:hAnsi="Arial" w:cs="Arial"/>
          <w:sz w:val="22"/>
          <w:szCs w:val="22"/>
        </w:rPr>
        <w:t>Although telehealth and telemedicine promise to revolutionize healthcare delivery, their adoption remains uneven due to persistent barriers. Limited internet access in rural and underserved regions, low levels of technological literacy among patients and providers, and complex regulatory and reimbursement frameworks all hinder widespread implementation. Concerns about data privacy and the ability to build trust in digital consultations further complicate acceptance. Moreover, evidence of telehealth’s effectiveness across different medical specialties is still emerging, leaving gaps in understanding its true impact on patient outcomes.</w:t>
      </w:r>
    </w:p>
    <w:p w14:paraId="197846E6" w14:textId="31D03400" w:rsidR="00A24E37" w:rsidRDefault="00304122" w:rsidP="00A31A66">
      <w:pPr>
        <w:jc w:val="both"/>
        <w:rPr>
          <w:rFonts w:ascii="Arial" w:eastAsia="Play" w:hAnsi="Arial" w:cs="Arial"/>
          <w:sz w:val="22"/>
          <w:szCs w:val="22"/>
        </w:rPr>
      </w:pPr>
      <w:r w:rsidRPr="00304122">
        <w:rPr>
          <w:rFonts w:ascii="Arial" w:eastAsia="Play" w:hAnsi="Arial" w:cs="Arial"/>
          <w:sz w:val="22"/>
          <w:szCs w:val="22"/>
        </w:rPr>
        <w:t xml:space="preserve">This research therefore seeks to identify the key obstacles and enabling factors for telehealth adoption, evaluate its effectiveness in improving healthcare access and outcomes, and generate evidence-based recommendations to guide healthcare providers and policymakers. By addressing these challenges, the study aims to ensure that telehealth and telemedicine can </w:t>
      </w:r>
      <w:r w:rsidR="004568C9" w:rsidRPr="00304122">
        <w:rPr>
          <w:rFonts w:ascii="Arial" w:eastAsia="Play" w:hAnsi="Arial" w:cs="Arial"/>
          <w:sz w:val="22"/>
          <w:szCs w:val="22"/>
        </w:rPr>
        <w:t>fulfil</w:t>
      </w:r>
      <w:r w:rsidRPr="00304122">
        <w:rPr>
          <w:rFonts w:ascii="Arial" w:eastAsia="Play" w:hAnsi="Arial" w:cs="Arial"/>
          <w:sz w:val="22"/>
          <w:szCs w:val="22"/>
        </w:rPr>
        <w:t xml:space="preserve"> their potential as sustainable, equitable, and trusted pillars of modern healthcare.</w:t>
      </w:r>
    </w:p>
    <w:p w14:paraId="3BACA1DE" w14:textId="4019FBFD" w:rsidR="003C27DE" w:rsidRDefault="003C27DE" w:rsidP="00A31A66">
      <w:pPr>
        <w:pStyle w:val="Heading2"/>
        <w:rPr>
          <w:rFonts w:eastAsia="Play"/>
          <w:b/>
          <w:bCs/>
          <w:color w:val="auto"/>
        </w:rPr>
      </w:pPr>
      <w:r w:rsidRPr="00A31A66">
        <w:rPr>
          <w:rFonts w:eastAsia="Play"/>
          <w:b/>
          <w:bCs/>
          <w:color w:val="auto"/>
        </w:rPr>
        <w:t>Justification</w:t>
      </w:r>
    </w:p>
    <w:p w14:paraId="6D44E655" w14:textId="2462F52E" w:rsidR="0039023E" w:rsidRPr="0039023E" w:rsidRDefault="0039023E" w:rsidP="0039023E">
      <w:pPr>
        <w:jc w:val="both"/>
        <w:rPr>
          <w:rFonts w:ascii="Arial" w:eastAsia="Play" w:hAnsi="Arial" w:cs="Arial"/>
          <w:color w:val="000000" w:themeColor="text1"/>
          <w:sz w:val="22"/>
          <w:szCs w:val="22"/>
        </w:rPr>
      </w:pPr>
      <w:r w:rsidRPr="004568C9">
        <w:rPr>
          <w:rFonts w:ascii="Arial" w:eastAsia="Play" w:hAnsi="Arial" w:cs="Arial"/>
          <w:color w:val="000000" w:themeColor="text1"/>
          <w:sz w:val="22"/>
          <w:szCs w:val="22"/>
        </w:rPr>
        <w:t>Research into telehealth and telemedicine is vital because these technologies are no longer temporary solutions but integral components of modern healthcare systems. As reliance on digital platforms grows, it is essential to understand both the opportunities and the challenges they present. Investigating issues such as accessibility, technological literacy, regulatory frameworks, and patient trust ensures that telehealth can be implemented effectively and equitably.</w:t>
      </w:r>
    </w:p>
    <w:p w14:paraId="079ABF2C" w14:textId="77777777" w:rsidR="0039023E" w:rsidRDefault="0039023E" w:rsidP="0039023E"/>
    <w:p w14:paraId="0980371E" w14:textId="77777777" w:rsidR="0039023E" w:rsidRPr="0039023E" w:rsidRDefault="0039023E" w:rsidP="0039023E"/>
    <w:p w14:paraId="6AB68EAE" w14:textId="77777777" w:rsidR="004568C9" w:rsidRPr="004568C9" w:rsidRDefault="004568C9" w:rsidP="00A31A66">
      <w:pPr>
        <w:jc w:val="both"/>
        <w:rPr>
          <w:rFonts w:ascii="Arial" w:eastAsia="Play" w:hAnsi="Arial" w:cs="Arial"/>
          <w:color w:val="000000" w:themeColor="text1"/>
          <w:sz w:val="22"/>
          <w:szCs w:val="22"/>
        </w:rPr>
      </w:pPr>
      <w:r w:rsidRPr="004568C9">
        <w:rPr>
          <w:rFonts w:ascii="Arial" w:eastAsia="Play" w:hAnsi="Arial" w:cs="Arial"/>
          <w:color w:val="000000" w:themeColor="text1"/>
          <w:sz w:val="22"/>
          <w:szCs w:val="22"/>
        </w:rPr>
        <w:t>This research also carries significant policy relevance. Insights into barriers and facilitators can guide governments and healthcare organizations in designing supportive regulations, reimbursement models, and training programs. By addressing these systemic factors, telehealth can move beyond emergency use during crises like COVID-19 and become a sustainable, long-term pillar of healthcare delivery.</w:t>
      </w:r>
    </w:p>
    <w:p w14:paraId="44C88EFD" w14:textId="788C9B79" w:rsidR="004568C9" w:rsidRPr="004568C9" w:rsidRDefault="004568C9" w:rsidP="00A31A66">
      <w:pPr>
        <w:jc w:val="both"/>
        <w:rPr>
          <w:rFonts w:ascii="Arial" w:eastAsia="Play" w:hAnsi="Arial" w:cs="Arial"/>
          <w:color w:val="000000" w:themeColor="text1"/>
          <w:sz w:val="22"/>
          <w:szCs w:val="22"/>
        </w:rPr>
      </w:pPr>
      <w:r w:rsidRPr="004568C9">
        <w:rPr>
          <w:rFonts w:ascii="Arial" w:eastAsia="Play" w:hAnsi="Arial" w:cs="Arial"/>
          <w:color w:val="000000" w:themeColor="text1"/>
          <w:sz w:val="22"/>
          <w:szCs w:val="22"/>
        </w:rPr>
        <w:t>Ultimately, this study is justified by its potential to improve patient experiences, strengthen healthcare systems, and inform evidence-based decisions that shape the future of digital health.</w:t>
      </w:r>
    </w:p>
    <w:p w14:paraId="6F3DAB49" w14:textId="566E24E2" w:rsidR="00F56746" w:rsidRPr="00A31A66" w:rsidRDefault="00F56746" w:rsidP="00A31A66">
      <w:pPr>
        <w:pStyle w:val="Heading2"/>
        <w:rPr>
          <w:rFonts w:eastAsia="Play"/>
          <w:b/>
          <w:bCs/>
          <w:color w:val="auto"/>
        </w:rPr>
      </w:pPr>
      <w:r w:rsidRPr="00A31A66">
        <w:rPr>
          <w:rFonts w:eastAsia="Play"/>
          <w:b/>
          <w:bCs/>
          <w:color w:val="auto"/>
        </w:rPr>
        <w:t>Information Sources and Justification</w:t>
      </w:r>
    </w:p>
    <w:p w14:paraId="0C3E0472" w14:textId="74DF0390" w:rsidR="00F56746" w:rsidRDefault="00F56746" w:rsidP="00A31A66">
      <w:pPr>
        <w:jc w:val="both"/>
        <w:rPr>
          <w:rFonts w:ascii="Arial" w:eastAsia="Play" w:hAnsi="Arial" w:cs="Arial"/>
          <w:sz w:val="22"/>
          <w:szCs w:val="22"/>
        </w:rPr>
      </w:pPr>
      <w:r>
        <w:rPr>
          <w:rFonts w:ascii="Arial" w:eastAsia="Play" w:hAnsi="Arial" w:cs="Arial"/>
          <w:sz w:val="22"/>
          <w:szCs w:val="22"/>
        </w:rPr>
        <w:t>To conduct this research, a variety of credible sources</w:t>
      </w:r>
      <w:r w:rsidR="00F61AC3">
        <w:rPr>
          <w:rFonts w:ascii="Arial" w:eastAsia="Play" w:hAnsi="Arial" w:cs="Arial"/>
          <w:sz w:val="22"/>
          <w:szCs w:val="22"/>
        </w:rPr>
        <w:t xml:space="preserve"> will be used, including peer-reviewed journal articles, government publications, reports from health organizations such as the World Health Organization (WHO), and reputable healthcare technology websites.</w:t>
      </w:r>
    </w:p>
    <w:p w14:paraId="3E8B522E" w14:textId="545E3D29" w:rsidR="00F61AC3" w:rsidRDefault="00F61AC3" w:rsidP="00A31A66">
      <w:pPr>
        <w:pStyle w:val="ListParagraph"/>
        <w:numPr>
          <w:ilvl w:val="0"/>
          <w:numId w:val="4"/>
        </w:numPr>
        <w:jc w:val="both"/>
        <w:rPr>
          <w:rFonts w:ascii="Arial" w:eastAsia="Play" w:hAnsi="Arial" w:cs="Arial"/>
          <w:sz w:val="22"/>
          <w:szCs w:val="22"/>
        </w:rPr>
      </w:pPr>
      <w:r>
        <w:rPr>
          <w:rFonts w:ascii="Arial" w:eastAsia="Play" w:hAnsi="Arial" w:cs="Arial"/>
          <w:sz w:val="22"/>
          <w:szCs w:val="22"/>
        </w:rPr>
        <w:t>Peer-reviewed journals provide validated scientific information, ensuring that the data used is reliable and accurate.</w:t>
      </w:r>
    </w:p>
    <w:p w14:paraId="41563D5A" w14:textId="5F07E852" w:rsidR="00F61AC3" w:rsidRDefault="00F61AC3" w:rsidP="00A31A66">
      <w:pPr>
        <w:pStyle w:val="ListParagraph"/>
        <w:numPr>
          <w:ilvl w:val="0"/>
          <w:numId w:val="4"/>
        </w:numPr>
        <w:jc w:val="both"/>
        <w:rPr>
          <w:rFonts w:ascii="Arial" w:eastAsia="Play" w:hAnsi="Arial" w:cs="Arial"/>
          <w:sz w:val="22"/>
          <w:szCs w:val="22"/>
        </w:rPr>
      </w:pPr>
      <w:r>
        <w:rPr>
          <w:rFonts w:ascii="Arial" w:eastAsia="Play" w:hAnsi="Arial" w:cs="Arial"/>
          <w:sz w:val="22"/>
          <w:szCs w:val="22"/>
        </w:rPr>
        <w:t xml:space="preserve">Government publications offer regulatory and policy-related insights, </w:t>
      </w:r>
      <w:r w:rsidR="00666247">
        <w:rPr>
          <w:rFonts w:ascii="Arial" w:eastAsia="Play" w:hAnsi="Arial" w:cs="Arial"/>
          <w:sz w:val="22"/>
          <w:szCs w:val="22"/>
        </w:rPr>
        <w:t>which are crucial for understanding the legal and ethical frameworks of telehealth.</w:t>
      </w:r>
    </w:p>
    <w:p w14:paraId="7057A5CF" w14:textId="2C88BA52" w:rsidR="00F56746" w:rsidRPr="00F3134A" w:rsidRDefault="00666247" w:rsidP="00A31A66">
      <w:pPr>
        <w:pStyle w:val="ListParagraph"/>
        <w:numPr>
          <w:ilvl w:val="0"/>
          <w:numId w:val="4"/>
        </w:numPr>
        <w:jc w:val="both"/>
        <w:rPr>
          <w:rFonts w:ascii="Arial" w:eastAsia="Play" w:hAnsi="Arial" w:cs="Arial"/>
          <w:sz w:val="22"/>
          <w:szCs w:val="22"/>
        </w:rPr>
      </w:pPr>
      <w:r>
        <w:rPr>
          <w:rFonts w:ascii="Arial" w:eastAsia="Play" w:hAnsi="Arial" w:cs="Arial"/>
          <w:sz w:val="22"/>
          <w:szCs w:val="22"/>
        </w:rPr>
        <w:t>Reports from health organizations provide up-to-date information on global trends statistics, and best practices in telehealth implementation.</w:t>
      </w:r>
    </w:p>
    <w:p w14:paraId="73A9C60D" w14:textId="27198841" w:rsidR="0030581C" w:rsidRDefault="00666247" w:rsidP="00A31A66">
      <w:pPr>
        <w:jc w:val="both"/>
        <w:rPr>
          <w:rFonts w:ascii="Arial" w:eastAsia="Play" w:hAnsi="Arial" w:cs="Arial"/>
          <w:color w:val="000000" w:themeColor="text1"/>
          <w:sz w:val="22"/>
          <w:szCs w:val="22"/>
        </w:rPr>
      </w:pPr>
      <w:r>
        <w:rPr>
          <w:rFonts w:ascii="Arial" w:eastAsia="Play" w:hAnsi="Arial" w:cs="Arial"/>
          <w:color w:val="000000" w:themeColor="text1"/>
          <w:sz w:val="22"/>
          <w:szCs w:val="22"/>
        </w:rPr>
        <w:t>Using these sources ensures that the research is grounded in accurate, up-to-date, and credible information, which strengthens the validity of findings and recommendations.</w:t>
      </w:r>
    </w:p>
    <w:p w14:paraId="7DC83787" w14:textId="01EB73D2" w:rsidR="00970B21" w:rsidRPr="00A31A66" w:rsidRDefault="004956C6" w:rsidP="00A31A66">
      <w:pPr>
        <w:pStyle w:val="Heading2"/>
        <w:rPr>
          <w:rFonts w:eastAsia="Play"/>
          <w:b/>
          <w:bCs/>
          <w:color w:val="auto"/>
        </w:rPr>
      </w:pPr>
      <w:r w:rsidRPr="00A31A66">
        <w:rPr>
          <w:rFonts w:eastAsia="Play"/>
          <w:b/>
          <w:bCs/>
          <w:color w:val="auto"/>
        </w:rPr>
        <w:t>Task 2: Research Methodologies</w:t>
      </w:r>
    </w:p>
    <w:p w14:paraId="640961E2" w14:textId="1DB918B1" w:rsidR="00326F5D" w:rsidRPr="00B97546" w:rsidRDefault="004956C6" w:rsidP="00B97546">
      <w:pPr>
        <w:pStyle w:val="Heading1"/>
        <w:rPr>
          <w:rFonts w:eastAsia="Play"/>
          <w:b/>
          <w:bCs/>
          <w:color w:val="auto"/>
          <w:sz w:val="36"/>
          <w:szCs w:val="36"/>
        </w:rPr>
      </w:pPr>
      <w:r w:rsidRPr="00B97546">
        <w:rPr>
          <w:rFonts w:eastAsia="Play"/>
          <w:b/>
          <w:bCs/>
          <w:color w:val="auto"/>
          <w:sz w:val="36"/>
          <w:szCs w:val="36"/>
        </w:rPr>
        <w:t>Quantitative Researc</w:t>
      </w:r>
      <w:r w:rsidR="00326F5D" w:rsidRPr="00B97546">
        <w:rPr>
          <w:rFonts w:eastAsia="Play"/>
          <w:b/>
          <w:bCs/>
          <w:color w:val="auto"/>
          <w:sz w:val="36"/>
          <w:szCs w:val="36"/>
        </w:rPr>
        <w:t>h</w:t>
      </w:r>
    </w:p>
    <w:p w14:paraId="25AE7BD1" w14:textId="54EEC5AB" w:rsidR="004956C6" w:rsidRDefault="004956C6" w:rsidP="00A31A66">
      <w:pPr>
        <w:jc w:val="both"/>
        <w:rPr>
          <w:rFonts w:ascii="Arial" w:eastAsia="Play" w:hAnsi="Arial" w:cs="Arial"/>
          <w:sz w:val="22"/>
          <w:szCs w:val="22"/>
        </w:rPr>
      </w:pPr>
      <w:r>
        <w:rPr>
          <w:rFonts w:ascii="Arial" w:eastAsia="Play" w:hAnsi="Arial" w:cs="Arial"/>
          <w:sz w:val="22"/>
          <w:szCs w:val="22"/>
        </w:rPr>
        <w:t xml:space="preserve">Quantitative research involves collecting numerical data using statistical methods to identify patterns, relationships, or trends. </w:t>
      </w:r>
      <w:r w:rsidR="00326F5D" w:rsidRPr="00326F5D">
        <w:rPr>
          <w:rFonts w:ascii="Arial" w:eastAsia="Play" w:hAnsi="Arial" w:cs="Arial"/>
          <w:sz w:val="22"/>
          <w:szCs w:val="22"/>
        </w:rPr>
        <w:t xml:space="preserve">Within the context of telehealth and telemedicine, this method is particularly valuable for evaluating the </w:t>
      </w:r>
      <w:r w:rsidR="00326F5D" w:rsidRPr="00326F5D">
        <w:rPr>
          <w:rFonts w:ascii="Arial" w:eastAsia="Play" w:hAnsi="Arial" w:cs="Arial"/>
          <w:b/>
          <w:bCs/>
          <w:sz w:val="22"/>
          <w:szCs w:val="22"/>
        </w:rPr>
        <w:t>effectiveness, efficiency, and scalability</w:t>
      </w:r>
      <w:r w:rsidR="00326F5D" w:rsidRPr="00326F5D">
        <w:rPr>
          <w:rFonts w:ascii="Arial" w:eastAsia="Play" w:hAnsi="Arial" w:cs="Arial"/>
          <w:sz w:val="22"/>
          <w:szCs w:val="22"/>
        </w:rPr>
        <w:t xml:space="preserve"> of digital healthcare interventions.</w:t>
      </w:r>
      <w:r w:rsidR="00326F5D">
        <w:rPr>
          <w:rFonts w:ascii="Arial" w:eastAsia="Play" w:hAnsi="Arial" w:cs="Arial"/>
          <w:sz w:val="22"/>
          <w:szCs w:val="22"/>
        </w:rPr>
        <w:t xml:space="preserve"> </w:t>
      </w:r>
      <w:r>
        <w:rPr>
          <w:rFonts w:ascii="Arial" w:eastAsia="Play" w:hAnsi="Arial" w:cs="Arial"/>
          <w:sz w:val="22"/>
          <w:szCs w:val="22"/>
        </w:rPr>
        <w:t>This method is useful for measuring the effectiveness of telehealth interventions, su</w:t>
      </w:r>
      <w:r w:rsidR="008E0E63">
        <w:rPr>
          <w:rFonts w:ascii="Arial" w:eastAsia="Play" w:hAnsi="Arial" w:cs="Arial"/>
          <w:sz w:val="22"/>
          <w:szCs w:val="22"/>
        </w:rPr>
        <w:t>ch as patient satisfaction scores, reduction in hospital visits, or improvements in clinical outcomes. Quantitative research provides objective, measurable results that can support evidence-based decision-making.</w:t>
      </w:r>
    </w:p>
    <w:p w14:paraId="0E6B0D9D" w14:textId="306323E2" w:rsidR="008E0E63" w:rsidRDefault="008E0E63" w:rsidP="00A31A66">
      <w:pPr>
        <w:pStyle w:val="Heading2"/>
        <w:rPr>
          <w:rFonts w:eastAsia="Play"/>
          <w:b/>
          <w:bCs/>
          <w:color w:val="auto"/>
          <w:sz w:val="36"/>
          <w:szCs w:val="36"/>
        </w:rPr>
      </w:pPr>
      <w:r w:rsidRPr="00B97546">
        <w:rPr>
          <w:rFonts w:eastAsia="Play"/>
          <w:b/>
          <w:bCs/>
          <w:color w:val="auto"/>
          <w:sz w:val="36"/>
          <w:szCs w:val="36"/>
        </w:rPr>
        <w:t>Qualitative Research</w:t>
      </w:r>
    </w:p>
    <w:p w14:paraId="38254A8C" w14:textId="7FCADA45" w:rsidR="00B97546" w:rsidRPr="00B97546" w:rsidRDefault="00B97546" w:rsidP="00B97546">
      <w:r w:rsidRPr="00B97546">
        <w:t xml:space="preserve">Qualitative research emphasizes the exploration of </w:t>
      </w:r>
      <w:r w:rsidRPr="00B97546">
        <w:rPr>
          <w:b/>
          <w:bCs/>
        </w:rPr>
        <w:t>subjective experiences, perceptions, and motivations</w:t>
      </w:r>
      <w:r w:rsidRPr="00B97546">
        <w:t xml:space="preserve">, offering a deeper understanding of how individuals engage with telehealth and telemedicine. Unlike quantitative methods, which focus on measurable outcomes, qualitative approaches capture the </w:t>
      </w:r>
      <w:r w:rsidRPr="00B97546">
        <w:rPr>
          <w:b/>
          <w:bCs/>
        </w:rPr>
        <w:t>human dimension</w:t>
      </w:r>
      <w:r w:rsidRPr="00B97546">
        <w:t xml:space="preserve"> of </w:t>
      </w:r>
      <w:r w:rsidRPr="00B97546">
        <w:lastRenderedPageBreak/>
        <w:t>healthcare delivery, revealing the contextual and emotional factors that influence adoption and effectiveness.</w:t>
      </w:r>
    </w:p>
    <w:p w14:paraId="60B658F7" w14:textId="77777777" w:rsidR="00B97546" w:rsidRPr="00B97546" w:rsidRDefault="00B97546" w:rsidP="00B97546"/>
    <w:p w14:paraId="62AD545C" w14:textId="361A4379" w:rsidR="004C3750" w:rsidRPr="00A31A66" w:rsidRDefault="004C3750" w:rsidP="00A31A66">
      <w:pPr>
        <w:pStyle w:val="Heading2"/>
        <w:rPr>
          <w:rFonts w:eastAsia="Play"/>
          <w:b/>
          <w:bCs/>
          <w:color w:val="auto"/>
        </w:rPr>
      </w:pPr>
      <w:r w:rsidRPr="00A31A66">
        <w:rPr>
          <w:rFonts w:eastAsia="Play"/>
          <w:b/>
          <w:bCs/>
          <w:color w:val="auto"/>
        </w:rPr>
        <w:t>Chosen Methodology</w:t>
      </w:r>
    </w:p>
    <w:p w14:paraId="6B341D3A" w14:textId="59A4CD73" w:rsidR="004C3750" w:rsidRDefault="004C3750" w:rsidP="00A31A66">
      <w:pPr>
        <w:jc w:val="both"/>
        <w:rPr>
          <w:rFonts w:ascii="Arial" w:eastAsia="Play" w:hAnsi="Arial" w:cs="Arial"/>
          <w:sz w:val="22"/>
          <w:szCs w:val="22"/>
        </w:rPr>
      </w:pPr>
      <w:r>
        <w:rPr>
          <w:rFonts w:ascii="Arial" w:eastAsia="Play" w:hAnsi="Arial" w:cs="Arial"/>
          <w:sz w:val="22"/>
          <w:szCs w:val="22"/>
        </w:rPr>
        <w:t>For this research,</w:t>
      </w:r>
      <w:r w:rsidR="00C1650B">
        <w:rPr>
          <w:rFonts w:ascii="Arial" w:eastAsia="Play" w:hAnsi="Arial" w:cs="Arial"/>
          <w:sz w:val="22"/>
          <w:szCs w:val="22"/>
        </w:rPr>
        <w:t xml:space="preserve"> I will use</w:t>
      </w:r>
      <w:r>
        <w:rPr>
          <w:rFonts w:ascii="Arial" w:eastAsia="Play" w:hAnsi="Arial" w:cs="Arial"/>
          <w:sz w:val="22"/>
          <w:szCs w:val="22"/>
        </w:rPr>
        <w:t xml:space="preserve"> </w:t>
      </w:r>
      <w:r w:rsidR="00B97546">
        <w:rPr>
          <w:rFonts w:ascii="Arial" w:eastAsia="Play" w:hAnsi="Arial" w:cs="Arial"/>
          <w:sz w:val="22"/>
          <w:szCs w:val="22"/>
        </w:rPr>
        <w:t>mixed methods</w:t>
      </w:r>
      <w:r>
        <w:rPr>
          <w:rFonts w:ascii="Arial" w:eastAsia="Play" w:hAnsi="Arial" w:cs="Arial"/>
          <w:sz w:val="22"/>
          <w:szCs w:val="22"/>
        </w:rPr>
        <w:t>, combining both quantitative and qualitative research. This approach allows for a comprehensive understanding of telehealth and telemedicine, capturing measurable outcomes while also exploring user experiences and challenges. Quantitative data will provide evidence effectiveness, while qualitative data will offer insights into personal experience</w:t>
      </w:r>
      <w:r w:rsidR="00D877C2">
        <w:rPr>
          <w:rFonts w:ascii="Arial" w:eastAsia="Play" w:hAnsi="Arial" w:cs="Arial"/>
          <w:sz w:val="22"/>
          <w:szCs w:val="22"/>
        </w:rPr>
        <w:t>s and contextual factors.</w:t>
      </w:r>
    </w:p>
    <w:p w14:paraId="245521A7" w14:textId="011C845C" w:rsidR="00D877C2" w:rsidRDefault="00D877C2" w:rsidP="00FB20C0">
      <w:pPr>
        <w:pStyle w:val="Heading1"/>
        <w:rPr>
          <w:rFonts w:eastAsia="Play"/>
          <w:b/>
          <w:bCs/>
          <w:color w:val="auto"/>
        </w:rPr>
      </w:pPr>
      <w:r w:rsidRPr="00FB20C0">
        <w:rPr>
          <w:rFonts w:eastAsia="Play"/>
          <w:b/>
          <w:bCs/>
          <w:color w:val="auto"/>
        </w:rPr>
        <w:t>Task 3: Data Collection</w:t>
      </w:r>
    </w:p>
    <w:p w14:paraId="7012F0DB" w14:textId="6B207C71" w:rsidR="00B97546" w:rsidRPr="0039023E" w:rsidRDefault="00B97546" w:rsidP="00B97546">
      <w:pPr>
        <w:rPr>
          <w:sz w:val="22"/>
          <w:szCs w:val="22"/>
        </w:rPr>
      </w:pPr>
      <w:r w:rsidRPr="0039023E">
        <w:rPr>
          <w:sz w:val="22"/>
          <w:szCs w:val="22"/>
        </w:rPr>
        <w:t xml:space="preserve">Data collection is the </w:t>
      </w:r>
      <w:r w:rsidR="0039023E" w:rsidRPr="0039023E">
        <w:rPr>
          <w:sz w:val="22"/>
          <w:szCs w:val="22"/>
        </w:rPr>
        <w:t>systematic process of gathering information to answer research questions, test hypotheses, and evaluate outcomes. In a mixed methods study, it involves both quantitative and Qualitative techniques to ensure a comprehensive understanding.</w:t>
      </w:r>
    </w:p>
    <w:p w14:paraId="6658536C" w14:textId="37B2C380" w:rsidR="00D877C2" w:rsidRDefault="00D877C2" w:rsidP="00A31A66">
      <w:pPr>
        <w:jc w:val="both"/>
        <w:rPr>
          <w:rFonts w:ascii="Arial" w:eastAsia="Play" w:hAnsi="Arial" w:cs="Arial"/>
          <w:sz w:val="22"/>
          <w:szCs w:val="22"/>
        </w:rPr>
      </w:pPr>
      <w:r w:rsidRPr="00D877C2">
        <w:rPr>
          <w:rFonts w:ascii="Arial" w:eastAsia="Play" w:hAnsi="Arial" w:cs="Arial"/>
          <w:sz w:val="22"/>
          <w:szCs w:val="22"/>
        </w:rPr>
        <w:t>Primary data refers to information collected directly from original sources. In this research, primary data will be collected through:</w:t>
      </w:r>
    </w:p>
    <w:p w14:paraId="090EEE0E" w14:textId="5B37144F" w:rsidR="00D877C2" w:rsidRDefault="00D877C2" w:rsidP="00A31A66">
      <w:pPr>
        <w:pStyle w:val="ListParagraph"/>
        <w:numPr>
          <w:ilvl w:val="0"/>
          <w:numId w:val="6"/>
        </w:numPr>
        <w:jc w:val="both"/>
        <w:rPr>
          <w:rFonts w:ascii="Arial" w:eastAsia="Play" w:hAnsi="Arial" w:cs="Arial"/>
          <w:sz w:val="22"/>
          <w:szCs w:val="22"/>
        </w:rPr>
      </w:pPr>
      <w:r>
        <w:rPr>
          <w:rFonts w:ascii="Arial" w:eastAsia="Play" w:hAnsi="Arial" w:cs="Arial"/>
          <w:sz w:val="22"/>
          <w:szCs w:val="22"/>
        </w:rPr>
        <w:t>Surveys: Distributed to patients who have used tele</w:t>
      </w:r>
      <w:r w:rsidR="00785255">
        <w:rPr>
          <w:rFonts w:ascii="Arial" w:eastAsia="Play" w:hAnsi="Arial" w:cs="Arial"/>
          <w:sz w:val="22"/>
          <w:szCs w:val="22"/>
        </w:rPr>
        <w:t>health services to gather quantitative data on satisfaction, accessibility, and perceived effectiveness.</w:t>
      </w:r>
    </w:p>
    <w:p w14:paraId="19059792" w14:textId="1B0F4863" w:rsidR="00785255" w:rsidRDefault="00785255" w:rsidP="00A31A66">
      <w:pPr>
        <w:pStyle w:val="ListParagraph"/>
        <w:numPr>
          <w:ilvl w:val="0"/>
          <w:numId w:val="6"/>
        </w:numPr>
        <w:jc w:val="both"/>
        <w:rPr>
          <w:rFonts w:ascii="Arial" w:eastAsia="Play" w:hAnsi="Arial" w:cs="Arial"/>
          <w:sz w:val="22"/>
          <w:szCs w:val="22"/>
        </w:rPr>
      </w:pPr>
      <w:r>
        <w:rPr>
          <w:rFonts w:ascii="Arial" w:eastAsia="Play" w:hAnsi="Arial" w:cs="Arial"/>
          <w:sz w:val="22"/>
          <w:szCs w:val="22"/>
        </w:rPr>
        <w:t>Interviews: Conducted with healthcare providers to understand challenges, perceptions, and best practices in telemedicine delivery.</w:t>
      </w:r>
    </w:p>
    <w:p w14:paraId="4E3F384F" w14:textId="163671D5" w:rsidR="00785255" w:rsidRDefault="00785255" w:rsidP="00A31A66">
      <w:pPr>
        <w:pStyle w:val="ListParagraph"/>
        <w:jc w:val="both"/>
        <w:rPr>
          <w:rFonts w:ascii="Arial" w:eastAsia="Play" w:hAnsi="Arial" w:cs="Arial"/>
          <w:sz w:val="22"/>
          <w:szCs w:val="22"/>
        </w:rPr>
      </w:pPr>
      <w:r>
        <w:rPr>
          <w:rFonts w:ascii="Arial" w:eastAsia="Play" w:hAnsi="Arial" w:cs="Arial"/>
          <w:sz w:val="22"/>
          <w:szCs w:val="22"/>
        </w:rPr>
        <w:t>Primary data collection is essential for obtaining first-hand, up-to-date information specific to the research problem.</w:t>
      </w:r>
    </w:p>
    <w:p w14:paraId="5709A948" w14:textId="77777777" w:rsidR="00785255" w:rsidRPr="008C73C6" w:rsidRDefault="00785255" w:rsidP="00785255">
      <w:pPr>
        <w:pStyle w:val="ListParagraph"/>
        <w:rPr>
          <w:rFonts w:ascii="Arial" w:eastAsia="Play" w:hAnsi="Arial" w:cs="Arial"/>
          <w:color w:val="0070C0"/>
          <w:sz w:val="22"/>
          <w:szCs w:val="22"/>
        </w:rPr>
      </w:pPr>
    </w:p>
    <w:p w14:paraId="292C4F8E" w14:textId="77777777" w:rsidR="0039023E" w:rsidRDefault="00785255" w:rsidP="0039023E">
      <w:pPr>
        <w:pStyle w:val="Heading2"/>
        <w:rPr>
          <w:rFonts w:eastAsia="Play"/>
          <w:b/>
          <w:bCs/>
          <w:color w:val="auto"/>
        </w:rPr>
      </w:pPr>
      <w:r w:rsidRPr="00A31A66">
        <w:rPr>
          <w:rFonts w:eastAsia="Play"/>
          <w:b/>
          <w:bCs/>
          <w:color w:val="auto"/>
        </w:rPr>
        <w:t>Secondary Data Collection</w:t>
      </w:r>
    </w:p>
    <w:p w14:paraId="4735A283" w14:textId="0CC394DD" w:rsidR="0039023E" w:rsidRPr="004630DF" w:rsidRDefault="00785255" w:rsidP="004630DF">
      <w:pPr>
        <w:pStyle w:val="Heading2"/>
        <w:jc w:val="both"/>
        <w:rPr>
          <w:rFonts w:ascii="Arial" w:eastAsia="Play" w:hAnsi="Arial" w:cs="Arial"/>
          <w:color w:val="auto"/>
          <w:sz w:val="22"/>
          <w:szCs w:val="22"/>
        </w:rPr>
      </w:pPr>
      <w:r w:rsidRPr="004630DF">
        <w:rPr>
          <w:rFonts w:ascii="Arial" w:eastAsia="Play" w:hAnsi="Arial" w:cs="Arial"/>
          <w:b/>
          <w:bCs/>
          <w:color w:val="auto"/>
        </w:rPr>
        <w:t xml:space="preserve"> </w:t>
      </w:r>
      <w:r w:rsidR="0039023E" w:rsidRPr="004630DF">
        <w:rPr>
          <w:rFonts w:ascii="Arial" w:eastAsia="Play" w:hAnsi="Arial" w:cs="Arial"/>
          <w:color w:val="auto"/>
          <w:sz w:val="22"/>
          <w:szCs w:val="22"/>
        </w:rPr>
        <w:t xml:space="preserve">Secondary data refers to information that has already been collected by other researchers, organizations, or institutions for purposes other than your current study. Instead of gathering new data directly (primary data), researchers </w:t>
      </w:r>
      <w:r w:rsidR="0039023E" w:rsidRPr="004630DF">
        <w:rPr>
          <w:rFonts w:ascii="Arial" w:eastAsia="Play" w:hAnsi="Arial" w:cs="Arial"/>
          <w:color w:val="auto"/>
          <w:sz w:val="22"/>
          <w:szCs w:val="22"/>
        </w:rPr>
        <w:t>analyse</w:t>
      </w:r>
      <w:r w:rsidR="0039023E" w:rsidRPr="004630DF">
        <w:rPr>
          <w:rFonts w:ascii="Arial" w:eastAsia="Play" w:hAnsi="Arial" w:cs="Arial"/>
          <w:color w:val="auto"/>
          <w:sz w:val="22"/>
          <w:szCs w:val="22"/>
        </w:rPr>
        <w:t xml:space="preserve"> existing datasets to generate insights.</w:t>
      </w:r>
    </w:p>
    <w:p w14:paraId="17CACA75" w14:textId="5AA16359" w:rsidR="00785255" w:rsidRPr="004630DF" w:rsidRDefault="00785255" w:rsidP="004630DF">
      <w:pPr>
        <w:jc w:val="both"/>
        <w:rPr>
          <w:rFonts w:ascii="Arial" w:eastAsia="Play" w:hAnsi="Arial" w:cs="Arial"/>
          <w:sz w:val="22"/>
          <w:szCs w:val="22"/>
        </w:rPr>
      </w:pPr>
      <w:r w:rsidRPr="004630DF">
        <w:rPr>
          <w:rFonts w:ascii="Arial" w:eastAsia="Play" w:hAnsi="Arial" w:cs="Arial"/>
          <w:sz w:val="22"/>
          <w:szCs w:val="22"/>
        </w:rPr>
        <w:t xml:space="preserve">Secondary data includes information previously collected and </w:t>
      </w:r>
      <w:r w:rsidR="0092080A" w:rsidRPr="004630DF">
        <w:rPr>
          <w:rFonts w:ascii="Arial" w:eastAsia="Play" w:hAnsi="Arial" w:cs="Arial"/>
          <w:sz w:val="22"/>
          <w:szCs w:val="22"/>
        </w:rPr>
        <w:t>published by other sources.</w:t>
      </w:r>
    </w:p>
    <w:p w14:paraId="028A5467" w14:textId="1739D18F" w:rsidR="0092080A" w:rsidRDefault="0092080A" w:rsidP="00A31A66">
      <w:pPr>
        <w:pStyle w:val="ListParagraph"/>
        <w:jc w:val="both"/>
        <w:rPr>
          <w:rFonts w:ascii="Arial" w:eastAsia="Play" w:hAnsi="Arial" w:cs="Arial"/>
          <w:sz w:val="22"/>
          <w:szCs w:val="22"/>
        </w:rPr>
      </w:pPr>
      <w:r>
        <w:rPr>
          <w:rFonts w:ascii="Arial" w:eastAsia="Play" w:hAnsi="Arial" w:cs="Arial"/>
          <w:sz w:val="22"/>
          <w:szCs w:val="22"/>
        </w:rPr>
        <w:t>This research will use secondary data from:</w:t>
      </w:r>
    </w:p>
    <w:p w14:paraId="455052B9" w14:textId="23D672D2" w:rsidR="004C3750" w:rsidRDefault="0092080A" w:rsidP="00A31A66">
      <w:pPr>
        <w:pStyle w:val="ListParagraph"/>
        <w:numPr>
          <w:ilvl w:val="0"/>
          <w:numId w:val="6"/>
        </w:numPr>
        <w:jc w:val="both"/>
        <w:rPr>
          <w:rFonts w:ascii="Arial" w:eastAsia="Play" w:hAnsi="Arial" w:cs="Arial"/>
          <w:sz w:val="22"/>
          <w:szCs w:val="22"/>
        </w:rPr>
      </w:pPr>
      <w:r>
        <w:rPr>
          <w:rFonts w:ascii="Arial" w:eastAsia="Play" w:hAnsi="Arial" w:cs="Arial"/>
          <w:sz w:val="22"/>
          <w:szCs w:val="22"/>
        </w:rPr>
        <w:t>Academic journals documenting previous studies on telehealth outcomes.</w:t>
      </w:r>
    </w:p>
    <w:p w14:paraId="0E7FD697" w14:textId="1AD1298A" w:rsidR="0092080A" w:rsidRDefault="0092080A" w:rsidP="00A31A66">
      <w:pPr>
        <w:pStyle w:val="ListParagraph"/>
        <w:numPr>
          <w:ilvl w:val="0"/>
          <w:numId w:val="6"/>
        </w:numPr>
        <w:jc w:val="both"/>
        <w:rPr>
          <w:rFonts w:ascii="Arial" w:eastAsia="Play" w:hAnsi="Arial" w:cs="Arial"/>
          <w:sz w:val="22"/>
          <w:szCs w:val="22"/>
        </w:rPr>
      </w:pPr>
      <w:r>
        <w:rPr>
          <w:rFonts w:ascii="Arial" w:eastAsia="Play" w:hAnsi="Arial" w:cs="Arial"/>
          <w:sz w:val="22"/>
          <w:szCs w:val="22"/>
        </w:rPr>
        <w:t>Government and organizational reports providing statistics, regulations, and global trends.</w:t>
      </w:r>
    </w:p>
    <w:p w14:paraId="7CC68DB8" w14:textId="09E5FFBE" w:rsidR="0092080A" w:rsidRDefault="0092080A" w:rsidP="00A31A66">
      <w:pPr>
        <w:pStyle w:val="ListParagraph"/>
        <w:jc w:val="both"/>
        <w:rPr>
          <w:rFonts w:ascii="Arial" w:eastAsia="Play" w:hAnsi="Arial" w:cs="Arial"/>
          <w:sz w:val="22"/>
          <w:szCs w:val="22"/>
        </w:rPr>
      </w:pPr>
      <w:r>
        <w:rPr>
          <w:rFonts w:ascii="Arial" w:eastAsia="Play" w:hAnsi="Arial" w:cs="Arial"/>
          <w:sz w:val="22"/>
          <w:szCs w:val="22"/>
        </w:rPr>
        <w:t xml:space="preserve">Secondary data is useful for providing context, supporting primary findings, identifying gaps in existing </w:t>
      </w:r>
      <w:r w:rsidR="00960C44">
        <w:rPr>
          <w:rFonts w:ascii="Arial" w:eastAsia="Play" w:hAnsi="Arial" w:cs="Arial"/>
          <w:sz w:val="22"/>
          <w:szCs w:val="22"/>
        </w:rPr>
        <w:t>research.</w:t>
      </w:r>
    </w:p>
    <w:p w14:paraId="283212C9" w14:textId="24076557" w:rsidR="0092080A" w:rsidRDefault="0092080A" w:rsidP="0092080A">
      <w:pPr>
        <w:pStyle w:val="ListParagraph"/>
        <w:jc w:val="both"/>
        <w:rPr>
          <w:rFonts w:ascii="Arial" w:eastAsia="Play" w:hAnsi="Arial" w:cs="Arial"/>
          <w:sz w:val="22"/>
          <w:szCs w:val="22"/>
        </w:rPr>
      </w:pPr>
      <w:r>
        <w:rPr>
          <w:rFonts w:ascii="Arial" w:eastAsia="Play" w:hAnsi="Arial" w:cs="Arial"/>
          <w:sz w:val="22"/>
          <w:szCs w:val="22"/>
        </w:rPr>
        <w:t xml:space="preserve"> </w:t>
      </w:r>
    </w:p>
    <w:p w14:paraId="611BBEAF" w14:textId="5924EEFF" w:rsidR="0092080A" w:rsidRPr="00A31A66" w:rsidRDefault="0092080A" w:rsidP="00A31A66">
      <w:pPr>
        <w:pStyle w:val="Heading2"/>
        <w:rPr>
          <w:rFonts w:eastAsia="Play"/>
          <w:b/>
          <w:bCs/>
          <w:color w:val="auto"/>
        </w:rPr>
      </w:pPr>
      <w:r w:rsidRPr="00A31A66">
        <w:rPr>
          <w:rFonts w:eastAsia="Play"/>
          <w:b/>
          <w:bCs/>
          <w:color w:val="auto"/>
        </w:rPr>
        <w:t xml:space="preserve">Data Usage </w:t>
      </w:r>
    </w:p>
    <w:p w14:paraId="178F8E19" w14:textId="7AA28562" w:rsidR="00960C44" w:rsidRPr="00FB20C0" w:rsidRDefault="0092080A" w:rsidP="00FB20C0">
      <w:pPr>
        <w:pStyle w:val="ListParagraph"/>
        <w:jc w:val="both"/>
        <w:rPr>
          <w:rFonts w:ascii="Arial" w:eastAsia="Play" w:hAnsi="Arial" w:cs="Arial"/>
          <w:color w:val="0F9ED5" w:themeColor="accent4"/>
          <w:sz w:val="22"/>
          <w:szCs w:val="22"/>
        </w:rPr>
      </w:pPr>
      <w:r>
        <w:rPr>
          <w:rFonts w:ascii="Arial" w:eastAsia="Play" w:hAnsi="Arial" w:cs="Arial"/>
          <w:sz w:val="22"/>
          <w:szCs w:val="22"/>
        </w:rPr>
        <w:t>The combination of primary and secondary data will allow the research to addre</w:t>
      </w:r>
      <w:r w:rsidR="00F85A07">
        <w:rPr>
          <w:rFonts w:ascii="Arial" w:eastAsia="Play" w:hAnsi="Arial" w:cs="Arial"/>
          <w:sz w:val="22"/>
          <w:szCs w:val="22"/>
        </w:rPr>
        <w:t>ss</w:t>
      </w:r>
      <w:r>
        <w:rPr>
          <w:rFonts w:ascii="Arial" w:eastAsia="Play" w:hAnsi="Arial" w:cs="Arial"/>
          <w:sz w:val="22"/>
          <w:szCs w:val="22"/>
        </w:rPr>
        <w:t xml:space="preserve"> the problem compre</w:t>
      </w:r>
      <w:r w:rsidR="00F85A07">
        <w:rPr>
          <w:rFonts w:ascii="Arial" w:eastAsia="Play" w:hAnsi="Arial" w:cs="Arial"/>
          <w:sz w:val="22"/>
          <w:szCs w:val="22"/>
        </w:rPr>
        <w:t xml:space="preserve">hensively. quantitative primary data from surveys will provide </w:t>
      </w:r>
      <w:r w:rsidR="00F85A07">
        <w:rPr>
          <w:rFonts w:ascii="Arial" w:eastAsia="Play" w:hAnsi="Arial" w:cs="Arial"/>
          <w:sz w:val="22"/>
          <w:szCs w:val="22"/>
        </w:rPr>
        <w:lastRenderedPageBreak/>
        <w:t xml:space="preserve">measurable insights into patient outcomes and service effectiveness, while qualitative data from interviews will offer perspectives on user experience. Secondary data will supplement these findings provide a broader understanding of telehealth and telemedicine </w:t>
      </w:r>
      <w:r w:rsidR="00960C44">
        <w:rPr>
          <w:rFonts w:ascii="Arial" w:eastAsia="Play" w:hAnsi="Arial" w:cs="Arial"/>
          <w:sz w:val="22"/>
          <w:szCs w:val="22"/>
        </w:rPr>
        <w:t>trends.</w:t>
      </w:r>
    </w:p>
    <w:p w14:paraId="4D8BB385" w14:textId="77777777" w:rsidR="00960C44" w:rsidRDefault="00960C44" w:rsidP="0092080A">
      <w:pPr>
        <w:pStyle w:val="ListParagraph"/>
        <w:jc w:val="both"/>
        <w:rPr>
          <w:rFonts w:ascii="Arial" w:eastAsia="Play" w:hAnsi="Arial" w:cs="Arial"/>
          <w:color w:val="0F9ED5" w:themeColor="accent4"/>
          <w:sz w:val="22"/>
          <w:szCs w:val="22"/>
        </w:rPr>
      </w:pPr>
    </w:p>
    <w:p w14:paraId="59B072F7" w14:textId="3A9B332A" w:rsidR="00EF3639" w:rsidRPr="00FB20C0" w:rsidRDefault="00EF3639" w:rsidP="00FB20C0">
      <w:pPr>
        <w:pStyle w:val="Heading1"/>
        <w:rPr>
          <w:rFonts w:eastAsia="Play"/>
          <w:b/>
          <w:bCs/>
          <w:color w:val="auto"/>
        </w:rPr>
      </w:pPr>
      <w:r w:rsidRPr="00FB20C0">
        <w:rPr>
          <w:rFonts w:eastAsia="Play"/>
          <w:b/>
          <w:bCs/>
          <w:color w:val="auto"/>
        </w:rPr>
        <w:t>Conclusion</w:t>
      </w:r>
    </w:p>
    <w:p w14:paraId="3F4E45E5" w14:textId="77777777" w:rsidR="00D016AD" w:rsidRPr="00D016AD" w:rsidRDefault="00D016AD" w:rsidP="00BC1B2E">
      <w:pPr>
        <w:pStyle w:val="ListParagraph"/>
        <w:jc w:val="both"/>
        <w:rPr>
          <w:rFonts w:ascii="Arial" w:eastAsia="Play" w:hAnsi="Arial" w:cs="Arial"/>
          <w:sz w:val="22"/>
          <w:szCs w:val="22"/>
        </w:rPr>
      </w:pPr>
      <w:r w:rsidRPr="00D016AD">
        <w:rPr>
          <w:rFonts w:ascii="Arial" w:eastAsia="Play" w:hAnsi="Arial" w:cs="Arial"/>
          <w:sz w:val="22"/>
          <w:szCs w:val="22"/>
        </w:rPr>
        <w:t>Telehealth and telemedicine stand at the forefront of healthcare’s digital transformation, offering unprecedented opportunities to expand access, reduce costs, and improve patient outcomes. Yet, as highlighted in the problem statement, barriers such as technological inequities, regulatory uncertainty, and privacy concerns continue to limit their full potential. This research is justified by the urgent need to address these challenges, ensuring that digital healthcare solutions are not only effective but also equitable and sustainable.</w:t>
      </w:r>
    </w:p>
    <w:p w14:paraId="0509EE20" w14:textId="38DC37C3" w:rsidR="00341F0A" w:rsidRDefault="00D016AD" w:rsidP="00BC1B2E">
      <w:pPr>
        <w:pStyle w:val="ListParagraph"/>
        <w:jc w:val="both"/>
        <w:rPr>
          <w:rFonts w:ascii="Arial" w:eastAsia="Play" w:hAnsi="Arial" w:cs="Arial"/>
          <w:sz w:val="22"/>
          <w:szCs w:val="22"/>
        </w:rPr>
      </w:pPr>
      <w:r w:rsidRPr="00D016AD">
        <w:rPr>
          <w:rFonts w:ascii="Arial" w:eastAsia="Play" w:hAnsi="Arial" w:cs="Arial"/>
          <w:sz w:val="22"/>
          <w:szCs w:val="22"/>
        </w:rPr>
        <w:t>By adopting a mixed-methods approach and integrating both primary and secondary data, this study provides a holistic perspective: quantitative evidence demonstrates measurable impacts on patient care, while qualitative insights capture the lived experiences of patients and providers. Together, these findings will inform healthcare organizations and policymakers, guiding strategies that strengthen trust, enhance accessibility, and embed telehealth into long-term healthcare frameworks. Ultimately, this research contributes to shaping a future where digital health is not a temporary solution but a permanent pillar of modern healthcare delivery.</w:t>
      </w:r>
    </w:p>
    <w:p w14:paraId="1E1BE791" w14:textId="77777777" w:rsidR="004568C9" w:rsidRDefault="004568C9" w:rsidP="00D016AD">
      <w:pPr>
        <w:pStyle w:val="ListParagraph"/>
        <w:jc w:val="both"/>
        <w:rPr>
          <w:rFonts w:ascii="Arial" w:eastAsia="Play" w:hAnsi="Arial" w:cs="Arial"/>
          <w:sz w:val="22"/>
          <w:szCs w:val="22"/>
        </w:rPr>
      </w:pPr>
    </w:p>
    <w:p w14:paraId="294D9F7D" w14:textId="77777777" w:rsidR="004568C9" w:rsidRDefault="004568C9" w:rsidP="00D016AD">
      <w:pPr>
        <w:pStyle w:val="ListParagraph"/>
        <w:jc w:val="both"/>
        <w:rPr>
          <w:rFonts w:ascii="Arial" w:eastAsia="Play" w:hAnsi="Arial" w:cs="Arial"/>
          <w:sz w:val="22"/>
          <w:szCs w:val="22"/>
        </w:rPr>
      </w:pPr>
    </w:p>
    <w:p w14:paraId="5B9AF061" w14:textId="77777777" w:rsidR="00F3134A" w:rsidRDefault="00F3134A" w:rsidP="00341F0A">
      <w:pPr>
        <w:pStyle w:val="ListParagraph"/>
        <w:jc w:val="both"/>
        <w:rPr>
          <w:rFonts w:ascii="Arial" w:eastAsia="Play" w:hAnsi="Arial" w:cs="Arial"/>
          <w:color w:val="156082" w:themeColor="accent1"/>
          <w:sz w:val="22"/>
          <w:szCs w:val="22"/>
        </w:rPr>
      </w:pPr>
    </w:p>
    <w:p w14:paraId="7729C3C6" w14:textId="18487712" w:rsidR="00F3134A" w:rsidRDefault="00F3134A" w:rsidP="00341F0A">
      <w:pPr>
        <w:pStyle w:val="ListParagraph"/>
        <w:jc w:val="both"/>
        <w:rPr>
          <w:rFonts w:ascii="Arial" w:eastAsia="Play" w:hAnsi="Arial" w:cs="Arial"/>
          <w:color w:val="156082" w:themeColor="accent1"/>
          <w:sz w:val="22"/>
          <w:szCs w:val="22"/>
        </w:rPr>
      </w:pPr>
    </w:p>
    <w:p w14:paraId="6637A790" w14:textId="650B2225" w:rsidR="00341F0A" w:rsidRPr="00BC1B2E" w:rsidRDefault="00341F0A" w:rsidP="00BC1B2E">
      <w:pPr>
        <w:pStyle w:val="Heading2"/>
        <w:rPr>
          <w:rFonts w:eastAsia="Play"/>
          <w:b/>
          <w:bCs/>
          <w:color w:val="auto"/>
        </w:rPr>
      </w:pPr>
      <w:r w:rsidRPr="00BC1B2E">
        <w:rPr>
          <w:rFonts w:eastAsia="Play"/>
          <w:b/>
          <w:bCs/>
          <w:color w:val="auto"/>
        </w:rPr>
        <w:t>References</w:t>
      </w:r>
    </w:p>
    <w:p w14:paraId="0DA4006E" w14:textId="455E206F" w:rsidR="00341F0A" w:rsidRDefault="00341F0A" w:rsidP="00445FFD">
      <w:pPr>
        <w:pStyle w:val="ListParagraph"/>
        <w:numPr>
          <w:ilvl w:val="1"/>
          <w:numId w:val="19"/>
        </w:numPr>
        <w:jc w:val="both"/>
        <w:rPr>
          <w:rFonts w:ascii="Arial" w:eastAsia="Play" w:hAnsi="Arial" w:cs="Arial"/>
          <w:sz w:val="22"/>
          <w:szCs w:val="22"/>
        </w:rPr>
      </w:pPr>
      <w:r>
        <w:rPr>
          <w:rFonts w:ascii="Arial" w:eastAsia="Play" w:hAnsi="Arial" w:cs="Arial"/>
          <w:sz w:val="22"/>
          <w:szCs w:val="22"/>
        </w:rPr>
        <w:t>Bhatia, R., 2021. Telehealth and Patient Satisfaction: A Systematic Review. Journal of Medical Internet Research</w:t>
      </w:r>
      <w:r w:rsidR="00864D29">
        <w:rPr>
          <w:rFonts w:ascii="Arial" w:eastAsia="Play" w:hAnsi="Arial" w:cs="Arial"/>
          <w:sz w:val="22"/>
          <w:szCs w:val="22"/>
        </w:rPr>
        <w:t>, 23(4), pp. e23456.</w:t>
      </w:r>
    </w:p>
    <w:p w14:paraId="088DAB99" w14:textId="41A0AFB7" w:rsidR="004630DF" w:rsidRPr="00735646" w:rsidRDefault="004630DF" w:rsidP="00445FFD">
      <w:pPr>
        <w:pStyle w:val="ListParagraph"/>
        <w:numPr>
          <w:ilvl w:val="1"/>
          <w:numId w:val="19"/>
        </w:numPr>
        <w:jc w:val="both"/>
        <w:rPr>
          <w:rFonts w:ascii="Arial" w:eastAsia="Play" w:hAnsi="Arial" w:cs="Arial"/>
          <w:sz w:val="22"/>
          <w:szCs w:val="22"/>
        </w:rPr>
      </w:pPr>
      <w:r w:rsidRPr="004630DF">
        <w:rPr>
          <w:rFonts w:ascii="Arial" w:eastAsia="Play" w:hAnsi="Arial" w:cs="Arial"/>
          <w:sz w:val="22"/>
          <w:szCs w:val="22"/>
        </w:rPr>
        <w:t xml:space="preserve">Cascini, F. (2025). </w:t>
      </w:r>
      <w:r w:rsidRPr="004630DF">
        <w:rPr>
          <w:rFonts w:ascii="Arial" w:eastAsia="Play" w:hAnsi="Arial" w:cs="Arial"/>
          <w:i/>
          <w:iCs/>
          <w:sz w:val="22"/>
          <w:szCs w:val="22"/>
        </w:rPr>
        <w:t>Secondary Use of Electronic Health Data: Public Health Perspectives, Use Cases and Challenges.</w:t>
      </w:r>
      <w:r w:rsidRPr="004630DF">
        <w:rPr>
          <w:rFonts w:ascii="Arial" w:eastAsia="Play" w:hAnsi="Arial" w:cs="Arial"/>
          <w:sz w:val="22"/>
          <w:szCs w:val="22"/>
        </w:rPr>
        <w:t xml:space="preserve"> Springer.</w:t>
      </w:r>
    </w:p>
    <w:p w14:paraId="28D25347" w14:textId="3C901F07" w:rsidR="00864D29" w:rsidRDefault="00864D29" w:rsidP="00445FFD">
      <w:pPr>
        <w:pStyle w:val="ListParagraph"/>
        <w:numPr>
          <w:ilvl w:val="1"/>
          <w:numId w:val="19"/>
        </w:numPr>
        <w:jc w:val="both"/>
        <w:rPr>
          <w:rFonts w:ascii="Arial" w:eastAsia="Play" w:hAnsi="Arial" w:cs="Arial"/>
          <w:sz w:val="22"/>
          <w:szCs w:val="22"/>
        </w:rPr>
      </w:pPr>
      <w:r>
        <w:rPr>
          <w:rFonts w:ascii="Arial" w:eastAsia="Play" w:hAnsi="Arial" w:cs="Arial"/>
          <w:sz w:val="22"/>
          <w:szCs w:val="22"/>
        </w:rPr>
        <w:t>Greennhalgh, T., Wherton, J., Shaw, S., &amp; Morrison, C., 2020. Video Consultations for COVID-19: Experience from the UK. BMJ, 368, m998.</w:t>
      </w:r>
    </w:p>
    <w:p w14:paraId="3D8E665E" w14:textId="06EB6234" w:rsidR="00304122" w:rsidRPr="00F3134A" w:rsidRDefault="00864D29" w:rsidP="00445FFD">
      <w:pPr>
        <w:pStyle w:val="ListParagraph"/>
        <w:numPr>
          <w:ilvl w:val="1"/>
          <w:numId w:val="19"/>
        </w:numPr>
        <w:jc w:val="both"/>
        <w:rPr>
          <w:rFonts w:ascii="Arial" w:eastAsia="Play" w:hAnsi="Arial" w:cs="Arial"/>
          <w:sz w:val="22"/>
          <w:szCs w:val="22"/>
        </w:rPr>
      </w:pPr>
      <w:r>
        <w:rPr>
          <w:rFonts w:ascii="Arial" w:eastAsia="Play" w:hAnsi="Arial" w:cs="Arial"/>
          <w:sz w:val="22"/>
          <w:szCs w:val="22"/>
        </w:rPr>
        <w:t>Keesara, S., Jonas, A. &amp; Schulman, K., 2020. Covid-19 and Health Care’s Digital Revolution. New England Journal of Medicine, 382</w:t>
      </w:r>
      <w:r w:rsidR="00F37063">
        <w:rPr>
          <w:rFonts w:ascii="Arial" w:eastAsia="Play" w:hAnsi="Arial" w:cs="Arial"/>
          <w:sz w:val="22"/>
          <w:szCs w:val="22"/>
        </w:rPr>
        <w:t>(23), pp. e82.</w:t>
      </w:r>
    </w:p>
    <w:p w14:paraId="29A86B50" w14:textId="10E693A5" w:rsidR="00F37063" w:rsidRDefault="00F37063" w:rsidP="00445FFD">
      <w:pPr>
        <w:pStyle w:val="ListParagraph"/>
        <w:numPr>
          <w:ilvl w:val="1"/>
          <w:numId w:val="19"/>
        </w:numPr>
        <w:jc w:val="both"/>
        <w:rPr>
          <w:rFonts w:ascii="Arial" w:eastAsia="Play" w:hAnsi="Arial" w:cs="Arial"/>
          <w:sz w:val="22"/>
          <w:szCs w:val="22"/>
        </w:rPr>
      </w:pPr>
      <w:r>
        <w:rPr>
          <w:rFonts w:ascii="Arial" w:eastAsia="Play" w:hAnsi="Arial" w:cs="Arial"/>
          <w:sz w:val="22"/>
          <w:szCs w:val="22"/>
        </w:rPr>
        <w:t>Kruse, C.S., Krowski, N., Rodriguez, B., Tran, L., Vela, J., &amp; Brooks, M., 2017. Telehealth and Patient Outcomes: A Systematic Review. JMR Medical Informat</w:t>
      </w:r>
      <w:r w:rsidR="00BE1FE6">
        <w:rPr>
          <w:rFonts w:ascii="Arial" w:eastAsia="Play" w:hAnsi="Arial" w:cs="Arial"/>
          <w:sz w:val="22"/>
          <w:szCs w:val="22"/>
        </w:rPr>
        <w:t>ics, 5(2), e13.</w:t>
      </w:r>
    </w:p>
    <w:p w14:paraId="025B20E4" w14:textId="0B7ED9F5" w:rsidR="00DB183E" w:rsidRDefault="00BE1FE6" w:rsidP="00445FFD">
      <w:pPr>
        <w:pStyle w:val="ListParagraph"/>
        <w:numPr>
          <w:ilvl w:val="1"/>
          <w:numId w:val="19"/>
        </w:numPr>
        <w:jc w:val="both"/>
        <w:rPr>
          <w:rFonts w:ascii="Arial" w:eastAsia="Play" w:hAnsi="Arial" w:cs="Arial"/>
          <w:sz w:val="22"/>
          <w:szCs w:val="22"/>
        </w:rPr>
      </w:pPr>
      <w:r>
        <w:rPr>
          <w:rFonts w:ascii="Arial" w:eastAsia="Play" w:hAnsi="Arial" w:cs="Arial"/>
          <w:sz w:val="22"/>
          <w:szCs w:val="22"/>
        </w:rPr>
        <w:t>World Health Organization (WHO), 2016. Telemedicine: Opportunities and Developments in Member States. Geneva: WHO Press.</w:t>
      </w:r>
    </w:p>
    <w:p w14:paraId="3EFA08B5" w14:textId="21174446" w:rsidR="00207526" w:rsidRPr="00207526" w:rsidRDefault="00207526" w:rsidP="00445FFD">
      <w:pPr>
        <w:pStyle w:val="ListParagraph"/>
        <w:numPr>
          <w:ilvl w:val="1"/>
          <w:numId w:val="19"/>
        </w:numPr>
        <w:jc w:val="both"/>
        <w:rPr>
          <w:rFonts w:ascii="Arial" w:eastAsia="Play" w:hAnsi="Arial" w:cs="Arial"/>
          <w:sz w:val="22"/>
          <w:szCs w:val="22"/>
        </w:rPr>
      </w:pPr>
      <w:proofErr w:type="spellStart"/>
      <w:r w:rsidRPr="00207526">
        <w:rPr>
          <w:rFonts w:ascii="Arial" w:eastAsia="Play" w:hAnsi="Arial" w:cs="Arial"/>
          <w:sz w:val="22"/>
          <w:szCs w:val="22"/>
        </w:rPr>
        <w:t>Bashshur</w:t>
      </w:r>
      <w:proofErr w:type="spellEnd"/>
      <w:r w:rsidRPr="00207526">
        <w:rPr>
          <w:rFonts w:ascii="Arial" w:eastAsia="Play" w:hAnsi="Arial" w:cs="Arial"/>
          <w:sz w:val="22"/>
          <w:szCs w:val="22"/>
        </w:rPr>
        <w:t xml:space="preserve">, R., Shannon, G., Krupinski, E., &amp; Grigsby, J. (2015). </w:t>
      </w:r>
      <w:r w:rsidRPr="00207526">
        <w:rPr>
          <w:rFonts w:ascii="Arial" w:eastAsia="Play" w:hAnsi="Arial" w:cs="Arial"/>
          <w:i/>
          <w:iCs/>
          <w:sz w:val="22"/>
          <w:szCs w:val="22"/>
        </w:rPr>
        <w:t>Sustaining and realizing the promise of telemedicine</w:t>
      </w:r>
      <w:r w:rsidRPr="00207526">
        <w:rPr>
          <w:rFonts w:ascii="Arial" w:eastAsia="Play" w:hAnsi="Arial" w:cs="Arial"/>
          <w:sz w:val="22"/>
          <w:szCs w:val="22"/>
        </w:rPr>
        <w:t>. Telemedicine and e-Health, 21(8), 647–656.</w:t>
      </w:r>
    </w:p>
    <w:p w14:paraId="5E7417EE" w14:textId="77777777" w:rsidR="004630DF" w:rsidRPr="004630DF" w:rsidRDefault="004630DF" w:rsidP="00735646">
      <w:pPr>
        <w:pStyle w:val="ListParagraph"/>
        <w:numPr>
          <w:ilvl w:val="0"/>
          <w:numId w:val="18"/>
        </w:numPr>
        <w:jc w:val="both"/>
        <w:rPr>
          <w:rFonts w:ascii="Arial" w:eastAsia="Play" w:hAnsi="Arial" w:cs="Arial"/>
          <w:sz w:val="22"/>
          <w:szCs w:val="22"/>
        </w:rPr>
      </w:pPr>
      <w:r w:rsidRPr="004630DF">
        <w:rPr>
          <w:rFonts w:ascii="Arial" w:eastAsia="Play" w:hAnsi="Arial" w:cs="Arial"/>
          <w:sz w:val="22"/>
          <w:szCs w:val="22"/>
        </w:rPr>
        <w:t xml:space="preserve">Qu, J. (2025). </w:t>
      </w:r>
      <w:r w:rsidRPr="004630DF">
        <w:rPr>
          <w:rFonts w:ascii="Arial" w:eastAsia="Play" w:hAnsi="Arial" w:cs="Arial"/>
          <w:i/>
          <w:iCs/>
          <w:sz w:val="22"/>
          <w:szCs w:val="22"/>
        </w:rPr>
        <w:t>Factors Affecting Patients’ Use of Telehealth Services: Cross-Sectional Survey Study.</w:t>
      </w:r>
      <w:r w:rsidRPr="004630DF">
        <w:rPr>
          <w:rFonts w:ascii="Arial" w:eastAsia="Play" w:hAnsi="Arial" w:cs="Arial"/>
          <w:sz w:val="22"/>
          <w:szCs w:val="22"/>
        </w:rPr>
        <w:t xml:space="preserve"> </w:t>
      </w:r>
      <w:r w:rsidRPr="004630DF">
        <w:rPr>
          <w:rFonts w:ascii="Arial" w:eastAsia="Play" w:hAnsi="Arial" w:cs="Arial"/>
          <w:i/>
          <w:iCs/>
          <w:sz w:val="22"/>
          <w:szCs w:val="22"/>
        </w:rPr>
        <w:t>Journal of Medical Internet Research,</w:t>
      </w:r>
      <w:r w:rsidRPr="004630DF">
        <w:rPr>
          <w:rFonts w:ascii="Arial" w:eastAsia="Play" w:hAnsi="Arial" w:cs="Arial"/>
          <w:sz w:val="22"/>
          <w:szCs w:val="22"/>
        </w:rPr>
        <w:t xml:space="preserve"> 27.</w:t>
      </w:r>
    </w:p>
    <w:p w14:paraId="26C6F149" w14:textId="77777777" w:rsidR="004630DF" w:rsidRPr="004630DF" w:rsidRDefault="004630DF" w:rsidP="00445FFD">
      <w:pPr>
        <w:pStyle w:val="ListParagraph"/>
        <w:numPr>
          <w:ilvl w:val="0"/>
          <w:numId w:val="20"/>
        </w:numPr>
        <w:jc w:val="both"/>
        <w:rPr>
          <w:rFonts w:ascii="Arial" w:eastAsia="Play" w:hAnsi="Arial" w:cs="Arial"/>
          <w:sz w:val="22"/>
          <w:szCs w:val="22"/>
        </w:rPr>
      </w:pPr>
      <w:proofErr w:type="spellStart"/>
      <w:r w:rsidRPr="004630DF">
        <w:rPr>
          <w:rFonts w:ascii="Arial" w:eastAsia="Play" w:hAnsi="Arial" w:cs="Arial"/>
          <w:sz w:val="22"/>
          <w:szCs w:val="22"/>
        </w:rPr>
        <w:lastRenderedPageBreak/>
        <w:t>Seuren</w:t>
      </w:r>
      <w:proofErr w:type="spellEnd"/>
      <w:r w:rsidRPr="004630DF">
        <w:rPr>
          <w:rFonts w:ascii="Arial" w:eastAsia="Play" w:hAnsi="Arial" w:cs="Arial"/>
          <w:sz w:val="22"/>
          <w:szCs w:val="22"/>
        </w:rPr>
        <w:t xml:space="preserve">, L. M., Ilomäki, S., </w:t>
      </w:r>
      <w:proofErr w:type="spellStart"/>
      <w:r w:rsidRPr="004630DF">
        <w:rPr>
          <w:rFonts w:ascii="Arial" w:eastAsia="Play" w:hAnsi="Arial" w:cs="Arial"/>
          <w:sz w:val="22"/>
          <w:szCs w:val="22"/>
        </w:rPr>
        <w:t>Dalmaijer</w:t>
      </w:r>
      <w:proofErr w:type="spellEnd"/>
      <w:r w:rsidRPr="004630DF">
        <w:rPr>
          <w:rFonts w:ascii="Arial" w:eastAsia="Play" w:hAnsi="Arial" w:cs="Arial"/>
          <w:sz w:val="22"/>
          <w:szCs w:val="22"/>
        </w:rPr>
        <w:t xml:space="preserve">, E., Shaw, S. E., &amp; Stommel, W. J. P. (2024). </w:t>
      </w:r>
      <w:r w:rsidRPr="004630DF">
        <w:rPr>
          <w:rFonts w:ascii="Arial" w:eastAsia="Play" w:hAnsi="Arial" w:cs="Arial"/>
          <w:i/>
          <w:iCs/>
          <w:sz w:val="22"/>
          <w:szCs w:val="22"/>
        </w:rPr>
        <w:t>Communication in Telehealth: A State-of-the-Art Literature Review of Conversation-Analytic Research.</w:t>
      </w:r>
      <w:r w:rsidRPr="004630DF">
        <w:rPr>
          <w:rFonts w:ascii="Arial" w:eastAsia="Play" w:hAnsi="Arial" w:cs="Arial"/>
          <w:sz w:val="22"/>
          <w:szCs w:val="22"/>
        </w:rPr>
        <w:t xml:space="preserve"> </w:t>
      </w:r>
      <w:r w:rsidRPr="004630DF">
        <w:rPr>
          <w:rFonts w:ascii="Arial" w:eastAsia="Play" w:hAnsi="Arial" w:cs="Arial"/>
          <w:i/>
          <w:iCs/>
          <w:sz w:val="22"/>
          <w:szCs w:val="22"/>
        </w:rPr>
        <w:t>Research on Language and Social Interaction,</w:t>
      </w:r>
      <w:r w:rsidRPr="004630DF">
        <w:rPr>
          <w:rFonts w:ascii="Arial" w:eastAsia="Play" w:hAnsi="Arial" w:cs="Arial"/>
          <w:sz w:val="22"/>
          <w:szCs w:val="22"/>
        </w:rPr>
        <w:t xml:space="preserve"> 57(1), 73–90.</w:t>
      </w:r>
    </w:p>
    <w:p w14:paraId="39233F9B" w14:textId="77777777" w:rsidR="004630DF" w:rsidRPr="004630DF" w:rsidRDefault="004630DF" w:rsidP="00445FFD">
      <w:pPr>
        <w:pStyle w:val="ListParagraph"/>
        <w:numPr>
          <w:ilvl w:val="0"/>
          <w:numId w:val="20"/>
        </w:numPr>
        <w:jc w:val="both"/>
        <w:rPr>
          <w:rFonts w:ascii="Arial" w:eastAsia="Play" w:hAnsi="Arial" w:cs="Arial"/>
          <w:sz w:val="22"/>
          <w:szCs w:val="22"/>
        </w:rPr>
      </w:pPr>
      <w:r w:rsidRPr="004630DF">
        <w:rPr>
          <w:rFonts w:ascii="Arial" w:eastAsia="Play" w:hAnsi="Arial" w:cs="Arial"/>
          <w:sz w:val="22"/>
          <w:szCs w:val="22"/>
        </w:rPr>
        <w:t xml:space="preserve">Tamuhla, T., </w:t>
      </w:r>
      <w:proofErr w:type="spellStart"/>
      <w:r w:rsidRPr="004630DF">
        <w:rPr>
          <w:rFonts w:ascii="Arial" w:eastAsia="Play" w:hAnsi="Arial" w:cs="Arial"/>
          <w:sz w:val="22"/>
          <w:szCs w:val="22"/>
        </w:rPr>
        <w:t>Lulamba</w:t>
      </w:r>
      <w:proofErr w:type="spellEnd"/>
      <w:r w:rsidRPr="004630DF">
        <w:rPr>
          <w:rFonts w:ascii="Arial" w:eastAsia="Play" w:hAnsi="Arial" w:cs="Arial"/>
          <w:sz w:val="22"/>
          <w:szCs w:val="22"/>
        </w:rPr>
        <w:t xml:space="preserve">, E. T., </w:t>
      </w:r>
      <w:proofErr w:type="spellStart"/>
      <w:r w:rsidRPr="004630DF">
        <w:rPr>
          <w:rFonts w:ascii="Arial" w:eastAsia="Play" w:hAnsi="Arial" w:cs="Arial"/>
          <w:sz w:val="22"/>
          <w:szCs w:val="22"/>
        </w:rPr>
        <w:t>Mutemaringa</w:t>
      </w:r>
      <w:proofErr w:type="spellEnd"/>
      <w:r w:rsidRPr="004630DF">
        <w:rPr>
          <w:rFonts w:ascii="Arial" w:eastAsia="Play" w:hAnsi="Arial" w:cs="Arial"/>
          <w:sz w:val="22"/>
          <w:szCs w:val="22"/>
        </w:rPr>
        <w:t xml:space="preserve">, T., &amp; Tiffin, N. (2023). </w:t>
      </w:r>
      <w:r w:rsidRPr="004630DF">
        <w:rPr>
          <w:rFonts w:ascii="Arial" w:eastAsia="Play" w:hAnsi="Arial" w:cs="Arial"/>
          <w:i/>
          <w:iCs/>
          <w:sz w:val="22"/>
          <w:szCs w:val="22"/>
        </w:rPr>
        <w:t>Multiple modes of data sharing can facilitate secondary use of sensitive health data for research.</w:t>
      </w:r>
      <w:r w:rsidRPr="004630DF">
        <w:rPr>
          <w:rFonts w:ascii="Arial" w:eastAsia="Play" w:hAnsi="Arial" w:cs="Arial"/>
          <w:sz w:val="22"/>
          <w:szCs w:val="22"/>
        </w:rPr>
        <w:t xml:space="preserve"> </w:t>
      </w:r>
      <w:r w:rsidRPr="004630DF">
        <w:rPr>
          <w:rFonts w:ascii="Arial" w:eastAsia="Play" w:hAnsi="Arial" w:cs="Arial"/>
          <w:i/>
          <w:iCs/>
          <w:sz w:val="22"/>
          <w:szCs w:val="22"/>
        </w:rPr>
        <w:t>BMJ Global Health,</w:t>
      </w:r>
      <w:r w:rsidRPr="004630DF">
        <w:rPr>
          <w:rFonts w:ascii="Arial" w:eastAsia="Play" w:hAnsi="Arial" w:cs="Arial"/>
          <w:sz w:val="22"/>
          <w:szCs w:val="22"/>
        </w:rPr>
        <w:t xml:space="preserve"> 8(10), e013092.</w:t>
      </w:r>
    </w:p>
    <w:p w14:paraId="184BFF18" w14:textId="77777777" w:rsidR="004630DF" w:rsidRPr="004630DF" w:rsidRDefault="004630DF" w:rsidP="00445FFD">
      <w:pPr>
        <w:pStyle w:val="ListParagraph"/>
        <w:numPr>
          <w:ilvl w:val="0"/>
          <w:numId w:val="20"/>
        </w:numPr>
        <w:jc w:val="both"/>
        <w:rPr>
          <w:rFonts w:ascii="Arial" w:eastAsia="Play" w:hAnsi="Arial" w:cs="Arial"/>
          <w:sz w:val="22"/>
          <w:szCs w:val="22"/>
        </w:rPr>
      </w:pPr>
      <w:r w:rsidRPr="004630DF">
        <w:rPr>
          <w:rFonts w:ascii="Arial" w:eastAsia="Play" w:hAnsi="Arial" w:cs="Arial"/>
          <w:i/>
          <w:iCs/>
          <w:sz w:val="22"/>
          <w:szCs w:val="22"/>
        </w:rPr>
        <w:t>Secondary data for global health digitalisation.</w:t>
      </w:r>
      <w:r w:rsidRPr="004630DF">
        <w:rPr>
          <w:rFonts w:ascii="Arial" w:eastAsia="Play" w:hAnsi="Arial" w:cs="Arial"/>
          <w:sz w:val="22"/>
          <w:szCs w:val="22"/>
        </w:rPr>
        <w:t xml:space="preserve"> (2022). </w:t>
      </w:r>
      <w:r w:rsidRPr="004630DF">
        <w:rPr>
          <w:rFonts w:ascii="Arial" w:eastAsia="Play" w:hAnsi="Arial" w:cs="Arial"/>
          <w:i/>
          <w:iCs/>
          <w:sz w:val="22"/>
          <w:szCs w:val="22"/>
        </w:rPr>
        <w:t>The Lancet Digital Health.</w:t>
      </w:r>
    </w:p>
    <w:p w14:paraId="33141AFF" w14:textId="7DA8CD4B" w:rsidR="00207526" w:rsidRPr="00207526" w:rsidRDefault="00207526" w:rsidP="00207526">
      <w:pPr>
        <w:pStyle w:val="ListParagraph"/>
        <w:jc w:val="both"/>
        <w:rPr>
          <w:rFonts w:ascii="Arial" w:eastAsia="Play" w:hAnsi="Arial" w:cs="Arial"/>
          <w:sz w:val="22"/>
          <w:szCs w:val="22"/>
        </w:rPr>
      </w:pPr>
    </w:p>
    <w:p w14:paraId="6756CF70" w14:textId="77777777" w:rsidR="00DB183E" w:rsidRPr="00DB183E" w:rsidRDefault="00DB183E" w:rsidP="00DB183E">
      <w:pPr>
        <w:pStyle w:val="ListParagraph"/>
        <w:jc w:val="both"/>
        <w:rPr>
          <w:rFonts w:ascii="Arial" w:eastAsia="Play" w:hAnsi="Arial" w:cs="Arial"/>
          <w:sz w:val="22"/>
          <w:szCs w:val="22"/>
        </w:rPr>
      </w:pPr>
    </w:p>
    <w:p w14:paraId="18FA0D34" w14:textId="77777777" w:rsidR="00EF3639" w:rsidRPr="0092080A" w:rsidRDefault="00EF3639" w:rsidP="0092080A">
      <w:pPr>
        <w:pStyle w:val="ListParagraph"/>
        <w:jc w:val="both"/>
        <w:rPr>
          <w:rFonts w:ascii="Arial" w:eastAsia="Play" w:hAnsi="Arial" w:cs="Arial"/>
          <w:sz w:val="22"/>
          <w:szCs w:val="22"/>
        </w:rPr>
      </w:pPr>
    </w:p>
    <w:p w14:paraId="01821796" w14:textId="77777777" w:rsidR="00970B21" w:rsidRDefault="00970B21" w:rsidP="00853C2E">
      <w:pPr>
        <w:rPr>
          <w:rFonts w:ascii="Arial" w:eastAsia="Play" w:hAnsi="Arial" w:cs="Arial"/>
          <w:color w:val="000000" w:themeColor="text1"/>
          <w:sz w:val="22"/>
          <w:szCs w:val="22"/>
        </w:rPr>
      </w:pPr>
    </w:p>
    <w:p w14:paraId="3450EB77" w14:textId="0E5E0AA4" w:rsidR="00970B21" w:rsidRDefault="00970B21" w:rsidP="00853C2E">
      <w:pPr>
        <w:rPr>
          <w:rFonts w:ascii="Arial" w:eastAsia="Play" w:hAnsi="Arial" w:cs="Arial"/>
          <w:color w:val="000000" w:themeColor="text1"/>
          <w:sz w:val="22"/>
          <w:szCs w:val="22"/>
        </w:rPr>
      </w:pPr>
    </w:p>
    <w:p w14:paraId="2961B846" w14:textId="77777777" w:rsidR="00970B21" w:rsidRDefault="00970B21" w:rsidP="00853C2E">
      <w:pPr>
        <w:rPr>
          <w:rFonts w:ascii="Arial" w:eastAsia="Play" w:hAnsi="Arial" w:cs="Arial"/>
          <w:color w:val="000000" w:themeColor="text1"/>
          <w:sz w:val="22"/>
          <w:szCs w:val="22"/>
        </w:rPr>
      </w:pPr>
    </w:p>
    <w:p w14:paraId="507844FE" w14:textId="77777777" w:rsidR="00970B21" w:rsidRDefault="00970B21" w:rsidP="00853C2E">
      <w:pPr>
        <w:rPr>
          <w:rFonts w:ascii="Arial" w:eastAsia="Play" w:hAnsi="Arial" w:cs="Arial"/>
          <w:color w:val="000000" w:themeColor="text1"/>
          <w:sz w:val="22"/>
          <w:szCs w:val="22"/>
        </w:rPr>
      </w:pPr>
    </w:p>
    <w:p w14:paraId="41661F44" w14:textId="77777777" w:rsidR="00970B21" w:rsidRDefault="00970B21" w:rsidP="00853C2E">
      <w:pPr>
        <w:rPr>
          <w:rFonts w:ascii="Arial" w:eastAsia="Play" w:hAnsi="Arial" w:cs="Arial"/>
          <w:color w:val="000000" w:themeColor="text1"/>
          <w:sz w:val="22"/>
          <w:szCs w:val="22"/>
        </w:rPr>
      </w:pPr>
    </w:p>
    <w:p w14:paraId="3C9204BB" w14:textId="77777777" w:rsidR="00970B21" w:rsidRDefault="00970B21" w:rsidP="00853C2E">
      <w:pPr>
        <w:rPr>
          <w:rFonts w:ascii="Arial" w:eastAsia="Play" w:hAnsi="Arial" w:cs="Arial"/>
          <w:color w:val="000000" w:themeColor="text1"/>
          <w:sz w:val="22"/>
          <w:szCs w:val="22"/>
        </w:rPr>
      </w:pPr>
    </w:p>
    <w:p w14:paraId="5F74DE98" w14:textId="77777777" w:rsidR="00970B21" w:rsidRDefault="00970B21" w:rsidP="00853C2E">
      <w:pPr>
        <w:rPr>
          <w:rFonts w:ascii="Arial" w:eastAsia="Play" w:hAnsi="Arial" w:cs="Arial"/>
          <w:color w:val="000000" w:themeColor="text1"/>
          <w:sz w:val="22"/>
          <w:szCs w:val="22"/>
        </w:rPr>
      </w:pPr>
    </w:p>
    <w:p w14:paraId="03B02EEB" w14:textId="14FC698E" w:rsidR="00B323D8" w:rsidRPr="00B323D8" w:rsidRDefault="00B323D8" w:rsidP="00853C2E">
      <w:pPr>
        <w:rPr>
          <w:rFonts w:ascii="Arial" w:eastAsia="Play" w:hAnsi="Arial" w:cs="Arial"/>
          <w:color w:val="000000" w:themeColor="text1"/>
          <w:sz w:val="22"/>
          <w:szCs w:val="22"/>
        </w:rPr>
      </w:pPr>
    </w:p>
    <w:p w14:paraId="631D3708" w14:textId="77777777" w:rsidR="00BF572D" w:rsidRDefault="00BF572D" w:rsidP="00853C2E">
      <w:pPr>
        <w:rPr>
          <w:rFonts w:ascii="Arial" w:hAnsi="Arial" w:cs="Arial"/>
        </w:rPr>
      </w:pPr>
    </w:p>
    <w:p w14:paraId="3A87E1FA" w14:textId="77777777" w:rsidR="0063131F" w:rsidRPr="00A25F71" w:rsidRDefault="0063131F">
      <w:pPr>
        <w:rPr>
          <w:rFonts w:ascii="Arial" w:hAnsi="Arial" w:cs="Arial"/>
        </w:rPr>
      </w:pPr>
    </w:p>
    <w:sectPr w:rsidR="0063131F" w:rsidRPr="00A25F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A185F" w14:textId="77777777" w:rsidR="002C1DA4" w:rsidRDefault="002C1DA4" w:rsidP="00D00316">
      <w:pPr>
        <w:spacing w:after="0" w:line="240" w:lineRule="auto"/>
      </w:pPr>
      <w:r>
        <w:separator/>
      </w:r>
    </w:p>
  </w:endnote>
  <w:endnote w:type="continuationSeparator" w:id="0">
    <w:p w14:paraId="66A10860" w14:textId="77777777" w:rsidR="002C1DA4" w:rsidRDefault="002C1DA4" w:rsidP="00D00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lay">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EE475" w14:textId="77777777" w:rsidR="002C1DA4" w:rsidRDefault="002C1DA4" w:rsidP="00D00316">
      <w:pPr>
        <w:spacing w:after="0" w:line="240" w:lineRule="auto"/>
      </w:pPr>
      <w:r>
        <w:separator/>
      </w:r>
    </w:p>
  </w:footnote>
  <w:footnote w:type="continuationSeparator" w:id="0">
    <w:p w14:paraId="70FC975C" w14:textId="77777777" w:rsidR="002C1DA4" w:rsidRDefault="002C1DA4" w:rsidP="00D003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806D1"/>
    <w:multiLevelType w:val="hybridMultilevel"/>
    <w:tmpl w:val="0F4A0836"/>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2EC37EA"/>
    <w:multiLevelType w:val="hybridMultilevel"/>
    <w:tmpl w:val="0512DF3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62A369F"/>
    <w:multiLevelType w:val="hybridMultilevel"/>
    <w:tmpl w:val="7A522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92EB3"/>
    <w:multiLevelType w:val="multilevel"/>
    <w:tmpl w:val="67661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40501"/>
    <w:multiLevelType w:val="multilevel"/>
    <w:tmpl w:val="7234A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C76FDA"/>
    <w:multiLevelType w:val="hybridMultilevel"/>
    <w:tmpl w:val="8A22C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487E45"/>
    <w:multiLevelType w:val="multilevel"/>
    <w:tmpl w:val="CDB05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F2069C"/>
    <w:multiLevelType w:val="hybridMultilevel"/>
    <w:tmpl w:val="002E528C"/>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ACE611A"/>
    <w:multiLevelType w:val="hybridMultilevel"/>
    <w:tmpl w:val="B6349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911355"/>
    <w:multiLevelType w:val="multilevel"/>
    <w:tmpl w:val="CE2E3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71621C"/>
    <w:multiLevelType w:val="multilevel"/>
    <w:tmpl w:val="4808B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AD73D0"/>
    <w:multiLevelType w:val="multilevel"/>
    <w:tmpl w:val="951CE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3F6B4D"/>
    <w:multiLevelType w:val="hybridMultilevel"/>
    <w:tmpl w:val="86CCE6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EDA0519"/>
    <w:multiLevelType w:val="hybridMultilevel"/>
    <w:tmpl w:val="5B8A4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E41329"/>
    <w:multiLevelType w:val="hybridMultilevel"/>
    <w:tmpl w:val="858A867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52635466"/>
    <w:multiLevelType w:val="hybridMultilevel"/>
    <w:tmpl w:val="0DEED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B82FE5"/>
    <w:multiLevelType w:val="hybridMultilevel"/>
    <w:tmpl w:val="D5525CA2"/>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5E5355F2"/>
    <w:multiLevelType w:val="multilevel"/>
    <w:tmpl w:val="C526E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7C2612"/>
    <w:multiLevelType w:val="multilevel"/>
    <w:tmpl w:val="8570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92148F"/>
    <w:multiLevelType w:val="hybridMultilevel"/>
    <w:tmpl w:val="B7B413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9861884">
    <w:abstractNumId w:val="8"/>
  </w:num>
  <w:num w:numId="2" w16cid:durableId="1204828470">
    <w:abstractNumId w:val="1"/>
  </w:num>
  <w:num w:numId="3" w16cid:durableId="1122504994">
    <w:abstractNumId w:val="0"/>
  </w:num>
  <w:num w:numId="4" w16cid:durableId="286157511">
    <w:abstractNumId w:val="5"/>
  </w:num>
  <w:num w:numId="5" w16cid:durableId="976225374">
    <w:abstractNumId w:val="13"/>
  </w:num>
  <w:num w:numId="6" w16cid:durableId="1661152548">
    <w:abstractNumId w:val="2"/>
  </w:num>
  <w:num w:numId="7" w16cid:durableId="896210940">
    <w:abstractNumId w:val="15"/>
  </w:num>
  <w:num w:numId="8" w16cid:durableId="1290940974">
    <w:abstractNumId w:val="12"/>
  </w:num>
  <w:num w:numId="9" w16cid:durableId="41558139">
    <w:abstractNumId w:val="14"/>
  </w:num>
  <w:num w:numId="10" w16cid:durableId="1843857785">
    <w:abstractNumId w:val="11"/>
  </w:num>
  <w:num w:numId="11" w16cid:durableId="1338119022">
    <w:abstractNumId w:val="3"/>
  </w:num>
  <w:num w:numId="12" w16cid:durableId="1040320417">
    <w:abstractNumId w:val="9"/>
  </w:num>
  <w:num w:numId="13" w16cid:durableId="861477909">
    <w:abstractNumId w:val="18"/>
  </w:num>
  <w:num w:numId="14" w16cid:durableId="789518728">
    <w:abstractNumId w:val="4"/>
  </w:num>
  <w:num w:numId="15" w16cid:durableId="476335980">
    <w:abstractNumId w:val="6"/>
  </w:num>
  <w:num w:numId="16" w16cid:durableId="999773210">
    <w:abstractNumId w:val="10"/>
  </w:num>
  <w:num w:numId="17" w16cid:durableId="724178488">
    <w:abstractNumId w:val="17"/>
  </w:num>
  <w:num w:numId="18" w16cid:durableId="10229200">
    <w:abstractNumId w:val="19"/>
  </w:num>
  <w:num w:numId="19" w16cid:durableId="1294944710">
    <w:abstractNumId w:val="7"/>
  </w:num>
  <w:num w:numId="20" w16cid:durableId="30173730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1D3"/>
    <w:rsid w:val="00020A75"/>
    <w:rsid w:val="00022E76"/>
    <w:rsid w:val="0002792B"/>
    <w:rsid w:val="00033D15"/>
    <w:rsid w:val="00066165"/>
    <w:rsid w:val="00096CD9"/>
    <w:rsid w:val="000B06F7"/>
    <w:rsid w:val="000B5456"/>
    <w:rsid w:val="00115975"/>
    <w:rsid w:val="001504B2"/>
    <w:rsid w:val="001E34A0"/>
    <w:rsid w:val="00201C63"/>
    <w:rsid w:val="00207526"/>
    <w:rsid w:val="002373DC"/>
    <w:rsid w:val="00252389"/>
    <w:rsid w:val="0025598C"/>
    <w:rsid w:val="002A7F8E"/>
    <w:rsid w:val="002C1DA4"/>
    <w:rsid w:val="002F7101"/>
    <w:rsid w:val="00304122"/>
    <w:rsid w:val="0030581C"/>
    <w:rsid w:val="00326F5D"/>
    <w:rsid w:val="00341F0A"/>
    <w:rsid w:val="00381068"/>
    <w:rsid w:val="0039023E"/>
    <w:rsid w:val="003C27DE"/>
    <w:rsid w:val="003D72C0"/>
    <w:rsid w:val="00445FFD"/>
    <w:rsid w:val="00450AA3"/>
    <w:rsid w:val="004568C9"/>
    <w:rsid w:val="004630DF"/>
    <w:rsid w:val="00486A1C"/>
    <w:rsid w:val="004956C6"/>
    <w:rsid w:val="004C3750"/>
    <w:rsid w:val="004E4920"/>
    <w:rsid w:val="00506A1C"/>
    <w:rsid w:val="005640AA"/>
    <w:rsid w:val="00590B93"/>
    <w:rsid w:val="005951D3"/>
    <w:rsid w:val="005C7A79"/>
    <w:rsid w:val="005E2FB5"/>
    <w:rsid w:val="0061766F"/>
    <w:rsid w:val="0063131F"/>
    <w:rsid w:val="00642FED"/>
    <w:rsid w:val="0064742B"/>
    <w:rsid w:val="00666247"/>
    <w:rsid w:val="00735646"/>
    <w:rsid w:val="00785255"/>
    <w:rsid w:val="0080794B"/>
    <w:rsid w:val="008224CA"/>
    <w:rsid w:val="00853C2E"/>
    <w:rsid w:val="00864D29"/>
    <w:rsid w:val="008A750F"/>
    <w:rsid w:val="008C73C6"/>
    <w:rsid w:val="008D33E5"/>
    <w:rsid w:val="008E0E63"/>
    <w:rsid w:val="0090395E"/>
    <w:rsid w:val="0092080A"/>
    <w:rsid w:val="00936729"/>
    <w:rsid w:val="00941FD2"/>
    <w:rsid w:val="00960C44"/>
    <w:rsid w:val="00963CC5"/>
    <w:rsid w:val="00970B21"/>
    <w:rsid w:val="00972168"/>
    <w:rsid w:val="00986897"/>
    <w:rsid w:val="00A24E37"/>
    <w:rsid w:val="00A25F71"/>
    <w:rsid w:val="00A31A66"/>
    <w:rsid w:val="00A8415B"/>
    <w:rsid w:val="00AE0870"/>
    <w:rsid w:val="00AE2C00"/>
    <w:rsid w:val="00AF082C"/>
    <w:rsid w:val="00B323D8"/>
    <w:rsid w:val="00B97546"/>
    <w:rsid w:val="00BB4FD8"/>
    <w:rsid w:val="00BC1B2E"/>
    <w:rsid w:val="00BE1FE6"/>
    <w:rsid w:val="00BE71AA"/>
    <w:rsid w:val="00BF572D"/>
    <w:rsid w:val="00C1650B"/>
    <w:rsid w:val="00C26EF4"/>
    <w:rsid w:val="00C561B9"/>
    <w:rsid w:val="00CB6C64"/>
    <w:rsid w:val="00D00316"/>
    <w:rsid w:val="00D016AD"/>
    <w:rsid w:val="00D877C2"/>
    <w:rsid w:val="00D90CBF"/>
    <w:rsid w:val="00DB183E"/>
    <w:rsid w:val="00DD0FE3"/>
    <w:rsid w:val="00E14407"/>
    <w:rsid w:val="00E16ED7"/>
    <w:rsid w:val="00E457D4"/>
    <w:rsid w:val="00ED3D50"/>
    <w:rsid w:val="00EF3639"/>
    <w:rsid w:val="00F06F15"/>
    <w:rsid w:val="00F3134A"/>
    <w:rsid w:val="00F37063"/>
    <w:rsid w:val="00F56746"/>
    <w:rsid w:val="00F61AC3"/>
    <w:rsid w:val="00F85A07"/>
    <w:rsid w:val="00FB2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46FFB"/>
  <w15:chartTrackingRefBased/>
  <w15:docId w15:val="{851971D9-7FCB-4ED9-B0AB-9B46B2F2A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316"/>
    <w:pPr>
      <w:spacing w:line="278" w:lineRule="auto"/>
    </w:pPr>
    <w:rPr>
      <w:rFonts w:ascii="Aptos" w:eastAsia="Aptos" w:hAnsi="Aptos" w:cs="Aptos"/>
      <w:kern w:val="0"/>
      <w:sz w:val="24"/>
      <w:szCs w:val="24"/>
      <w:lang w:eastAsia="en-GB"/>
      <w14:ligatures w14:val="none"/>
    </w:rPr>
  </w:style>
  <w:style w:type="paragraph" w:styleId="Heading1">
    <w:name w:val="heading 1"/>
    <w:basedOn w:val="Normal"/>
    <w:next w:val="Normal"/>
    <w:link w:val="Heading1Char"/>
    <w:uiPriority w:val="9"/>
    <w:qFormat/>
    <w:rsid w:val="005951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51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1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1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1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1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1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1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1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1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51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1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1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1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1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1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1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1D3"/>
    <w:rPr>
      <w:rFonts w:eastAsiaTheme="majorEastAsia" w:cstheme="majorBidi"/>
      <w:color w:val="272727" w:themeColor="text1" w:themeTint="D8"/>
    </w:rPr>
  </w:style>
  <w:style w:type="paragraph" w:styleId="Title">
    <w:name w:val="Title"/>
    <w:basedOn w:val="Normal"/>
    <w:next w:val="Normal"/>
    <w:link w:val="TitleChar"/>
    <w:uiPriority w:val="10"/>
    <w:qFormat/>
    <w:rsid w:val="005951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1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1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1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1D3"/>
    <w:pPr>
      <w:spacing w:before="160"/>
      <w:jc w:val="center"/>
    </w:pPr>
    <w:rPr>
      <w:i/>
      <w:iCs/>
      <w:color w:val="404040" w:themeColor="text1" w:themeTint="BF"/>
    </w:rPr>
  </w:style>
  <w:style w:type="character" w:customStyle="1" w:styleId="QuoteChar">
    <w:name w:val="Quote Char"/>
    <w:basedOn w:val="DefaultParagraphFont"/>
    <w:link w:val="Quote"/>
    <w:uiPriority w:val="29"/>
    <w:rsid w:val="005951D3"/>
    <w:rPr>
      <w:i/>
      <w:iCs/>
      <w:color w:val="404040" w:themeColor="text1" w:themeTint="BF"/>
    </w:rPr>
  </w:style>
  <w:style w:type="paragraph" w:styleId="ListParagraph">
    <w:name w:val="List Paragraph"/>
    <w:basedOn w:val="Normal"/>
    <w:uiPriority w:val="34"/>
    <w:qFormat/>
    <w:rsid w:val="005951D3"/>
    <w:pPr>
      <w:ind w:left="720"/>
      <w:contextualSpacing/>
    </w:pPr>
  </w:style>
  <w:style w:type="character" w:styleId="IntenseEmphasis">
    <w:name w:val="Intense Emphasis"/>
    <w:basedOn w:val="DefaultParagraphFont"/>
    <w:uiPriority w:val="21"/>
    <w:qFormat/>
    <w:rsid w:val="005951D3"/>
    <w:rPr>
      <w:i/>
      <w:iCs/>
      <w:color w:val="0F4761" w:themeColor="accent1" w:themeShade="BF"/>
    </w:rPr>
  </w:style>
  <w:style w:type="paragraph" w:styleId="IntenseQuote">
    <w:name w:val="Intense Quote"/>
    <w:basedOn w:val="Normal"/>
    <w:next w:val="Normal"/>
    <w:link w:val="IntenseQuoteChar"/>
    <w:uiPriority w:val="30"/>
    <w:qFormat/>
    <w:rsid w:val="005951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1D3"/>
    <w:rPr>
      <w:i/>
      <w:iCs/>
      <w:color w:val="0F4761" w:themeColor="accent1" w:themeShade="BF"/>
    </w:rPr>
  </w:style>
  <w:style w:type="character" w:styleId="IntenseReference">
    <w:name w:val="Intense Reference"/>
    <w:basedOn w:val="DefaultParagraphFont"/>
    <w:uiPriority w:val="32"/>
    <w:qFormat/>
    <w:rsid w:val="005951D3"/>
    <w:rPr>
      <w:b/>
      <w:bCs/>
      <w:smallCaps/>
      <w:color w:val="0F4761" w:themeColor="accent1" w:themeShade="BF"/>
      <w:spacing w:val="5"/>
    </w:rPr>
  </w:style>
  <w:style w:type="paragraph" w:styleId="Header">
    <w:name w:val="header"/>
    <w:basedOn w:val="Normal"/>
    <w:link w:val="HeaderChar"/>
    <w:uiPriority w:val="99"/>
    <w:unhideWhenUsed/>
    <w:rsid w:val="00D00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316"/>
  </w:style>
  <w:style w:type="paragraph" w:styleId="Footer">
    <w:name w:val="footer"/>
    <w:basedOn w:val="Normal"/>
    <w:link w:val="FooterChar"/>
    <w:uiPriority w:val="99"/>
    <w:unhideWhenUsed/>
    <w:rsid w:val="00D00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316"/>
  </w:style>
  <w:style w:type="paragraph" w:styleId="TOC1">
    <w:name w:val="toc 1"/>
    <w:basedOn w:val="Normal"/>
    <w:next w:val="Normal"/>
    <w:autoRedefine/>
    <w:uiPriority w:val="39"/>
    <w:unhideWhenUsed/>
    <w:rsid w:val="00853C2E"/>
    <w:pPr>
      <w:spacing w:after="100"/>
    </w:pPr>
  </w:style>
  <w:style w:type="paragraph" w:styleId="TOC2">
    <w:name w:val="toc 2"/>
    <w:basedOn w:val="Normal"/>
    <w:next w:val="Normal"/>
    <w:autoRedefine/>
    <w:uiPriority w:val="39"/>
    <w:unhideWhenUsed/>
    <w:rsid w:val="00853C2E"/>
    <w:pPr>
      <w:spacing w:after="100"/>
      <w:ind w:left="240"/>
    </w:pPr>
  </w:style>
  <w:style w:type="character" w:styleId="Hyperlink">
    <w:name w:val="Hyperlink"/>
    <w:basedOn w:val="DefaultParagraphFont"/>
    <w:uiPriority w:val="99"/>
    <w:unhideWhenUsed/>
    <w:rsid w:val="00853C2E"/>
    <w:rPr>
      <w:color w:val="467886" w:themeColor="hyperlink"/>
      <w:u w:val="single"/>
    </w:rPr>
  </w:style>
  <w:style w:type="paragraph" w:styleId="TOCHeading">
    <w:name w:val="TOC Heading"/>
    <w:basedOn w:val="Heading1"/>
    <w:next w:val="Normal"/>
    <w:uiPriority w:val="39"/>
    <w:unhideWhenUsed/>
    <w:qFormat/>
    <w:rsid w:val="00941FD2"/>
    <w:pPr>
      <w:spacing w:before="240" w:after="0" w:line="259" w:lineRule="auto"/>
      <w:outlineLvl w:val="9"/>
    </w:pPr>
    <w:rPr>
      <w:sz w:val="32"/>
      <w:szCs w:val="32"/>
    </w:rPr>
  </w:style>
  <w:style w:type="paragraph" w:styleId="FootnoteText">
    <w:name w:val="footnote text"/>
    <w:basedOn w:val="Normal"/>
    <w:link w:val="FootnoteTextChar"/>
    <w:uiPriority w:val="99"/>
    <w:semiHidden/>
    <w:unhideWhenUsed/>
    <w:rsid w:val="00963C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3CC5"/>
    <w:rPr>
      <w:rFonts w:ascii="Aptos" w:eastAsia="Aptos" w:hAnsi="Aptos" w:cs="Aptos"/>
      <w:kern w:val="0"/>
      <w:sz w:val="20"/>
      <w:szCs w:val="20"/>
      <w:lang w:eastAsia="en-GB"/>
      <w14:ligatures w14:val="none"/>
    </w:rPr>
  </w:style>
  <w:style w:type="character" w:styleId="FootnoteReference">
    <w:name w:val="footnote reference"/>
    <w:basedOn w:val="DefaultParagraphFont"/>
    <w:uiPriority w:val="99"/>
    <w:semiHidden/>
    <w:unhideWhenUsed/>
    <w:rsid w:val="00963CC5"/>
    <w:rPr>
      <w:vertAlign w:val="superscript"/>
    </w:rPr>
  </w:style>
  <w:style w:type="table" w:styleId="TableGrid">
    <w:name w:val="Table Grid"/>
    <w:basedOn w:val="TableNormal"/>
    <w:uiPriority w:val="39"/>
    <w:rsid w:val="00FB20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023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AC5BB-F8E1-48E3-83BE-35EF16858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TotalTime>
  <Pages>7</Pages>
  <Words>1794</Words>
  <Characters>10231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Atinicia Pereira Da Costa (2514003)</dc:creator>
  <cp:keywords/>
  <dc:description/>
  <cp:lastModifiedBy>Atinicia Pereira Da Costa (2514003)</cp:lastModifiedBy>
  <cp:revision>8</cp:revision>
  <dcterms:created xsi:type="dcterms:W3CDTF">2025-11-09T16:54:00Z</dcterms:created>
  <dcterms:modified xsi:type="dcterms:W3CDTF">2025-12-16T12:46:00Z</dcterms:modified>
</cp:coreProperties>
</file>