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D4E813" w14:textId="77777777" w:rsidR="00FE20D0" w:rsidRPr="009E7C57" w:rsidRDefault="00FE20D0" w:rsidP="00FE20D0">
      <w:pPr>
        <w:rPr>
          <w:rFonts w:cs="Arial"/>
          <w:sz w:val="32"/>
          <w:szCs w:val="32"/>
        </w:rPr>
      </w:pPr>
      <w:r w:rsidRPr="009E7C57">
        <w:rPr>
          <w:rFonts w:cs="Arial"/>
          <w:sz w:val="32"/>
          <w:szCs w:val="32"/>
        </w:rPr>
        <w:t xml:space="preserve">Module Name: </w:t>
      </w:r>
      <w:r>
        <w:rPr>
          <w:rFonts w:cs="Arial"/>
          <w:sz w:val="32"/>
          <w:szCs w:val="32"/>
        </w:rPr>
        <w:t>Understanding Employee Engagement</w:t>
      </w:r>
    </w:p>
    <w:p w14:paraId="73D7F378" w14:textId="77777777" w:rsidR="00FE20D0" w:rsidRPr="009E7C57" w:rsidRDefault="00FE20D0" w:rsidP="00FE20D0">
      <w:pPr>
        <w:rPr>
          <w:rFonts w:cs="Arial"/>
          <w:sz w:val="32"/>
          <w:szCs w:val="32"/>
        </w:rPr>
      </w:pPr>
    </w:p>
    <w:p w14:paraId="3EA4493E" w14:textId="77777777" w:rsidR="00FE20D0" w:rsidRPr="009E7C57" w:rsidRDefault="00FE20D0" w:rsidP="00FE20D0">
      <w:pPr>
        <w:rPr>
          <w:rFonts w:cs="Arial"/>
          <w:sz w:val="32"/>
          <w:szCs w:val="32"/>
        </w:rPr>
      </w:pPr>
    </w:p>
    <w:p w14:paraId="3F9A92BC" w14:textId="39FE3603" w:rsidR="00FE20D0" w:rsidRPr="009E7C57" w:rsidRDefault="00FE20D0" w:rsidP="00FE20D0">
      <w:pPr>
        <w:rPr>
          <w:rFonts w:cs="Arial"/>
          <w:sz w:val="32"/>
          <w:szCs w:val="32"/>
        </w:rPr>
      </w:pPr>
      <w:r w:rsidRPr="009E7C57">
        <w:rPr>
          <w:rFonts w:cs="Arial"/>
          <w:sz w:val="32"/>
          <w:szCs w:val="32"/>
        </w:rPr>
        <w:t xml:space="preserve">Word Count: </w:t>
      </w:r>
      <w:r w:rsidR="0003446F">
        <w:rPr>
          <w:rFonts w:cs="Arial"/>
          <w:sz w:val="32"/>
          <w:szCs w:val="32"/>
        </w:rPr>
        <w:t>3399</w:t>
      </w:r>
      <w:bookmarkStart w:id="0" w:name="_GoBack"/>
      <w:bookmarkEnd w:id="0"/>
    </w:p>
    <w:p w14:paraId="27FC0D84" w14:textId="77777777" w:rsidR="00FE20D0" w:rsidRPr="009E7C57" w:rsidRDefault="00FE20D0" w:rsidP="00FE20D0">
      <w:pPr>
        <w:rPr>
          <w:rFonts w:cs="Arial"/>
          <w:sz w:val="32"/>
          <w:szCs w:val="32"/>
        </w:rPr>
      </w:pPr>
    </w:p>
    <w:p w14:paraId="0B9F44EB" w14:textId="77777777" w:rsidR="00FE20D0" w:rsidRPr="009E7C57" w:rsidRDefault="00FE20D0" w:rsidP="00FE20D0">
      <w:pPr>
        <w:rPr>
          <w:rFonts w:cs="Arial"/>
          <w:sz w:val="32"/>
          <w:szCs w:val="32"/>
        </w:rPr>
      </w:pPr>
    </w:p>
    <w:p w14:paraId="7823952E" w14:textId="77777777" w:rsidR="00FE20D0" w:rsidRPr="009E7C57" w:rsidRDefault="00FE20D0" w:rsidP="00FE20D0">
      <w:pPr>
        <w:rPr>
          <w:rFonts w:cs="Arial"/>
          <w:sz w:val="32"/>
          <w:szCs w:val="32"/>
        </w:rPr>
      </w:pPr>
    </w:p>
    <w:p w14:paraId="081EED31" w14:textId="77777777" w:rsidR="00FE20D0" w:rsidRPr="009E7C57" w:rsidRDefault="00FE20D0" w:rsidP="00FE20D0">
      <w:pPr>
        <w:rPr>
          <w:rFonts w:cs="Arial"/>
          <w:sz w:val="32"/>
          <w:szCs w:val="32"/>
        </w:rPr>
      </w:pPr>
      <w:r w:rsidRPr="009E7C57">
        <w:rPr>
          <w:rFonts w:cs="Arial"/>
          <w:sz w:val="32"/>
          <w:szCs w:val="32"/>
        </w:rPr>
        <w:t>Student Name: David Harris</w:t>
      </w:r>
    </w:p>
    <w:p w14:paraId="257E1E6F" w14:textId="77777777" w:rsidR="00FE20D0" w:rsidRPr="009E7C57" w:rsidRDefault="00FE20D0" w:rsidP="00FE20D0">
      <w:pPr>
        <w:rPr>
          <w:rFonts w:cs="Arial"/>
          <w:sz w:val="32"/>
          <w:szCs w:val="32"/>
        </w:rPr>
      </w:pPr>
      <w:r w:rsidRPr="009E7C57">
        <w:rPr>
          <w:rFonts w:cs="Arial"/>
          <w:sz w:val="32"/>
          <w:szCs w:val="32"/>
        </w:rPr>
        <w:t>Student Number: 1907534</w:t>
      </w:r>
    </w:p>
    <w:p w14:paraId="7262538D" w14:textId="77777777" w:rsidR="00FE20D0" w:rsidRPr="009E7C57" w:rsidRDefault="00FE20D0" w:rsidP="00FE20D0">
      <w:pPr>
        <w:rPr>
          <w:rFonts w:cs="Arial"/>
          <w:sz w:val="32"/>
          <w:szCs w:val="32"/>
        </w:rPr>
      </w:pPr>
      <w:r w:rsidRPr="009E7C57">
        <w:rPr>
          <w:rFonts w:cs="Arial"/>
          <w:sz w:val="32"/>
          <w:szCs w:val="32"/>
        </w:rPr>
        <w:t>CIPD Membership Number:</w:t>
      </w:r>
      <w:r>
        <w:rPr>
          <w:rFonts w:cs="Arial"/>
          <w:sz w:val="32"/>
          <w:szCs w:val="32"/>
        </w:rPr>
        <w:t xml:space="preserve"> </w:t>
      </w:r>
      <w:r w:rsidRPr="009E7C57">
        <w:rPr>
          <w:rFonts w:cs="Arial"/>
          <w:sz w:val="32"/>
          <w:szCs w:val="32"/>
        </w:rPr>
        <w:t>55479883</w:t>
      </w:r>
    </w:p>
    <w:p w14:paraId="412C3026" w14:textId="77777777" w:rsidR="00FE20D0" w:rsidRPr="009E7C57" w:rsidRDefault="00FE20D0" w:rsidP="00FE20D0">
      <w:pPr>
        <w:rPr>
          <w:rFonts w:cs="Arial"/>
          <w:sz w:val="32"/>
          <w:szCs w:val="32"/>
        </w:rPr>
      </w:pPr>
    </w:p>
    <w:p w14:paraId="573FF93F" w14:textId="77777777" w:rsidR="00FE20D0" w:rsidRPr="009E7C57" w:rsidRDefault="00FE20D0" w:rsidP="00FE20D0">
      <w:pPr>
        <w:rPr>
          <w:rFonts w:cs="Arial"/>
          <w:sz w:val="32"/>
          <w:szCs w:val="32"/>
        </w:rPr>
      </w:pPr>
    </w:p>
    <w:p w14:paraId="4C49BEC0" w14:textId="77777777" w:rsidR="00FE20D0" w:rsidRPr="009E7C57" w:rsidRDefault="00FE20D0" w:rsidP="00FE20D0">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14:paraId="4427B5EC" w14:textId="77777777" w:rsidR="00FE20D0" w:rsidRPr="009E7C57" w:rsidRDefault="00FE20D0" w:rsidP="00FE20D0">
      <w:pPr>
        <w:rPr>
          <w:rFonts w:cs="Arial"/>
          <w:sz w:val="32"/>
          <w:szCs w:val="32"/>
        </w:rPr>
      </w:pPr>
    </w:p>
    <w:p w14:paraId="427B0756" w14:textId="77777777" w:rsidR="00FE20D0" w:rsidRPr="009E7C57" w:rsidRDefault="00FE20D0" w:rsidP="00FE20D0">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1EAD3849" wp14:editId="7655165E">
            <wp:extent cx="691515" cy="504190"/>
            <wp:effectExtent l="0" t="0" r="0" b="0"/>
            <wp:docPr id="3" name="Picture 3"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691515" cy="504190"/>
                    </a:xfrm>
                    <a:prstGeom prst="rect">
                      <a:avLst/>
                    </a:prstGeom>
                    <a:noFill/>
                    <a:ln>
                      <a:noFill/>
                    </a:ln>
                  </pic:spPr>
                </pic:pic>
              </a:graphicData>
            </a:graphic>
          </wp:inline>
        </w:drawing>
      </w:r>
    </w:p>
    <w:p w14:paraId="04D5379A" w14:textId="77777777" w:rsidR="00FE20D0" w:rsidRDefault="00FE20D0" w:rsidP="00FE20D0">
      <w:pPr>
        <w:rPr>
          <w:rFonts w:cs="Arial"/>
          <w:sz w:val="32"/>
          <w:szCs w:val="32"/>
        </w:rPr>
      </w:pPr>
      <w:r w:rsidRPr="009E7C57">
        <w:rPr>
          <w:rFonts w:cs="Arial"/>
          <w:sz w:val="32"/>
          <w:szCs w:val="32"/>
        </w:rPr>
        <w:t xml:space="preserve">Date: </w:t>
      </w:r>
    </w:p>
    <w:p w14:paraId="02C2BBC2" w14:textId="77777777" w:rsidR="00FE20D0" w:rsidRDefault="00FE20D0" w:rsidP="00FE20D0"/>
    <w:p w14:paraId="03A9A66C" w14:textId="77777777" w:rsidR="00B23B2D" w:rsidRDefault="00B23B2D" w:rsidP="00FE20D0"/>
    <w:p w14:paraId="1E621F68" w14:textId="77777777" w:rsidR="00B23B2D" w:rsidRDefault="00B23B2D" w:rsidP="00FE20D0"/>
    <w:p w14:paraId="355B9CA8" w14:textId="77777777" w:rsidR="00B23B2D" w:rsidRDefault="00B23B2D" w:rsidP="00FE20D0"/>
    <w:p w14:paraId="1695B95B" w14:textId="77777777" w:rsidR="00B23B2D" w:rsidRDefault="00B23B2D" w:rsidP="00FE20D0"/>
    <w:p w14:paraId="08F48B80" w14:textId="77777777" w:rsidR="00B23B2D" w:rsidRDefault="00B23B2D" w:rsidP="00FE20D0"/>
    <w:p w14:paraId="28986882" w14:textId="77777777" w:rsidR="00B23B2D" w:rsidRDefault="00B23B2D" w:rsidP="00FE20D0"/>
    <w:p w14:paraId="13A48FB4" w14:textId="1D52826B" w:rsidR="00FC459F" w:rsidRDefault="00FC459F" w:rsidP="00FE20D0">
      <w:r>
        <w:lastRenderedPageBreak/>
        <w:t>Introduction:</w:t>
      </w:r>
    </w:p>
    <w:p w14:paraId="1AC67EEF" w14:textId="012B08CF" w:rsidR="00D15EDC" w:rsidRDefault="00C66053" w:rsidP="00FE20D0">
      <w:r>
        <w:t xml:space="preserve">This paper outlines the key areas of discussion regarding employee engagement and some of the latest theory on its impact to organisational and individual performance. </w:t>
      </w:r>
    </w:p>
    <w:p w14:paraId="448AE27C" w14:textId="77777777" w:rsidR="00D15EDC" w:rsidRDefault="00D15EDC" w:rsidP="00FE20D0"/>
    <w:p w14:paraId="0C79E9E1" w14:textId="77777777" w:rsidR="00DE3C67" w:rsidRDefault="00731B9F" w:rsidP="00FE20D0">
      <w:r>
        <w:t>Employee engagement has been a topic of discussion for many years, with contrasting to views to what employee engagement is, and whether it is something new or not. Th</w:t>
      </w:r>
      <w:r w:rsidR="00DE3C67">
        <w:t xml:space="preserve">is is made difficult due to a </w:t>
      </w:r>
      <w:r>
        <w:t>range of definitions for which exist. The CIPD describe employee engagement as “</w:t>
      </w:r>
      <w:r w:rsidR="00DE366F" w:rsidRPr="00DE3C67">
        <w:rPr>
          <w:i/>
        </w:rPr>
        <w:t>a combination of commitment to the organisation and its values, plus a willingness to help out colleagues (organisational citizenship)</w:t>
      </w:r>
      <w:r w:rsidR="00DE366F">
        <w:t>’</w:t>
      </w:r>
      <w:r w:rsidR="00B00CAA">
        <w:t>, while HR Zone define this as, ‘</w:t>
      </w:r>
      <w:r w:rsidR="00B00CAA">
        <w:rPr>
          <w:i/>
        </w:rPr>
        <w:t xml:space="preserve">the emotional attachment employees feel towards their place of work’ </w:t>
      </w:r>
      <w:r w:rsidR="00B00CAA">
        <w:t>(HR Zone)</w:t>
      </w:r>
      <w:r w:rsidR="00DE366F">
        <w:t xml:space="preserve">. </w:t>
      </w:r>
      <w:r w:rsidR="001565BF">
        <w:t xml:space="preserve">Kahn </w:t>
      </w:r>
      <w:r w:rsidR="00EC7C95">
        <w:t xml:space="preserve">(1990) </w:t>
      </w:r>
      <w:r w:rsidR="001565BF">
        <w:t xml:space="preserve">explains that engagement is a three-part process, with individuals being engaged at different levels; physical engagement, cognitive engagement and emotional engagement. This </w:t>
      </w:r>
      <w:r w:rsidR="00DE3C67">
        <w:t>suggest</w:t>
      </w:r>
      <w:r w:rsidR="001565BF">
        <w:t xml:space="preserve"> that individual</w:t>
      </w:r>
      <w:r w:rsidR="00DE3C67">
        <w:t>s</w:t>
      </w:r>
      <w:r w:rsidR="001565BF">
        <w:t xml:space="preserve"> can be engaged with their work in different ways, being either energetic about their role, emotional</w:t>
      </w:r>
      <w:r w:rsidR="00263D6A">
        <w:t>ly</w:t>
      </w:r>
      <w:r w:rsidR="001565BF">
        <w:t xml:space="preserve"> enthused about their role or being engrossed in their role. </w:t>
      </w:r>
      <w:r w:rsidR="005954E8">
        <w:t xml:space="preserve">CIPD (2012) state that engagement can be two-fold; emotional or transactional, with emotional engagement being an intrinsic desire to engage with the organisation, </w:t>
      </w:r>
      <w:r w:rsidR="00DE3C67">
        <w:t>whilst</w:t>
      </w:r>
      <w:r w:rsidR="005954E8">
        <w:t xml:space="preserve"> transactional engagement </w:t>
      </w:r>
      <w:r w:rsidR="00DE3C67">
        <w:t>can be</w:t>
      </w:r>
      <w:r w:rsidR="005954E8">
        <w:t xml:space="preserve"> derived from a number of external factors such as pay or holiday entitlements. </w:t>
      </w:r>
      <w:r w:rsidR="00A306F4" w:rsidRPr="00744644">
        <w:t xml:space="preserve">Whatever </w:t>
      </w:r>
      <w:r w:rsidR="00DE3C67">
        <w:t>the factor, individuals need a connection</w:t>
      </w:r>
      <w:r w:rsidR="00A306F4" w:rsidRPr="00744644">
        <w:t xml:space="preserve"> between what they </w:t>
      </w:r>
      <w:r w:rsidR="00DE3C67">
        <w:t>do</w:t>
      </w:r>
      <w:r w:rsidR="00A306F4" w:rsidRPr="00744644">
        <w:t xml:space="preserve"> and </w:t>
      </w:r>
      <w:r w:rsidR="00DE3C67">
        <w:t>its organisational benefits</w:t>
      </w:r>
      <w:r w:rsidR="00A306F4" w:rsidRPr="00744644">
        <w:t xml:space="preserve">. </w:t>
      </w:r>
    </w:p>
    <w:p w14:paraId="72858E75" w14:textId="0D1F464F" w:rsidR="009C1FA3" w:rsidRDefault="00A306F4" w:rsidP="00FE20D0">
      <w:r w:rsidRPr="00744644">
        <w:t xml:space="preserve">Whilst not an exhaustive list, these </w:t>
      </w:r>
      <w:r w:rsidR="004C455D">
        <w:t xml:space="preserve">factors </w:t>
      </w:r>
      <w:r w:rsidRPr="00744644">
        <w:t xml:space="preserve">can include job role, organisational culture, reward and recognition, training and development opportunities and leadership (Management Study Guide). These play a large part of whether true engagement </w:t>
      </w:r>
      <w:r w:rsidR="00744644" w:rsidRPr="00744644">
        <w:t>is achieved as only true engagement will have an impact on individual and organisational performance.</w:t>
      </w:r>
      <w:r w:rsidR="00744644">
        <w:t xml:space="preserve"> In addition, the organisation must set a culture which supports engagement, with an integration both vertically and horizontally across </w:t>
      </w:r>
      <w:r w:rsidR="004C455D">
        <w:t xml:space="preserve">policy areas and organisational structure, with a </w:t>
      </w:r>
      <w:r w:rsidR="00744644">
        <w:t>clear link between the organisations mission, vision and values and the work that its employees undertake.</w:t>
      </w:r>
    </w:p>
    <w:p w14:paraId="51133B9B" w14:textId="5E0E038E" w:rsidR="00DA1C40" w:rsidRDefault="009C1FA3" w:rsidP="00DA1C40">
      <w:r>
        <w:t>Employee engagement, whilst similar, has some key points which differentiate it from other concepts such as organisational commitment, job satisfaction or motivation. The CIPD refer to true engagement as being a type of organisational citizenship, with those who are truly engaged going above and beyond to help their colleagues and the organisation as a whole</w:t>
      </w:r>
      <w:r w:rsidR="00014247">
        <w:t xml:space="preserve">. </w:t>
      </w:r>
    </w:p>
    <w:p w14:paraId="255A5831" w14:textId="503DA4AE" w:rsidR="001565BF" w:rsidRDefault="001565BF" w:rsidP="00FE20D0">
      <w:r>
        <w:t xml:space="preserve">These descriptions lend themselves to supporting employee engagement </w:t>
      </w:r>
      <w:r w:rsidR="00A02944">
        <w:t>as</w:t>
      </w:r>
      <w:r>
        <w:t xml:space="preserve"> a discretionary behaviour and can</w:t>
      </w:r>
      <w:r w:rsidR="00A830F0">
        <w:t>not</w:t>
      </w:r>
      <w:r>
        <w:t xml:space="preserve"> be mandated</w:t>
      </w:r>
      <w:r w:rsidR="00A02944">
        <w:t xml:space="preserve">. </w:t>
      </w:r>
      <w:r w:rsidR="005035E1">
        <w:t>Acas supports this</w:t>
      </w:r>
      <w:r w:rsidR="00A02944">
        <w:t>,</w:t>
      </w:r>
      <w:r w:rsidR="005035E1">
        <w:t xml:space="preserve"> stating that engagement is not something that can be</w:t>
      </w:r>
      <w:r w:rsidR="004C455D">
        <w:t xml:space="preserve"> mandated</w:t>
      </w:r>
      <w:r w:rsidR="00EC7C95">
        <w:t xml:space="preserve">, but something which is created if the correct conditions exist. They </w:t>
      </w:r>
      <w:r w:rsidR="004C455D">
        <w:t>suggest</w:t>
      </w:r>
      <w:r w:rsidR="00EC7C95">
        <w:t xml:space="preserve"> that this is evident w</w:t>
      </w:r>
      <w:r w:rsidR="009224CF">
        <w:t>h</w:t>
      </w:r>
      <w:r w:rsidR="00EC7C95">
        <w:t xml:space="preserve">en four key areas are in place; leadership, line management, voice and trust. Rees et al (?) supports this in </w:t>
      </w:r>
      <w:r w:rsidR="00CA773E">
        <w:t>their paper ‘</w:t>
      </w:r>
      <w:r w:rsidR="00CA773E" w:rsidRPr="004C455D">
        <w:rPr>
          <w:i/>
        </w:rPr>
        <w:t>Employee voice and engagement: connections and consequences’</w:t>
      </w:r>
      <w:r w:rsidR="00CA773E">
        <w:t xml:space="preserve">, </w:t>
      </w:r>
      <w:r w:rsidR="004C455D">
        <w:t>demonstrating</w:t>
      </w:r>
      <w:r w:rsidR="00CA773E">
        <w:t xml:space="preserve"> a positive link between trust in senior management, employee voice and the line manager – employee relationship. </w:t>
      </w:r>
    </w:p>
    <w:p w14:paraId="78B4CF4A" w14:textId="5E8C9B9F" w:rsidR="009224CF" w:rsidRDefault="009224CF" w:rsidP="00FE20D0">
      <w:r>
        <w:t xml:space="preserve">Employee voice is </w:t>
      </w:r>
      <w:r w:rsidR="004C455D">
        <w:t>a key area that</w:t>
      </w:r>
      <w:r>
        <w:t xml:space="preserve"> creates </w:t>
      </w:r>
      <w:r w:rsidR="004C455D">
        <w:t xml:space="preserve">a </w:t>
      </w:r>
      <w:r>
        <w:t xml:space="preserve">culture by which engagement flourishes. This is the ability for individuals to have a say in the way their organisation is run and how key decisions are made. This can </w:t>
      </w:r>
      <w:r w:rsidR="004C455D">
        <w:t>be either individually</w:t>
      </w:r>
      <w:r>
        <w:t xml:space="preserve">, or as part of a collective and can take the form of a number of different channels, including collective representation (including trade union discussions), partnership schemes, joint consultation and employee forums (CIPD). </w:t>
      </w:r>
      <w:r w:rsidR="004C455D">
        <w:t xml:space="preserve">Such </w:t>
      </w:r>
      <w:r>
        <w:t>schemes lead to greater level</w:t>
      </w:r>
      <w:r w:rsidR="004C455D">
        <w:t>s</w:t>
      </w:r>
      <w:r>
        <w:t xml:space="preserve"> of employee engagement,</w:t>
      </w:r>
      <w:r w:rsidR="004B22C3">
        <w:t xml:space="preserve"> resulting in a happier workforce and a greater working relationship between employees and their line managers (Sharp). This</w:t>
      </w:r>
      <w:r>
        <w:t xml:space="preserve"> increase</w:t>
      </w:r>
      <w:r w:rsidR="004C455D">
        <w:t>s</w:t>
      </w:r>
      <w:r>
        <w:t xml:space="preserve"> individual and organisational </w:t>
      </w:r>
      <w:r w:rsidR="009C1FA3">
        <w:t>performance;</w:t>
      </w:r>
      <w:r>
        <w:t xml:space="preserve"> </w:t>
      </w:r>
      <w:r w:rsidR="009C1FA3">
        <w:t>however,</w:t>
      </w:r>
      <w:r>
        <w:t xml:space="preserve"> these schemes must be supported by strong leadership. </w:t>
      </w:r>
    </w:p>
    <w:p w14:paraId="49EB85C2" w14:textId="5BA6D624" w:rsidR="00012D95" w:rsidRDefault="00A02944" w:rsidP="00FE20D0">
      <w:r>
        <w:lastRenderedPageBreak/>
        <w:t>While the above can seem a compelling argument</w:t>
      </w:r>
      <w:r w:rsidR="00DA1C40">
        <w:t xml:space="preserve">, there </w:t>
      </w:r>
      <w:r>
        <w:t>are opposing views</w:t>
      </w:r>
      <w:r w:rsidR="00DA1C40">
        <w:t xml:space="preserve"> that </w:t>
      </w:r>
      <w:r w:rsidR="00A21E6C">
        <w:t>the</w:t>
      </w:r>
      <w:r w:rsidR="00DA1C40">
        <w:t xml:space="preserve"> lack of a clear definition</w:t>
      </w:r>
      <w:r w:rsidR="00A21E6C">
        <w:t xml:space="preserve"> of what engagement is, brings into question whether it exists.</w:t>
      </w:r>
      <w:r w:rsidR="00DA1C40">
        <w:t xml:space="preserve"> Rob Briner (2014) questions whether engagement actually increases performance and can organisations actually affect their levels of engagement. </w:t>
      </w:r>
      <w:r w:rsidR="00014247">
        <w:t xml:space="preserve">Briner suggests that, as engagement is difficult to define, this makes it very difficult to identify exactly what it is. </w:t>
      </w:r>
      <w:r w:rsidR="00A21E6C">
        <w:t>Consequently, if something is difficult to define, it is</w:t>
      </w:r>
      <w:r w:rsidR="00014247">
        <w:t xml:space="preserve"> therefore difficult to measure</w:t>
      </w:r>
      <w:r w:rsidR="00A21E6C">
        <w:t>. It is possible</w:t>
      </w:r>
      <w:r w:rsidR="00014247">
        <w:t>,</w:t>
      </w:r>
      <w:r w:rsidR="00A21E6C">
        <w:t xml:space="preserve"> therefore that</w:t>
      </w:r>
      <w:r w:rsidR="00014247">
        <w:t xml:space="preserve"> other possible areas </w:t>
      </w:r>
      <w:r w:rsidR="00A21E6C">
        <w:t xml:space="preserve">are </w:t>
      </w:r>
      <w:r w:rsidR="00014247">
        <w:t>impact</w:t>
      </w:r>
      <w:r w:rsidR="00A21E6C">
        <w:t>ing</w:t>
      </w:r>
      <w:r w:rsidR="00014247">
        <w:t xml:space="preserve"> on such things as individual and organisational performance. Briner sees these two areas (definition and measurement) as key areas to be able to establish something’s purpose </w:t>
      </w:r>
      <w:r>
        <w:t>and claims that there is a lack of evidence to support its impact (Briner).</w:t>
      </w:r>
      <w:r w:rsidR="00890309">
        <w:t xml:space="preserve"> This view point is opposed to that within ‘</w:t>
      </w:r>
      <w:r w:rsidR="00890309" w:rsidRPr="00890309">
        <w:rPr>
          <w:i/>
        </w:rPr>
        <w:t>The Future of Engagement</w:t>
      </w:r>
      <w:r w:rsidR="00890309">
        <w:t>’, which embraces engagement as being an art and not a science, with the a need to be pragmatic about the measuring on engagement with a focus on culture (Robinson and Gifford).</w:t>
      </w:r>
    </w:p>
    <w:p w14:paraId="476A4689" w14:textId="1671144E" w:rsidR="00A21E6C" w:rsidRDefault="00A21E6C" w:rsidP="00B66582">
      <w:r>
        <w:t>HR plays a vital part in engagement, with the need for individuals to feel engaged and supported in their roles. Office Vibe suggest there are 10 essential pillars needed for true engagement, which include relationships with colleagues and managers, recognition, feedback, wellness and personal growth (Office Vibe)</w:t>
      </w:r>
      <w:r w:rsidR="005D45CD">
        <w:t xml:space="preserve">. Purcell (2010) also recommends a group of building </w:t>
      </w:r>
      <w:r w:rsidR="007F287E">
        <w:t>blocks that</w:t>
      </w:r>
      <w:r w:rsidR="005D45CD">
        <w:t xml:space="preserve"> ensure engagement is developed. These echo those stated above, suggesting that trust, relationships and satisfaction play key parts of the process.</w:t>
      </w:r>
    </w:p>
    <w:p w14:paraId="5C26A231" w14:textId="5C4ECD9D" w:rsidR="00B50AF8" w:rsidRDefault="00B50AF8" w:rsidP="00B66582">
      <w:r>
        <w:t xml:space="preserve">Whilst there are conflicting views </w:t>
      </w:r>
      <w:r w:rsidR="007F287E">
        <w:t>over</w:t>
      </w:r>
      <w:r>
        <w:t xml:space="preserve"> the existence of employee engagement as a concept, organisations where individuals have higher levels of </w:t>
      </w:r>
      <w:r w:rsidR="003F554E">
        <w:t>job satisfaction, commitment, autonomy amongst other things are m</w:t>
      </w:r>
      <w:r w:rsidR="007F287E">
        <w:t xml:space="preserve">ore engaged in their work. </w:t>
      </w:r>
      <w:r w:rsidR="003F554E">
        <w:t>Dan Pink</w:t>
      </w:r>
      <w:r w:rsidR="007F287E">
        <w:t>’s theory</w:t>
      </w:r>
      <w:r w:rsidR="003F554E">
        <w:t xml:space="preserve"> </w:t>
      </w:r>
      <w:r w:rsidR="007F287E">
        <w:t>of Autonomy, Master and Purpose</w:t>
      </w:r>
      <w:r w:rsidR="003F554E">
        <w:t xml:space="preserve"> suggest</w:t>
      </w:r>
      <w:r w:rsidR="00A21E6C">
        <w:t>ing</w:t>
      </w:r>
      <w:r w:rsidR="003F554E">
        <w:t xml:space="preserve"> that individuals are more engaged and motivated in their work by having influence and control over their roles, than they are by financial incentive. He refers to this as ‘Type X’ or ‘Type I’ behaviours (Mindtools</w:t>
      </w:r>
      <w:r w:rsidR="00B23369">
        <w:t xml:space="preserve">).  </w:t>
      </w:r>
      <w:r w:rsidR="009B0931">
        <w:t xml:space="preserve">Gallup (2017) </w:t>
      </w:r>
      <w:r w:rsidR="005D45CD">
        <w:t>report</w:t>
      </w:r>
      <w:r w:rsidR="009B0931">
        <w:t xml:space="preserve"> only 15% of individuals are engaged in their work, with 67% not engaged at work. They identify that organisations that focus on workplace relationships, recognition, continuing performance discussions and opportunities for development are far more likely to be productive than those that don’t. </w:t>
      </w:r>
      <w:r w:rsidR="0095278F">
        <w:t xml:space="preserve"> What this means in reality is that there is always a proportion of employees who are actively disengaged with their work and have potential to damage the positive impact of their engaged colleagues (Corporate Rebels</w:t>
      </w:r>
      <w:r w:rsidR="007F287E">
        <w:t>) and that there needs to be more than money to keep someone engaged.</w:t>
      </w:r>
    </w:p>
    <w:p w14:paraId="4DBE1282" w14:textId="77777777" w:rsidR="007F287E" w:rsidRDefault="007F287E" w:rsidP="001216A3">
      <w:r>
        <w:t>Employees also need</w:t>
      </w:r>
      <w:r w:rsidR="001F071B">
        <w:t xml:space="preserve"> to feel buy-in for their organisation, gained when they feel that there is a le</w:t>
      </w:r>
      <w:r w:rsidR="006153DB">
        <w:t>gitimacy and transparency in the way decisions are made and how linked their organisational strategy and reality are matched.  This ‘Say Do</w:t>
      </w:r>
      <w:r w:rsidR="00A02944">
        <w:t xml:space="preserve"> Gap’</w:t>
      </w:r>
      <w:r w:rsidR="006153DB">
        <w:t xml:space="preserve"> </w:t>
      </w:r>
      <w:r>
        <w:t>indicates</w:t>
      </w:r>
      <w:r w:rsidR="006153DB">
        <w:t xml:space="preserve"> a difference between the way an organisation portrays their mission, vision and values and what actually takes place, in particular, how their senior leaders act. The implication of this </w:t>
      </w:r>
      <w:r w:rsidR="00A21E6C">
        <w:t>is</w:t>
      </w:r>
      <w:r w:rsidR="006153DB">
        <w:t xml:space="preserve"> a lack of trust in an organisation, which </w:t>
      </w:r>
      <w:r>
        <w:t>reduces</w:t>
      </w:r>
      <w:r w:rsidR="006153DB">
        <w:t xml:space="preserve"> engagement and </w:t>
      </w:r>
      <w:r w:rsidR="00A21E6C">
        <w:t>discretionary</w:t>
      </w:r>
      <w:r w:rsidR="006153DB">
        <w:t xml:space="preserve"> effort</w:t>
      </w:r>
      <w:r>
        <w:t>,</w:t>
      </w:r>
      <w:r w:rsidR="006153DB">
        <w:t xml:space="preserve"> needed for organisational performance (Deeb).</w:t>
      </w:r>
      <w:r w:rsidR="00C7240A">
        <w:t xml:space="preserve"> </w:t>
      </w:r>
      <w:r w:rsidR="001216A3">
        <w:t xml:space="preserve">McLeod suggests that organisations are most effective when they put their employees at the heart of their business and make sure that their organisational strategy supports this (McLeod &amp; Clarke). </w:t>
      </w:r>
      <w:r w:rsidR="00C7240A">
        <w:t>This is demonstrated by Google</w:t>
      </w:r>
      <w:r>
        <w:t>;</w:t>
      </w:r>
      <w:r w:rsidR="001216A3">
        <w:t xml:space="preserve"> who invest </w:t>
      </w:r>
      <w:r>
        <w:t xml:space="preserve">heavily </w:t>
      </w:r>
      <w:r w:rsidR="001216A3">
        <w:t xml:space="preserve">in their employees to increase and maintain engagement. This includes access </w:t>
      </w:r>
      <w:r>
        <w:t xml:space="preserve">to </w:t>
      </w:r>
      <w:r w:rsidR="001216A3">
        <w:t xml:space="preserve">free food courts on site, </w:t>
      </w:r>
      <w:r>
        <w:t xml:space="preserve">with </w:t>
      </w:r>
      <w:r w:rsidR="001216A3">
        <w:t>restaurant</w:t>
      </w:r>
      <w:r>
        <w:t>s</w:t>
      </w:r>
      <w:r w:rsidR="001216A3">
        <w:t xml:space="preserve"> d</w:t>
      </w:r>
      <w:r>
        <w:t>esigned in a way which increase</w:t>
      </w:r>
      <w:r w:rsidR="001216A3">
        <w:t xml:space="preserve"> communication. Additionally, </w:t>
      </w:r>
      <w:r>
        <w:t>a lack of</w:t>
      </w:r>
      <w:r w:rsidR="001216A3">
        <w:t xml:space="preserve"> walls in offices breakdown potential barriers between management and workers. This all promotes a sense of belonging w</w:t>
      </w:r>
      <w:r w:rsidR="00401A90">
        <w:t xml:space="preserve">ith employees (McLeod &amp; Clarke). </w:t>
      </w:r>
    </w:p>
    <w:p w14:paraId="36EDC1FD" w14:textId="54AA62FF" w:rsidR="003F2064" w:rsidRDefault="00401A90" w:rsidP="001216A3">
      <w:r>
        <w:t xml:space="preserve">The ‘Engaging for Success’ report </w:t>
      </w:r>
      <w:r w:rsidR="007F287E">
        <w:t>identified</w:t>
      </w:r>
      <w:r>
        <w:t xml:space="preserve"> several elements of an organisation that improve engagement, which include leadership, engaging managers, employee voice and integrity. This is demonstrated by Mace Group, who have provided the autonomy for their employees to make their role their own, producing a manager’s charter which is aimed at teaching them to lead, enable, </w:t>
      </w:r>
      <w:r>
        <w:lastRenderedPageBreak/>
        <w:t>appraise and evaluate their team and not to micro-manage. This has led to 90% of employee</w:t>
      </w:r>
      <w:r w:rsidR="003F2064">
        <w:t xml:space="preserve">s feeling engaged in their work. </w:t>
      </w:r>
      <w:r w:rsidR="007F287E">
        <w:t>This further supports Dan Pink’s theory, and further emphasises the need for managers to facilitate their employees rather than standing in their way.</w:t>
      </w:r>
      <w:r w:rsidR="003F2064">
        <w:t xml:space="preserve"> </w:t>
      </w:r>
    </w:p>
    <w:p w14:paraId="2BA3E26D" w14:textId="645EB00F" w:rsidR="00DD225C" w:rsidRDefault="00F03D06" w:rsidP="001216A3">
      <w:r>
        <w:t xml:space="preserve">For engagement to be fully effective </w:t>
      </w:r>
      <w:r w:rsidR="007F287E">
        <w:t>there is a need for HR initiatives to link with policies and organisational practices. This</w:t>
      </w:r>
      <w:r w:rsidR="00447838">
        <w:t xml:space="preserve"> vertical and horizontal integration</w:t>
      </w:r>
      <w:r w:rsidR="007F287E">
        <w:t xml:space="preserve"> </w:t>
      </w:r>
      <w:r w:rsidR="00447838">
        <w:t xml:space="preserve">is key in ensuring that each policy area supports the other </w:t>
      </w:r>
      <w:r w:rsidR="00F80B8C">
        <w:t>(CIPD). This requires working partnerships across department</w:t>
      </w:r>
      <w:r w:rsidR="007F287E">
        <w:t>s</w:t>
      </w:r>
      <w:r w:rsidR="00F80B8C">
        <w:t xml:space="preserve"> and requires a collaboration between HR, Learning and Development and line managers</w:t>
      </w:r>
      <w:r w:rsidR="009C69F3">
        <w:t>, ensuring</w:t>
      </w:r>
      <w:r w:rsidR="00F80B8C">
        <w:t xml:space="preserve"> this is delivered effectively. This demonstrates the important role that line manager play in engagement. This led to the CIPD’s report on line manager engagement, where it provides guidance</w:t>
      </w:r>
      <w:r w:rsidR="009C69F3">
        <w:t>, making clear that</w:t>
      </w:r>
      <w:r w:rsidR="00F80B8C">
        <w:t xml:space="preserve"> engagement is not seen as standalone, but links with employee well-being and employee health. Donald et al (2005)</w:t>
      </w:r>
      <w:r w:rsidR="00DD225C">
        <w:t xml:space="preserve"> confirms a strong relationship between psychological well-being, organisational commitment and performance. This supports the need for other policy areas to support the health and well-being of employees, as this can </w:t>
      </w:r>
      <w:r w:rsidR="009C69F3">
        <w:t>affect</w:t>
      </w:r>
      <w:r w:rsidR="00DD225C">
        <w:t xml:space="preserve"> individual and organisational performance.</w:t>
      </w:r>
    </w:p>
    <w:p w14:paraId="205CB341" w14:textId="65221E5B" w:rsidR="001008A5" w:rsidRDefault="009D6286" w:rsidP="001216A3">
      <w:r>
        <w:t>Whilst the above shows the positive effect of engagement, there are of course examples of the other side of the coin. Leadership IQ conducted survey</w:t>
      </w:r>
      <w:r w:rsidR="00447764">
        <w:t>s</w:t>
      </w:r>
      <w:r>
        <w:t xml:space="preserve"> </w:t>
      </w:r>
      <w:r w:rsidR="005D45CD">
        <w:t>with</w:t>
      </w:r>
      <w:r>
        <w:t xml:space="preserve"> over 27,000 managers and identified that many organisations are not transparent with their employees</w:t>
      </w:r>
      <w:r w:rsidR="00447764">
        <w:t>,</w:t>
      </w:r>
      <w:r>
        <w:t xml:space="preserve"> with only 15% of employees feeling their organisation </w:t>
      </w:r>
      <w:r w:rsidR="00447764">
        <w:t>inform them of their challenges. It also stated only</w:t>
      </w:r>
      <w:r>
        <w:t xml:space="preserve"> 24% of suggestions for change are recognised and only 23% </w:t>
      </w:r>
      <w:r w:rsidR="00447764">
        <w:t xml:space="preserve">on employees </w:t>
      </w:r>
      <w:r>
        <w:t>would share</w:t>
      </w:r>
      <w:r w:rsidR="00447764">
        <w:t xml:space="preserve"> a problem with their employer </w:t>
      </w:r>
      <w:r>
        <w:t>(LeadershipIQ).</w:t>
      </w:r>
      <w:r w:rsidR="005D45CD">
        <w:t xml:space="preserve"> This demonstrates that this</w:t>
      </w:r>
      <w:r w:rsidR="00447764">
        <w:t xml:space="preserve"> must not be</w:t>
      </w:r>
      <w:r w:rsidR="005D45CD">
        <w:t xml:space="preserve"> taken for granted and must be a priority for all organisations.</w:t>
      </w:r>
    </w:p>
    <w:p w14:paraId="70FB9B1B" w14:textId="74748F40" w:rsidR="00D84348" w:rsidRDefault="005D45CD" w:rsidP="001216A3">
      <w:r>
        <w:t xml:space="preserve">To </w:t>
      </w:r>
      <w:r w:rsidR="00424F80">
        <w:t>combat this,</w:t>
      </w:r>
      <w:r>
        <w:t xml:space="preserve"> e</w:t>
      </w:r>
      <w:r w:rsidR="001008A5">
        <w:t xml:space="preserve">mployee engagement </w:t>
      </w:r>
      <w:r>
        <w:t xml:space="preserve">must be </w:t>
      </w:r>
      <w:r w:rsidR="001008A5">
        <w:t xml:space="preserve">a key part of HR strategy as this can have an impact on a number of areas of an organisation’s ability to work effectively within their market space. </w:t>
      </w:r>
      <w:r w:rsidR="00B01B90">
        <w:t xml:space="preserve">Gallup research demonstrates that organisational engagement </w:t>
      </w:r>
      <w:r w:rsidR="00424F80">
        <w:t>is</w:t>
      </w:r>
      <w:r w:rsidR="00B01B90">
        <w:t xml:space="preserve"> as a predictor of organisational performance, </w:t>
      </w:r>
      <w:r w:rsidR="00500EE5">
        <w:t>affecting</w:t>
      </w:r>
      <w:r w:rsidR="00B01B90">
        <w:t xml:space="preserve"> customer rating, profitability, </w:t>
      </w:r>
      <w:r w:rsidR="0012056D">
        <w:t>and absenteeism</w:t>
      </w:r>
      <w:r w:rsidR="00B01B90">
        <w:t xml:space="preserve"> amongst others (</w:t>
      </w:r>
      <w:r w:rsidR="00C17719">
        <w:t>Sorenson</w:t>
      </w:r>
      <w:r w:rsidR="00B01B90">
        <w:t>).</w:t>
      </w:r>
      <w:r w:rsidR="0012056D">
        <w:t xml:space="preserve"> Gallup’s research identifies engagement </w:t>
      </w:r>
      <w:r w:rsidR="00424F80">
        <w:t>as</w:t>
      </w:r>
      <w:r w:rsidR="0012056D">
        <w:t xml:space="preserve"> </w:t>
      </w:r>
      <w:r w:rsidR="00424F80">
        <w:t>having</w:t>
      </w:r>
      <w:r w:rsidR="0012056D">
        <w:t xml:space="preserve"> dramatic improvement on business outcomes. They report the top quartile reporting lower organisational turnover, less safety incidents with higher productivity and profitability. </w:t>
      </w:r>
      <w:r w:rsidR="00F90344">
        <w:t xml:space="preserve">This is supported by Forbes (2011), who </w:t>
      </w:r>
      <w:r w:rsidR="00424F80">
        <w:t>state</w:t>
      </w:r>
      <w:r w:rsidR="00F90344">
        <w:t xml:space="preserve"> considerable growth for organisations who have performance enhancing cultures embedded, suggesting this area as a key driver for HR strategy.</w:t>
      </w:r>
    </w:p>
    <w:p w14:paraId="7A8A1B9E" w14:textId="75CE73EC" w:rsidR="0079576B" w:rsidRDefault="00D84348" w:rsidP="001216A3">
      <w:r>
        <w:t xml:space="preserve">Whilst organisations are in control of their internal practices, there are external factors that can </w:t>
      </w:r>
      <w:r w:rsidR="005D4EFE">
        <w:t>affect an</w:t>
      </w:r>
      <w:r>
        <w:t xml:space="preserve"> organisation. </w:t>
      </w:r>
      <w:r w:rsidR="00CD52EC">
        <w:t xml:space="preserve">Glass door and other such sites offer a new dimension to employee engagement impact for organisations, offering access for employees to feedback their views on </w:t>
      </w:r>
      <w:r w:rsidR="005D4EFE">
        <w:t>an</w:t>
      </w:r>
      <w:r w:rsidR="00CD52EC">
        <w:t xml:space="preserve"> organisation. This now widens the reach of an organ</w:t>
      </w:r>
      <w:r w:rsidR="00B4134F">
        <w:t>isations employee brand (Clark) and therefore places organ</w:t>
      </w:r>
      <w:r w:rsidR="00483750">
        <w:t xml:space="preserve">isations under greater scrutiny, placing a greater emphasis on the need for employees to be engaged with their roles. </w:t>
      </w:r>
      <w:r w:rsidR="0079576B">
        <w:t xml:space="preserve">In </w:t>
      </w:r>
      <w:r w:rsidR="004F1A07">
        <w:t>addition,</w:t>
      </w:r>
      <w:r w:rsidR="0079576B">
        <w:t xml:space="preserve"> with the current COVID-19 pandemic, individuals are working in a much more different manner to usual, with an increase in the number of ind</w:t>
      </w:r>
      <w:r w:rsidR="008D3D17">
        <w:t>ividuals working from home. The Office for National Statistics (ONS)</w:t>
      </w:r>
      <w:r w:rsidR="005D4EFE">
        <w:t xml:space="preserve"> </w:t>
      </w:r>
      <w:r w:rsidR="0079576B">
        <w:t xml:space="preserve">(2020) statistics report that 8.7 million people have worked from home during 2019, which equates to 30% of the workforce. </w:t>
      </w:r>
      <w:r w:rsidR="004F1A07" w:rsidRPr="008D3D17">
        <w:t xml:space="preserve">This </w:t>
      </w:r>
      <w:r w:rsidR="004F1A07">
        <w:t>figure</w:t>
      </w:r>
      <w:r w:rsidR="008D3D17">
        <w:t xml:space="preserve"> will undoubtedly have risen since 2019, with the national lockdown coming into effect in March 2020. Such measures require organisations to have well-structured engagement practices to ensure that their employees remain engaged, particularly when now working in more remote and sometimes isolated areas. ACAS produced guidance for employers to follow in terms of their employees working in a more remote manner, identifying the need for physical and mental wel</w:t>
      </w:r>
      <w:r w:rsidR="000B1F98">
        <w:t xml:space="preserve">l-being to be closely </w:t>
      </w:r>
      <w:r w:rsidR="000B1F98" w:rsidRPr="000B1F98">
        <w:t>monitored</w:t>
      </w:r>
      <w:r w:rsidR="00F81ECF">
        <w:t xml:space="preserve">, particularly when the benefits of mental well-being and performance </w:t>
      </w:r>
      <w:r w:rsidR="006A3ED1">
        <w:t>are</w:t>
      </w:r>
      <w:r w:rsidR="00F81ECF">
        <w:t xml:space="preserve"> a reduction in employee turnover and cost (Goonrey).</w:t>
      </w:r>
    </w:p>
    <w:p w14:paraId="290A8CB5" w14:textId="076BF84F" w:rsidR="009656B8" w:rsidRDefault="00483750" w:rsidP="001216A3">
      <w:r>
        <w:lastRenderedPageBreak/>
        <w:t xml:space="preserve">Organisations also </w:t>
      </w:r>
      <w:r w:rsidR="006A3ED1">
        <w:t>face</w:t>
      </w:r>
      <w:r>
        <w:t xml:space="preserve"> an </w:t>
      </w:r>
      <w:r w:rsidR="004F1A07">
        <w:t>ever-changing</w:t>
      </w:r>
      <w:r>
        <w:t xml:space="preserve"> workforce, with one of these factors being the 4</w:t>
      </w:r>
      <w:r w:rsidRPr="00483750">
        <w:rPr>
          <w:vertAlign w:val="superscript"/>
        </w:rPr>
        <w:t>th</w:t>
      </w:r>
      <w:r>
        <w:t xml:space="preserve"> </w:t>
      </w:r>
      <w:r w:rsidR="006A3ED1">
        <w:t xml:space="preserve">industrial </w:t>
      </w:r>
      <w:r>
        <w:t xml:space="preserve">revolution. </w:t>
      </w:r>
      <w:r w:rsidR="004F1A07">
        <w:t>This term</w:t>
      </w:r>
      <w:r>
        <w:t xml:space="preserve"> </w:t>
      </w:r>
      <w:r w:rsidR="006A3ED1">
        <w:t>describes</w:t>
      </w:r>
      <w:r>
        <w:t xml:space="preserve"> the changing way in which business is delivered with a blurring of the lines between geographical locations, digital infrastructures and how workforce</w:t>
      </w:r>
      <w:r w:rsidR="006A3ED1">
        <w:t>s</w:t>
      </w:r>
      <w:r>
        <w:t xml:space="preserve"> want to be engaged.</w:t>
      </w:r>
      <w:r w:rsidR="006A52D0">
        <w:t xml:space="preserve"> There is an important </w:t>
      </w:r>
      <w:r w:rsidR="006F5592">
        <w:t>need for</w:t>
      </w:r>
      <w:r w:rsidR="006A52D0">
        <w:t xml:space="preserve"> high organisational commitment due to the impact </w:t>
      </w:r>
      <w:r w:rsidR="006A3ED1">
        <w:t>that</w:t>
      </w:r>
      <w:r w:rsidR="006A52D0">
        <w:t xml:space="preserve"> change of working </w:t>
      </w:r>
      <w:r w:rsidR="00BF65D8">
        <w:t xml:space="preserve">practice can have on employees. There is an </w:t>
      </w:r>
      <w:r w:rsidR="004F1A07">
        <w:t>ever-growing</w:t>
      </w:r>
      <w:r w:rsidR="00BF65D8">
        <w:t xml:space="preserve"> need for organisations to become more agile and this requires staff development, made easier when employees are more engaged in their organisation and therefore more prepared to adapt (Tarry).</w:t>
      </w:r>
      <w:r w:rsidR="009656B8">
        <w:t xml:space="preserve"> </w:t>
      </w:r>
      <w:r w:rsidR="006F5592">
        <w:t>This is coupled with</w:t>
      </w:r>
      <w:r w:rsidR="009656B8">
        <w:t xml:space="preserve"> more expectations placed on employer</w:t>
      </w:r>
      <w:r w:rsidR="006F5592">
        <w:t>s</w:t>
      </w:r>
      <w:r w:rsidR="009656B8">
        <w:t xml:space="preserve"> by their ‘millennial’ employees, </w:t>
      </w:r>
      <w:r w:rsidR="006F5592">
        <w:t>requiring</w:t>
      </w:r>
      <w:r w:rsidR="009656B8">
        <w:t xml:space="preserve"> organisations to engage with their workforce</w:t>
      </w:r>
      <w:r w:rsidR="006F5592">
        <w:t xml:space="preserve"> more than ever</w:t>
      </w:r>
      <w:r w:rsidR="009656B8">
        <w:t xml:space="preserve">. These include providing ways of working which suit a flexible work life balance, the ability to be innovative and creative in their roles, as well as wanting their employers to be </w:t>
      </w:r>
      <w:r w:rsidR="00D52D7E">
        <w:t>socially</w:t>
      </w:r>
      <w:r w:rsidR="009656B8">
        <w:t xml:space="preserve"> responsible (Verasai).</w:t>
      </w:r>
    </w:p>
    <w:p w14:paraId="094BE7D2" w14:textId="37B55F19" w:rsidR="009656B8" w:rsidRDefault="009656B8" w:rsidP="001216A3">
      <w:r>
        <w:t xml:space="preserve">It is not </w:t>
      </w:r>
      <w:r w:rsidR="006F7394">
        <w:t>only</w:t>
      </w:r>
      <w:r w:rsidR="006311E2">
        <w:t xml:space="preserve"> employees </w:t>
      </w:r>
      <w:r w:rsidR="006F7394">
        <w:t xml:space="preserve">who </w:t>
      </w:r>
      <w:r w:rsidR="006311E2">
        <w:t>affect</w:t>
      </w:r>
      <w:r>
        <w:t xml:space="preserve"> how an organisati</w:t>
      </w:r>
      <w:r w:rsidR="006311E2">
        <w:t>on operates</w:t>
      </w:r>
      <w:r w:rsidR="006F7394">
        <w:t>.</w:t>
      </w:r>
      <w:r w:rsidR="006311E2">
        <w:t xml:space="preserve"> </w:t>
      </w:r>
      <w:r w:rsidR="006F7394">
        <w:t>T</w:t>
      </w:r>
      <w:r w:rsidR="006311E2">
        <w:t xml:space="preserve">here are several other </w:t>
      </w:r>
      <w:r w:rsidR="006F7394">
        <w:t>relevant external factors. These</w:t>
      </w:r>
      <w:r w:rsidR="006311E2">
        <w:t xml:space="preserve"> include customers of an organisation, stakeholders and general society. </w:t>
      </w:r>
      <w:r w:rsidR="006F7394">
        <w:t>T</w:t>
      </w:r>
      <w:r w:rsidR="006311E2">
        <w:t xml:space="preserve">here is an increasing pressure on organisations to act in a responsible </w:t>
      </w:r>
      <w:r w:rsidR="006F7394">
        <w:t xml:space="preserve">manner, </w:t>
      </w:r>
      <w:r w:rsidR="0043464B" w:rsidRPr="0043464B">
        <w:t xml:space="preserve">with a </w:t>
      </w:r>
      <w:r w:rsidR="0043464B">
        <w:t>greater emphasis being placed on social responsibility, with individuals wanting to work for organisations who demonstrate gre</w:t>
      </w:r>
      <w:r w:rsidR="006F7394">
        <w:t xml:space="preserve">en credentials </w:t>
      </w:r>
      <w:r w:rsidR="00D52D7E">
        <w:t>(Michelson)</w:t>
      </w:r>
      <w:r w:rsidR="0043464B">
        <w:t xml:space="preserve">. </w:t>
      </w:r>
      <w:r w:rsidR="005D45CD">
        <w:t>E</w:t>
      </w:r>
      <w:r w:rsidR="0043464B">
        <w:t>mployee activism is</w:t>
      </w:r>
      <w:r w:rsidR="00D52D7E">
        <w:t xml:space="preserve"> now even more </w:t>
      </w:r>
      <w:r w:rsidR="006F7394">
        <w:t>powerful,</w:t>
      </w:r>
      <w:r w:rsidR="00D52D7E">
        <w:t xml:space="preserve"> given the </w:t>
      </w:r>
      <w:r w:rsidR="00B56594">
        <w:t>ever-increasing</w:t>
      </w:r>
      <w:r w:rsidR="0043464B">
        <w:t xml:space="preserve"> </w:t>
      </w:r>
      <w:r w:rsidR="00B56594">
        <w:t xml:space="preserve">impact that social media </w:t>
      </w:r>
      <w:r w:rsidR="006F7394">
        <w:t>has</w:t>
      </w:r>
      <w:r w:rsidR="00B56594">
        <w:t xml:space="preserve">. It is vital that organisations not only talk the talk, but they also walk the walk when it comes to social responsibility (Alemany). This is evident when looking at companies such as Amazon, who released an advert thanking its employees and how they strive to keep their employees safe - whilst employees staged a strike to get better safety provisions. Whilst this did not </w:t>
      </w:r>
      <w:r w:rsidR="006F7394">
        <w:t>affect</w:t>
      </w:r>
      <w:r w:rsidR="00B56594">
        <w:t xml:space="preserve"> the</w:t>
      </w:r>
      <w:r w:rsidR="006F7394">
        <w:t>ir</w:t>
      </w:r>
      <w:r w:rsidR="00B56594">
        <w:t xml:space="preserve"> profitability, this type of press </w:t>
      </w:r>
      <w:r w:rsidR="0081525E">
        <w:t>can only have a negative impact on an organisation and only goes to demonstrate the power or employee engagement (Ghaffary).</w:t>
      </w:r>
    </w:p>
    <w:p w14:paraId="295C979D" w14:textId="2EB3D7D7" w:rsidR="00BF65D8" w:rsidRPr="00DE3C67" w:rsidRDefault="005D45CD" w:rsidP="00FE20D0">
      <w:r>
        <w:t>Engagement can have a great benefit to a range of different stakeholders as mentioned above, including employees, managers and customers alik</w:t>
      </w:r>
      <w:r w:rsidR="00F8239B">
        <w:t>e. This can have huge impact on an organisation’s reputation, or ability to deliver services, particularly when considering the impact of an actively disengaged and sometimes disruptive workforce. This can lead to increased errors, poor customer service or even disruptive behaviour (Healy).</w:t>
      </w:r>
    </w:p>
    <w:p w14:paraId="7064FEC1" w14:textId="49404982" w:rsidR="00964231" w:rsidRDefault="00090E2A" w:rsidP="00FE20D0">
      <w:r>
        <w:t xml:space="preserve">In addition to providing engagement opportunities for staff and </w:t>
      </w:r>
      <w:r w:rsidR="004A14A9">
        <w:t xml:space="preserve">having </w:t>
      </w:r>
      <w:r>
        <w:t xml:space="preserve">structures in place to support these, it is also important for </w:t>
      </w:r>
      <w:r w:rsidR="004A14A9">
        <w:t xml:space="preserve">monitor </w:t>
      </w:r>
      <w:r>
        <w:t xml:space="preserve">engagement </w:t>
      </w:r>
      <w:r w:rsidR="00A50F7B">
        <w:t>data. This can often be difficult, due to the lack of a de</w:t>
      </w:r>
      <w:r w:rsidR="00964231">
        <w:t>fined definition for engagement, meaning that there is no one</w:t>
      </w:r>
      <w:r w:rsidR="004A14A9">
        <w:t xml:space="preserve"> definitive data set</w:t>
      </w:r>
      <w:r w:rsidR="00964231">
        <w:t xml:space="preserve"> (Van Vulpen).</w:t>
      </w:r>
      <w:r w:rsidR="008173E1">
        <w:t xml:space="preserve"> To assess and measure engagement there are several options, including conducting engagement surveys with your employees, or by measuring areas which are identified as outputs of positive engagement, such as reduced absenteeism, reduced turnover or organisational performance.</w:t>
      </w:r>
      <w:r w:rsidR="00D34C58">
        <w:t xml:space="preserve"> This is important as it can show the benefit of HR policies and practices and their impact on organisational performance (CIPD). </w:t>
      </w:r>
      <w:r w:rsidR="00BB36D6">
        <w:t>One of the key sources of</w:t>
      </w:r>
      <w:r w:rsidR="00594109">
        <w:t xml:space="preserve"> engagement and employment data</w:t>
      </w:r>
      <w:r w:rsidR="00BB36D6">
        <w:t xml:space="preserve"> is the Good Work Plan</w:t>
      </w:r>
      <w:r w:rsidR="00E15658">
        <w:t xml:space="preserve"> (2018)</w:t>
      </w:r>
      <w:r w:rsidR="00BB36D6">
        <w:t>, which sets out the governments approach to addressing workplace issues.</w:t>
      </w:r>
      <w:r w:rsidR="00CB1665">
        <w:t xml:space="preserve"> An element of this is the impact of such matters as zero </w:t>
      </w:r>
      <w:r w:rsidR="00594109">
        <w:t>hours</w:t>
      </w:r>
      <w:r w:rsidR="00CB1665">
        <w:t xml:space="preserve"> contracts or ‘gig workers’, where individual’s hours are based often on business demand. This includes organisations </w:t>
      </w:r>
      <w:r w:rsidR="00594109">
        <w:t>such as Deliveroo;</w:t>
      </w:r>
      <w:r w:rsidR="00CB1665">
        <w:t xml:space="preserve"> whose employees receive notification of last-minute work, often on the morning of their shift. The Independent (2018) reported an inquiry into working conditions at Deliveroo, </w:t>
      </w:r>
      <w:r w:rsidR="00594109">
        <w:t>which looked</w:t>
      </w:r>
      <w:r w:rsidR="00CB1665">
        <w:t xml:space="preserve"> into their working practices and how this affects their employees.  This is </w:t>
      </w:r>
      <w:r w:rsidR="004A14A9">
        <w:t xml:space="preserve">just </w:t>
      </w:r>
      <w:r w:rsidR="00CB1665">
        <w:t xml:space="preserve">one </w:t>
      </w:r>
      <w:r w:rsidR="004A14A9">
        <w:t xml:space="preserve">area of </w:t>
      </w:r>
      <w:r w:rsidR="00CB1665">
        <w:t xml:space="preserve">the </w:t>
      </w:r>
      <w:r w:rsidR="00594109">
        <w:t xml:space="preserve">Good Work </w:t>
      </w:r>
      <w:r w:rsidR="004A14A9">
        <w:t>Plan;</w:t>
      </w:r>
      <w:r w:rsidR="00594109">
        <w:t xml:space="preserve"> </w:t>
      </w:r>
      <w:r w:rsidR="004A14A9">
        <w:t>however</w:t>
      </w:r>
      <w:r w:rsidR="00594109">
        <w:t xml:space="preserve"> demonstrate</w:t>
      </w:r>
      <w:r w:rsidR="00CB1665">
        <w:t xml:space="preserve"> the feeling amongst workers to have fair and just conditions and engagement from their organisation. </w:t>
      </w:r>
    </w:p>
    <w:p w14:paraId="5EE066D3" w14:textId="6CC79D15" w:rsidR="00CB1665" w:rsidRDefault="002D1AD5" w:rsidP="00FE20D0">
      <w:r>
        <w:t>The Information and Consultation of Employees (ICE) regulation is al</w:t>
      </w:r>
      <w:r w:rsidR="00972B22">
        <w:t xml:space="preserve">so a key area of engagement </w:t>
      </w:r>
      <w:r>
        <w:t xml:space="preserve">data. The ICE came into effect in 2005 and required organisations who employ more than 50 </w:t>
      </w:r>
      <w:r>
        <w:lastRenderedPageBreak/>
        <w:t xml:space="preserve">employees to undertake consultation </w:t>
      </w:r>
      <w:r w:rsidR="00972B22">
        <w:t>regarding</w:t>
      </w:r>
      <w:r>
        <w:t xml:space="preserve"> business change</w:t>
      </w:r>
      <w:r w:rsidR="00972B22">
        <w:t>s</w:t>
      </w:r>
      <w:r>
        <w:t>. This should form just one element of engagement and communication</w:t>
      </w:r>
      <w:r w:rsidR="00972B22">
        <w:t xml:space="preserve"> between employer and employee. Others</w:t>
      </w:r>
      <w:r>
        <w:t xml:space="preserve"> can take the form of newsletters, internal communications, one-to-one meetings, e-mails and company intranet sites. These regulations altered in 2020 to reduce the number of people in an organisation who</w:t>
      </w:r>
      <w:r w:rsidR="00972B22">
        <w:t xml:space="preserve"> are</w:t>
      </w:r>
      <w:r>
        <w:t xml:space="preserve"> </w:t>
      </w:r>
      <w:r w:rsidR="00972B22">
        <w:t>affected</w:t>
      </w:r>
      <w:r>
        <w:t xml:space="preserve"> by a change, before they </w:t>
      </w:r>
      <w:r w:rsidR="00972B22">
        <w:t>must be followed</w:t>
      </w:r>
      <w:r>
        <w:t>. This reduced from 10% or an organisation, to just 2%, increasing the level of required engagement. ACAS provide guidance on this topic to assist organisations in their duty.</w:t>
      </w:r>
    </w:p>
    <w:p w14:paraId="4A233C03" w14:textId="674A8656" w:rsidR="001853CB" w:rsidRDefault="001853CB" w:rsidP="00FE20D0">
      <w:r>
        <w:t xml:space="preserve">Other sources of engagement data include the ‘Good Work Index’, written by the CIPD (2020). This report </w:t>
      </w:r>
      <w:r w:rsidR="003970E5">
        <w:t>covers a range of job aspects, looking at contracts of employment and identifying the reality of work life for individuals. The CIPD define good work as being rewarded</w:t>
      </w:r>
      <w:r w:rsidR="00972B22">
        <w:t xml:space="preserve"> fairly</w:t>
      </w:r>
      <w:r w:rsidR="003970E5">
        <w:t xml:space="preserve">, </w:t>
      </w:r>
      <w:r w:rsidR="00972B22">
        <w:t xml:space="preserve">being </w:t>
      </w:r>
      <w:r w:rsidR="003970E5">
        <w:t>secure</w:t>
      </w:r>
      <w:r w:rsidR="00972B22">
        <w:t xml:space="preserve"> in role</w:t>
      </w:r>
      <w:r w:rsidR="003970E5">
        <w:t xml:space="preserve">, to have </w:t>
      </w:r>
      <w:r w:rsidR="00972B22">
        <w:t xml:space="preserve">the </w:t>
      </w:r>
      <w:r w:rsidR="003970E5">
        <w:t>opportunity for development</w:t>
      </w:r>
      <w:r w:rsidR="00972B22">
        <w:t xml:space="preserve"> as well as offering</w:t>
      </w:r>
      <w:r w:rsidR="003970E5">
        <w:t xml:space="preserve"> a good work life balance a</w:t>
      </w:r>
      <w:r w:rsidR="00972B22">
        <w:t>nd employee</w:t>
      </w:r>
      <w:r w:rsidR="003970E5">
        <w:t xml:space="preserve"> voice in their organisation. The report offers a wealth of data directly from employees and demonstrates the link between a ‘good quality job’ with a reduction in employee turnover and higher work performance. </w:t>
      </w:r>
      <w:r w:rsidR="00C014F7">
        <w:t>It a</w:t>
      </w:r>
      <w:r w:rsidR="00972B22">
        <w:t>lso reports that job quality differs depending on the type of role,</w:t>
      </w:r>
      <w:r w:rsidR="00C014F7">
        <w:t xml:space="preserve"> with professional and managerial roles typically offering better job quality. </w:t>
      </w:r>
    </w:p>
    <w:p w14:paraId="64FE373C" w14:textId="03AA24D4" w:rsidR="001853CB" w:rsidRDefault="00C33EF6" w:rsidP="00FE20D0">
      <w:r>
        <w:t>As well as these external sources, organisation</w:t>
      </w:r>
      <w:r w:rsidR="00B45019">
        <w:t>s</w:t>
      </w:r>
      <w:r>
        <w:t xml:space="preserve"> </w:t>
      </w:r>
      <w:r w:rsidR="00B45019">
        <w:t>must</w:t>
      </w:r>
      <w:r>
        <w:t xml:space="preserve"> also look at their own internal engagement data. This include</w:t>
      </w:r>
      <w:r w:rsidR="00B45019">
        <w:t>s</w:t>
      </w:r>
      <w:r>
        <w:t xml:space="preserve"> turnover data across different departments or business areas, which can identify areas where ‘job satisfaction’ is less. Sickness data </w:t>
      </w:r>
      <w:r w:rsidR="00B45019">
        <w:t xml:space="preserve">is </w:t>
      </w:r>
      <w:r>
        <w:t xml:space="preserve">also a key factor for employers to review, with 44% of the workforce experiencing work related stress in 2018/19 (ACAS). It </w:t>
      </w:r>
      <w:r w:rsidR="00CF13E9">
        <w:t xml:space="preserve">is </w:t>
      </w:r>
      <w:r>
        <w:t xml:space="preserve">important that organisations </w:t>
      </w:r>
      <w:r w:rsidR="00CF13E9">
        <w:t xml:space="preserve">also </w:t>
      </w:r>
      <w:r>
        <w:t xml:space="preserve">understand whether </w:t>
      </w:r>
      <w:r w:rsidR="00CF13E9">
        <w:t xml:space="preserve">different </w:t>
      </w:r>
      <w:r>
        <w:t>genders or ethnic groups</w:t>
      </w:r>
      <w:r w:rsidR="00CF13E9">
        <w:t xml:space="preserve"> experience work related issues to a greater or lesser extent</w:t>
      </w:r>
      <w:r>
        <w:t xml:space="preserve">. This </w:t>
      </w:r>
      <w:r w:rsidR="00CF13E9">
        <w:t xml:space="preserve">can be achieved </w:t>
      </w:r>
      <w:r>
        <w:t xml:space="preserve">by the use of internal groups, such as female network groups or </w:t>
      </w:r>
      <w:r w:rsidR="00185CF5">
        <w:t>equality groups. These play a vital role in identifying the real-life impact for these mi</w:t>
      </w:r>
      <w:r w:rsidR="00CF13E9">
        <w:t xml:space="preserve">nority groups. This </w:t>
      </w:r>
      <w:r w:rsidR="00185CF5">
        <w:t>Gender Pay Gap reporting</w:t>
      </w:r>
      <w:r w:rsidR="00CF13E9">
        <w:t xml:space="preserve"> supports this, with</w:t>
      </w:r>
      <w:r w:rsidR="00185CF5">
        <w:t xml:space="preserve"> </w:t>
      </w:r>
      <w:r w:rsidR="00CF13E9">
        <w:t>a</w:t>
      </w:r>
      <w:r w:rsidR="00185CF5">
        <w:t xml:space="preserve"> legal requirement for organisations to ensure that both male and females are paid equally and required organisations to publish data on their gender pay gap data. </w:t>
      </w:r>
      <w:r w:rsidR="004F5D3D">
        <w:t>Whist this is a positive step in engagement and ensuring cohesive working conditions for male and females, there is still evidence that the UK can do more, with other countries taking a far more robust approach to monitoring and reporting any differences (Oppenheim).</w:t>
      </w:r>
    </w:p>
    <w:p w14:paraId="49B4F20F" w14:textId="250D3260" w:rsidR="005C1FAA" w:rsidRDefault="0086683F" w:rsidP="00FE20D0">
      <w:r>
        <w:t xml:space="preserve">Age also plays a vital factor in the way that organisations </w:t>
      </w:r>
      <w:r w:rsidR="002A5230">
        <w:t xml:space="preserve">should </w:t>
      </w:r>
      <w:r>
        <w:t xml:space="preserve">engage with their workforce. With an ageing population and the changes in workplace pensions, </w:t>
      </w:r>
      <w:r w:rsidR="002A5230">
        <w:t>t</w:t>
      </w:r>
      <w:r>
        <w:t>he age range of our workforce</w:t>
      </w:r>
      <w:r w:rsidR="002A5230">
        <w:t xml:space="preserve"> is increasing</w:t>
      </w:r>
      <w:r>
        <w:t>. Additionally, as mentioned within this report, millennials expect their workplaces to provide a 21</w:t>
      </w:r>
      <w:r w:rsidRPr="0086683F">
        <w:rPr>
          <w:vertAlign w:val="superscript"/>
        </w:rPr>
        <w:t>st</w:t>
      </w:r>
      <w:r>
        <w:t xml:space="preserve"> century approach to work life, with technology</w:t>
      </w:r>
      <w:r w:rsidR="005C1FAA">
        <w:t xml:space="preserve"> and flexibility</w:t>
      </w:r>
      <w:r>
        <w:t xml:space="preserve"> being at the </w:t>
      </w:r>
      <w:r w:rsidR="002A5230">
        <w:t>forefront</w:t>
      </w:r>
      <w:r>
        <w:t xml:space="preserve"> of this</w:t>
      </w:r>
      <w:r w:rsidR="005C1FAA">
        <w:t xml:space="preserve"> (Bennett). Millennials are interested in ensuring that 21</w:t>
      </w:r>
      <w:r w:rsidR="005C1FAA" w:rsidRPr="005C1FAA">
        <w:rPr>
          <w:vertAlign w:val="superscript"/>
        </w:rPr>
        <w:t>st</w:t>
      </w:r>
      <w:r w:rsidR="005C1FAA">
        <w:t xml:space="preserve"> century technology plays a key part of their organisation, or their prospective organisation, rather than gimmick engagement initiatives. In addition, they place a strong emphasis on corporate social responsibility (CSR), with research showing that </w:t>
      </w:r>
      <w:r w:rsidR="002A5230">
        <w:t>millennials</w:t>
      </w:r>
      <w:r w:rsidR="005C1FAA">
        <w:t xml:space="preserve"> would prefer to work for </w:t>
      </w:r>
      <w:r w:rsidR="001A6554">
        <w:t>an organisation that acts ethically and fairly, rather than have higher salaries (Cone).</w:t>
      </w:r>
      <w:r w:rsidR="002557BB">
        <w:t xml:space="preserve"> </w:t>
      </w:r>
      <w:r w:rsidR="00442BC1">
        <w:t xml:space="preserve">To some </w:t>
      </w:r>
      <w:r w:rsidR="002A5230">
        <w:t>extent,</w:t>
      </w:r>
      <w:r w:rsidR="00442BC1">
        <w:t xml:space="preserve"> this</w:t>
      </w:r>
      <w:r w:rsidR="002A5230">
        <w:t xml:space="preserve"> echoes that of</w:t>
      </w:r>
      <w:r w:rsidR="00442BC1">
        <w:t xml:space="preserve"> the older working population, with the CIPD’s Mega Trends report stating incentives such as flexible working and health and </w:t>
      </w:r>
      <w:r w:rsidR="002A5230">
        <w:t>wellbeing</w:t>
      </w:r>
      <w:r w:rsidR="00442BC1">
        <w:t xml:space="preserve"> policies acting as a driver for a longer working life (CIPD). This</w:t>
      </w:r>
      <w:r w:rsidR="003B2B44">
        <w:t xml:space="preserve"> is an </w:t>
      </w:r>
      <w:r w:rsidR="002A5230">
        <w:t>area that</w:t>
      </w:r>
      <w:r w:rsidR="003B2B44">
        <w:t xml:space="preserve"> workforces</w:t>
      </w:r>
      <w:r w:rsidR="002A5230">
        <w:t xml:space="preserve"> need to address</w:t>
      </w:r>
      <w:r w:rsidR="003B2B44">
        <w:t>, particularly given th</w:t>
      </w:r>
      <w:r w:rsidR="002A5230">
        <w:t xml:space="preserve">e changing age of the workforce, with </w:t>
      </w:r>
      <w:r w:rsidR="003B2B44">
        <w:t xml:space="preserve">a percentage increase of 185% of workers aged 65 or more since 1992. Fortunately, this is being </w:t>
      </w:r>
      <w:r w:rsidR="002A5230">
        <w:t>addresses</w:t>
      </w:r>
      <w:r w:rsidR="003B2B44">
        <w:t>, with the Department for Work and Pensions’ ‘Fuller Working Lives’ report. This sets out a roadmap for employers to follow to ensure they recognise the skills and needs of their ageing workforce and plan how to retrain and retain them to ensure that they feel valued and able to continue working (Dept for Work and Pensions).</w:t>
      </w:r>
    </w:p>
    <w:p w14:paraId="114F276E" w14:textId="77777777" w:rsidR="00DE3C67" w:rsidRDefault="00DE3C67" w:rsidP="00FE20D0"/>
    <w:p w14:paraId="616A2CA4" w14:textId="17076234" w:rsidR="00D15EDC" w:rsidRPr="00DD5146" w:rsidRDefault="00D15EDC" w:rsidP="00FE20D0">
      <w:pPr>
        <w:rPr>
          <w:b/>
        </w:rPr>
      </w:pPr>
      <w:r w:rsidRPr="00DD5146">
        <w:rPr>
          <w:b/>
        </w:rPr>
        <w:lastRenderedPageBreak/>
        <w:t>Conclusion</w:t>
      </w:r>
    </w:p>
    <w:p w14:paraId="48E59741" w14:textId="2B6E03B1" w:rsidR="00611431" w:rsidRDefault="00D15EDC" w:rsidP="00FE20D0">
      <w:r>
        <w:t>To conclude,</w:t>
      </w:r>
      <w:r w:rsidR="00E852D4">
        <w:t xml:space="preserve"> whilst there are </w:t>
      </w:r>
      <w:r>
        <w:t xml:space="preserve">opposing views to the </w:t>
      </w:r>
      <w:r w:rsidR="00E852D4">
        <w:t>validity and impact</w:t>
      </w:r>
      <w:r>
        <w:t xml:space="preserve"> of employee engagement, it </w:t>
      </w:r>
      <w:r w:rsidR="00D12606">
        <w:t>is</w:t>
      </w:r>
      <w:r w:rsidR="00E852D4">
        <w:t xml:space="preserve"> clear that there are organisational factors that increase the likelihood of discretionary effort being displayed by employees. Organisations </w:t>
      </w:r>
      <w:r w:rsidR="00D12606">
        <w:t>must</w:t>
      </w:r>
      <w:r w:rsidR="00E852D4">
        <w:t xml:space="preserve"> ensure they are committed</w:t>
      </w:r>
      <w:r w:rsidR="00D12606">
        <w:t>,</w:t>
      </w:r>
      <w:r w:rsidR="00E852D4">
        <w:t xml:space="preserve"> and have the horizontal integration across policies to support individuals to achieve this. There is also</w:t>
      </w:r>
      <w:r w:rsidR="00500EE5">
        <w:t xml:space="preserve"> a need for practices to support </w:t>
      </w:r>
      <w:r w:rsidR="00E852D4">
        <w:t>employee voice and that the well-being of employees is kept in the forefront of the minds of senior managers and that they truly support any organisational initiatives</w:t>
      </w:r>
      <w:r w:rsidR="00D12606">
        <w:t>,</w:t>
      </w:r>
      <w:r w:rsidR="00E852D4">
        <w:t xml:space="preserve"> so</w:t>
      </w:r>
      <w:r w:rsidR="00D12606">
        <w:t xml:space="preserve"> that</w:t>
      </w:r>
      <w:r w:rsidR="00E852D4">
        <w:t xml:space="preserve"> as any ‘say-do’ gap</w:t>
      </w:r>
      <w:r w:rsidR="00D12606">
        <w:t xml:space="preserve"> is reduced</w:t>
      </w:r>
      <w:r w:rsidR="00E852D4">
        <w:t>.</w:t>
      </w:r>
    </w:p>
    <w:p w14:paraId="09AC4E3E" w14:textId="43C0EFB4" w:rsidR="00D15EDC" w:rsidRDefault="00611431" w:rsidP="00FE20D0">
      <w:r>
        <w:t xml:space="preserve">In addition, with an ageing population and larger millennial working population, organisations </w:t>
      </w:r>
      <w:r w:rsidR="00500EE5">
        <w:t xml:space="preserve">must </w:t>
      </w:r>
      <w:r>
        <w:t>ensure they ada</w:t>
      </w:r>
      <w:r w:rsidR="00500EE5">
        <w:t>pt their working practices to f</w:t>
      </w:r>
      <w:r>
        <w:t xml:space="preserve">it the </w:t>
      </w:r>
      <w:r w:rsidR="00500EE5">
        <w:t xml:space="preserve">changing </w:t>
      </w:r>
      <w:r w:rsidR="00862413">
        <w:t xml:space="preserve">needs of the </w:t>
      </w:r>
      <w:r>
        <w:t>4</w:t>
      </w:r>
      <w:r w:rsidRPr="00611431">
        <w:rPr>
          <w:vertAlign w:val="superscript"/>
        </w:rPr>
        <w:t>th</w:t>
      </w:r>
      <w:r>
        <w:t xml:space="preserve"> industrial revolution and to offer a working environment that millennials </w:t>
      </w:r>
      <w:r w:rsidR="00500EE5">
        <w:t xml:space="preserve">focus on when choosing an employer, with this also being a vital factor to reduce turnover. </w:t>
      </w:r>
    </w:p>
    <w:p w14:paraId="2A454222" w14:textId="12BB3FC0" w:rsidR="00DE3C67" w:rsidRDefault="00500EE5" w:rsidP="00FE20D0">
      <w:r>
        <w:t>Without these areas of work being fully integrated into an organisation, there is a risk that engagement is overlooked and in light of this, so is an element of control over organisational performance.</w:t>
      </w:r>
      <w:r w:rsidR="00BB68B1">
        <w:t xml:space="preserve"> The future for any organisation must contain real-time engagement, with employees with a focus on allowing self-direction in role and flexibility for </w:t>
      </w:r>
      <w:r w:rsidR="00862413">
        <w:t>its</w:t>
      </w:r>
      <w:r w:rsidR="00BB68B1">
        <w:t xml:space="preserve"> employees. By doing this </w:t>
      </w:r>
      <w:r w:rsidR="00995B5E">
        <w:t xml:space="preserve">there is an increase in discretionary </w:t>
      </w:r>
      <w:r w:rsidR="00862413">
        <w:t>effort, which</w:t>
      </w:r>
      <w:r w:rsidR="00995B5E">
        <w:t xml:space="preserve"> can be the difference between a highly motivated and engaged workforce and </w:t>
      </w:r>
      <w:r w:rsidR="00862413">
        <w:t>one that</w:t>
      </w:r>
      <w:r w:rsidR="00995B5E">
        <w:t xml:space="preserve"> is disengaged at best, but on some occasions disruptive and damaging.</w:t>
      </w:r>
    </w:p>
    <w:p w14:paraId="557F2CF8" w14:textId="77777777" w:rsidR="008173E1" w:rsidRDefault="008173E1" w:rsidP="00FE20D0"/>
    <w:sdt>
      <w:sdtPr>
        <w:id w:val="1898084602"/>
        <w:docPartObj>
          <w:docPartGallery w:val="Bibliographies"/>
          <w:docPartUnique/>
        </w:docPartObj>
      </w:sdtPr>
      <w:sdtEndPr/>
      <w:sdtContent>
        <w:p w14:paraId="3A714E92" w14:textId="77777777" w:rsidR="001565BF" w:rsidRPr="00012D95" w:rsidRDefault="001565BF" w:rsidP="001565BF">
          <w:pPr>
            <w:rPr>
              <w:b/>
              <w:bCs/>
            </w:rPr>
          </w:pPr>
          <w:r w:rsidRPr="00012D95">
            <w:rPr>
              <w:b/>
              <w:bCs/>
            </w:rPr>
            <w:t>Bibliography</w:t>
          </w:r>
        </w:p>
        <w:p w14:paraId="05215714" w14:textId="660B8E72" w:rsidR="001565BF" w:rsidRDefault="001565BF" w:rsidP="001565BF">
          <w:r>
            <w:t>CIPD Engagement factsheet</w:t>
          </w:r>
        </w:p>
        <w:p w14:paraId="6464A88B" w14:textId="1A174396" w:rsidR="00B00CAA" w:rsidRPr="00B00CAA" w:rsidRDefault="00B00CAA" w:rsidP="001565BF">
          <w:r>
            <w:t xml:space="preserve">HR Zone (no date). </w:t>
          </w:r>
          <w:r>
            <w:rPr>
              <w:i/>
            </w:rPr>
            <w:t>‘What is employee engagement?’</w:t>
          </w:r>
          <w:r>
            <w:t xml:space="preserve">. HR Zone Accessed at: </w:t>
          </w:r>
          <w:hyperlink r:id="rId10" w:history="1">
            <w:r w:rsidRPr="00675B67">
              <w:rPr>
                <w:rStyle w:val="Hyperlink"/>
              </w:rPr>
              <w:t>https://www.hrzone.com/hr-glossary/what-is-employee-engagement</w:t>
            </w:r>
          </w:hyperlink>
          <w:r>
            <w:t>. Accessed on 30/09/2020.</w:t>
          </w:r>
        </w:p>
        <w:p w14:paraId="7A7E1F80" w14:textId="1EFC0D95" w:rsidR="001565BF" w:rsidRDefault="001565BF" w:rsidP="001565BF">
          <w:r>
            <w:t>Kahn, W (1990). ‘</w:t>
          </w:r>
          <w:r>
            <w:rPr>
              <w:i/>
              <w:iCs/>
            </w:rPr>
            <w:t xml:space="preserve">The Psychological conditions of personal engagement and disengagement at work. </w:t>
          </w:r>
          <w:r>
            <w:t>Academy of Management Journal. Vol 33.</w:t>
          </w:r>
        </w:p>
        <w:p w14:paraId="46A1C77F" w14:textId="60565F03" w:rsidR="00EC7C95" w:rsidRDefault="00EC7C95" w:rsidP="001565BF">
          <w:r>
            <w:t xml:space="preserve">ACAS (no date). </w:t>
          </w:r>
          <w:r>
            <w:rPr>
              <w:i/>
              <w:iCs/>
            </w:rPr>
            <w:t>‘Employee Engagement – Happy and productive people equal growth’.</w:t>
          </w:r>
          <w:r>
            <w:t xml:space="preserve"> Accessed at: </w:t>
          </w:r>
          <w:hyperlink r:id="rId11" w:history="1">
            <w:r>
              <w:rPr>
                <w:rStyle w:val="Hyperlink"/>
              </w:rPr>
              <w:t>https://archive.acas.org.uk/engagement</w:t>
            </w:r>
          </w:hyperlink>
          <w:r>
            <w:t>. Accessed on 29/09/2020.</w:t>
          </w:r>
        </w:p>
        <w:p w14:paraId="6C87E834" w14:textId="652714F7" w:rsidR="00CA773E" w:rsidRDefault="00CA773E" w:rsidP="001565BF">
          <w:r>
            <w:t xml:space="preserve">Rees et al (2013). </w:t>
          </w:r>
          <w:r>
            <w:rPr>
              <w:i/>
              <w:iCs/>
            </w:rPr>
            <w:t xml:space="preserve">‘Employee voice and engagement: connections and consequences’. </w:t>
          </w:r>
          <w:r>
            <w:t>The international journal of Human Resource Management. Vol 24</w:t>
          </w:r>
        </w:p>
        <w:p w14:paraId="275C3E58" w14:textId="0B13959A" w:rsidR="009224CF" w:rsidRDefault="009224CF" w:rsidP="001565BF">
          <w:r>
            <w:t xml:space="preserve">CIPD (2020). </w:t>
          </w:r>
          <w:r>
            <w:rPr>
              <w:i/>
            </w:rPr>
            <w:t xml:space="preserve">‘Employee Voice Factsheet’. </w:t>
          </w:r>
          <w:r>
            <w:t xml:space="preserve">Accessed at </w:t>
          </w:r>
          <w:hyperlink r:id="rId12" w:history="1">
            <w:r>
              <w:rPr>
                <w:rStyle w:val="Hyperlink"/>
              </w:rPr>
              <w:t>https://www.cipd.co.uk/knowledge/fundamentals/relations/communication/voice-factsheet</w:t>
            </w:r>
          </w:hyperlink>
          <w:r>
            <w:t>. Accessed on 30/09/2020.</w:t>
          </w:r>
        </w:p>
        <w:p w14:paraId="095EFC21" w14:textId="23962459" w:rsidR="004B22C3" w:rsidRDefault="004B22C3" w:rsidP="001565BF">
          <w:r>
            <w:t>Sharp R (2018). ‘</w:t>
          </w:r>
          <w:r>
            <w:rPr>
              <w:i/>
            </w:rPr>
            <w:t xml:space="preserve">Breaking the silence: Employee Voice’. </w:t>
          </w:r>
          <w:r>
            <w:t xml:space="preserve">Hr Magazine. Accessed at: </w:t>
          </w:r>
          <w:hyperlink r:id="rId13" w:history="1">
            <w:r>
              <w:rPr>
                <w:rStyle w:val="Hyperlink"/>
              </w:rPr>
              <w:t>https://www.hrmagazine.co.uk/article-details/breaking-the-silence-employee-voice</w:t>
            </w:r>
          </w:hyperlink>
          <w:r>
            <w:t>. Accessed on: 30/09/2020.</w:t>
          </w:r>
        </w:p>
        <w:p w14:paraId="496B6762" w14:textId="11C6C1B4" w:rsidR="00E52326" w:rsidRDefault="003F554E" w:rsidP="001565BF">
          <w:r>
            <w:t>MindTools (no date). ‘</w:t>
          </w:r>
          <w:r>
            <w:rPr>
              <w:i/>
            </w:rPr>
            <w:t xml:space="preserve">Pink’s Autonomy, Mastery and Purpose Framework’. </w:t>
          </w:r>
          <w:r>
            <w:t xml:space="preserve">MindTools. Accessed at: </w:t>
          </w:r>
          <w:hyperlink r:id="rId14" w:history="1">
            <w:r>
              <w:rPr>
                <w:rStyle w:val="Hyperlink"/>
              </w:rPr>
              <w:t>https://www.mindtools.com/pages/article/autonomy-mastery-purpose.htm</w:t>
            </w:r>
          </w:hyperlink>
          <w:r>
            <w:t>. Accessed on 02/10/2020</w:t>
          </w:r>
        </w:p>
        <w:p w14:paraId="1101BFC1" w14:textId="247D4AB0" w:rsidR="009B0931" w:rsidRDefault="009B0931" w:rsidP="001565BF">
          <w:r>
            <w:lastRenderedPageBreak/>
            <w:t>Gallup (2017). ‘</w:t>
          </w:r>
          <w:r w:rsidRPr="009B0931">
            <w:rPr>
              <w:i/>
            </w:rPr>
            <w:t>State of the Global Workplace</w:t>
          </w:r>
          <w:r>
            <w:t xml:space="preserve">’. Accessed at: </w:t>
          </w:r>
          <w:hyperlink r:id="rId15" w:history="1">
            <w:r>
              <w:rPr>
                <w:rStyle w:val="Hyperlink"/>
              </w:rPr>
              <w:t>https://www.gallup.com/workplace/257552/state-global-workplace-2017.aspx</w:t>
            </w:r>
          </w:hyperlink>
          <w:r>
            <w:t>. Accessed on 02/10/2020.</w:t>
          </w:r>
        </w:p>
        <w:p w14:paraId="75A70658" w14:textId="6EAAB7B4" w:rsidR="0095278F" w:rsidRDefault="0095278F" w:rsidP="001565BF">
          <w:r>
            <w:t>Corporate Rebels (2019). ‘</w:t>
          </w:r>
          <w:r>
            <w:rPr>
              <w:i/>
            </w:rPr>
            <w:t>The Way We Work Is Broken. Here’s The Evidence’.</w:t>
          </w:r>
          <w:r>
            <w:t xml:space="preserve"> Accessed at:</w:t>
          </w:r>
          <w:r w:rsidRPr="0095278F">
            <w:t xml:space="preserve"> </w:t>
          </w:r>
          <w:hyperlink r:id="rId16" w:history="1">
            <w:r>
              <w:rPr>
                <w:rStyle w:val="Hyperlink"/>
              </w:rPr>
              <w:t>https://corporate-rebels.com/broken/</w:t>
            </w:r>
          </w:hyperlink>
          <w:r>
            <w:t xml:space="preserve"> Accessed on 02/10/2020.</w:t>
          </w:r>
        </w:p>
        <w:p w14:paraId="26566CA7" w14:textId="7BDFA7A1" w:rsidR="006153DB" w:rsidRDefault="006153DB" w:rsidP="001565BF">
          <w:r>
            <w:t>Deeb G (2019). ‘</w:t>
          </w:r>
          <w:r>
            <w:rPr>
              <w:i/>
            </w:rPr>
            <w:t>Leadership 101: Narrow Your Say-Do Gap’.</w:t>
          </w:r>
          <w:r>
            <w:t xml:space="preserve"> Forbes. Accessed at: </w:t>
          </w:r>
          <w:hyperlink r:id="rId17" w:anchor="2db7bda2420b" w:history="1">
            <w:r w:rsidRPr="00D71326">
              <w:rPr>
                <w:rStyle w:val="Hyperlink"/>
              </w:rPr>
              <w:t>https://www.forbes.com/sites/georgedeeb/2019/05/02/leadership-101-narrow-your-say-do-gap/#2db7bda2420b</w:t>
            </w:r>
          </w:hyperlink>
          <w:r>
            <w:t>. Accessed on 02/10/2020.</w:t>
          </w:r>
        </w:p>
        <w:p w14:paraId="4E2ECEE9" w14:textId="45BB41D5" w:rsidR="001216A3" w:rsidRDefault="001216A3" w:rsidP="001565BF">
          <w:r>
            <w:t>McLeod D &amp; Clarke N (2009). ‘</w:t>
          </w:r>
          <w:r w:rsidRPr="001216A3">
            <w:rPr>
              <w:i/>
            </w:rPr>
            <w:t xml:space="preserve">Engaging </w:t>
          </w:r>
          <w:r>
            <w:rPr>
              <w:i/>
            </w:rPr>
            <w:t>for success: enhancing performance through employee engagement’.</w:t>
          </w:r>
          <w:r>
            <w:t xml:space="preserve"> Department for Business, Innovation and Skills. Accessed at: </w:t>
          </w:r>
          <w:hyperlink r:id="rId18" w:history="1">
            <w:r>
              <w:rPr>
                <w:rStyle w:val="Hyperlink"/>
              </w:rPr>
              <w:t>https://engageforsuccess.org/engaging-for-success</w:t>
            </w:r>
          </w:hyperlink>
          <w:r>
            <w:t>. Accessed on: 05/10/2020.</w:t>
          </w:r>
        </w:p>
        <w:p w14:paraId="3BD9540F" w14:textId="206B6A30" w:rsidR="009D6286" w:rsidRDefault="009D6286" w:rsidP="001565BF">
          <w:r>
            <w:t>Leadership IQ (no date). ‘</w:t>
          </w:r>
          <w:r>
            <w:rPr>
              <w:i/>
            </w:rPr>
            <w:t xml:space="preserve">Study: The Risks of Ignoring Employee Feedback’. </w:t>
          </w:r>
          <w:r>
            <w:t xml:space="preserve">Leadership IQ. Accessed at: </w:t>
          </w:r>
          <w:hyperlink r:id="rId19" w:history="1">
            <w:r>
              <w:rPr>
                <w:rStyle w:val="Hyperlink"/>
              </w:rPr>
              <w:t>https://www.leadershipiq.com/blogs/leadershipiq/study-the-risks-of-ignoring-employee-feedback</w:t>
            </w:r>
          </w:hyperlink>
          <w:r>
            <w:t>. Accessed on: 05/10/2020.</w:t>
          </w:r>
        </w:p>
        <w:p w14:paraId="53D57B4B" w14:textId="73C2696D" w:rsidR="00B01B90" w:rsidRDefault="00C17719" w:rsidP="001565BF">
          <w:r>
            <w:t>Sorenson S,</w:t>
          </w:r>
          <w:r w:rsidR="00B01B90">
            <w:t xml:space="preserve"> (2013). ‘How Employee Engagement Drives Growth</w:t>
          </w:r>
          <w:r>
            <w:t xml:space="preserve">’. Gallup. Accessed at: </w:t>
          </w:r>
          <w:hyperlink r:id="rId20" w:history="1">
            <w:r>
              <w:rPr>
                <w:rStyle w:val="Hyperlink"/>
              </w:rPr>
              <w:t>https://www.gallup.com/workplace/236927/employee-engagement-drives-growth.aspx</w:t>
            </w:r>
          </w:hyperlink>
          <w:r>
            <w:t>. Accessed on 05/10/2020.</w:t>
          </w:r>
        </w:p>
        <w:p w14:paraId="0453635A" w14:textId="0332222D" w:rsidR="00F90344" w:rsidRDefault="00F90344" w:rsidP="001565BF">
          <w:r>
            <w:t>Forbes (2011). ‘</w:t>
          </w:r>
          <w:r>
            <w:rPr>
              <w:i/>
            </w:rPr>
            <w:t xml:space="preserve">Does corporate culture drive financial performance?’ </w:t>
          </w:r>
          <w:r>
            <w:t xml:space="preserve">Forbes. Accessed at: </w:t>
          </w:r>
          <w:hyperlink r:id="rId21" w:anchor="5d47ec5f7e9e" w:history="1">
            <w:r>
              <w:rPr>
                <w:rStyle w:val="Hyperlink"/>
              </w:rPr>
              <w:t>https://www.forbes.com/sites/johnkotter/2011/02/10/does-corporate-culture-drive-financial-performance/#5d47ec5f7e9e</w:t>
            </w:r>
          </w:hyperlink>
          <w:r>
            <w:t>. Accessed on 05/10/2020.</w:t>
          </w:r>
        </w:p>
        <w:p w14:paraId="3555CA53" w14:textId="49A30296" w:rsidR="00CD52EC" w:rsidRDefault="00CD52EC" w:rsidP="001565BF">
          <w:r>
            <w:t>Clark M (2018). ‘</w:t>
          </w:r>
          <w:r w:rsidRPr="00CD52EC">
            <w:rPr>
              <w:i/>
            </w:rPr>
            <w:t>What is Employee Engagement &amp; Why Does it Matter</w:t>
          </w:r>
          <w:r>
            <w:t xml:space="preserve">’. Glass Door. Accessed at: </w:t>
          </w:r>
          <w:hyperlink r:id="rId22" w:history="1">
            <w:r>
              <w:rPr>
                <w:rStyle w:val="Hyperlink"/>
              </w:rPr>
              <w:t>https://www.glassdoor.com/employers/blog/what-is-employee-engagement-why-does-it-matter/</w:t>
            </w:r>
          </w:hyperlink>
          <w:r>
            <w:t>. Accessed on: 05/10/2020.</w:t>
          </w:r>
        </w:p>
        <w:p w14:paraId="0DA7160D" w14:textId="52A61234" w:rsidR="00F80B8C" w:rsidRDefault="00F80B8C" w:rsidP="001565BF">
          <w:r>
            <w:t>CIPD (2019). ‘</w:t>
          </w:r>
          <w:r w:rsidRPr="00F80B8C">
            <w:rPr>
              <w:i/>
            </w:rPr>
            <w:t>Employee Engagement and Motivation</w:t>
          </w:r>
          <w:r>
            <w:t xml:space="preserve">’. Accessed at </w:t>
          </w:r>
          <w:hyperlink r:id="rId23" w:history="1">
            <w:r>
              <w:rPr>
                <w:rStyle w:val="Hyperlink"/>
              </w:rPr>
              <w:t>https://www.cipd.co.uk/knowledge/fundamentals/relations/engagement/factsheet</w:t>
            </w:r>
          </w:hyperlink>
          <w:r>
            <w:t xml:space="preserve">. Accessed on 05/10/2020. </w:t>
          </w:r>
        </w:p>
        <w:p w14:paraId="48152537" w14:textId="598D59F2" w:rsidR="00DD225C" w:rsidRDefault="00DD225C" w:rsidP="001565BF">
          <w:r>
            <w:t>Donald et al (2005). ‘</w:t>
          </w:r>
          <w:r>
            <w:rPr>
              <w:i/>
            </w:rPr>
            <w:t xml:space="preserve">Work Environment, Stress, and Productivity: An Examination Using ASSET’. </w:t>
          </w:r>
          <w:r w:rsidRPr="00DD225C">
            <w:t>International</w:t>
          </w:r>
          <w:r>
            <w:rPr>
              <w:i/>
            </w:rPr>
            <w:t xml:space="preserve"> </w:t>
          </w:r>
          <w:r>
            <w:t xml:space="preserve">Journal of Stress Management. Vol 12. Accessed at: </w:t>
          </w:r>
          <w:hyperlink r:id="rId24" w:history="1">
            <w:r>
              <w:rPr>
                <w:rStyle w:val="Hyperlink"/>
              </w:rPr>
              <w:t>https://pauljtaylor.com/wp-content/uploads/2015/09/2005-IJSM-Donald-Taylor-et-al.pdf</w:t>
            </w:r>
          </w:hyperlink>
          <w:r>
            <w:t>. Accessed on 07/10/2020.</w:t>
          </w:r>
        </w:p>
        <w:p w14:paraId="38BEE171" w14:textId="7334854A" w:rsidR="00BF65D8" w:rsidRDefault="00BF65D8" w:rsidP="001565BF">
          <w:r>
            <w:t>Tarry A (2018). ‘</w:t>
          </w:r>
          <w:r>
            <w:rPr>
              <w:i/>
            </w:rPr>
            <w:t>The Role of HR in the 4</w:t>
          </w:r>
          <w:r w:rsidRPr="00BF65D8">
            <w:rPr>
              <w:i/>
              <w:vertAlign w:val="superscript"/>
            </w:rPr>
            <w:t>th</w:t>
          </w:r>
          <w:r>
            <w:rPr>
              <w:i/>
            </w:rPr>
            <w:t xml:space="preserve"> Industrial Revolution’. </w:t>
          </w:r>
          <w:r>
            <w:t xml:space="preserve">The HR Director. Accessed at: </w:t>
          </w:r>
          <w:hyperlink r:id="rId25" w:history="1">
            <w:r>
              <w:rPr>
                <w:rStyle w:val="Hyperlink"/>
              </w:rPr>
              <w:t>https://www.thehrdirector.com/features/revolution/role-hr-industrial-revolution/</w:t>
            </w:r>
          </w:hyperlink>
          <w:r>
            <w:t>. Accessed on 07/10/2020.</w:t>
          </w:r>
        </w:p>
        <w:p w14:paraId="40EA5308" w14:textId="4B2F9964" w:rsidR="00964231" w:rsidRDefault="00964231" w:rsidP="001565BF">
          <w:r>
            <w:t>Van Vulpen E (no date). ‘</w:t>
          </w:r>
          <w:r>
            <w:rPr>
              <w:i/>
            </w:rPr>
            <w:t xml:space="preserve">Measuring Employee Engagement the Right Way’. </w:t>
          </w:r>
          <w:r>
            <w:t xml:space="preserve">Analytics in HR. Accessed at: </w:t>
          </w:r>
          <w:hyperlink r:id="rId26" w:history="1">
            <w:r>
              <w:rPr>
                <w:rStyle w:val="Hyperlink"/>
              </w:rPr>
              <w:t>https://www.analyticsinhr.com/blog/measuring-employee-engagement/</w:t>
            </w:r>
          </w:hyperlink>
          <w:r>
            <w:t>. Accessed on 07/10/2020.</w:t>
          </w:r>
        </w:p>
        <w:p w14:paraId="7C1C7DAC" w14:textId="09F213DD" w:rsidR="00D34C58" w:rsidRDefault="00D34C58" w:rsidP="001565BF">
          <w:r>
            <w:t>CIPD (2020). ‘</w:t>
          </w:r>
          <w:r>
            <w:rPr>
              <w:i/>
            </w:rPr>
            <w:t xml:space="preserve">People Analytics’. </w:t>
          </w:r>
          <w:r>
            <w:t xml:space="preserve">CIPD. Accessed at: </w:t>
          </w:r>
          <w:hyperlink r:id="rId27" w:history="1">
            <w:r w:rsidR="003F2064" w:rsidRPr="003652FB">
              <w:rPr>
                <w:rStyle w:val="Hyperlink"/>
              </w:rPr>
              <w:t>https://www.cipd.co.uk/knowledge/strategy/analytics/factsheet. Accessed on 07/10/2020</w:t>
            </w:r>
          </w:hyperlink>
          <w:r>
            <w:t>.</w:t>
          </w:r>
        </w:p>
        <w:p w14:paraId="35431FFA" w14:textId="71488234" w:rsidR="003F2064" w:rsidRDefault="003F2064" w:rsidP="001565BF">
          <w:r>
            <w:t>Pink D (2013). ‘</w:t>
          </w:r>
          <w:r>
            <w:rPr>
              <w:i/>
            </w:rPr>
            <w:t xml:space="preserve">Driving Employee Engagement’. </w:t>
          </w:r>
          <w:r>
            <w:t>Youtube. Accessed at:</w:t>
          </w:r>
          <w:r w:rsidRPr="003F2064">
            <w:t xml:space="preserve"> </w:t>
          </w:r>
          <w:hyperlink r:id="rId28" w:history="1">
            <w:r>
              <w:rPr>
                <w:rStyle w:val="Hyperlink"/>
              </w:rPr>
              <w:t>https://www.youtube.com/watch?v=x8PsRWvJz00</w:t>
            </w:r>
          </w:hyperlink>
          <w:r>
            <w:t>. Accessed on 09/10/2020.</w:t>
          </w:r>
        </w:p>
        <w:p w14:paraId="05B7F5BD" w14:textId="22B0CB9E" w:rsidR="0079576B" w:rsidRDefault="0079576B" w:rsidP="001565BF">
          <w:r>
            <w:lastRenderedPageBreak/>
            <w:t>Office for National Statistics. 2020. ‘</w:t>
          </w:r>
          <w:r>
            <w:rPr>
              <w:i/>
            </w:rPr>
            <w:t xml:space="preserve">Coronavirus and home working in the UK labour market: 2019’. </w:t>
          </w:r>
          <w:r>
            <w:t xml:space="preserve">Accessed at: </w:t>
          </w:r>
          <w:hyperlink r:id="rId29" w:history="1">
            <w:r>
              <w:rPr>
                <w:rStyle w:val="Hyperlink"/>
              </w:rPr>
              <w:t>https://www.ons.gov.uk/employmentandlabourmarket/peopleinwork/employmentandemployeetypes/articles/coronavirusandhomeworkingintheuklabourmarket/2019</w:t>
            </w:r>
          </w:hyperlink>
          <w:r>
            <w:t>. Accessed on: 12/10/2020</w:t>
          </w:r>
        </w:p>
        <w:p w14:paraId="7380396C" w14:textId="386435B8" w:rsidR="000B1F98" w:rsidRDefault="000B1F98" w:rsidP="001565BF">
          <w:r>
            <w:t>ACAS. (no date). ‘</w:t>
          </w:r>
          <w:r>
            <w:rPr>
              <w:i/>
            </w:rPr>
            <w:t xml:space="preserve">Working from home’. </w:t>
          </w:r>
          <w:r>
            <w:t xml:space="preserve">ACAS working for everyone. Accessed at: </w:t>
          </w:r>
          <w:hyperlink r:id="rId30" w:history="1">
            <w:r>
              <w:rPr>
                <w:rStyle w:val="Hyperlink"/>
              </w:rPr>
              <w:t>https://www.acas.org.uk/working-from-home</w:t>
            </w:r>
          </w:hyperlink>
          <w:r>
            <w:t>. Accessed on 12/10/2020.</w:t>
          </w:r>
        </w:p>
        <w:p w14:paraId="776DB014" w14:textId="63981776" w:rsidR="00F81ECF" w:rsidRDefault="00F81ECF" w:rsidP="001565BF">
          <w:r>
            <w:t>Goonrey A (2016). ‘</w:t>
          </w:r>
          <w:r>
            <w:rPr>
              <w:i/>
            </w:rPr>
            <w:t xml:space="preserve">Close link between mental health and performance’. </w:t>
          </w:r>
          <w:r>
            <w:t xml:space="preserve">HRM Online. Accessed at: </w:t>
          </w:r>
          <w:hyperlink r:id="rId31" w:history="1">
            <w:r>
              <w:rPr>
                <w:rStyle w:val="Hyperlink"/>
              </w:rPr>
              <w:t>https://www.hrmonline.com.au/section/legal/close-link-between-mental-health-and-performance/</w:t>
            </w:r>
          </w:hyperlink>
          <w:r>
            <w:t>. Accessed on 12/10/2020.</w:t>
          </w:r>
        </w:p>
        <w:p w14:paraId="5CC8E8E0" w14:textId="61F2DEBB" w:rsidR="009656B8" w:rsidRDefault="009656B8" w:rsidP="001565BF">
          <w:r>
            <w:t>Verasai A (2016). ‘</w:t>
          </w:r>
          <w:r>
            <w:rPr>
              <w:i/>
            </w:rPr>
            <w:t xml:space="preserve">Millennials expectations from their employers’. </w:t>
          </w:r>
          <w:r>
            <w:t xml:space="preserve">The HR Digest. Accessed at: </w:t>
          </w:r>
          <w:hyperlink r:id="rId32" w:history="1">
            <w:r>
              <w:rPr>
                <w:rStyle w:val="Hyperlink"/>
              </w:rPr>
              <w:t>https://thehrdigest.com/millennials-expectations-employers/</w:t>
            </w:r>
          </w:hyperlink>
          <w:r>
            <w:t>. Accessed on 12/10/2020.</w:t>
          </w:r>
        </w:p>
        <w:p w14:paraId="3DC87249" w14:textId="24B67BE1" w:rsidR="009656B8" w:rsidRDefault="00D52D7E" w:rsidP="001565BF">
          <w:pPr>
            <w:rPr>
              <w:i/>
              <w:iCs/>
            </w:rPr>
          </w:pPr>
          <w:r>
            <w:t>Michelson J. (2020). ‘</w:t>
          </w:r>
          <w:r>
            <w:rPr>
              <w:i/>
              <w:iCs/>
            </w:rPr>
            <w:t xml:space="preserve">Employee Engagement is Demanding Social Corporate Social Responsibility – How to Read It’. </w:t>
          </w:r>
          <w:r>
            <w:t xml:space="preserve">Forbes. Accessed at: </w:t>
          </w:r>
          <w:hyperlink r:id="rId33" w:anchor="4fa590807f95" w:history="1">
            <w:r w:rsidRPr="00845C3C">
              <w:rPr>
                <w:rStyle w:val="Hyperlink"/>
              </w:rPr>
              <w:t>https://www.forbes.com/sites/joanmichelson2/2020/06/28/employee-engagement-demands-corporate-social-responsibility/#4fa590807f95</w:t>
            </w:r>
          </w:hyperlink>
          <w:r>
            <w:t>. Accessed on 12/10/2020.</w:t>
          </w:r>
          <w:r>
            <w:rPr>
              <w:i/>
              <w:iCs/>
            </w:rPr>
            <w:t xml:space="preserve"> </w:t>
          </w:r>
        </w:p>
        <w:p w14:paraId="07BB1F8A" w14:textId="41E0BC8C" w:rsidR="00B56594" w:rsidRDefault="00B56594" w:rsidP="001565BF">
          <w:r w:rsidRPr="00B56594">
            <w:t xml:space="preserve">Alemany </w:t>
          </w:r>
          <w:r>
            <w:t>C. (2020). ‘</w:t>
          </w:r>
          <w:r>
            <w:rPr>
              <w:i/>
              <w:iCs/>
            </w:rPr>
            <w:t xml:space="preserve">Marketing in the Age of Resistance’. </w:t>
          </w:r>
          <w:r>
            <w:t>Harvard Business Review. Accessed at:</w:t>
          </w:r>
          <w:r w:rsidRPr="00B56594">
            <w:t xml:space="preserve"> </w:t>
          </w:r>
          <w:hyperlink r:id="rId34" w:history="1">
            <w:r w:rsidRPr="00845C3C">
              <w:rPr>
                <w:rStyle w:val="Hyperlink"/>
              </w:rPr>
              <w:t>https://hbr.org/2020/09/marketing-in-the-age-of-resistance?utm_medium=social&amp;utm_source=facebook&amp;utm_campaign=hbr&amp;fbclid=IwAR11Rmz3_tfdoks8xDlQ7SGjRi5CDJWRN6DEvSW0rFRGtVLqGF_pjVyfLY8</w:t>
            </w:r>
          </w:hyperlink>
          <w:r>
            <w:t>. Accessed on 12/10/2020.</w:t>
          </w:r>
        </w:p>
        <w:p w14:paraId="65AE19CE" w14:textId="11AE9E8E" w:rsidR="0081525E" w:rsidRDefault="0081525E" w:rsidP="001565BF">
          <w:r>
            <w:t>Ghaffary S. (2020). ‘</w:t>
          </w:r>
          <w:r>
            <w:rPr>
              <w:i/>
              <w:iCs/>
            </w:rPr>
            <w:t xml:space="preserve">The May Day Strike from Amazon, Instacart ad Target workers didn’t stop business. It was still a success’. </w:t>
          </w:r>
          <w:r>
            <w:t xml:space="preserve">Recode. Accessed at: </w:t>
          </w:r>
          <w:hyperlink r:id="rId35" w:history="1">
            <w:r w:rsidR="00E15658" w:rsidRPr="0053428D">
              <w:rPr>
                <w:rStyle w:val="Hyperlink"/>
              </w:rPr>
              <w:t>https://www.vox.com/recode/2020/5/1/21244151/may-day-strike-amazon-instacart-target-success-turnout-fedex-protest-essential-workers-chris-smalls. Accessed on 12/10/2020</w:t>
            </w:r>
          </w:hyperlink>
          <w:r>
            <w:t>.</w:t>
          </w:r>
        </w:p>
        <w:p w14:paraId="53DDE245" w14:textId="12BDADE7" w:rsidR="00E15658" w:rsidRDefault="00E15658" w:rsidP="001565BF">
          <w:r>
            <w:t>Dept for Business, Energy and Industrial Strategy. (2018). ‘</w:t>
          </w:r>
          <w:r>
            <w:rPr>
              <w:i/>
              <w:iCs/>
            </w:rPr>
            <w:t xml:space="preserve">The Good Work Plan’. </w:t>
          </w:r>
          <w:r>
            <w:t xml:space="preserve">Accessed at: </w:t>
          </w:r>
          <w:hyperlink r:id="rId36" w:history="1">
            <w:r w:rsidRPr="0053428D">
              <w:rPr>
                <w:rStyle w:val="Hyperlink"/>
              </w:rPr>
              <w:t>https://assets.publishing.service.gov.uk/government/uploads/system/uploads/attachment_data/file/766167/good-work-plan-command-paper.pdf</w:t>
            </w:r>
          </w:hyperlink>
          <w:r>
            <w:t>. Accessed on 14/10/2020.</w:t>
          </w:r>
        </w:p>
        <w:p w14:paraId="11C543DF" w14:textId="3734CBCA" w:rsidR="00CB1665" w:rsidRDefault="00CB1665" w:rsidP="001565BF">
          <w:r>
            <w:t xml:space="preserve">Morrison C. (2018). </w:t>
          </w:r>
          <w:r w:rsidRPr="00CB1665">
            <w:rPr>
              <w:i/>
              <w:iCs/>
            </w:rPr>
            <w:t>‘Deliveroo faces inquiry into working conditions by MPs’</w:t>
          </w:r>
          <w:r>
            <w:rPr>
              <w:i/>
              <w:iCs/>
            </w:rPr>
            <w:t xml:space="preserve">. </w:t>
          </w:r>
          <w:r w:rsidRPr="00CB1665">
            <w:t>Independent</w:t>
          </w:r>
          <w:r>
            <w:t xml:space="preserve">. Accessed at: </w:t>
          </w:r>
          <w:hyperlink r:id="rId37" w:history="1">
            <w:r w:rsidRPr="0053428D">
              <w:rPr>
                <w:rStyle w:val="Hyperlink"/>
              </w:rPr>
              <w:t>https://www.independent.co.uk/news/business/news/deliveroo-working-conditions-frank-field-mp-inquiry-gig-economy-a8404061.html</w:t>
            </w:r>
          </w:hyperlink>
          <w:r>
            <w:t>. Accessed on 14/10/2020.</w:t>
          </w:r>
        </w:p>
        <w:p w14:paraId="33C5F852" w14:textId="39418839" w:rsidR="002D1AD5" w:rsidRDefault="002D1AD5" w:rsidP="001565BF">
          <w:r>
            <w:t xml:space="preserve">ACAS. (no date). </w:t>
          </w:r>
          <w:r w:rsidRPr="002D1AD5">
            <w:rPr>
              <w:i/>
              <w:iCs/>
            </w:rPr>
            <w:t>‘Information and Consultation of Employees</w:t>
          </w:r>
          <w:r>
            <w:rPr>
              <w:i/>
              <w:iCs/>
            </w:rPr>
            <w:t xml:space="preserve"> (ICE)</w:t>
          </w:r>
          <w:r w:rsidRPr="002D1AD5">
            <w:rPr>
              <w:i/>
              <w:iCs/>
            </w:rPr>
            <w:t>’</w:t>
          </w:r>
          <w:r>
            <w:rPr>
              <w:i/>
              <w:iCs/>
            </w:rPr>
            <w:t>.</w:t>
          </w:r>
          <w:r>
            <w:t xml:space="preserve"> Accessed at: </w:t>
          </w:r>
          <w:hyperlink r:id="rId38" w:anchor=":~:text=The%20Information%20and%20Consultation%20of%20Employees%20Regulations%20%28often,and%20consult%20them%20about%20issues%20in%20the%20organisation" w:history="1">
            <w:r w:rsidRPr="0053428D">
              <w:rPr>
                <w:rStyle w:val="Hyperlink"/>
              </w:rPr>
              <w:t>https://archive.acas.org.uk/index.aspx?articleid=1598#:~:text=The%20Information%20and%20Consultation%20of%20Employees%20Regulations%20%28often,and%20consult%20them%20about%20issues%20in%20the%20organisation</w:t>
            </w:r>
          </w:hyperlink>
          <w:r w:rsidRPr="002D1AD5">
            <w:t>.</w:t>
          </w:r>
          <w:r>
            <w:t xml:space="preserve"> Accessed on 14/10/2020.</w:t>
          </w:r>
        </w:p>
        <w:p w14:paraId="2213C3EE" w14:textId="4AA6F866" w:rsidR="001853CB" w:rsidRDefault="001853CB" w:rsidP="001565BF">
          <w:r>
            <w:t xml:space="preserve">CIPD. (2020). </w:t>
          </w:r>
          <w:r w:rsidRPr="001853CB">
            <w:rPr>
              <w:i/>
              <w:iCs/>
            </w:rPr>
            <w:t>‘CIPD Good Work Index 2020’</w:t>
          </w:r>
          <w:r>
            <w:rPr>
              <w:i/>
              <w:iCs/>
            </w:rPr>
            <w:t xml:space="preserve">. </w:t>
          </w:r>
          <w:r>
            <w:t xml:space="preserve">Accessed at: </w:t>
          </w:r>
          <w:hyperlink r:id="rId39" w:history="1">
            <w:r w:rsidRPr="0053428D">
              <w:rPr>
                <w:rStyle w:val="Hyperlink"/>
              </w:rPr>
              <w:t>https://www.cipd.co.uk/Images/good-work-index-full-report-2020-2_tcm18-79210.pdf</w:t>
            </w:r>
          </w:hyperlink>
          <w:r>
            <w:t>. Accessed on 14/10/2020.</w:t>
          </w:r>
        </w:p>
        <w:p w14:paraId="029448D6" w14:textId="6BF0095C" w:rsidR="00C33EF6" w:rsidRDefault="00C33EF6" w:rsidP="001565BF">
          <w:r>
            <w:t xml:space="preserve">ACAS. (no date). </w:t>
          </w:r>
          <w:r w:rsidRPr="00C33EF6">
            <w:rPr>
              <w:i/>
              <w:iCs/>
            </w:rPr>
            <w:t>‘Dealing with stress in the workplace’</w:t>
          </w:r>
          <w:r>
            <w:rPr>
              <w:i/>
              <w:iCs/>
            </w:rPr>
            <w:t xml:space="preserve">. </w:t>
          </w:r>
          <w:r>
            <w:t xml:space="preserve">Accessed at: </w:t>
          </w:r>
          <w:hyperlink r:id="rId40" w:history="1">
            <w:r w:rsidRPr="0053428D">
              <w:rPr>
                <w:rStyle w:val="Hyperlink"/>
              </w:rPr>
              <w:t>https://archive.acas.org.uk/index.aspx?articleid=6062</w:t>
            </w:r>
          </w:hyperlink>
          <w:r>
            <w:t>. Accessed on 14/10/2020.</w:t>
          </w:r>
        </w:p>
        <w:p w14:paraId="72A3EC74" w14:textId="32A84106" w:rsidR="004F5D3D" w:rsidRDefault="004F5D3D" w:rsidP="001565BF">
          <w:r>
            <w:t xml:space="preserve">Oppenheim M. (2020). </w:t>
          </w:r>
          <w:r w:rsidRPr="004F5D3D">
            <w:rPr>
              <w:i/>
              <w:iCs/>
            </w:rPr>
            <w:t>‘UK is ‘unique in its light-touch approach’ to tackling gender pay gap, report finds’</w:t>
          </w:r>
          <w:r>
            <w:rPr>
              <w:i/>
              <w:iCs/>
            </w:rPr>
            <w:t xml:space="preserve">. </w:t>
          </w:r>
          <w:r>
            <w:t xml:space="preserve">Independent. Accessed at: </w:t>
          </w:r>
          <w:hyperlink r:id="rId41" w:history="1">
            <w:r w:rsidR="005C1FAA" w:rsidRPr="0053428D">
              <w:rPr>
                <w:rStyle w:val="Hyperlink"/>
              </w:rPr>
              <w:t>https://www.independent.co.uk/news/uk/home-news/gender-pay-gap-uk-reporting-laws-countries-b1012831.html. Accessed on 14/10/2020</w:t>
            </w:r>
          </w:hyperlink>
          <w:r>
            <w:t>.</w:t>
          </w:r>
        </w:p>
        <w:p w14:paraId="41FCA115" w14:textId="68906317" w:rsidR="005C1FAA" w:rsidRDefault="005C1FAA" w:rsidP="001565BF">
          <w:r>
            <w:lastRenderedPageBreak/>
            <w:t xml:space="preserve">Bennett M. (2017). </w:t>
          </w:r>
          <w:r w:rsidRPr="005C1FAA">
            <w:rPr>
              <w:i/>
              <w:iCs/>
            </w:rPr>
            <w:t>‘How millennials are shaping today’s offices</w:t>
          </w:r>
          <w:r>
            <w:rPr>
              <w:i/>
              <w:iCs/>
            </w:rPr>
            <w:t xml:space="preserve">’. </w:t>
          </w:r>
          <w:r w:rsidRPr="005C1FAA">
            <w:t>The Telegraph</w:t>
          </w:r>
          <w:r>
            <w:t xml:space="preserve">. Accessed at: </w:t>
          </w:r>
          <w:hyperlink r:id="rId42" w:history="1">
            <w:r w:rsidRPr="0053428D">
              <w:rPr>
                <w:rStyle w:val="Hyperlink"/>
              </w:rPr>
              <w:t>https://www.telegraph.co.uk/business/ready-and-enabled/millennials-in-the-workplace/</w:t>
            </w:r>
          </w:hyperlink>
          <w:r>
            <w:t xml:space="preserve">. Accessed on 14/10/2020. </w:t>
          </w:r>
        </w:p>
        <w:p w14:paraId="0636612B" w14:textId="704667CE" w:rsidR="001A6554" w:rsidRDefault="001A6554" w:rsidP="001565BF">
          <w:r>
            <w:t xml:space="preserve">CONE. (2016). </w:t>
          </w:r>
          <w:r w:rsidRPr="001A6554">
            <w:rPr>
              <w:i/>
              <w:iCs/>
            </w:rPr>
            <w:t>‘2016 Cone Communication Millennial Employee Engagement Study’</w:t>
          </w:r>
          <w:r>
            <w:rPr>
              <w:i/>
              <w:iCs/>
            </w:rPr>
            <w:t xml:space="preserve">. </w:t>
          </w:r>
          <w:r>
            <w:t xml:space="preserve">Accessed at: </w:t>
          </w:r>
          <w:hyperlink r:id="rId43" w:anchor="download-the-research" w:history="1">
            <w:r w:rsidRPr="0053428D">
              <w:rPr>
                <w:rStyle w:val="Hyperlink"/>
              </w:rPr>
              <w:t>https://www.conecomm.com/research-blog/2016-millennial-employee-engagement-study#download-the-research</w:t>
            </w:r>
          </w:hyperlink>
          <w:r>
            <w:t>. Accessed on 14/10/2020.</w:t>
          </w:r>
        </w:p>
        <w:p w14:paraId="58094F0F" w14:textId="63014DA4" w:rsidR="00442BC1" w:rsidRDefault="00442BC1" w:rsidP="001565BF">
          <w:r>
            <w:t xml:space="preserve">CIPD. (2019). </w:t>
          </w:r>
          <w:r w:rsidRPr="00442BC1">
            <w:rPr>
              <w:i/>
              <w:iCs/>
            </w:rPr>
            <w:t>‘Mega Trends – Ageing gracefully: The Opportunities of an Ageing Workforce’</w:t>
          </w:r>
          <w:r>
            <w:rPr>
              <w:i/>
              <w:iCs/>
            </w:rPr>
            <w:t xml:space="preserve">. </w:t>
          </w:r>
          <w:r>
            <w:t xml:space="preserve">Accessed at: </w:t>
          </w:r>
          <w:hyperlink r:id="rId44" w:history="1">
            <w:r w:rsidRPr="0053428D">
              <w:rPr>
                <w:rStyle w:val="Hyperlink"/>
              </w:rPr>
              <w:t>https://www.cipd.co.uk/Images/megatrends-ageing-gracefully-the-opportunities-of-an-older-workforce-1_tcm18-64897.pdf</w:t>
            </w:r>
          </w:hyperlink>
          <w:r>
            <w:t>. Accessed on 14/10/2020.</w:t>
          </w:r>
        </w:p>
        <w:p w14:paraId="440C8357" w14:textId="7B4A9160" w:rsidR="003B2B44" w:rsidRDefault="003B2B44" w:rsidP="001565BF">
          <w:r>
            <w:t xml:space="preserve">Dept for Work and Pensions. (2017). </w:t>
          </w:r>
          <w:r w:rsidRPr="003B2B44">
            <w:rPr>
              <w:i/>
              <w:iCs/>
            </w:rPr>
            <w:t>‘Fuller Working Lives – A Partnership Approach’</w:t>
          </w:r>
          <w:r>
            <w:rPr>
              <w:i/>
              <w:iCs/>
            </w:rPr>
            <w:t xml:space="preserve">. </w:t>
          </w:r>
          <w:r>
            <w:t xml:space="preserve">Accessed at: </w:t>
          </w:r>
          <w:hyperlink r:id="rId45" w:history="1">
            <w:r w:rsidRPr="0053428D">
              <w:rPr>
                <w:rStyle w:val="Hyperlink"/>
              </w:rPr>
              <w:t>https://assets.publishing.service.gov.uk/government/uploads/system/uploads/attachment_data/file/587654/fuller-working-lives-a-partnership-approach.pdf</w:t>
            </w:r>
          </w:hyperlink>
          <w:r>
            <w:t>. Accessed on 14/10/2020.</w:t>
          </w:r>
        </w:p>
        <w:p w14:paraId="76B81372" w14:textId="18EE31C7" w:rsidR="00A306F4" w:rsidRDefault="00A306F4" w:rsidP="001565BF">
          <w:r>
            <w:t xml:space="preserve">Management Study Guide. (no date). </w:t>
          </w:r>
          <w:r w:rsidRPr="00A306F4">
            <w:rPr>
              <w:i/>
              <w:iCs/>
            </w:rPr>
            <w:t>‘Drivers of Employee Engagement’</w:t>
          </w:r>
          <w:r>
            <w:rPr>
              <w:i/>
              <w:iCs/>
            </w:rPr>
            <w:t xml:space="preserve">. </w:t>
          </w:r>
          <w:r>
            <w:t xml:space="preserve">Accessed at: </w:t>
          </w:r>
          <w:hyperlink r:id="rId46" w:history="1">
            <w:r w:rsidR="00A02944" w:rsidRPr="00A51979">
              <w:rPr>
                <w:rStyle w:val="Hyperlink"/>
              </w:rPr>
              <w:t>https://www.managementstudyguide.com/drivers-of-employee-engagement.htm. Accessed on 14/10/2020</w:t>
            </w:r>
          </w:hyperlink>
          <w:r>
            <w:t>.</w:t>
          </w:r>
        </w:p>
        <w:p w14:paraId="78D22846" w14:textId="3E671B52" w:rsidR="00A02944" w:rsidRDefault="00A02944" w:rsidP="001565BF">
          <w:r>
            <w:t xml:space="preserve">Briner R. (no date). </w:t>
          </w:r>
          <w:r w:rsidRPr="00A02944">
            <w:rPr>
              <w:i/>
              <w:iCs/>
            </w:rPr>
            <w:t>’What is employee engagement and does it matter?: An evidence-based approach?’</w:t>
          </w:r>
          <w:r>
            <w:t xml:space="preserve"> The Future of Engagement: Though Piece Collection. University of Bath School of Management. Accessed at: </w:t>
          </w:r>
          <w:hyperlink r:id="rId47" w:history="1">
            <w:r w:rsidRPr="00A51979">
              <w:rPr>
                <w:rStyle w:val="Hyperlink"/>
              </w:rPr>
              <w:t>https://www.cipd.co.uk/Images/the-future-of-engagement_2014-thought-piece-employee-engagement-rob-briner_tcm18-10764.pdf</w:t>
            </w:r>
          </w:hyperlink>
          <w:r>
            <w:t>. Accessed on 19/10/2020.</w:t>
          </w:r>
        </w:p>
        <w:p w14:paraId="148FE8D1" w14:textId="3F304BF1" w:rsidR="007E2867" w:rsidRDefault="007E2867" w:rsidP="001565BF">
          <w:r>
            <w:t>Healy S. (2019). ‘</w:t>
          </w:r>
          <w:r>
            <w:rPr>
              <w:i/>
              <w:iCs/>
            </w:rPr>
            <w:t>The impact of employee disengagement’.</w:t>
          </w:r>
          <w:r>
            <w:t xml:space="preserve"> HR Zone. Accessed at: </w:t>
          </w:r>
          <w:hyperlink r:id="rId48" w:history="1">
            <w:r w:rsidR="00890309" w:rsidRPr="00270AB9">
              <w:rPr>
                <w:rStyle w:val="Hyperlink"/>
              </w:rPr>
              <w:t>https://www.hrzone.com/community/blogs/sinead-healy/the-impact-of-employee-disengagement. Accessed on 19/10/2020</w:t>
            </w:r>
          </w:hyperlink>
          <w:r>
            <w:t>.</w:t>
          </w:r>
        </w:p>
        <w:p w14:paraId="741CFCBA" w14:textId="24712DF8" w:rsidR="00890309" w:rsidRPr="007E2867" w:rsidRDefault="00890309" w:rsidP="001565BF">
          <w:r>
            <w:t xml:space="preserve">Robinson D and Gifford J (2014). ‘The Future of Engagement – Though Piece Collection’. Institute for Employment Studies. Accessed at: </w:t>
          </w:r>
          <w:hyperlink r:id="rId49" w:history="1">
            <w:r>
              <w:rPr>
                <w:rStyle w:val="Hyperlink"/>
              </w:rPr>
              <w:t>https://www.cipd.co.uk/Images/the-future-of-engagement_2014-thought-piece-collection_tcm18-10758.pdf</w:t>
            </w:r>
          </w:hyperlink>
          <w:r>
            <w:t>. Accessed on 23/10/2020.</w:t>
          </w:r>
        </w:p>
        <w:p w14:paraId="2797BFF1" w14:textId="03AB567F" w:rsidR="00A02944" w:rsidRDefault="00A02944" w:rsidP="001565BF"/>
        <w:p w14:paraId="5F2206B9" w14:textId="77777777" w:rsidR="00A02944" w:rsidRPr="00A02944" w:rsidRDefault="00A02944" w:rsidP="001565BF"/>
        <w:p w14:paraId="50291124" w14:textId="77777777" w:rsidR="003B2B44" w:rsidRPr="003B2B44" w:rsidRDefault="003B2B44" w:rsidP="001565BF"/>
        <w:p w14:paraId="1ED20790" w14:textId="7A78D6E8" w:rsidR="001A6554" w:rsidRDefault="001A6554" w:rsidP="001565BF"/>
        <w:p w14:paraId="08D979F2" w14:textId="77777777" w:rsidR="001A6554" w:rsidRPr="001A6554" w:rsidRDefault="001A6554" w:rsidP="001565BF"/>
        <w:p w14:paraId="2AAEE2E7" w14:textId="77777777" w:rsidR="00C33EF6" w:rsidRPr="00C33EF6" w:rsidRDefault="00C33EF6" w:rsidP="001565BF"/>
        <w:p w14:paraId="7F7AC651" w14:textId="3D2AF356" w:rsidR="002D1AD5" w:rsidRPr="002D1AD5" w:rsidRDefault="002D1AD5" w:rsidP="001565BF">
          <w:pPr>
            <w:rPr>
              <w:i/>
              <w:iCs/>
            </w:rPr>
          </w:pPr>
          <w:r>
            <w:rPr>
              <w:i/>
              <w:iCs/>
            </w:rPr>
            <w:t xml:space="preserve"> </w:t>
          </w:r>
        </w:p>
        <w:p w14:paraId="4656A386" w14:textId="77777777" w:rsidR="002D1AD5" w:rsidRDefault="002D1AD5" w:rsidP="001565BF"/>
        <w:p w14:paraId="360453CE" w14:textId="77777777" w:rsidR="00CB1665" w:rsidRPr="00CB1665" w:rsidRDefault="00CB1665" w:rsidP="001565BF"/>
        <w:p w14:paraId="514CFD4A" w14:textId="77777777" w:rsidR="00E15658" w:rsidRPr="00E15658" w:rsidRDefault="00E15658" w:rsidP="001565BF"/>
        <w:p w14:paraId="5B1046E0" w14:textId="77777777" w:rsidR="00D34C58" w:rsidRPr="00D34C58" w:rsidRDefault="00D34C58" w:rsidP="001565BF"/>
        <w:p w14:paraId="07FBDBEC" w14:textId="77777777" w:rsidR="00964231" w:rsidRPr="00964231" w:rsidRDefault="00964231" w:rsidP="001565BF"/>
        <w:p w14:paraId="1760DF5D" w14:textId="77777777" w:rsidR="00BF65D8" w:rsidRPr="00BF65D8" w:rsidRDefault="00BF65D8" w:rsidP="001565BF"/>
        <w:p w14:paraId="287CF958" w14:textId="77777777" w:rsidR="00DD225C" w:rsidRPr="00DD225C" w:rsidRDefault="00DD225C" w:rsidP="001565BF"/>
        <w:p w14:paraId="0A3D007A" w14:textId="77777777" w:rsidR="00F90344" w:rsidRPr="00F90344" w:rsidRDefault="00F90344" w:rsidP="001565BF"/>
        <w:p w14:paraId="2B062E10" w14:textId="77777777" w:rsidR="00C17719" w:rsidRDefault="00C17719" w:rsidP="001565BF"/>
        <w:p w14:paraId="7576DBE0" w14:textId="77777777" w:rsidR="009D6286" w:rsidRPr="009D6286" w:rsidRDefault="009D6286" w:rsidP="001565BF"/>
        <w:p w14:paraId="11F4C949" w14:textId="76DAB2A8" w:rsidR="001216A3" w:rsidRDefault="001216A3" w:rsidP="001565BF"/>
        <w:p w14:paraId="3F04DFA0" w14:textId="77777777" w:rsidR="001216A3" w:rsidRPr="001216A3" w:rsidRDefault="001216A3" w:rsidP="001565BF"/>
        <w:p w14:paraId="4872DEE9" w14:textId="77777777" w:rsidR="006153DB" w:rsidRPr="006153DB" w:rsidRDefault="006153DB" w:rsidP="001565BF"/>
        <w:p w14:paraId="037056CA" w14:textId="77777777" w:rsidR="003F554E" w:rsidRDefault="003F554E" w:rsidP="001565BF"/>
        <w:p w14:paraId="548B5C72" w14:textId="01665F9A" w:rsidR="00E52326" w:rsidRDefault="00E52326" w:rsidP="001565BF"/>
        <w:p w14:paraId="4F6E56C9" w14:textId="0F2C0D44" w:rsidR="00E52326" w:rsidRPr="004B22C3" w:rsidRDefault="0003446F" w:rsidP="001565BF">
          <w:hyperlink r:id="rId50" w:history="1">
            <w:r w:rsidR="00E52326">
              <w:rPr>
                <w:rStyle w:val="Hyperlink"/>
              </w:rPr>
              <w:t>https://www.hrmagazine.co.uk/article-details/is-engagement-fact-or-fiction</w:t>
            </w:r>
          </w:hyperlink>
        </w:p>
        <w:p w14:paraId="37E02260" w14:textId="77777777" w:rsidR="00EC7C95" w:rsidRPr="00EC7C95" w:rsidRDefault="00EC7C95" w:rsidP="001565BF"/>
        <w:p w14:paraId="2D99AC91" w14:textId="77777777" w:rsidR="001565BF" w:rsidRDefault="001565BF" w:rsidP="001565BF"/>
        <w:p w14:paraId="2541CAAB" w14:textId="6F325F47" w:rsidR="001565BF" w:rsidRDefault="0003446F" w:rsidP="001565BF"/>
      </w:sdtContent>
    </w:sdt>
    <w:p w14:paraId="3671FB9A" w14:textId="77777777" w:rsidR="001565BF" w:rsidRDefault="001565BF" w:rsidP="00FE20D0"/>
    <w:p w14:paraId="3C3BD52D" w14:textId="77777777" w:rsidR="00B23B2D" w:rsidRDefault="00B23B2D" w:rsidP="00FE20D0"/>
    <w:p w14:paraId="5E6DECE6" w14:textId="77777777" w:rsidR="00FE20D0" w:rsidRDefault="00FE20D0" w:rsidP="00FE20D0"/>
    <w:p w14:paraId="3A260D52" w14:textId="77777777" w:rsidR="00FE20D0" w:rsidRDefault="00FE20D0" w:rsidP="00FE20D0"/>
    <w:p w14:paraId="60D9CD7E" w14:textId="77777777" w:rsidR="005035E1" w:rsidRDefault="005035E1"/>
    <w:sectPr w:rsidR="005035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6AA7F1" w14:textId="77777777" w:rsidR="005954E8" w:rsidRDefault="005954E8" w:rsidP="005954E8">
      <w:pPr>
        <w:spacing w:after="0" w:line="240" w:lineRule="auto"/>
      </w:pPr>
      <w:r>
        <w:separator/>
      </w:r>
    </w:p>
  </w:endnote>
  <w:endnote w:type="continuationSeparator" w:id="0">
    <w:p w14:paraId="4E755B1C" w14:textId="77777777" w:rsidR="005954E8" w:rsidRDefault="005954E8" w:rsidP="00595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6F0F5E" w14:textId="77777777" w:rsidR="005954E8" w:rsidRDefault="005954E8" w:rsidP="005954E8">
      <w:pPr>
        <w:spacing w:after="0" w:line="240" w:lineRule="auto"/>
      </w:pPr>
      <w:r>
        <w:separator/>
      </w:r>
    </w:p>
  </w:footnote>
  <w:footnote w:type="continuationSeparator" w:id="0">
    <w:p w14:paraId="67941410" w14:textId="77777777" w:rsidR="005954E8" w:rsidRDefault="005954E8" w:rsidP="00595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F021EC"/>
    <w:multiLevelType w:val="hybridMultilevel"/>
    <w:tmpl w:val="62B64306"/>
    <w:lvl w:ilvl="0" w:tplc="84E024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5B0"/>
    <w:rsid w:val="00012D95"/>
    <w:rsid w:val="00014247"/>
    <w:rsid w:val="00015241"/>
    <w:rsid w:val="0003446F"/>
    <w:rsid w:val="00090E2A"/>
    <w:rsid w:val="000B1F98"/>
    <w:rsid w:val="000B7222"/>
    <w:rsid w:val="001008A5"/>
    <w:rsid w:val="0012056D"/>
    <w:rsid w:val="001216A3"/>
    <w:rsid w:val="001565BF"/>
    <w:rsid w:val="001853CB"/>
    <w:rsid w:val="00185CF5"/>
    <w:rsid w:val="001A6554"/>
    <w:rsid w:val="001F071B"/>
    <w:rsid w:val="001F4137"/>
    <w:rsid w:val="002557BB"/>
    <w:rsid w:val="00263D6A"/>
    <w:rsid w:val="002A5230"/>
    <w:rsid w:val="002D1AD5"/>
    <w:rsid w:val="00301C95"/>
    <w:rsid w:val="003167E3"/>
    <w:rsid w:val="00372167"/>
    <w:rsid w:val="00373600"/>
    <w:rsid w:val="00382DA2"/>
    <w:rsid w:val="003970E5"/>
    <w:rsid w:val="003B2B44"/>
    <w:rsid w:val="003B525F"/>
    <w:rsid w:val="003C126A"/>
    <w:rsid w:val="003D26F6"/>
    <w:rsid w:val="003F2064"/>
    <w:rsid w:val="003F554E"/>
    <w:rsid w:val="004005B0"/>
    <w:rsid w:val="00401A90"/>
    <w:rsid w:val="0041602D"/>
    <w:rsid w:val="00424F80"/>
    <w:rsid w:val="0043464B"/>
    <w:rsid w:val="00442BC1"/>
    <w:rsid w:val="00447764"/>
    <w:rsid w:val="00447838"/>
    <w:rsid w:val="00450774"/>
    <w:rsid w:val="00476FF8"/>
    <w:rsid w:val="00483750"/>
    <w:rsid w:val="004A14A9"/>
    <w:rsid w:val="004B22C3"/>
    <w:rsid w:val="004C455D"/>
    <w:rsid w:val="004D5168"/>
    <w:rsid w:val="004F1A07"/>
    <w:rsid w:val="004F5D3D"/>
    <w:rsid w:val="00500EE5"/>
    <w:rsid w:val="005035E1"/>
    <w:rsid w:val="00594109"/>
    <w:rsid w:val="005954E8"/>
    <w:rsid w:val="005B1EB2"/>
    <w:rsid w:val="005C1FAA"/>
    <w:rsid w:val="005D07FB"/>
    <w:rsid w:val="005D45CD"/>
    <w:rsid w:val="005D4EFE"/>
    <w:rsid w:val="00611431"/>
    <w:rsid w:val="006153DB"/>
    <w:rsid w:val="006311E2"/>
    <w:rsid w:val="006757E6"/>
    <w:rsid w:val="006A3ED1"/>
    <w:rsid w:val="006A52D0"/>
    <w:rsid w:val="006C41B6"/>
    <w:rsid w:val="006C4A76"/>
    <w:rsid w:val="006F5592"/>
    <w:rsid w:val="006F7394"/>
    <w:rsid w:val="00731B9F"/>
    <w:rsid w:val="0073500E"/>
    <w:rsid w:val="00744644"/>
    <w:rsid w:val="0079576B"/>
    <w:rsid w:val="007E2867"/>
    <w:rsid w:val="007F287E"/>
    <w:rsid w:val="0081525E"/>
    <w:rsid w:val="008173E1"/>
    <w:rsid w:val="00855DE9"/>
    <w:rsid w:val="00862413"/>
    <w:rsid w:val="00863A6F"/>
    <w:rsid w:val="0086683F"/>
    <w:rsid w:val="00886401"/>
    <w:rsid w:val="00890309"/>
    <w:rsid w:val="008D07D9"/>
    <w:rsid w:val="008D3D17"/>
    <w:rsid w:val="008E5A21"/>
    <w:rsid w:val="00907362"/>
    <w:rsid w:val="00911AFB"/>
    <w:rsid w:val="00911EB1"/>
    <w:rsid w:val="009224CF"/>
    <w:rsid w:val="0095278F"/>
    <w:rsid w:val="00964231"/>
    <w:rsid w:val="009656B8"/>
    <w:rsid w:val="00972B22"/>
    <w:rsid w:val="00976CA8"/>
    <w:rsid w:val="00995B5E"/>
    <w:rsid w:val="00996078"/>
    <w:rsid w:val="009B0931"/>
    <w:rsid w:val="009C1FA3"/>
    <w:rsid w:val="009C69F3"/>
    <w:rsid w:val="009D6286"/>
    <w:rsid w:val="009E570F"/>
    <w:rsid w:val="00A02944"/>
    <w:rsid w:val="00A076A6"/>
    <w:rsid w:val="00A21E6C"/>
    <w:rsid w:val="00A306F4"/>
    <w:rsid w:val="00A50F7B"/>
    <w:rsid w:val="00A830F0"/>
    <w:rsid w:val="00AD52C9"/>
    <w:rsid w:val="00AF295A"/>
    <w:rsid w:val="00B00CAA"/>
    <w:rsid w:val="00B01B90"/>
    <w:rsid w:val="00B23369"/>
    <w:rsid w:val="00B23B2D"/>
    <w:rsid w:val="00B30DEB"/>
    <w:rsid w:val="00B4134F"/>
    <w:rsid w:val="00B45019"/>
    <w:rsid w:val="00B50AF8"/>
    <w:rsid w:val="00B56594"/>
    <w:rsid w:val="00B66582"/>
    <w:rsid w:val="00B72717"/>
    <w:rsid w:val="00BB36D6"/>
    <w:rsid w:val="00BB68B1"/>
    <w:rsid w:val="00BC77DF"/>
    <w:rsid w:val="00BF65D8"/>
    <w:rsid w:val="00C014F7"/>
    <w:rsid w:val="00C17719"/>
    <w:rsid w:val="00C33EF6"/>
    <w:rsid w:val="00C66053"/>
    <w:rsid w:val="00C66724"/>
    <w:rsid w:val="00C7240A"/>
    <w:rsid w:val="00CA773E"/>
    <w:rsid w:val="00CB1665"/>
    <w:rsid w:val="00CD52EC"/>
    <w:rsid w:val="00CF13E9"/>
    <w:rsid w:val="00D10ACC"/>
    <w:rsid w:val="00D12606"/>
    <w:rsid w:val="00D15EDC"/>
    <w:rsid w:val="00D34C58"/>
    <w:rsid w:val="00D52D7E"/>
    <w:rsid w:val="00D773B4"/>
    <w:rsid w:val="00D84348"/>
    <w:rsid w:val="00DA1C40"/>
    <w:rsid w:val="00DD225C"/>
    <w:rsid w:val="00DD5146"/>
    <w:rsid w:val="00DE366F"/>
    <w:rsid w:val="00DE3C67"/>
    <w:rsid w:val="00E15658"/>
    <w:rsid w:val="00E25806"/>
    <w:rsid w:val="00E52326"/>
    <w:rsid w:val="00E852D4"/>
    <w:rsid w:val="00EB56A9"/>
    <w:rsid w:val="00EC7C95"/>
    <w:rsid w:val="00F03D06"/>
    <w:rsid w:val="00F3082D"/>
    <w:rsid w:val="00F80B8C"/>
    <w:rsid w:val="00F81ECF"/>
    <w:rsid w:val="00F8239B"/>
    <w:rsid w:val="00F864D3"/>
    <w:rsid w:val="00F90344"/>
    <w:rsid w:val="00FC38CA"/>
    <w:rsid w:val="00FC459F"/>
    <w:rsid w:val="00FE2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C44C1"/>
  <w15:chartTrackingRefBased/>
  <w15:docId w15:val="{63E95FC0-5CA5-4694-AA3C-8D7393D77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0D0"/>
  </w:style>
  <w:style w:type="paragraph" w:styleId="Heading1">
    <w:name w:val="heading 1"/>
    <w:basedOn w:val="Normal"/>
    <w:next w:val="Normal"/>
    <w:link w:val="Heading1Char"/>
    <w:uiPriority w:val="9"/>
    <w:qFormat/>
    <w:rsid w:val="001565B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5BF"/>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EC7C95"/>
    <w:rPr>
      <w:color w:val="0000FF"/>
      <w:u w:val="single"/>
    </w:rPr>
  </w:style>
  <w:style w:type="paragraph" w:styleId="Header">
    <w:name w:val="header"/>
    <w:basedOn w:val="Normal"/>
    <w:link w:val="HeaderChar"/>
    <w:uiPriority w:val="99"/>
    <w:unhideWhenUsed/>
    <w:rsid w:val="00595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4E8"/>
  </w:style>
  <w:style w:type="paragraph" w:styleId="Footer">
    <w:name w:val="footer"/>
    <w:basedOn w:val="Normal"/>
    <w:link w:val="FooterChar"/>
    <w:uiPriority w:val="99"/>
    <w:unhideWhenUsed/>
    <w:rsid w:val="00595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4E8"/>
  </w:style>
  <w:style w:type="paragraph" w:styleId="ListParagraph">
    <w:name w:val="List Paragraph"/>
    <w:basedOn w:val="Normal"/>
    <w:uiPriority w:val="34"/>
    <w:qFormat/>
    <w:rsid w:val="00B66582"/>
    <w:pPr>
      <w:ind w:left="720"/>
      <w:contextualSpacing/>
    </w:pPr>
  </w:style>
  <w:style w:type="character" w:styleId="FollowedHyperlink">
    <w:name w:val="FollowedHyperlink"/>
    <w:basedOn w:val="DefaultParagraphFont"/>
    <w:uiPriority w:val="99"/>
    <w:semiHidden/>
    <w:unhideWhenUsed/>
    <w:rsid w:val="00DD225C"/>
    <w:rPr>
      <w:color w:val="954F72" w:themeColor="followedHyperlink"/>
      <w:u w:val="single"/>
    </w:rPr>
  </w:style>
  <w:style w:type="character" w:customStyle="1" w:styleId="UnresolvedMention">
    <w:name w:val="Unresolved Mention"/>
    <w:basedOn w:val="DefaultParagraphFont"/>
    <w:uiPriority w:val="99"/>
    <w:semiHidden/>
    <w:unhideWhenUsed/>
    <w:rsid w:val="00D52D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rmagazine.co.uk/article-details/breaking-the-silence-employee-voice" TargetMode="External"/><Relationship Id="rId18" Type="http://schemas.openxmlformats.org/officeDocument/2006/relationships/hyperlink" Target="https://engageforsuccess.org/engaging-for-success" TargetMode="External"/><Relationship Id="rId26" Type="http://schemas.openxmlformats.org/officeDocument/2006/relationships/hyperlink" Target="https://www.analyticsinhr.com/blog/measuring-employee-engagement/" TargetMode="External"/><Relationship Id="rId39" Type="http://schemas.openxmlformats.org/officeDocument/2006/relationships/hyperlink" Target="https://www.cipd.co.uk/Images/good-work-index-full-report-2020-2_tcm18-79210.pdf" TargetMode="External"/><Relationship Id="rId3" Type="http://schemas.openxmlformats.org/officeDocument/2006/relationships/styles" Target="styles.xml"/><Relationship Id="rId21" Type="http://schemas.openxmlformats.org/officeDocument/2006/relationships/hyperlink" Target="https://www.forbes.com/sites/johnkotter/2011/02/10/does-corporate-culture-drive-financial-performance/" TargetMode="External"/><Relationship Id="rId34" Type="http://schemas.openxmlformats.org/officeDocument/2006/relationships/hyperlink" Target="https://hbr.org/2020/09/marketing-in-the-age-of-resistance?utm_medium=social&amp;utm_source=facebook&amp;utm_campaign=hbr&amp;fbclid=IwAR11Rmz3_tfdoks8xDlQ7SGjRi5CDJWRN6DEvSW0rFRGtVLqGF_pjVyfLY8" TargetMode="External"/><Relationship Id="rId42" Type="http://schemas.openxmlformats.org/officeDocument/2006/relationships/hyperlink" Target="https://www.telegraph.co.uk/business/ready-and-enabled/millennials-in-the-workplace/" TargetMode="External"/><Relationship Id="rId47" Type="http://schemas.openxmlformats.org/officeDocument/2006/relationships/hyperlink" Target="https://www.cipd.co.uk/Images/the-future-of-engagement_2014-thought-piece-employee-engagement-rob-briner_tcm18-10764.pdf" TargetMode="External"/><Relationship Id="rId50" Type="http://schemas.openxmlformats.org/officeDocument/2006/relationships/hyperlink" Target="https://www.hrmagazine.co.uk/article-details/is-engagement-fact-or-fiction" TargetMode="External"/><Relationship Id="rId7" Type="http://schemas.openxmlformats.org/officeDocument/2006/relationships/endnotes" Target="endnotes.xml"/><Relationship Id="rId12" Type="http://schemas.openxmlformats.org/officeDocument/2006/relationships/hyperlink" Target="https://www.cipd.co.uk/knowledge/fundamentals/relations/communication/voice-factsheet" TargetMode="External"/><Relationship Id="rId17" Type="http://schemas.openxmlformats.org/officeDocument/2006/relationships/hyperlink" Target="https://www.forbes.com/sites/georgedeeb/2019/05/02/leadership-101-narrow-your-say-do-gap/" TargetMode="External"/><Relationship Id="rId25" Type="http://schemas.openxmlformats.org/officeDocument/2006/relationships/hyperlink" Target="https://www.thehrdirector.com/features/revolution/role-hr-industrial-revolution/" TargetMode="External"/><Relationship Id="rId33" Type="http://schemas.openxmlformats.org/officeDocument/2006/relationships/hyperlink" Target="https://www.forbes.com/sites/joanmichelson2/2020/06/28/employee-engagement-demands-corporate-social-responsibility/" TargetMode="External"/><Relationship Id="rId38" Type="http://schemas.openxmlformats.org/officeDocument/2006/relationships/hyperlink" Target="https://archive.acas.org.uk/index.aspx?articleid=1598" TargetMode="External"/><Relationship Id="rId46" Type="http://schemas.openxmlformats.org/officeDocument/2006/relationships/hyperlink" Target="https://www.managementstudyguide.com/drivers-of-employee-engagement.htm.%20Accessed%20on%2014/10/2020" TargetMode="External"/><Relationship Id="rId2" Type="http://schemas.openxmlformats.org/officeDocument/2006/relationships/numbering" Target="numbering.xml"/><Relationship Id="rId16" Type="http://schemas.openxmlformats.org/officeDocument/2006/relationships/hyperlink" Target="https://corporate-rebels.com/broken/" TargetMode="External"/><Relationship Id="rId20" Type="http://schemas.openxmlformats.org/officeDocument/2006/relationships/hyperlink" Target="https://www.gallup.com/workplace/236927/employee-engagement-drives-growth.aspx" TargetMode="External"/><Relationship Id="rId29" Type="http://schemas.openxmlformats.org/officeDocument/2006/relationships/hyperlink" Target="https://www.ons.gov.uk/employmentandlabourmarket/peopleinwork/employmentandemployeetypes/articles/coronavirusandhomeworkingintheuklabourmarket/2019" TargetMode="External"/><Relationship Id="rId41" Type="http://schemas.openxmlformats.org/officeDocument/2006/relationships/hyperlink" Target="https://www.independent.co.uk/news/uk/home-news/gender-pay-gap-uk-reporting-laws-countries-b1012831.html.%20Accessed%20on%2014/10/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acas.org.uk/engagement" TargetMode="External"/><Relationship Id="rId24" Type="http://schemas.openxmlformats.org/officeDocument/2006/relationships/hyperlink" Target="https://pauljtaylor.com/wp-content/uploads/2015/09/2005-IJSM-Donald-Taylor-et-al.pdf" TargetMode="External"/><Relationship Id="rId32" Type="http://schemas.openxmlformats.org/officeDocument/2006/relationships/hyperlink" Target="https://thehrdigest.com/millennials-expectations-employers/" TargetMode="External"/><Relationship Id="rId37" Type="http://schemas.openxmlformats.org/officeDocument/2006/relationships/hyperlink" Target="https://www.independent.co.uk/news/business/news/deliveroo-working-conditions-frank-field-mp-inquiry-gig-economy-a8404061.html" TargetMode="External"/><Relationship Id="rId40" Type="http://schemas.openxmlformats.org/officeDocument/2006/relationships/hyperlink" Target="https://archive.acas.org.uk/index.aspx?articleid=6062" TargetMode="External"/><Relationship Id="rId45" Type="http://schemas.openxmlformats.org/officeDocument/2006/relationships/hyperlink" Target="https://assets.publishing.service.gov.uk/government/uploads/system/uploads/attachment_data/file/587654/fuller-working-lives-a-partnership-approach.pdf" TargetMode="External"/><Relationship Id="rId5" Type="http://schemas.openxmlformats.org/officeDocument/2006/relationships/webSettings" Target="webSettings.xml"/><Relationship Id="rId15" Type="http://schemas.openxmlformats.org/officeDocument/2006/relationships/hyperlink" Target="https://www.gallup.com/workplace/257552/state-global-workplace-2017.aspx" TargetMode="External"/><Relationship Id="rId23" Type="http://schemas.openxmlformats.org/officeDocument/2006/relationships/hyperlink" Target="https://www.cipd.co.uk/knowledge/fundamentals/relations/engagement/factsheet" TargetMode="External"/><Relationship Id="rId28" Type="http://schemas.openxmlformats.org/officeDocument/2006/relationships/hyperlink" Target="https://www.youtube.com/watch?v=x8PsRWvJz00" TargetMode="External"/><Relationship Id="rId36" Type="http://schemas.openxmlformats.org/officeDocument/2006/relationships/hyperlink" Target="https://assets.publishing.service.gov.uk/government/uploads/system/uploads/attachment_data/file/766167/good-work-plan-command-paper.pdf" TargetMode="External"/><Relationship Id="rId49" Type="http://schemas.openxmlformats.org/officeDocument/2006/relationships/hyperlink" Target="https://www.cipd.co.uk/Images/the-future-of-engagement_2014-thought-piece-collection_tcm18-10758.pdf" TargetMode="External"/><Relationship Id="rId10" Type="http://schemas.openxmlformats.org/officeDocument/2006/relationships/hyperlink" Target="https://www.hrzone.com/hr-glossary/what-is-employee-engagement" TargetMode="External"/><Relationship Id="rId19" Type="http://schemas.openxmlformats.org/officeDocument/2006/relationships/hyperlink" Target="https://www.leadershipiq.com/blogs/leadershipiq/study-the-risks-of-ignoring-employee-feedback" TargetMode="External"/><Relationship Id="rId31" Type="http://schemas.openxmlformats.org/officeDocument/2006/relationships/hyperlink" Target="https://www.hrmonline.com.au/section/legal/close-link-between-mental-health-and-performance/" TargetMode="External"/><Relationship Id="rId44" Type="http://schemas.openxmlformats.org/officeDocument/2006/relationships/hyperlink" Target="https://www.cipd.co.uk/Images/megatrends-ageing-gracefully-the-opportunities-of-an-older-workforce-1_tcm18-64897.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7.jpg@01D68B5D.6006B500" TargetMode="External"/><Relationship Id="rId14" Type="http://schemas.openxmlformats.org/officeDocument/2006/relationships/hyperlink" Target="https://www.mindtools.com/pages/article/autonomy-mastery-purpose.htm" TargetMode="External"/><Relationship Id="rId22" Type="http://schemas.openxmlformats.org/officeDocument/2006/relationships/hyperlink" Target="https://www.glassdoor.com/employers/blog/what-is-employee-engagement-why-does-it-matter/" TargetMode="External"/><Relationship Id="rId27" Type="http://schemas.openxmlformats.org/officeDocument/2006/relationships/hyperlink" Target="https://www.cipd.co.uk/knowledge/strategy/analytics/factsheet.%20Accessed%20on%2007/10/2020" TargetMode="External"/><Relationship Id="rId30" Type="http://schemas.openxmlformats.org/officeDocument/2006/relationships/hyperlink" Target="https://www.acas.org.uk/working-from-home" TargetMode="External"/><Relationship Id="rId35" Type="http://schemas.openxmlformats.org/officeDocument/2006/relationships/hyperlink" Target="https://www.vox.com/recode/2020/5/1/21244151/may-day-strike-amazon-instacart-target-success-turnout-fedex-protest-essential-workers-chris-smalls.%20Accessed%20on%2012/10/2020" TargetMode="External"/><Relationship Id="rId43" Type="http://schemas.openxmlformats.org/officeDocument/2006/relationships/hyperlink" Target="https://www.conecomm.com/research-blog/2016-millennial-employee-engagement-study" TargetMode="External"/><Relationship Id="rId48" Type="http://schemas.openxmlformats.org/officeDocument/2006/relationships/hyperlink" Target="https://www.hrzone.com/community/blogs/sinead-healy/the-impact-of-employee-disengagement.%20Accessed%20on%2019/10/2020" TargetMode="External"/><Relationship Id="rId8" Type="http://schemas.openxmlformats.org/officeDocument/2006/relationships/image" Target="media/image1.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93ED4-2FFA-4E4B-AAE3-68F63CE4A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11</Pages>
  <Words>5422</Words>
  <Characters>30912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36262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26</cp:revision>
  <dcterms:created xsi:type="dcterms:W3CDTF">2020-10-23T15:17:00Z</dcterms:created>
  <dcterms:modified xsi:type="dcterms:W3CDTF">2020-10-25T09:49:00Z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7c88e107-0c45-4935-93fc-aacfab15f9a8</vt:lpwstr>
  </property>
</Properties>
</file>