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DB127" w14:textId="0C32F4C3" w:rsidR="00BE7D56" w:rsidRPr="00BE7D56" w:rsidRDefault="00BE7D56">
      <w:pPr>
        <w:rPr>
          <w:rFonts w:asciiTheme="minorBidi" w:hAnsiTheme="minorBidi"/>
          <w:sz w:val="24"/>
          <w:szCs w:val="24"/>
        </w:rPr>
      </w:pPr>
      <w:r w:rsidRPr="00BE7D56">
        <w:rPr>
          <w:rFonts w:asciiTheme="minorBidi" w:hAnsiTheme="minorBidi"/>
          <w:sz w:val="24"/>
          <w:szCs w:val="24"/>
        </w:rPr>
        <w:t xml:space="preserve">The Learning </w:t>
      </w:r>
      <w:r w:rsidR="00D5552B" w:rsidRPr="00BE7D56">
        <w:rPr>
          <w:rFonts w:asciiTheme="minorBidi" w:hAnsiTheme="minorBidi"/>
          <w:sz w:val="24"/>
          <w:szCs w:val="24"/>
        </w:rPr>
        <w:t>Organisation</w:t>
      </w:r>
      <w:r w:rsidRPr="00BE7D56">
        <w:rPr>
          <w:rFonts w:asciiTheme="minorBidi" w:hAnsiTheme="minorBidi"/>
          <w:sz w:val="24"/>
          <w:szCs w:val="24"/>
        </w:rPr>
        <w:t xml:space="preserve"> – List of References</w:t>
      </w:r>
    </w:p>
    <w:p w14:paraId="5F6A90D5" w14:textId="77777777" w:rsidR="00BE7D56" w:rsidRDefault="00BE7D56" w:rsidP="00BE7D56">
      <w:pPr>
        <w:shd w:val="clear" w:color="auto" w:fill="FFFFFF"/>
        <w:spacing w:after="0" w:line="240" w:lineRule="auto"/>
        <w:rPr>
          <w:rFonts w:asciiTheme="minorBidi" w:eastAsia="Times New Roman" w:hAnsiTheme="minorBidi"/>
          <w:color w:val="111111"/>
          <w:sz w:val="24"/>
          <w:szCs w:val="24"/>
        </w:rPr>
      </w:pPr>
      <w:proofErr w:type="spellStart"/>
      <w:r w:rsidRPr="00BE7D56">
        <w:rPr>
          <w:rFonts w:asciiTheme="minorBidi" w:eastAsia="Times New Roman" w:hAnsiTheme="minorBidi"/>
          <w:color w:val="111111"/>
          <w:sz w:val="24"/>
          <w:szCs w:val="24"/>
        </w:rPr>
        <w:t>Easterby</w:t>
      </w:r>
      <w:proofErr w:type="spellEnd"/>
      <w:r w:rsidRPr="00BE7D56">
        <w:rPr>
          <w:rFonts w:asciiTheme="minorBidi" w:eastAsia="Times New Roman" w:hAnsiTheme="minorBidi"/>
          <w:color w:val="111111"/>
          <w:sz w:val="24"/>
          <w:szCs w:val="24"/>
        </w:rPr>
        <w:t>-Smith, M., Burgoyne, J. and Araujo, L. (eds.) (1999) </w:t>
      </w:r>
      <w:r w:rsidRPr="00BE7D56">
        <w:rPr>
          <w:rFonts w:asciiTheme="minorBidi" w:eastAsia="Times New Roman" w:hAnsiTheme="minorBidi"/>
          <w:i/>
          <w:iCs/>
          <w:color w:val="111111"/>
          <w:sz w:val="24"/>
          <w:szCs w:val="24"/>
        </w:rPr>
        <w:t>Organizational Learning and the Learning Organization</w:t>
      </w:r>
      <w:r w:rsidRPr="00BE7D56">
        <w:rPr>
          <w:rFonts w:asciiTheme="minorBidi" w:eastAsia="Times New Roman" w:hAnsiTheme="minorBidi"/>
          <w:color w:val="111111"/>
          <w:sz w:val="24"/>
          <w:szCs w:val="24"/>
        </w:rPr>
        <w:t xml:space="preserve">, London: Sage. 247 + viii pages. </w:t>
      </w:r>
    </w:p>
    <w:p w14:paraId="2A8B693C" w14:textId="77777777" w:rsidR="00BE7D56" w:rsidRDefault="00BE7D56" w:rsidP="00BE7D56">
      <w:pPr>
        <w:shd w:val="clear" w:color="auto" w:fill="FFFFFF"/>
        <w:spacing w:after="0" w:line="240" w:lineRule="auto"/>
        <w:rPr>
          <w:rFonts w:asciiTheme="minorBidi" w:eastAsia="Times New Roman" w:hAnsiTheme="minorBidi"/>
          <w:color w:val="111111"/>
          <w:sz w:val="24"/>
          <w:szCs w:val="24"/>
        </w:rPr>
      </w:pPr>
    </w:p>
    <w:p w14:paraId="6A5FAA74" w14:textId="16432FBF" w:rsid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A collection with a good overview and some very helpful individual papers. The opening section provides reviews and critiques, the second, a series of evaluations of practice.</w:t>
      </w:r>
    </w:p>
    <w:p w14:paraId="0EB7C5F1" w14:textId="77777777" w:rsidR="00BE7D56" w:rsidRPr="00BE7D56" w:rsidRDefault="00BE7D56" w:rsidP="00BE7D56">
      <w:pPr>
        <w:shd w:val="clear" w:color="auto" w:fill="FFFFFF"/>
        <w:spacing w:after="0" w:line="240" w:lineRule="auto"/>
        <w:rPr>
          <w:rFonts w:asciiTheme="minorBidi" w:eastAsia="Times New Roman" w:hAnsiTheme="minorBidi"/>
          <w:color w:val="111111"/>
          <w:sz w:val="24"/>
          <w:szCs w:val="24"/>
        </w:rPr>
      </w:pPr>
    </w:p>
    <w:p w14:paraId="5ABF4D79" w14:textId="77777777" w:rsid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Schön, D. A. (1973) </w:t>
      </w:r>
      <w:r w:rsidRPr="00BE7D56">
        <w:rPr>
          <w:rFonts w:asciiTheme="minorBidi" w:eastAsia="Times New Roman" w:hAnsiTheme="minorBidi"/>
          <w:i/>
          <w:iCs/>
          <w:color w:val="111111"/>
          <w:sz w:val="24"/>
          <w:szCs w:val="24"/>
        </w:rPr>
        <w:t>Beyond the Stable State. Public and private learning in a changing society</w:t>
      </w:r>
      <w:r w:rsidRPr="00BE7D56">
        <w:rPr>
          <w:rFonts w:asciiTheme="minorBidi" w:eastAsia="Times New Roman" w:hAnsiTheme="minorBidi"/>
          <w:color w:val="111111"/>
          <w:sz w:val="24"/>
          <w:szCs w:val="24"/>
        </w:rPr>
        <w:t xml:space="preserve">, Harmondsworth: Penguin. 236 pages. </w:t>
      </w:r>
    </w:p>
    <w:p w14:paraId="7E843EBA" w14:textId="77777777" w:rsidR="00BE7D56" w:rsidRDefault="00BE7D56" w:rsidP="00BE7D56">
      <w:pPr>
        <w:shd w:val="clear" w:color="auto" w:fill="FFFFFF"/>
        <w:spacing w:after="0" w:line="240" w:lineRule="auto"/>
        <w:rPr>
          <w:rFonts w:asciiTheme="minorBidi" w:eastAsia="Times New Roman" w:hAnsiTheme="minorBidi"/>
          <w:color w:val="111111"/>
          <w:sz w:val="24"/>
          <w:szCs w:val="24"/>
        </w:rPr>
      </w:pPr>
    </w:p>
    <w:p w14:paraId="731B1E45" w14:textId="780BFA0A" w:rsid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A very influential book (following Schön’s 1970 </w:t>
      </w:r>
      <w:r w:rsidRPr="00BE7D56">
        <w:rPr>
          <w:rFonts w:asciiTheme="minorBidi" w:eastAsia="Times New Roman" w:hAnsiTheme="minorBidi"/>
          <w:i/>
          <w:iCs/>
          <w:color w:val="111111"/>
          <w:sz w:val="24"/>
          <w:szCs w:val="24"/>
        </w:rPr>
        <w:t>Reith Lectures</w:t>
      </w:r>
      <w:r w:rsidRPr="00BE7D56">
        <w:rPr>
          <w:rFonts w:asciiTheme="minorBidi" w:eastAsia="Times New Roman" w:hAnsiTheme="minorBidi"/>
          <w:color w:val="111111"/>
          <w:sz w:val="24"/>
          <w:szCs w:val="24"/>
        </w:rPr>
        <w:t>) arguing that ‘change’ is a fundamental feature of modern life and that it is necessary to develop social systems that can learn and adapt. Schön develops many of the themes that were to be such a significant part of his collaboration with Chris Argyris and his exploration of reflective practice.</w:t>
      </w:r>
    </w:p>
    <w:p w14:paraId="6FD2807D" w14:textId="77777777" w:rsidR="00BE7D56" w:rsidRPr="00BE7D56" w:rsidRDefault="00BE7D56" w:rsidP="00BE7D56">
      <w:pPr>
        <w:shd w:val="clear" w:color="auto" w:fill="FFFFFF"/>
        <w:spacing w:after="0" w:line="240" w:lineRule="auto"/>
        <w:rPr>
          <w:rFonts w:asciiTheme="minorBidi" w:eastAsia="Times New Roman" w:hAnsiTheme="minorBidi"/>
          <w:color w:val="111111"/>
          <w:sz w:val="24"/>
          <w:szCs w:val="24"/>
        </w:rPr>
      </w:pPr>
    </w:p>
    <w:p w14:paraId="40AA51DA" w14:textId="77777777" w:rsid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Senge, P. M. (1990) </w:t>
      </w:r>
      <w:r w:rsidRPr="00BE7D56">
        <w:rPr>
          <w:rFonts w:asciiTheme="minorBidi" w:eastAsia="Times New Roman" w:hAnsiTheme="minorBidi"/>
          <w:i/>
          <w:iCs/>
          <w:color w:val="111111"/>
          <w:sz w:val="24"/>
          <w:szCs w:val="24"/>
        </w:rPr>
        <w:t>The Fifth Discipline. The art and practice of the learning organization</w:t>
      </w:r>
      <w:r w:rsidRPr="00BE7D56">
        <w:rPr>
          <w:rFonts w:asciiTheme="minorBidi" w:eastAsia="Times New Roman" w:hAnsiTheme="minorBidi"/>
          <w:color w:val="111111"/>
          <w:sz w:val="24"/>
          <w:szCs w:val="24"/>
        </w:rPr>
        <w:t xml:space="preserve">, London: Random House. 424 + viii pages. </w:t>
      </w:r>
    </w:p>
    <w:p w14:paraId="31181B35" w14:textId="77777777" w:rsidR="00BE7D56" w:rsidRDefault="00BE7D56" w:rsidP="00BE7D56">
      <w:pPr>
        <w:shd w:val="clear" w:color="auto" w:fill="FFFFFF"/>
        <w:spacing w:after="0" w:line="240" w:lineRule="auto"/>
        <w:rPr>
          <w:rFonts w:asciiTheme="minorBidi" w:eastAsia="Times New Roman" w:hAnsiTheme="minorBidi"/>
          <w:color w:val="111111"/>
          <w:sz w:val="24"/>
          <w:szCs w:val="24"/>
        </w:rPr>
      </w:pPr>
    </w:p>
    <w:p w14:paraId="7265401D" w14:textId="611300F2" w:rsidR="00BE7D56" w:rsidRP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A seminal and highly readable book in which Senge sets out the five ‘competent technologies’ that build and sustain learning organizations. His emphasis on systems thinking as the fifth, and cornerstone discipline allows him to develop a more holistic appreciation of organization (and the lives of people associated with them).</w:t>
      </w:r>
    </w:p>
    <w:p w14:paraId="31598CE6" w14:textId="77777777" w:rsidR="00BE7D56" w:rsidRPr="00BE7D56" w:rsidRDefault="00BE7D56" w:rsidP="00BE7D56">
      <w:pPr>
        <w:shd w:val="clear" w:color="auto" w:fill="FFFFFF"/>
        <w:spacing w:before="480" w:after="480" w:line="240" w:lineRule="auto"/>
        <w:outlineLvl w:val="3"/>
        <w:rPr>
          <w:rFonts w:asciiTheme="minorBidi" w:eastAsia="Times New Roman" w:hAnsiTheme="minorBidi"/>
          <w:color w:val="111111"/>
          <w:spacing w:val="-5"/>
          <w:sz w:val="24"/>
          <w:szCs w:val="24"/>
        </w:rPr>
      </w:pPr>
      <w:r w:rsidRPr="00BE7D56">
        <w:rPr>
          <w:rFonts w:asciiTheme="minorBidi" w:eastAsia="Times New Roman" w:hAnsiTheme="minorBidi"/>
          <w:color w:val="111111"/>
          <w:spacing w:val="-5"/>
          <w:sz w:val="24"/>
          <w:szCs w:val="24"/>
        </w:rPr>
        <w:t>References</w:t>
      </w:r>
    </w:p>
    <w:p w14:paraId="537F30D7" w14:textId="04D88B30" w:rsid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Argyris, C., &amp; Schön, D. (1978) </w:t>
      </w:r>
      <w:r w:rsidRPr="00BE7D56">
        <w:rPr>
          <w:rFonts w:asciiTheme="minorBidi" w:eastAsia="Times New Roman" w:hAnsiTheme="minorBidi"/>
          <w:i/>
          <w:iCs/>
          <w:color w:val="111111"/>
          <w:sz w:val="24"/>
          <w:szCs w:val="24"/>
        </w:rPr>
        <w:t>Organisational learning: A theory of action perspective,</w:t>
      </w:r>
      <w:r w:rsidRPr="00BE7D56">
        <w:rPr>
          <w:rFonts w:asciiTheme="minorBidi" w:eastAsia="Times New Roman" w:hAnsiTheme="minorBidi"/>
          <w:color w:val="111111"/>
          <w:sz w:val="24"/>
          <w:szCs w:val="24"/>
        </w:rPr>
        <w:t> Reading, Mass: Addison Wesley.</w:t>
      </w:r>
    </w:p>
    <w:p w14:paraId="02605621" w14:textId="77777777" w:rsidR="00BE7D56" w:rsidRPr="00BE7D56" w:rsidRDefault="00BE7D56" w:rsidP="00BE7D56">
      <w:pPr>
        <w:shd w:val="clear" w:color="auto" w:fill="FFFFFF"/>
        <w:spacing w:after="0" w:line="240" w:lineRule="auto"/>
        <w:rPr>
          <w:rFonts w:asciiTheme="minorBidi" w:eastAsia="Times New Roman" w:hAnsiTheme="minorBidi"/>
          <w:color w:val="111111"/>
          <w:sz w:val="24"/>
          <w:szCs w:val="24"/>
        </w:rPr>
      </w:pPr>
    </w:p>
    <w:p w14:paraId="5181876A" w14:textId="44D4F17A" w:rsid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Argyris, C. and Schön, D. (1996) </w:t>
      </w:r>
      <w:r w:rsidRPr="00BE7D56">
        <w:rPr>
          <w:rFonts w:asciiTheme="minorBidi" w:eastAsia="Times New Roman" w:hAnsiTheme="minorBidi"/>
          <w:i/>
          <w:iCs/>
          <w:color w:val="111111"/>
          <w:sz w:val="24"/>
          <w:szCs w:val="24"/>
        </w:rPr>
        <w:t>Organisational learning II: Theory, method and practice, </w:t>
      </w:r>
      <w:r w:rsidRPr="00BE7D56">
        <w:rPr>
          <w:rFonts w:asciiTheme="minorBidi" w:eastAsia="Times New Roman" w:hAnsiTheme="minorBidi"/>
          <w:color w:val="111111"/>
          <w:sz w:val="24"/>
          <w:szCs w:val="24"/>
        </w:rPr>
        <w:t>Reading, Mass: Addison Wesley.</w:t>
      </w:r>
    </w:p>
    <w:p w14:paraId="3840A5B9" w14:textId="77777777" w:rsidR="00BE7D56" w:rsidRPr="00BE7D56" w:rsidRDefault="00BE7D56" w:rsidP="00BE7D56">
      <w:pPr>
        <w:shd w:val="clear" w:color="auto" w:fill="FFFFFF"/>
        <w:spacing w:after="0" w:line="240" w:lineRule="auto"/>
        <w:rPr>
          <w:rFonts w:asciiTheme="minorBidi" w:eastAsia="Times New Roman" w:hAnsiTheme="minorBidi"/>
          <w:color w:val="111111"/>
          <w:sz w:val="24"/>
          <w:szCs w:val="24"/>
        </w:rPr>
      </w:pPr>
    </w:p>
    <w:p w14:paraId="7134C924" w14:textId="77777777" w:rsidR="00BE7D56" w:rsidRPr="00BE7D56" w:rsidRDefault="00BE7D56" w:rsidP="00BE7D56">
      <w:pPr>
        <w:shd w:val="clear" w:color="auto" w:fill="FFFFFF"/>
        <w:spacing w:after="0" w:line="240" w:lineRule="auto"/>
        <w:rPr>
          <w:rFonts w:asciiTheme="minorBidi" w:eastAsia="Times New Roman" w:hAnsiTheme="minorBidi"/>
          <w:color w:val="111111"/>
          <w:sz w:val="24"/>
          <w:szCs w:val="24"/>
        </w:rPr>
      </w:pPr>
      <w:r w:rsidRPr="00BE7D56">
        <w:rPr>
          <w:rFonts w:asciiTheme="minorBidi" w:eastAsia="Times New Roman" w:hAnsiTheme="minorBidi"/>
          <w:color w:val="111111"/>
          <w:sz w:val="24"/>
          <w:szCs w:val="24"/>
        </w:rPr>
        <w:t>Bohm, D., Factor, D. and Garrett, P. (1991) ‘Dialogue – a proposal’, </w:t>
      </w:r>
      <w:hyperlink r:id="rId6" w:history="1">
        <w:r w:rsidRPr="00BE7D56">
          <w:rPr>
            <w:rFonts w:asciiTheme="minorBidi" w:eastAsia="Times New Roman" w:hAnsiTheme="minorBidi"/>
            <w:i/>
            <w:iCs/>
            <w:color w:val="003399"/>
            <w:sz w:val="24"/>
            <w:szCs w:val="24"/>
            <w:u w:val="single"/>
          </w:rPr>
          <w:t>the informal education archives</w:t>
        </w:r>
      </w:hyperlink>
      <w:r w:rsidRPr="00BE7D56">
        <w:rPr>
          <w:rFonts w:asciiTheme="minorBidi" w:eastAsia="Times New Roman" w:hAnsiTheme="minorBidi"/>
          <w:color w:val="111111"/>
          <w:sz w:val="24"/>
          <w:szCs w:val="24"/>
        </w:rPr>
        <w:t>.</w:t>
      </w:r>
    </w:p>
    <w:p w14:paraId="5BF93B0E" w14:textId="77777777" w:rsidR="00BE7D56" w:rsidRPr="00BE7D56" w:rsidRDefault="00BE7D56">
      <w:pPr>
        <w:rPr>
          <w:rFonts w:asciiTheme="minorBidi" w:hAnsiTheme="minorBidi"/>
          <w:sz w:val="24"/>
          <w:szCs w:val="24"/>
        </w:rPr>
      </w:pPr>
    </w:p>
    <w:sectPr w:rsidR="00BE7D56" w:rsidRPr="00BE7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2ECE9" w14:textId="77777777" w:rsidR="00D5552B" w:rsidRDefault="00D5552B" w:rsidP="00D5552B">
      <w:pPr>
        <w:spacing w:after="0" w:line="240" w:lineRule="auto"/>
      </w:pPr>
      <w:r>
        <w:separator/>
      </w:r>
    </w:p>
  </w:endnote>
  <w:endnote w:type="continuationSeparator" w:id="0">
    <w:p w14:paraId="48F3D797" w14:textId="77777777" w:rsidR="00D5552B" w:rsidRDefault="00D5552B" w:rsidP="00D55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9F661" w14:textId="77777777" w:rsidR="00D5552B" w:rsidRDefault="00D5552B" w:rsidP="00D5552B">
      <w:pPr>
        <w:spacing w:after="0" w:line="240" w:lineRule="auto"/>
      </w:pPr>
      <w:r>
        <w:separator/>
      </w:r>
    </w:p>
  </w:footnote>
  <w:footnote w:type="continuationSeparator" w:id="0">
    <w:p w14:paraId="4C4136D5" w14:textId="77777777" w:rsidR="00D5552B" w:rsidRDefault="00D5552B" w:rsidP="00D555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D56"/>
    <w:rsid w:val="00BE7D56"/>
    <w:rsid w:val="00D555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2C1B86"/>
  <w15:chartTrackingRefBased/>
  <w15:docId w15:val="{EA5DD3F9-C426-4F65-9924-3D5E51FC4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5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52B"/>
  </w:style>
  <w:style w:type="paragraph" w:styleId="Footer">
    <w:name w:val="footer"/>
    <w:basedOn w:val="Normal"/>
    <w:link w:val="FooterChar"/>
    <w:uiPriority w:val="99"/>
    <w:unhideWhenUsed/>
    <w:rsid w:val="00D55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67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nfed.org/archives/e-texts/bohm_dialogue.htm"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263</Words>
  <Characters>1500</Characters>
  <Application>Microsoft Office Word</Application>
  <DocSecurity>0</DocSecurity>
  <Lines>12</Lines>
  <Paragraphs>3</Paragraphs>
  <ScaleCrop>false</ScaleCrop>
  <Company/>
  <LinksUpToDate>false</LinksUpToDate>
  <CharactersWithSpaces>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2022-11-22T07:20:00Z</dcterms:created>
  <dcterms:modified xsi:type="dcterms:W3CDTF">2022-11-22T07:20:00Z</dcterms:modified>
</cp:coreProperties>
</file>