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1FDF0C" w14:textId="286AB82B" w:rsidR="004D4428" w:rsidRPr="00D83CA7" w:rsidRDefault="00F85E94" w:rsidP="00F85E94">
      <w:pPr>
        <w:jc w:val="center"/>
        <w:rPr>
          <w:rFonts w:ascii="Calibri" w:hAnsi="Calibri" w:cs="Calibri"/>
          <w:b/>
          <w:bCs/>
          <w:color w:val="000000"/>
          <w:u w:val="single"/>
        </w:rPr>
      </w:pPr>
      <w:r w:rsidRPr="00D83CA7">
        <w:rPr>
          <w:rFonts w:ascii="Calibri" w:hAnsi="Calibri" w:cs="Calibri"/>
          <w:b/>
          <w:bCs/>
          <w:color w:val="000000"/>
          <w:u w:val="single"/>
        </w:rPr>
        <w:t>Understanding Inequalities in Women’s Grassroots Football</w:t>
      </w:r>
      <w:r w:rsidR="00AE0B15" w:rsidRPr="00D83CA7">
        <w:rPr>
          <w:rFonts w:ascii="Calibri" w:hAnsi="Calibri" w:cs="Calibri"/>
          <w:b/>
          <w:bCs/>
          <w:color w:val="000000"/>
          <w:u w:val="single"/>
        </w:rPr>
        <w:t xml:space="preserve"> </w:t>
      </w:r>
      <w:r w:rsidR="00911AB3" w:rsidRPr="00D83CA7">
        <w:rPr>
          <w:rFonts w:ascii="Calibri" w:hAnsi="Calibri" w:cs="Calibri"/>
          <w:b/>
          <w:bCs/>
          <w:color w:val="000000"/>
          <w:u w:val="single"/>
        </w:rPr>
        <w:t>with</w:t>
      </w:r>
      <w:r w:rsidR="00AE0B15" w:rsidRPr="00D83CA7">
        <w:rPr>
          <w:rFonts w:ascii="Calibri" w:hAnsi="Calibri" w:cs="Calibri"/>
          <w:b/>
          <w:bCs/>
          <w:color w:val="000000"/>
          <w:u w:val="single"/>
        </w:rPr>
        <w:t>in the United Kingdom</w:t>
      </w:r>
      <w:r w:rsidRPr="00D83CA7">
        <w:rPr>
          <w:rFonts w:ascii="Calibri" w:hAnsi="Calibri" w:cs="Calibri"/>
          <w:b/>
          <w:bCs/>
          <w:color w:val="000000"/>
          <w:u w:val="single"/>
        </w:rPr>
        <w:t>:</w:t>
      </w:r>
    </w:p>
    <w:p w14:paraId="6EEA23CA" w14:textId="0E77D9A6" w:rsidR="00F85E94" w:rsidRPr="00D83CA7" w:rsidRDefault="00F85E94" w:rsidP="00820F5D">
      <w:pPr>
        <w:jc w:val="center"/>
        <w:rPr>
          <w:rFonts w:ascii="Calibri" w:hAnsi="Calibri" w:cs="Calibri"/>
          <w:b/>
          <w:bCs/>
          <w:color w:val="000000"/>
          <w:u w:val="single"/>
        </w:rPr>
      </w:pPr>
      <w:r w:rsidRPr="00D83CA7">
        <w:rPr>
          <w:rFonts w:ascii="Calibri" w:hAnsi="Calibri" w:cs="Calibri"/>
          <w:b/>
          <w:bCs/>
          <w:color w:val="000000"/>
          <w:u w:val="single"/>
        </w:rPr>
        <w:t xml:space="preserve"> Barriers to Participation and Development</w:t>
      </w:r>
    </w:p>
    <w:p w14:paraId="0A68FFAD" w14:textId="77777777" w:rsidR="007E11B1" w:rsidRPr="00D83CA7" w:rsidRDefault="007E11B1">
      <w:pPr>
        <w:rPr>
          <w:rFonts w:ascii="Calibri" w:hAnsi="Calibri" w:cs="Calibri"/>
          <w:color w:val="000000"/>
        </w:rPr>
      </w:pPr>
      <w:r w:rsidRPr="00D83CA7">
        <w:rPr>
          <w:rFonts w:ascii="Calibri" w:hAnsi="Calibri" w:cs="Calibri"/>
          <w:color w:val="000000"/>
        </w:rPr>
        <w:t>This study will explore the nature and impact of inequalities within women’s grassroots football in the UK. It will examine how barriers such as access to facilities, funding, coaching opportunities, and cultural stereotypes shape participation and progression in the sport. By investigating the lived experiences of players, coaches, and volunteers, the research aims to contribute to a deeper understanding of how inequality is reproduced at the grassroots level and to consider implications for future policy and practice.</w:t>
      </w:r>
    </w:p>
    <w:p w14:paraId="475315F0" w14:textId="3817F6EF" w:rsidR="009974DA" w:rsidRPr="00D83CA7" w:rsidRDefault="00F972F2">
      <w:pPr>
        <w:rPr>
          <w:rFonts w:ascii="Calibri" w:hAnsi="Calibri" w:cs="Calibri"/>
          <w:b/>
          <w:bCs/>
          <w:u w:val="single"/>
        </w:rPr>
      </w:pPr>
      <w:r w:rsidRPr="00D83CA7">
        <w:rPr>
          <w:rFonts w:ascii="Calibri" w:hAnsi="Calibri" w:cs="Calibri"/>
          <w:b/>
          <w:bCs/>
          <w:u w:val="single"/>
        </w:rPr>
        <w:t>Introduction</w:t>
      </w:r>
    </w:p>
    <w:p w14:paraId="40BECDB1" w14:textId="3FCBAD2D" w:rsidR="009C2DDE" w:rsidRPr="00D83CA7" w:rsidRDefault="00C064C4" w:rsidP="009F4535">
      <w:pPr>
        <w:pStyle w:val="NormalWeb"/>
        <w:rPr>
          <w:rFonts w:ascii="Calibri" w:hAnsi="Calibri" w:cs="Calibri"/>
          <w:color w:val="000000"/>
        </w:rPr>
      </w:pPr>
      <w:r w:rsidRPr="00D83CA7">
        <w:rPr>
          <w:rFonts w:ascii="Calibri" w:hAnsi="Calibri" w:cs="Calibri"/>
          <w:color w:val="000000"/>
        </w:rPr>
        <w:t>Women’s football has grown significantly in visibility and popularity in the U</w:t>
      </w:r>
      <w:r w:rsidR="009B2BAC" w:rsidRPr="00D83CA7">
        <w:rPr>
          <w:rFonts w:ascii="Calibri" w:hAnsi="Calibri" w:cs="Calibri"/>
          <w:color w:val="000000"/>
        </w:rPr>
        <w:t xml:space="preserve">nited </w:t>
      </w:r>
      <w:r w:rsidRPr="00D83CA7">
        <w:rPr>
          <w:rFonts w:ascii="Calibri" w:hAnsi="Calibri" w:cs="Calibri"/>
          <w:color w:val="000000"/>
        </w:rPr>
        <w:t>K</w:t>
      </w:r>
      <w:r w:rsidR="009B2BAC" w:rsidRPr="00D83CA7">
        <w:rPr>
          <w:rFonts w:ascii="Calibri" w:hAnsi="Calibri" w:cs="Calibri"/>
          <w:color w:val="000000"/>
        </w:rPr>
        <w:t>ingdom (UK)</w:t>
      </w:r>
      <w:r w:rsidRPr="00D83CA7">
        <w:rPr>
          <w:rFonts w:ascii="Calibri" w:hAnsi="Calibri" w:cs="Calibri"/>
          <w:color w:val="000000"/>
        </w:rPr>
        <w:t xml:space="preserve"> in recent years, particularly following the success of the Women’s Super League and the </w:t>
      </w:r>
      <w:r w:rsidR="00050A3B" w:rsidRPr="00D83CA7">
        <w:rPr>
          <w:rFonts w:ascii="Calibri" w:hAnsi="Calibri" w:cs="Calibri"/>
          <w:color w:val="000000"/>
        </w:rPr>
        <w:t>Women’s</w:t>
      </w:r>
      <w:r w:rsidR="00C90A7D" w:rsidRPr="00D83CA7">
        <w:rPr>
          <w:rFonts w:ascii="Calibri" w:hAnsi="Calibri" w:cs="Calibri"/>
          <w:color w:val="000000"/>
        </w:rPr>
        <w:t xml:space="preserve"> England </w:t>
      </w:r>
      <w:r w:rsidR="00050A3B" w:rsidRPr="00D83CA7">
        <w:rPr>
          <w:rFonts w:ascii="Calibri" w:hAnsi="Calibri" w:cs="Calibri"/>
          <w:color w:val="000000"/>
        </w:rPr>
        <w:t>teams’</w:t>
      </w:r>
      <w:r w:rsidRPr="00D83CA7">
        <w:rPr>
          <w:rFonts w:ascii="Calibri" w:hAnsi="Calibri" w:cs="Calibri"/>
          <w:color w:val="000000"/>
        </w:rPr>
        <w:t xml:space="preserve"> victory at UEFA Euro 2022 (The FA, 2020). Despite this progress at elite level, inequalities remain deeply embedded in grassroots football. Players and teams often encounter barriers such as limited access to facilities, lower levels of funding, insufficient coaching opportunities, and gender stereotypes that constrain participation (Downward et al., 2025)</w:t>
      </w:r>
      <w:r w:rsidR="009B0AE0" w:rsidRPr="00D83CA7">
        <w:rPr>
          <w:rFonts w:ascii="Calibri" w:hAnsi="Calibri" w:cs="Calibri"/>
          <w:color w:val="000000"/>
        </w:rPr>
        <w:t xml:space="preserve">. </w:t>
      </w:r>
    </w:p>
    <w:p w14:paraId="50610356" w14:textId="4D48BAE9" w:rsidR="006945FD" w:rsidRPr="00D83CA7" w:rsidRDefault="006945FD" w:rsidP="006945FD">
      <w:pPr>
        <w:pStyle w:val="NormalWeb"/>
        <w:rPr>
          <w:rFonts w:ascii="Calibri" w:hAnsi="Calibri" w:cs="Calibri"/>
          <w:color w:val="000000"/>
        </w:rPr>
      </w:pPr>
      <w:r w:rsidRPr="00D83CA7">
        <w:rPr>
          <w:rFonts w:ascii="Calibri" w:hAnsi="Calibri" w:cs="Calibri"/>
          <w:color w:val="000000"/>
        </w:rPr>
        <w:t>Downward and Muñiz (2025) argue that women’s football involvement is constrained by</w:t>
      </w:r>
      <w:r w:rsidRPr="00D83CA7">
        <w:rPr>
          <w:rStyle w:val="apple-converted-space"/>
          <w:rFonts w:ascii="Calibri" w:eastAsiaTheme="majorEastAsia" w:hAnsi="Calibri" w:cs="Calibri"/>
          <w:color w:val="000000"/>
        </w:rPr>
        <w:t> </w:t>
      </w:r>
      <w:r w:rsidRPr="00D83CA7">
        <w:rPr>
          <w:rStyle w:val="Strong"/>
          <w:rFonts w:ascii="Calibri" w:eastAsiaTheme="majorEastAsia" w:hAnsi="Calibri" w:cs="Calibri"/>
          <w:b w:val="0"/>
          <w:bCs w:val="0"/>
          <w:color w:val="000000"/>
        </w:rPr>
        <w:t>supply-side factors</w:t>
      </w:r>
      <w:r w:rsidRPr="00D83CA7">
        <w:rPr>
          <w:rStyle w:val="apple-converted-space"/>
          <w:rFonts w:ascii="Calibri" w:eastAsiaTheme="majorEastAsia" w:hAnsi="Calibri" w:cs="Calibri"/>
          <w:color w:val="000000"/>
        </w:rPr>
        <w:t> </w:t>
      </w:r>
      <w:r w:rsidRPr="00D83CA7">
        <w:rPr>
          <w:rFonts w:ascii="Calibri" w:hAnsi="Calibri" w:cs="Calibri"/>
          <w:color w:val="000000"/>
        </w:rPr>
        <w:t>such as local opportunities and facility access, not individual demand</w:t>
      </w:r>
      <w:r w:rsidR="002C16A4" w:rsidRPr="00D83CA7">
        <w:rPr>
          <w:rFonts w:ascii="Calibri" w:hAnsi="Calibri" w:cs="Calibri"/>
          <w:color w:val="000000"/>
        </w:rPr>
        <w:t xml:space="preserve">, </w:t>
      </w:r>
      <w:r w:rsidRPr="00D83CA7">
        <w:rPr>
          <w:rFonts w:ascii="Calibri" w:hAnsi="Calibri" w:cs="Calibri"/>
          <w:color w:val="000000"/>
        </w:rPr>
        <w:t>implying that structural conditions depress sustained participation for women and girls (Downward and Muñiz, 2025).</w:t>
      </w:r>
      <w:r w:rsidRPr="00D83CA7">
        <w:rPr>
          <w:rStyle w:val="apple-converted-space"/>
          <w:rFonts w:ascii="Calibri" w:eastAsiaTheme="majorEastAsia" w:hAnsi="Calibri" w:cs="Calibri"/>
          <w:color w:val="000000"/>
        </w:rPr>
        <w:t> </w:t>
      </w:r>
      <w:r w:rsidRPr="00D83CA7">
        <w:rPr>
          <w:rFonts w:ascii="Calibri" w:hAnsi="Calibri" w:cs="Calibri"/>
          <w:color w:val="000000"/>
        </w:rPr>
        <w:t xml:space="preserve"> </w:t>
      </w:r>
    </w:p>
    <w:p w14:paraId="34C9D49B" w14:textId="766939AC" w:rsidR="006945FD" w:rsidRPr="00D83CA7" w:rsidRDefault="006945FD" w:rsidP="006945FD">
      <w:pPr>
        <w:pStyle w:val="NormalWeb"/>
        <w:rPr>
          <w:rFonts w:ascii="Calibri" w:hAnsi="Calibri" w:cs="Calibri"/>
          <w:color w:val="000000"/>
        </w:rPr>
      </w:pPr>
      <w:r w:rsidRPr="00D83CA7">
        <w:rPr>
          <w:rFonts w:ascii="Calibri" w:hAnsi="Calibri" w:cs="Calibri"/>
          <w:color w:val="000000"/>
        </w:rPr>
        <w:t>Inequalities also appear in</w:t>
      </w:r>
      <w:r w:rsidRPr="00D83CA7">
        <w:rPr>
          <w:rStyle w:val="apple-converted-space"/>
          <w:rFonts w:ascii="Calibri" w:eastAsiaTheme="majorEastAsia" w:hAnsi="Calibri" w:cs="Calibri"/>
          <w:color w:val="000000"/>
        </w:rPr>
        <w:t> </w:t>
      </w:r>
      <w:r w:rsidRPr="00D83CA7">
        <w:rPr>
          <w:rStyle w:val="Strong"/>
          <w:rFonts w:ascii="Calibri" w:eastAsiaTheme="majorEastAsia" w:hAnsi="Calibri" w:cs="Calibri"/>
          <w:b w:val="0"/>
          <w:bCs w:val="0"/>
          <w:color w:val="000000"/>
        </w:rPr>
        <w:t>non-playing roles</w:t>
      </w:r>
      <w:r w:rsidRPr="00D83CA7">
        <w:rPr>
          <w:rStyle w:val="apple-converted-space"/>
          <w:rFonts w:ascii="Calibri" w:eastAsiaTheme="majorEastAsia" w:hAnsi="Calibri" w:cs="Calibri"/>
          <w:color w:val="000000"/>
        </w:rPr>
        <w:t> </w:t>
      </w:r>
      <w:r w:rsidRPr="00D83CA7">
        <w:rPr>
          <w:rFonts w:ascii="Calibri" w:hAnsi="Calibri" w:cs="Calibri"/>
          <w:color w:val="000000"/>
        </w:rPr>
        <w:t>that shape local football cultures. Two UK qualitative studies document entrenched sexism and hostility towards women in officiating: Drury, Thelwell and Weston (2022) report gendered disrespect and status challenges faced by women referees and coaches, while Gubby (2024) details</w:t>
      </w:r>
      <w:r w:rsidRPr="00D83CA7">
        <w:rPr>
          <w:rStyle w:val="apple-converted-space"/>
          <w:rFonts w:ascii="Calibri" w:eastAsiaTheme="majorEastAsia" w:hAnsi="Calibri" w:cs="Calibri"/>
          <w:color w:val="000000"/>
        </w:rPr>
        <w:t> </w:t>
      </w:r>
      <w:r w:rsidRPr="00D83CA7">
        <w:rPr>
          <w:rStyle w:val="Strong"/>
          <w:rFonts w:ascii="Calibri" w:eastAsiaTheme="majorEastAsia" w:hAnsi="Calibri" w:cs="Calibri"/>
          <w:b w:val="0"/>
          <w:bCs w:val="0"/>
          <w:color w:val="000000"/>
        </w:rPr>
        <w:t>sexism, abuse and threatening behaviour</w:t>
      </w:r>
      <w:r w:rsidRPr="00D83CA7">
        <w:rPr>
          <w:rStyle w:val="apple-converted-space"/>
          <w:rFonts w:ascii="Calibri" w:eastAsiaTheme="majorEastAsia" w:hAnsi="Calibri" w:cs="Calibri"/>
          <w:color w:val="000000"/>
        </w:rPr>
        <w:t> </w:t>
      </w:r>
      <w:r w:rsidRPr="00D83CA7">
        <w:rPr>
          <w:rFonts w:ascii="Calibri" w:hAnsi="Calibri" w:cs="Calibri"/>
          <w:color w:val="000000"/>
        </w:rPr>
        <w:t>experienced by women refereeing men’s football from grassroots to semi-professional tiers</w:t>
      </w:r>
      <w:r w:rsidR="00382A21" w:rsidRPr="00D83CA7">
        <w:rPr>
          <w:rFonts w:ascii="Calibri" w:hAnsi="Calibri" w:cs="Calibri"/>
          <w:color w:val="000000"/>
        </w:rPr>
        <w:t xml:space="preserve">, </w:t>
      </w:r>
      <w:r w:rsidRPr="00D83CA7">
        <w:rPr>
          <w:rFonts w:ascii="Calibri" w:hAnsi="Calibri" w:cs="Calibri"/>
          <w:color w:val="000000"/>
        </w:rPr>
        <w:t>patterns that can undermine retention and progression (Drury, Thelwell and Weston, 2022</w:t>
      </w:r>
      <w:r w:rsidR="00382A21" w:rsidRPr="00D83CA7">
        <w:rPr>
          <w:rFonts w:ascii="Calibri" w:hAnsi="Calibri" w:cs="Calibri"/>
          <w:color w:val="000000"/>
        </w:rPr>
        <w:t>,</w:t>
      </w:r>
      <w:r w:rsidRPr="00D83CA7">
        <w:rPr>
          <w:rFonts w:ascii="Calibri" w:hAnsi="Calibri" w:cs="Calibri"/>
          <w:color w:val="000000"/>
        </w:rPr>
        <w:t xml:space="preserve"> </w:t>
      </w:r>
      <w:proofErr w:type="spellStart"/>
      <w:r w:rsidRPr="00D83CA7">
        <w:rPr>
          <w:rFonts w:ascii="Calibri" w:hAnsi="Calibri" w:cs="Calibri"/>
          <w:color w:val="000000"/>
        </w:rPr>
        <w:t>Gubby</w:t>
      </w:r>
      <w:proofErr w:type="spellEnd"/>
      <w:r w:rsidRPr="00D83CA7">
        <w:rPr>
          <w:rFonts w:ascii="Calibri" w:hAnsi="Calibri" w:cs="Calibri"/>
          <w:color w:val="000000"/>
        </w:rPr>
        <w:t>, 2024).</w:t>
      </w:r>
      <w:r w:rsidRPr="00D83CA7">
        <w:rPr>
          <w:rStyle w:val="apple-converted-space"/>
          <w:rFonts w:ascii="Calibri" w:eastAsiaTheme="majorEastAsia" w:hAnsi="Calibri" w:cs="Calibri"/>
          <w:color w:val="000000"/>
        </w:rPr>
        <w:t> </w:t>
      </w:r>
      <w:r w:rsidRPr="00D83CA7">
        <w:rPr>
          <w:rFonts w:ascii="Calibri" w:hAnsi="Calibri" w:cs="Calibri"/>
          <w:color w:val="000000"/>
        </w:rPr>
        <w:t>These findings resonate with wider analyses of the</w:t>
      </w:r>
      <w:r w:rsidRPr="00D83CA7">
        <w:rPr>
          <w:rStyle w:val="apple-converted-space"/>
          <w:rFonts w:ascii="Calibri" w:eastAsiaTheme="majorEastAsia" w:hAnsi="Calibri" w:cs="Calibri"/>
          <w:color w:val="000000"/>
        </w:rPr>
        <w:t> </w:t>
      </w:r>
      <w:r w:rsidRPr="00D83CA7">
        <w:rPr>
          <w:rStyle w:val="Strong"/>
          <w:rFonts w:ascii="Calibri" w:eastAsiaTheme="majorEastAsia" w:hAnsi="Calibri" w:cs="Calibri"/>
          <w:b w:val="0"/>
          <w:bCs w:val="0"/>
          <w:color w:val="000000"/>
        </w:rPr>
        <w:t>English football workplace</w:t>
      </w:r>
      <w:r w:rsidRPr="00D83CA7">
        <w:rPr>
          <w:rFonts w:ascii="Calibri" w:hAnsi="Calibri" w:cs="Calibri"/>
          <w:color w:val="000000"/>
        </w:rPr>
        <w:t>, where gendered norms and organisational practices continue to marginalise women’s leadership and coaching pathways (Clarkson, 2019)</w:t>
      </w:r>
      <w:r w:rsidRPr="00D83CA7">
        <w:rPr>
          <w:rFonts w:ascii="Calibri" w:hAnsi="Calibri" w:cs="Calibri"/>
          <w:color w:val="000000"/>
        </w:rPr>
        <w:t xml:space="preserve">. </w:t>
      </w:r>
    </w:p>
    <w:p w14:paraId="3DEE1A65" w14:textId="0BBD0FD5" w:rsidR="006945FD" w:rsidRPr="00D83CA7" w:rsidRDefault="006945FD" w:rsidP="006945FD">
      <w:pPr>
        <w:pStyle w:val="NormalWeb"/>
        <w:rPr>
          <w:rFonts w:ascii="Calibri" w:hAnsi="Calibri" w:cs="Calibri"/>
          <w:color w:val="000000"/>
        </w:rPr>
      </w:pPr>
      <w:r w:rsidRPr="00D83CA7">
        <w:rPr>
          <w:rFonts w:ascii="Calibri" w:hAnsi="Calibri" w:cs="Calibri"/>
          <w:color w:val="000000"/>
        </w:rPr>
        <w:t>At the level of</w:t>
      </w:r>
      <w:r w:rsidRPr="00D83CA7">
        <w:rPr>
          <w:rStyle w:val="apple-converted-space"/>
          <w:rFonts w:ascii="Calibri" w:eastAsiaTheme="majorEastAsia" w:hAnsi="Calibri" w:cs="Calibri"/>
          <w:color w:val="000000"/>
        </w:rPr>
        <w:t> </w:t>
      </w:r>
      <w:r w:rsidRPr="00D83CA7">
        <w:rPr>
          <w:rStyle w:val="Strong"/>
          <w:rFonts w:ascii="Calibri" w:eastAsiaTheme="majorEastAsia" w:hAnsi="Calibri" w:cs="Calibri"/>
          <w:b w:val="0"/>
          <w:bCs w:val="0"/>
          <w:color w:val="000000"/>
        </w:rPr>
        <w:t>player experience</w:t>
      </w:r>
      <w:r w:rsidRPr="00D83CA7">
        <w:rPr>
          <w:rFonts w:ascii="Calibri" w:hAnsi="Calibri" w:cs="Calibri"/>
          <w:color w:val="000000"/>
        </w:rPr>
        <w:t>, UK evidence highlights specific barriers that intersect with facilities and practice. Pinel et al. (2022) show that menstruation presents material and social obstacles for UK</w:t>
      </w:r>
      <w:r w:rsidRPr="00D83CA7">
        <w:rPr>
          <w:rStyle w:val="apple-converted-space"/>
          <w:rFonts w:ascii="Calibri" w:eastAsiaTheme="majorEastAsia" w:hAnsi="Calibri" w:cs="Calibri"/>
          <w:color w:val="000000"/>
        </w:rPr>
        <w:t> </w:t>
      </w:r>
      <w:r w:rsidRPr="00D83CA7">
        <w:rPr>
          <w:rStyle w:val="Strong"/>
          <w:rFonts w:ascii="Calibri" w:eastAsiaTheme="majorEastAsia" w:hAnsi="Calibri" w:cs="Calibri"/>
          <w:b w:val="0"/>
          <w:bCs w:val="0"/>
          <w:color w:val="000000"/>
        </w:rPr>
        <w:t>amateur</w:t>
      </w:r>
      <w:r w:rsidRPr="00D83CA7">
        <w:rPr>
          <w:rStyle w:val="apple-converted-space"/>
          <w:rFonts w:ascii="Calibri" w:eastAsiaTheme="majorEastAsia" w:hAnsi="Calibri" w:cs="Calibri"/>
          <w:b/>
          <w:bCs/>
          <w:color w:val="000000"/>
        </w:rPr>
        <w:t> </w:t>
      </w:r>
      <w:r w:rsidRPr="00D83CA7">
        <w:rPr>
          <w:rFonts w:ascii="Calibri" w:hAnsi="Calibri" w:cs="Calibri"/>
          <w:color w:val="000000"/>
        </w:rPr>
        <w:t>footballers—ranging from kit colour and toilet access to taboos in coach–player communication—suggesting that “neutral” provision can reproduce inequity in everyday settings (Pinel et al., 2022).</w:t>
      </w:r>
      <w:r w:rsidRPr="00D83CA7">
        <w:rPr>
          <w:rStyle w:val="apple-converted-space"/>
          <w:rFonts w:ascii="Calibri" w:eastAsiaTheme="majorEastAsia" w:hAnsi="Calibri" w:cs="Calibri"/>
          <w:color w:val="000000"/>
        </w:rPr>
        <w:t>  </w:t>
      </w:r>
      <w:r w:rsidRPr="00D83CA7">
        <w:rPr>
          <w:rFonts w:ascii="Calibri" w:hAnsi="Calibri" w:cs="Calibri"/>
          <w:color w:val="000000"/>
        </w:rPr>
        <w:t>Such micro-conditions matter because they interact with meso-level club decisions (scheduling, resourcing) and the local labour of volunteers and coaches, which, as the coaching literature suggests, often lacks the gender-competent support needed to stabilise women’s pathways (Drury, Thelwell and Weston, 2022; Clarkson, 2019).</w:t>
      </w:r>
      <w:r w:rsidRPr="00D83CA7">
        <w:rPr>
          <w:rStyle w:val="apple-converted-space"/>
          <w:rFonts w:ascii="Calibri" w:eastAsiaTheme="majorEastAsia" w:hAnsi="Calibri" w:cs="Calibri"/>
          <w:color w:val="000000"/>
        </w:rPr>
        <w:t> </w:t>
      </w:r>
      <w:r w:rsidRPr="00D83CA7">
        <w:rPr>
          <w:rFonts w:ascii="Calibri" w:hAnsi="Calibri" w:cs="Calibri"/>
          <w:color w:val="000000"/>
        </w:rPr>
        <w:t xml:space="preserve"> </w:t>
      </w:r>
    </w:p>
    <w:p w14:paraId="72777798" w14:textId="271C7422" w:rsidR="006945FD" w:rsidRPr="00D83CA7" w:rsidRDefault="006945FD" w:rsidP="006945FD">
      <w:pPr>
        <w:pStyle w:val="NormalWeb"/>
        <w:rPr>
          <w:rFonts w:ascii="Calibri" w:hAnsi="Calibri" w:cs="Calibri"/>
          <w:color w:val="000000"/>
        </w:rPr>
      </w:pPr>
      <w:r w:rsidRPr="00D83CA7">
        <w:rPr>
          <w:rFonts w:ascii="Calibri" w:hAnsi="Calibri" w:cs="Calibri"/>
          <w:color w:val="000000"/>
        </w:rPr>
        <w:lastRenderedPageBreak/>
        <w:t>Historical and social trajectories also shape present participation. UK-based scholarship on women’s physical education and early footballing experiences traces how</w:t>
      </w:r>
      <w:r w:rsidRPr="00D83CA7">
        <w:rPr>
          <w:rStyle w:val="apple-converted-space"/>
          <w:rFonts w:ascii="Calibri" w:eastAsiaTheme="majorEastAsia" w:hAnsi="Calibri" w:cs="Calibri"/>
          <w:color w:val="000000"/>
        </w:rPr>
        <w:t> </w:t>
      </w:r>
      <w:r w:rsidRPr="00D83CA7">
        <w:rPr>
          <w:rStyle w:val="Strong"/>
          <w:rFonts w:ascii="Calibri" w:eastAsiaTheme="majorEastAsia" w:hAnsi="Calibri" w:cs="Calibri"/>
          <w:b w:val="0"/>
          <w:bCs w:val="0"/>
          <w:color w:val="000000"/>
        </w:rPr>
        <w:t>gendered expectations</w:t>
      </w:r>
      <w:r w:rsidRPr="00D83CA7">
        <w:rPr>
          <w:rStyle w:val="apple-converted-space"/>
          <w:rFonts w:ascii="Calibri" w:eastAsiaTheme="majorEastAsia" w:hAnsi="Calibri" w:cs="Calibri"/>
          <w:color w:val="000000"/>
        </w:rPr>
        <w:t> </w:t>
      </w:r>
      <w:r w:rsidRPr="00D83CA7">
        <w:rPr>
          <w:rFonts w:ascii="Calibri" w:hAnsi="Calibri" w:cs="Calibri"/>
          <w:color w:val="000000"/>
        </w:rPr>
        <w:t>and hidden curricula can dampen girls’ self-identification with football, with lasting implications for later club engagement (Grice, 2023).</w:t>
      </w:r>
      <w:r w:rsidRPr="00D83CA7">
        <w:rPr>
          <w:rStyle w:val="apple-converted-space"/>
          <w:rFonts w:ascii="Calibri" w:eastAsiaTheme="majorEastAsia" w:hAnsi="Calibri" w:cs="Calibri"/>
          <w:color w:val="000000"/>
        </w:rPr>
        <w:t>  </w:t>
      </w:r>
      <w:r w:rsidRPr="00D83CA7">
        <w:rPr>
          <w:rFonts w:ascii="Calibri" w:hAnsi="Calibri" w:cs="Calibri"/>
          <w:color w:val="000000"/>
        </w:rPr>
        <w:t>This cultural inheritance helps explain why increased visibility at the elite level has not automatically translated into everyday equity at community clubs. In parallel,</w:t>
      </w:r>
      <w:r w:rsidRPr="00D83CA7">
        <w:rPr>
          <w:rStyle w:val="apple-converted-space"/>
          <w:rFonts w:ascii="Calibri" w:eastAsiaTheme="majorEastAsia" w:hAnsi="Calibri" w:cs="Calibri"/>
          <w:color w:val="000000"/>
        </w:rPr>
        <w:t> </w:t>
      </w:r>
      <w:r w:rsidRPr="00D83CA7">
        <w:rPr>
          <w:rStyle w:val="Strong"/>
          <w:rFonts w:ascii="Calibri" w:eastAsiaTheme="majorEastAsia" w:hAnsi="Calibri" w:cs="Calibri"/>
          <w:b w:val="0"/>
          <w:bCs w:val="0"/>
          <w:color w:val="000000"/>
        </w:rPr>
        <w:t>intersectional</w:t>
      </w:r>
      <w:r w:rsidRPr="00D83CA7">
        <w:rPr>
          <w:rStyle w:val="apple-converted-space"/>
          <w:rFonts w:ascii="Calibri" w:eastAsiaTheme="majorEastAsia" w:hAnsi="Calibri" w:cs="Calibri"/>
          <w:color w:val="000000"/>
        </w:rPr>
        <w:t> </w:t>
      </w:r>
      <w:r w:rsidRPr="00D83CA7">
        <w:rPr>
          <w:rFonts w:ascii="Calibri" w:hAnsi="Calibri" w:cs="Calibri"/>
          <w:color w:val="000000"/>
        </w:rPr>
        <w:t>work in England indicates that minority ethnic women may encounter layered exclusions around belonging and safety in football spaces, signalling the limits of one-size-fits-all inclusion and the need for locally tuned interventions (Welford, 2011).</w:t>
      </w:r>
      <w:r w:rsidRPr="00D83CA7">
        <w:rPr>
          <w:rStyle w:val="apple-converted-space"/>
          <w:rFonts w:ascii="Calibri" w:eastAsiaTheme="majorEastAsia" w:hAnsi="Calibri" w:cs="Calibri"/>
          <w:color w:val="000000"/>
        </w:rPr>
        <w:t> </w:t>
      </w:r>
      <w:r w:rsidRPr="00D83CA7">
        <w:rPr>
          <w:rFonts w:ascii="Calibri" w:hAnsi="Calibri" w:cs="Calibri"/>
          <w:color w:val="000000"/>
        </w:rPr>
        <w:t xml:space="preserve"> </w:t>
      </w:r>
    </w:p>
    <w:p w14:paraId="6C33F96D" w14:textId="5CC82FBF" w:rsidR="006945FD" w:rsidRPr="00D83CA7" w:rsidRDefault="006945FD" w:rsidP="006945FD">
      <w:pPr>
        <w:pStyle w:val="NormalWeb"/>
        <w:rPr>
          <w:rFonts w:ascii="Calibri" w:hAnsi="Calibri" w:cs="Calibri"/>
          <w:color w:val="000000"/>
        </w:rPr>
      </w:pPr>
      <w:r w:rsidRPr="00D83CA7">
        <w:rPr>
          <w:rFonts w:ascii="Calibri" w:hAnsi="Calibri" w:cs="Calibri"/>
          <w:color w:val="000000"/>
        </w:rPr>
        <w:t>Finally, community-sport studies add texture to the</w:t>
      </w:r>
      <w:r w:rsidRPr="00D83CA7">
        <w:rPr>
          <w:rStyle w:val="apple-converted-space"/>
          <w:rFonts w:ascii="Calibri" w:eastAsiaTheme="majorEastAsia" w:hAnsi="Calibri" w:cs="Calibri"/>
          <w:color w:val="000000"/>
        </w:rPr>
        <w:t> </w:t>
      </w:r>
      <w:r w:rsidRPr="00D83CA7">
        <w:rPr>
          <w:rStyle w:val="Strong"/>
          <w:rFonts w:ascii="Calibri" w:eastAsiaTheme="majorEastAsia" w:hAnsi="Calibri" w:cs="Calibri"/>
          <w:b w:val="0"/>
          <w:bCs w:val="0"/>
          <w:color w:val="000000"/>
        </w:rPr>
        <w:t>coaching</w:t>
      </w:r>
      <w:r w:rsidRPr="00D83CA7">
        <w:rPr>
          <w:rStyle w:val="apple-converted-space"/>
          <w:rFonts w:ascii="Calibri" w:eastAsiaTheme="majorEastAsia" w:hAnsi="Calibri" w:cs="Calibri"/>
          <w:b/>
          <w:bCs/>
          <w:color w:val="000000"/>
        </w:rPr>
        <w:t> </w:t>
      </w:r>
      <w:r w:rsidRPr="00D83CA7">
        <w:rPr>
          <w:rFonts w:ascii="Calibri" w:hAnsi="Calibri" w:cs="Calibri"/>
          <w:color w:val="000000"/>
        </w:rPr>
        <w:t xml:space="preserve">environment. Although not football-exclusive, Hoye, </w:t>
      </w:r>
      <w:proofErr w:type="spellStart"/>
      <w:r w:rsidRPr="00D83CA7">
        <w:rPr>
          <w:rFonts w:ascii="Calibri" w:hAnsi="Calibri" w:cs="Calibri"/>
          <w:color w:val="000000"/>
        </w:rPr>
        <w:t>Kappelides</w:t>
      </w:r>
      <w:proofErr w:type="spellEnd"/>
      <w:r w:rsidRPr="00D83CA7">
        <w:rPr>
          <w:rFonts w:ascii="Calibri" w:hAnsi="Calibri" w:cs="Calibri"/>
          <w:color w:val="000000"/>
        </w:rPr>
        <w:t xml:space="preserve"> and Baxter (2025) show that women coaches in community settings face thin support networks, stereotyping and constrained advancement—mechanisms that plausibly operate in grassroots football clubs and, in turn, condition the quality and stability of women’s playing opportunities (Hoye, </w:t>
      </w:r>
      <w:proofErr w:type="spellStart"/>
      <w:r w:rsidRPr="00D83CA7">
        <w:rPr>
          <w:rFonts w:ascii="Calibri" w:hAnsi="Calibri" w:cs="Calibri"/>
          <w:color w:val="000000"/>
        </w:rPr>
        <w:t>Kappelides</w:t>
      </w:r>
      <w:proofErr w:type="spellEnd"/>
      <w:r w:rsidRPr="00D83CA7">
        <w:rPr>
          <w:rFonts w:ascii="Calibri" w:hAnsi="Calibri" w:cs="Calibri"/>
          <w:color w:val="000000"/>
        </w:rPr>
        <w:t xml:space="preserve"> and Baxter, 2025).</w:t>
      </w:r>
      <w:r w:rsidRPr="00D83CA7">
        <w:rPr>
          <w:rFonts w:ascii="Calibri" w:hAnsi="Calibri" w:cs="Calibri"/>
          <w:color w:val="000000"/>
        </w:rPr>
        <w:t xml:space="preserve"> </w:t>
      </w:r>
    </w:p>
    <w:p w14:paraId="72C49726" w14:textId="4CB98631" w:rsidR="006945FD" w:rsidRPr="00D83CA7" w:rsidRDefault="006945FD" w:rsidP="00C064C4">
      <w:pPr>
        <w:pStyle w:val="NormalWeb"/>
        <w:rPr>
          <w:rFonts w:ascii="Calibri" w:hAnsi="Calibri" w:cs="Calibri"/>
          <w:color w:val="000000"/>
        </w:rPr>
      </w:pPr>
      <w:r w:rsidRPr="00D83CA7">
        <w:rPr>
          <w:rFonts w:ascii="Calibri" w:hAnsi="Calibri" w:cs="Calibri"/>
          <w:color w:val="000000"/>
        </w:rPr>
        <w:t>Overall, the UK academic literature converges on three interlocking constraints at grassroots level: (1)</w:t>
      </w:r>
      <w:r w:rsidRPr="00D83CA7">
        <w:rPr>
          <w:rStyle w:val="apple-converted-space"/>
          <w:rFonts w:ascii="Calibri" w:eastAsiaTheme="majorEastAsia" w:hAnsi="Calibri" w:cs="Calibri"/>
          <w:color w:val="000000"/>
        </w:rPr>
        <w:t> </w:t>
      </w:r>
      <w:r w:rsidRPr="00D83CA7">
        <w:rPr>
          <w:rStyle w:val="Strong"/>
          <w:rFonts w:ascii="Calibri" w:eastAsiaTheme="majorEastAsia" w:hAnsi="Calibri" w:cs="Calibri"/>
          <w:b w:val="0"/>
          <w:bCs w:val="0"/>
          <w:color w:val="000000"/>
        </w:rPr>
        <w:t>structural resources and access</w:t>
      </w:r>
      <w:r w:rsidRPr="00D83CA7">
        <w:rPr>
          <w:rStyle w:val="apple-converted-space"/>
          <w:rFonts w:ascii="Calibri" w:eastAsiaTheme="majorEastAsia" w:hAnsi="Calibri" w:cs="Calibri"/>
          <w:color w:val="000000"/>
        </w:rPr>
        <w:t> </w:t>
      </w:r>
      <w:r w:rsidRPr="00D83CA7">
        <w:rPr>
          <w:rFonts w:ascii="Calibri" w:hAnsi="Calibri" w:cs="Calibri"/>
          <w:color w:val="000000"/>
        </w:rPr>
        <w:t>(facilities, scheduling, material conditions), (2)</w:t>
      </w:r>
      <w:r w:rsidRPr="00D83CA7">
        <w:rPr>
          <w:rStyle w:val="apple-converted-space"/>
          <w:rFonts w:ascii="Calibri" w:eastAsiaTheme="majorEastAsia" w:hAnsi="Calibri" w:cs="Calibri"/>
          <w:color w:val="000000"/>
        </w:rPr>
        <w:t> </w:t>
      </w:r>
      <w:r w:rsidRPr="00D83CA7">
        <w:rPr>
          <w:rStyle w:val="Strong"/>
          <w:rFonts w:ascii="Calibri" w:eastAsiaTheme="majorEastAsia" w:hAnsi="Calibri" w:cs="Calibri"/>
          <w:b w:val="0"/>
          <w:bCs w:val="0"/>
          <w:color w:val="000000"/>
        </w:rPr>
        <w:t>gendered cultures</w:t>
      </w:r>
      <w:r w:rsidRPr="00D83CA7">
        <w:rPr>
          <w:rStyle w:val="apple-converted-space"/>
          <w:rFonts w:ascii="Calibri" w:eastAsiaTheme="majorEastAsia" w:hAnsi="Calibri" w:cs="Calibri"/>
          <w:color w:val="000000"/>
        </w:rPr>
        <w:t> </w:t>
      </w:r>
      <w:r w:rsidRPr="00D83CA7">
        <w:rPr>
          <w:rFonts w:ascii="Calibri" w:hAnsi="Calibri" w:cs="Calibri"/>
          <w:color w:val="000000"/>
        </w:rPr>
        <w:t>that normalise stereotyping and hostility in everyday practice, and (3)</w:t>
      </w:r>
      <w:r w:rsidRPr="00D83CA7">
        <w:rPr>
          <w:rStyle w:val="apple-converted-space"/>
          <w:rFonts w:ascii="Calibri" w:eastAsiaTheme="majorEastAsia" w:hAnsi="Calibri" w:cs="Calibri"/>
          <w:color w:val="000000"/>
        </w:rPr>
        <w:t> </w:t>
      </w:r>
      <w:r w:rsidRPr="00D83CA7">
        <w:rPr>
          <w:rStyle w:val="Strong"/>
          <w:rFonts w:ascii="Calibri" w:eastAsiaTheme="majorEastAsia" w:hAnsi="Calibri" w:cs="Calibri"/>
          <w:b w:val="0"/>
          <w:bCs w:val="0"/>
          <w:color w:val="000000"/>
        </w:rPr>
        <w:t>fragile workforce pathways</w:t>
      </w:r>
      <w:r w:rsidRPr="00D83CA7">
        <w:rPr>
          <w:rStyle w:val="apple-converted-space"/>
          <w:rFonts w:ascii="Calibri" w:eastAsiaTheme="majorEastAsia" w:hAnsi="Calibri" w:cs="Calibri"/>
          <w:color w:val="000000"/>
        </w:rPr>
        <w:t> </w:t>
      </w:r>
      <w:r w:rsidRPr="00D83CA7">
        <w:rPr>
          <w:rFonts w:ascii="Calibri" w:hAnsi="Calibri" w:cs="Calibri"/>
          <w:color w:val="000000"/>
        </w:rPr>
        <w:t>in coaching and officiating that limit role models and support. Addressing inequalities therefore requires</w:t>
      </w:r>
      <w:r w:rsidRPr="00D83CA7">
        <w:rPr>
          <w:rStyle w:val="apple-converted-space"/>
          <w:rFonts w:ascii="Calibri" w:eastAsiaTheme="majorEastAsia" w:hAnsi="Calibri" w:cs="Calibri"/>
          <w:color w:val="000000"/>
        </w:rPr>
        <w:t> </w:t>
      </w:r>
      <w:r w:rsidRPr="00D83CA7">
        <w:rPr>
          <w:rStyle w:val="Strong"/>
          <w:rFonts w:ascii="Calibri" w:eastAsiaTheme="majorEastAsia" w:hAnsi="Calibri" w:cs="Calibri"/>
          <w:b w:val="0"/>
          <w:bCs w:val="0"/>
          <w:color w:val="000000"/>
        </w:rPr>
        <w:t>local, club-level</w:t>
      </w:r>
      <w:r w:rsidRPr="00D83CA7">
        <w:rPr>
          <w:rStyle w:val="apple-converted-space"/>
          <w:rFonts w:ascii="Calibri" w:eastAsiaTheme="majorEastAsia" w:hAnsi="Calibri" w:cs="Calibri"/>
          <w:color w:val="000000"/>
        </w:rPr>
        <w:t> </w:t>
      </w:r>
      <w:r w:rsidRPr="00D83CA7">
        <w:rPr>
          <w:rFonts w:ascii="Calibri" w:hAnsi="Calibri" w:cs="Calibri"/>
          <w:color w:val="000000"/>
        </w:rPr>
        <w:t>changes (e.g., equitable pitch allocation, gender-competent facilities and kit policies, targeted coach development) aligned with the structural insights offered by national-scale analyses of participation (Downward and Muñiz, 2025).</w:t>
      </w:r>
      <w:r w:rsidRPr="00D83CA7">
        <w:rPr>
          <w:rStyle w:val="apple-converted-space"/>
          <w:rFonts w:ascii="Calibri" w:eastAsiaTheme="majorEastAsia" w:hAnsi="Calibri" w:cs="Calibri"/>
          <w:color w:val="000000"/>
        </w:rPr>
        <w:t> </w:t>
      </w:r>
    </w:p>
    <w:p w14:paraId="3E04D746" w14:textId="35E14C98" w:rsidR="009974DA" w:rsidRPr="00D83CA7" w:rsidRDefault="00F972F2">
      <w:pPr>
        <w:rPr>
          <w:rFonts w:ascii="Calibri" w:hAnsi="Calibri" w:cs="Calibri"/>
          <w:b/>
          <w:bCs/>
          <w:u w:val="single"/>
        </w:rPr>
      </w:pPr>
      <w:r w:rsidRPr="00D83CA7">
        <w:rPr>
          <w:rFonts w:ascii="Calibri" w:hAnsi="Calibri" w:cs="Calibri"/>
          <w:b/>
          <w:bCs/>
          <w:u w:val="single"/>
        </w:rPr>
        <w:t>Aims</w:t>
      </w:r>
    </w:p>
    <w:p w14:paraId="4795EF9C" w14:textId="77777777" w:rsidR="00510CCC" w:rsidRPr="00D83CA7" w:rsidRDefault="00510CCC" w:rsidP="00510CCC">
      <w:pPr>
        <w:pStyle w:val="NormalWeb"/>
        <w:rPr>
          <w:rFonts w:ascii="Calibri" w:hAnsi="Calibri" w:cs="Calibri"/>
          <w:color w:val="000000"/>
        </w:rPr>
      </w:pPr>
      <w:r w:rsidRPr="00D83CA7">
        <w:rPr>
          <w:rFonts w:ascii="Calibri" w:hAnsi="Calibri" w:cs="Calibri"/>
          <w:color w:val="000000"/>
        </w:rPr>
        <w:t>To explore the nature of inequalities within women’s grassroots football in the UK and examine their impact on participation and progression.</w:t>
      </w:r>
    </w:p>
    <w:p w14:paraId="5E16015F" w14:textId="77777777" w:rsidR="00510CCC" w:rsidRPr="00D83CA7" w:rsidRDefault="00510CCC" w:rsidP="00510CCC">
      <w:pPr>
        <w:pStyle w:val="NormalWeb"/>
        <w:rPr>
          <w:rFonts w:ascii="Calibri" w:hAnsi="Calibri" w:cs="Calibri"/>
          <w:b/>
          <w:bCs/>
          <w:color w:val="000000"/>
        </w:rPr>
      </w:pPr>
      <w:r w:rsidRPr="00D83CA7">
        <w:rPr>
          <w:rStyle w:val="Strong"/>
          <w:rFonts w:ascii="Calibri" w:eastAsiaTheme="majorEastAsia" w:hAnsi="Calibri" w:cs="Calibri"/>
          <w:b w:val="0"/>
          <w:bCs w:val="0"/>
          <w:color w:val="000000"/>
        </w:rPr>
        <w:t>Objectives:</w:t>
      </w:r>
    </w:p>
    <w:p w14:paraId="519575D5" w14:textId="1AC85FA7" w:rsidR="00942198" w:rsidRPr="00942198" w:rsidRDefault="00510CCC" w:rsidP="00942198">
      <w:pPr>
        <w:pStyle w:val="NormalWeb"/>
        <w:numPr>
          <w:ilvl w:val="0"/>
          <w:numId w:val="1"/>
        </w:numPr>
        <w:rPr>
          <w:rFonts w:ascii="Calibri" w:hAnsi="Calibri" w:cs="Calibri"/>
          <w:color w:val="000000"/>
        </w:rPr>
      </w:pPr>
      <w:r w:rsidRPr="00D83CA7">
        <w:rPr>
          <w:rFonts w:ascii="Calibri" w:hAnsi="Calibri" w:cs="Calibri"/>
          <w:color w:val="000000"/>
        </w:rPr>
        <w:t>To investigate the barriers faced by women and girls in grassroots football, including access to facilities, funding, and resources.</w:t>
      </w:r>
    </w:p>
    <w:p w14:paraId="0C8A5649" w14:textId="6BA6F4C8" w:rsidR="00942198" w:rsidRPr="00942198" w:rsidRDefault="00510CCC" w:rsidP="00942198">
      <w:pPr>
        <w:pStyle w:val="NormalWeb"/>
        <w:numPr>
          <w:ilvl w:val="0"/>
          <w:numId w:val="1"/>
        </w:numPr>
        <w:rPr>
          <w:rFonts w:ascii="Calibri" w:hAnsi="Calibri" w:cs="Calibri"/>
          <w:color w:val="000000"/>
        </w:rPr>
      </w:pPr>
      <w:r w:rsidRPr="00D83CA7">
        <w:rPr>
          <w:rFonts w:ascii="Calibri" w:hAnsi="Calibri" w:cs="Calibri"/>
          <w:color w:val="000000"/>
        </w:rPr>
        <w:t>To explore the lived experiences of players, coaches, and volunteers in grassroots clubs.</w:t>
      </w:r>
    </w:p>
    <w:p w14:paraId="17D81650" w14:textId="77777777" w:rsidR="00510CCC" w:rsidRPr="00D83CA7" w:rsidRDefault="00510CCC" w:rsidP="00510CCC">
      <w:pPr>
        <w:pStyle w:val="NormalWeb"/>
        <w:numPr>
          <w:ilvl w:val="0"/>
          <w:numId w:val="1"/>
        </w:numPr>
        <w:rPr>
          <w:rFonts w:ascii="Calibri" w:hAnsi="Calibri" w:cs="Calibri"/>
          <w:color w:val="000000"/>
        </w:rPr>
      </w:pPr>
      <w:r w:rsidRPr="00D83CA7">
        <w:rPr>
          <w:rFonts w:ascii="Calibri" w:hAnsi="Calibri" w:cs="Calibri"/>
          <w:color w:val="000000"/>
        </w:rPr>
        <w:t>To identify structural and cultural factors that reproduce gender inequalities in football.</w:t>
      </w:r>
    </w:p>
    <w:p w14:paraId="4DD28B59" w14:textId="3E644B0C" w:rsidR="00CF1A4F" w:rsidRPr="00D83CA7" w:rsidRDefault="00510CCC" w:rsidP="00510CCC">
      <w:pPr>
        <w:pStyle w:val="NormalWeb"/>
        <w:numPr>
          <w:ilvl w:val="0"/>
          <w:numId w:val="1"/>
        </w:numPr>
        <w:rPr>
          <w:rFonts w:ascii="Calibri" w:hAnsi="Calibri" w:cs="Calibri"/>
          <w:color w:val="000000" w:themeColor="text1"/>
        </w:rPr>
      </w:pPr>
      <w:r w:rsidRPr="00D83CA7">
        <w:rPr>
          <w:rFonts w:ascii="Calibri" w:hAnsi="Calibri" w:cs="Calibri"/>
          <w:color w:val="000000" w:themeColor="text1"/>
        </w:rPr>
        <w:t>To consider the implications of these findings for sport policy and grassroots development strategies.</w:t>
      </w:r>
    </w:p>
    <w:p w14:paraId="5247A950" w14:textId="59F1004A" w:rsidR="00DE6504" w:rsidRPr="00D83CA7" w:rsidRDefault="00362367" w:rsidP="00DE6504">
      <w:pPr>
        <w:spacing w:before="100" w:beforeAutospacing="1" w:after="100" w:afterAutospacing="1" w:line="240" w:lineRule="auto"/>
        <w:contextualSpacing/>
        <w:outlineLvl w:val="2"/>
        <w:rPr>
          <w:rFonts w:ascii="Calibri" w:eastAsia="Times New Roman" w:hAnsi="Calibri" w:cs="Calibri"/>
          <w:b/>
          <w:bCs/>
          <w:color w:val="000000"/>
          <w:kern w:val="0"/>
          <w:u w:val="single"/>
          <w:lang w:eastAsia="en-GB"/>
          <w14:ligatures w14:val="none"/>
        </w:rPr>
      </w:pPr>
      <w:r w:rsidRPr="00D83CA7">
        <w:rPr>
          <w:rFonts w:ascii="Calibri" w:eastAsia="Times New Roman" w:hAnsi="Calibri" w:cs="Calibri"/>
          <w:b/>
          <w:bCs/>
          <w:color w:val="000000"/>
          <w:kern w:val="0"/>
          <w:u w:val="single"/>
          <w:lang w:eastAsia="en-GB"/>
          <w14:ligatures w14:val="none"/>
        </w:rPr>
        <w:t xml:space="preserve">Methodology </w:t>
      </w:r>
    </w:p>
    <w:p w14:paraId="103D06A2" w14:textId="77777777" w:rsidR="009D4DB6" w:rsidRPr="00D83CA7" w:rsidRDefault="009D4DB6" w:rsidP="00DE6504">
      <w:pPr>
        <w:spacing w:before="100" w:beforeAutospacing="1" w:after="100" w:afterAutospacing="1" w:line="240" w:lineRule="auto"/>
        <w:contextualSpacing/>
        <w:outlineLvl w:val="2"/>
        <w:rPr>
          <w:rFonts w:ascii="Calibri" w:eastAsia="Times New Roman" w:hAnsi="Calibri" w:cs="Calibri"/>
          <w:b/>
          <w:bCs/>
          <w:color w:val="000000"/>
          <w:kern w:val="0"/>
          <w:u w:val="single"/>
          <w:lang w:eastAsia="en-GB"/>
          <w14:ligatures w14:val="none"/>
        </w:rPr>
      </w:pPr>
    </w:p>
    <w:p w14:paraId="330B1B17" w14:textId="77777777" w:rsidR="00DE6504" w:rsidRPr="00D83CA7" w:rsidRDefault="00DE6504" w:rsidP="00DE6504">
      <w:pPr>
        <w:spacing w:before="100" w:beforeAutospacing="1" w:after="100" w:afterAutospacing="1" w:line="240" w:lineRule="auto"/>
        <w:contextualSpacing/>
        <w:outlineLvl w:val="2"/>
        <w:rPr>
          <w:rFonts w:ascii="Calibri" w:eastAsia="Times New Roman" w:hAnsi="Calibri" w:cs="Calibri"/>
          <w:b/>
          <w:bCs/>
          <w:color w:val="000000"/>
          <w:kern w:val="0"/>
          <w:lang w:eastAsia="en-GB"/>
          <w14:ligatures w14:val="none"/>
        </w:rPr>
      </w:pPr>
      <w:r w:rsidRPr="00D83CA7">
        <w:rPr>
          <w:rFonts w:ascii="Calibri" w:eastAsia="Times New Roman" w:hAnsi="Calibri" w:cs="Calibri"/>
          <w:b/>
          <w:bCs/>
          <w:color w:val="000000"/>
          <w:kern w:val="0"/>
          <w:lang w:eastAsia="en-GB"/>
          <w14:ligatures w14:val="none"/>
        </w:rPr>
        <w:t>Design and Approach</w:t>
      </w:r>
    </w:p>
    <w:p w14:paraId="4AEC18DB" w14:textId="77777777" w:rsidR="004E567E" w:rsidRPr="00D83CA7" w:rsidRDefault="004E567E" w:rsidP="00DE6504">
      <w:pPr>
        <w:spacing w:before="100" w:beforeAutospacing="1" w:after="100" w:afterAutospacing="1" w:line="240" w:lineRule="auto"/>
        <w:contextualSpacing/>
        <w:outlineLvl w:val="2"/>
        <w:rPr>
          <w:rFonts w:ascii="Calibri" w:eastAsia="Times New Roman" w:hAnsi="Calibri" w:cs="Calibri"/>
          <w:b/>
          <w:bCs/>
          <w:color w:val="000000"/>
          <w:kern w:val="0"/>
          <w:lang w:eastAsia="en-GB"/>
          <w14:ligatures w14:val="none"/>
        </w:rPr>
      </w:pPr>
    </w:p>
    <w:p w14:paraId="0F6322E0" w14:textId="6A80C537" w:rsidR="00DE6504" w:rsidRPr="00D83CA7" w:rsidRDefault="00DE6504" w:rsidP="00E85B7D">
      <w:pPr>
        <w:spacing w:before="100" w:beforeAutospacing="1" w:after="100" w:afterAutospacing="1" w:line="240" w:lineRule="auto"/>
        <w:contextualSpacing/>
        <w:outlineLvl w:val="2"/>
        <w:rPr>
          <w:rFonts w:ascii="Calibri" w:eastAsia="Times New Roman" w:hAnsi="Calibri" w:cs="Calibri"/>
          <w:b/>
          <w:bCs/>
          <w:color w:val="000000"/>
          <w:kern w:val="0"/>
          <w:lang w:eastAsia="en-GB"/>
          <w14:ligatures w14:val="none"/>
        </w:rPr>
      </w:pPr>
      <w:r w:rsidRPr="00D83CA7">
        <w:rPr>
          <w:rFonts w:ascii="Calibri" w:eastAsia="Times New Roman" w:hAnsi="Calibri" w:cs="Calibri"/>
          <w:color w:val="000000"/>
          <w:kern w:val="0"/>
          <w:lang w:eastAsia="en-GB"/>
          <w14:ligatures w14:val="none"/>
        </w:rPr>
        <w:lastRenderedPageBreak/>
        <w:t>This study adopts a qualitative, exploratory design to examine how inequalities are encountered within women’s grassroots football. A qualitative approach is appropriate because the aim is to understand experiences, meanings, and contexts rather than to estimate prevalence (Creswell, 2018)</w:t>
      </w:r>
      <w:r w:rsidR="0092019A" w:rsidRPr="00D83CA7">
        <w:rPr>
          <w:rFonts w:ascii="Calibri" w:eastAsia="Times New Roman" w:hAnsi="Calibri" w:cs="Calibri"/>
          <w:color w:val="000000"/>
          <w:kern w:val="0"/>
          <w:lang w:eastAsia="en-GB"/>
          <w14:ligatures w14:val="none"/>
        </w:rPr>
        <w:t xml:space="preserve">. </w:t>
      </w:r>
      <w:r w:rsidR="000662A2" w:rsidRPr="00D83CA7">
        <w:rPr>
          <w:rFonts w:ascii="Calibri" w:eastAsia="Times New Roman" w:hAnsi="Calibri" w:cs="Calibri"/>
          <w:color w:val="000000"/>
          <w:kern w:val="0"/>
          <w:lang w:eastAsia="en-GB"/>
          <w14:ligatures w14:val="none"/>
        </w:rPr>
        <w:t>Qualitative</w:t>
      </w:r>
      <w:r w:rsidR="0092019A" w:rsidRPr="00D83CA7">
        <w:rPr>
          <w:rFonts w:ascii="Calibri" w:eastAsia="Times New Roman" w:hAnsi="Calibri" w:cs="Calibri"/>
          <w:color w:val="000000"/>
          <w:kern w:val="0"/>
          <w:lang w:eastAsia="en-GB"/>
          <w14:ligatures w14:val="none"/>
        </w:rPr>
        <w:t xml:space="preserve"> research allows us to </w:t>
      </w:r>
      <w:proofErr w:type="gramStart"/>
      <w:r w:rsidRPr="00D83CA7">
        <w:rPr>
          <w:rFonts w:ascii="Calibri" w:eastAsia="Times New Roman" w:hAnsi="Calibri" w:cs="Calibri"/>
          <w:color w:val="000000"/>
          <w:kern w:val="0"/>
          <w:lang w:eastAsia="en-GB"/>
          <w14:ligatures w14:val="none"/>
        </w:rPr>
        <w:t>The</w:t>
      </w:r>
      <w:proofErr w:type="gramEnd"/>
      <w:r w:rsidRPr="00D83CA7">
        <w:rPr>
          <w:rFonts w:ascii="Calibri" w:eastAsia="Times New Roman" w:hAnsi="Calibri" w:cs="Calibri"/>
          <w:color w:val="000000"/>
          <w:kern w:val="0"/>
          <w:lang w:eastAsia="en-GB"/>
          <w14:ligatures w14:val="none"/>
        </w:rPr>
        <w:t xml:space="preserve"> study </w:t>
      </w:r>
      <w:r w:rsidR="0041018A" w:rsidRPr="00D83CA7">
        <w:rPr>
          <w:rFonts w:ascii="Calibri" w:eastAsia="Times New Roman" w:hAnsi="Calibri" w:cs="Calibri"/>
          <w:color w:val="000000"/>
          <w:kern w:val="0"/>
          <w:lang w:eastAsia="en-GB"/>
          <w14:ligatures w14:val="none"/>
        </w:rPr>
        <w:t xml:space="preserve">aims to </w:t>
      </w:r>
      <w:r w:rsidR="000662A2" w:rsidRPr="00D83CA7">
        <w:rPr>
          <w:rFonts w:ascii="Calibri" w:eastAsia="Times New Roman" w:hAnsi="Calibri" w:cs="Calibri"/>
          <w:color w:val="000000"/>
          <w:kern w:val="0"/>
          <w:lang w:eastAsia="en-GB"/>
          <w14:ligatures w14:val="none"/>
        </w:rPr>
        <w:t>utilise</w:t>
      </w:r>
      <w:r w:rsidR="0041018A" w:rsidRPr="00D83CA7">
        <w:rPr>
          <w:rFonts w:ascii="Calibri" w:eastAsia="Times New Roman" w:hAnsi="Calibri" w:cs="Calibri"/>
          <w:color w:val="000000"/>
          <w:kern w:val="0"/>
          <w:lang w:eastAsia="en-GB"/>
          <w14:ligatures w14:val="none"/>
        </w:rPr>
        <w:t xml:space="preserve"> </w:t>
      </w:r>
      <w:proofErr w:type="gramStart"/>
      <w:r w:rsidR="0041018A" w:rsidRPr="00D83CA7">
        <w:rPr>
          <w:rFonts w:ascii="Calibri" w:eastAsia="Times New Roman" w:hAnsi="Calibri" w:cs="Calibri"/>
          <w:color w:val="000000"/>
          <w:kern w:val="0"/>
          <w:lang w:eastAsia="en-GB"/>
          <w14:ligatures w14:val="none"/>
        </w:rPr>
        <w:t>a</w:t>
      </w:r>
      <w:proofErr w:type="gramEnd"/>
      <w:r w:rsidRPr="00D83CA7">
        <w:rPr>
          <w:rFonts w:ascii="Calibri" w:eastAsia="Times New Roman" w:hAnsi="Calibri" w:cs="Calibri"/>
          <w:color w:val="000000"/>
          <w:kern w:val="0"/>
          <w:lang w:eastAsia="en-GB"/>
          <w14:ligatures w14:val="none"/>
        </w:rPr>
        <w:t> interpretivist </w:t>
      </w:r>
      <w:r w:rsidR="0041018A" w:rsidRPr="00D83CA7">
        <w:rPr>
          <w:rFonts w:ascii="Calibri" w:eastAsia="Times New Roman" w:hAnsi="Calibri" w:cs="Calibri"/>
          <w:color w:val="000000"/>
          <w:kern w:val="0"/>
          <w:lang w:eastAsia="en-GB"/>
          <w14:ligatures w14:val="none"/>
        </w:rPr>
        <w:t>approach,</w:t>
      </w:r>
      <w:r w:rsidR="008763F5" w:rsidRPr="00D83CA7">
        <w:rPr>
          <w:rFonts w:ascii="Calibri" w:eastAsia="Times New Roman" w:hAnsi="Calibri" w:cs="Calibri"/>
          <w:color w:val="000000"/>
          <w:kern w:val="0"/>
          <w:lang w:eastAsia="en-GB"/>
          <w14:ligatures w14:val="none"/>
        </w:rPr>
        <w:t xml:space="preserve"> to understand the meaning and experiences </w:t>
      </w:r>
      <w:r w:rsidR="000662A2" w:rsidRPr="00D83CA7">
        <w:rPr>
          <w:rFonts w:ascii="Calibri" w:eastAsia="Times New Roman" w:hAnsi="Calibri" w:cs="Calibri"/>
          <w:color w:val="000000"/>
          <w:kern w:val="0"/>
          <w:lang w:eastAsia="en-GB"/>
          <w14:ligatures w14:val="none"/>
        </w:rPr>
        <w:t>of individuals</w:t>
      </w:r>
      <w:r w:rsidRPr="00D83CA7">
        <w:rPr>
          <w:rFonts w:ascii="Calibri" w:eastAsia="Times New Roman" w:hAnsi="Calibri" w:cs="Calibri"/>
          <w:color w:val="000000"/>
          <w:kern w:val="0"/>
          <w:lang w:eastAsia="en-GB"/>
          <w14:ligatures w14:val="none"/>
        </w:rPr>
        <w:t xml:space="preserve"> shaped by their social environments</w:t>
      </w:r>
      <w:r w:rsidR="009436B5" w:rsidRPr="00D83CA7">
        <w:rPr>
          <w:rFonts w:ascii="Calibri" w:eastAsia="Times New Roman" w:hAnsi="Calibri" w:cs="Calibri"/>
          <w:color w:val="000000"/>
          <w:kern w:val="0"/>
          <w:lang w:eastAsia="en-GB"/>
          <w14:ligatures w14:val="none"/>
        </w:rPr>
        <w:t>.</w:t>
      </w:r>
      <w:r w:rsidR="007D413B" w:rsidRPr="00D83CA7">
        <w:rPr>
          <w:rFonts w:ascii="Calibri" w:eastAsia="Times New Roman" w:hAnsi="Calibri" w:cs="Calibri"/>
          <w:color w:val="000000"/>
          <w:kern w:val="0"/>
          <w:lang w:eastAsia="en-GB"/>
          <w14:ligatures w14:val="none"/>
        </w:rPr>
        <w:t xml:space="preserve"> This approach allows us to </w:t>
      </w:r>
      <w:r w:rsidR="00307AA6" w:rsidRPr="00D83CA7">
        <w:rPr>
          <w:rFonts w:ascii="Calibri" w:eastAsia="Times New Roman" w:hAnsi="Calibri" w:cs="Calibri"/>
          <w:color w:val="000000"/>
          <w:kern w:val="0"/>
          <w:lang w:eastAsia="en-GB"/>
          <w14:ligatures w14:val="none"/>
        </w:rPr>
        <w:t>ascertain</w:t>
      </w:r>
      <w:r w:rsidR="00E85B7D" w:rsidRPr="00D83CA7">
        <w:rPr>
          <w:rFonts w:ascii="Calibri" w:eastAsia="Times New Roman" w:hAnsi="Calibri" w:cs="Calibri"/>
          <w:color w:val="000000"/>
          <w:kern w:val="0"/>
          <w:lang w:eastAsia="en-GB"/>
          <w14:ligatures w14:val="none"/>
        </w:rPr>
        <w:t xml:space="preserve"> </w:t>
      </w:r>
      <w:r w:rsidR="00E85B7D" w:rsidRPr="00D83CA7">
        <w:rPr>
          <w:rFonts w:ascii="Calibri" w:hAnsi="Calibri" w:cs="Calibri"/>
          <w:color w:val="000000"/>
        </w:rPr>
        <w:t>initialised experiences of</w:t>
      </w:r>
      <w:r w:rsidR="00F448A6" w:rsidRPr="00D83CA7">
        <w:rPr>
          <w:rFonts w:ascii="Calibri" w:hAnsi="Calibri" w:cs="Calibri"/>
          <w:color w:val="000000"/>
        </w:rPr>
        <w:t xml:space="preserve"> </w:t>
      </w:r>
      <w:r w:rsidR="007D413B" w:rsidRPr="00D83CA7">
        <w:rPr>
          <w:rFonts w:ascii="Calibri" w:hAnsi="Calibri" w:cs="Calibri"/>
          <w:color w:val="000000"/>
        </w:rPr>
        <w:t>inequality</w:t>
      </w:r>
      <w:r w:rsidR="00E85B7D" w:rsidRPr="00D83CA7">
        <w:rPr>
          <w:rFonts w:ascii="Calibri" w:hAnsi="Calibri" w:cs="Calibri"/>
          <w:color w:val="000000"/>
        </w:rPr>
        <w:t xml:space="preserve"> and how they are</w:t>
      </w:r>
      <w:r w:rsidR="007D413B" w:rsidRPr="00D83CA7">
        <w:rPr>
          <w:rFonts w:ascii="Calibri" w:hAnsi="Calibri" w:cs="Calibri"/>
          <w:color w:val="000000"/>
        </w:rPr>
        <w:t xml:space="preserve"> shaped by their</w:t>
      </w:r>
      <w:r w:rsidR="007D413B" w:rsidRPr="00D83CA7">
        <w:rPr>
          <w:rStyle w:val="apple-converted-space"/>
          <w:rFonts w:ascii="Calibri" w:hAnsi="Calibri" w:cs="Calibri"/>
          <w:color w:val="000000"/>
        </w:rPr>
        <w:t> </w:t>
      </w:r>
      <w:r w:rsidR="007D413B" w:rsidRPr="00D83CA7">
        <w:rPr>
          <w:rStyle w:val="Strong"/>
          <w:rFonts w:ascii="Calibri" w:hAnsi="Calibri" w:cs="Calibri"/>
          <w:b w:val="0"/>
          <w:bCs w:val="0"/>
          <w:color w:val="000000"/>
        </w:rPr>
        <w:t>social identities, interactions, and cultural</w:t>
      </w:r>
      <w:r w:rsidR="007D413B" w:rsidRPr="00D83CA7">
        <w:rPr>
          <w:rStyle w:val="Strong"/>
          <w:rFonts w:ascii="Calibri" w:hAnsi="Calibri" w:cs="Calibri"/>
          <w:color w:val="000000"/>
        </w:rPr>
        <w:t xml:space="preserve"> </w:t>
      </w:r>
      <w:r w:rsidR="007D413B" w:rsidRPr="00D83CA7">
        <w:rPr>
          <w:rStyle w:val="Strong"/>
          <w:rFonts w:ascii="Calibri" w:hAnsi="Calibri" w:cs="Calibri"/>
          <w:b w:val="0"/>
          <w:bCs w:val="0"/>
          <w:color w:val="000000"/>
        </w:rPr>
        <w:t>contexts</w:t>
      </w:r>
      <w:r w:rsidR="00E85B7D" w:rsidRPr="00D83CA7">
        <w:rPr>
          <w:rFonts w:ascii="Calibri" w:hAnsi="Calibri" w:cs="Calibri"/>
          <w:color w:val="000000"/>
        </w:rPr>
        <w:t xml:space="preserve"> within</w:t>
      </w:r>
      <w:r w:rsidR="007D413B" w:rsidRPr="00D83CA7">
        <w:rPr>
          <w:rFonts w:ascii="Calibri" w:hAnsi="Calibri" w:cs="Calibri"/>
          <w:color w:val="000000"/>
        </w:rPr>
        <w:t xml:space="preserve"> grassroots football. </w:t>
      </w:r>
    </w:p>
    <w:p w14:paraId="163D71C7" w14:textId="77777777" w:rsidR="00BE02E6" w:rsidRPr="00D83CA7" w:rsidRDefault="00BE02E6" w:rsidP="00DE6504">
      <w:pPr>
        <w:spacing w:before="100" w:beforeAutospacing="1" w:after="100" w:afterAutospacing="1" w:line="240" w:lineRule="auto"/>
        <w:contextualSpacing/>
        <w:outlineLvl w:val="2"/>
        <w:rPr>
          <w:rFonts w:ascii="Calibri" w:eastAsia="Times New Roman" w:hAnsi="Calibri" w:cs="Calibri"/>
          <w:b/>
          <w:bCs/>
          <w:color w:val="000000"/>
          <w:kern w:val="0"/>
          <w:lang w:eastAsia="en-GB"/>
          <w14:ligatures w14:val="none"/>
        </w:rPr>
      </w:pPr>
    </w:p>
    <w:p w14:paraId="5FDDAE2F" w14:textId="77987A9C" w:rsidR="00DE6504" w:rsidRPr="00D83CA7" w:rsidRDefault="00DE6504" w:rsidP="00DE6504">
      <w:pPr>
        <w:spacing w:before="100" w:beforeAutospacing="1" w:after="100" w:afterAutospacing="1" w:line="240" w:lineRule="auto"/>
        <w:contextualSpacing/>
        <w:rPr>
          <w:rFonts w:ascii="Calibri" w:eastAsia="Times New Roman" w:hAnsi="Calibri" w:cs="Calibri"/>
          <w:color w:val="000000"/>
          <w:kern w:val="0"/>
          <w:lang w:eastAsia="en-GB"/>
          <w14:ligatures w14:val="none"/>
        </w:rPr>
      </w:pPr>
      <w:r w:rsidRPr="00D83CA7">
        <w:rPr>
          <w:rFonts w:ascii="Calibri" w:eastAsia="Times New Roman" w:hAnsi="Calibri" w:cs="Calibri"/>
          <w:color w:val="000000"/>
          <w:kern w:val="0"/>
          <w:lang w:eastAsia="en-GB"/>
          <w14:ligatures w14:val="none"/>
        </w:rPr>
        <w:t>Participants will be recruited from women’s grassroots football</w:t>
      </w:r>
      <w:r w:rsidR="00E16E4B" w:rsidRPr="00D83CA7">
        <w:rPr>
          <w:rFonts w:ascii="Calibri" w:eastAsia="Times New Roman" w:hAnsi="Calibri" w:cs="Calibri"/>
          <w:color w:val="000000"/>
          <w:kern w:val="0"/>
          <w:lang w:eastAsia="en-GB"/>
          <w14:ligatures w14:val="none"/>
        </w:rPr>
        <w:t xml:space="preserve"> club, </w:t>
      </w:r>
      <w:r w:rsidR="003052B3" w:rsidRPr="00D83CA7">
        <w:rPr>
          <w:rFonts w:ascii="Calibri" w:eastAsia="Times New Roman" w:hAnsi="Calibri" w:cs="Calibri"/>
          <w:color w:val="000000"/>
          <w:kern w:val="0"/>
          <w:lang w:eastAsia="en-GB"/>
          <w14:ligatures w14:val="none"/>
        </w:rPr>
        <w:t>Carmarthen</w:t>
      </w:r>
      <w:r w:rsidR="00E16E4B" w:rsidRPr="00D83CA7">
        <w:rPr>
          <w:rFonts w:ascii="Calibri" w:eastAsia="Times New Roman" w:hAnsi="Calibri" w:cs="Calibri"/>
          <w:color w:val="000000"/>
          <w:kern w:val="0"/>
          <w:lang w:eastAsia="en-GB"/>
          <w14:ligatures w14:val="none"/>
        </w:rPr>
        <w:t xml:space="preserve"> Town FC</w:t>
      </w:r>
      <w:r w:rsidRPr="00D83CA7">
        <w:rPr>
          <w:rFonts w:ascii="Calibri" w:eastAsia="Times New Roman" w:hAnsi="Calibri" w:cs="Calibri"/>
          <w:color w:val="000000"/>
          <w:kern w:val="0"/>
          <w:lang w:eastAsia="en-GB"/>
          <w14:ligatures w14:val="none"/>
        </w:rPr>
        <w:t>. The target sample is 6–8 participants, comprising female players (16+), coaches, and club volunteers. This small, information-rich sample is justified for an in-depth study focused on a single context; the goal is analytic insight, not statistical generalisation. Purposive sampling (</w:t>
      </w:r>
      <w:proofErr w:type="spellStart"/>
      <w:r w:rsidRPr="00D83CA7">
        <w:rPr>
          <w:rFonts w:ascii="Calibri" w:eastAsia="Times New Roman" w:hAnsi="Calibri" w:cs="Calibri"/>
          <w:color w:val="000000"/>
          <w:kern w:val="0"/>
          <w:lang w:eastAsia="en-GB"/>
          <w14:ligatures w14:val="none"/>
        </w:rPr>
        <w:t>Etikan</w:t>
      </w:r>
      <w:proofErr w:type="spellEnd"/>
      <w:r w:rsidRPr="00D83CA7">
        <w:rPr>
          <w:rFonts w:ascii="Calibri" w:eastAsia="Times New Roman" w:hAnsi="Calibri" w:cs="Calibri"/>
          <w:color w:val="000000"/>
          <w:kern w:val="0"/>
          <w:lang w:eastAsia="en-GB"/>
          <w14:ligatures w14:val="none"/>
        </w:rPr>
        <w:t xml:space="preserve"> et al., 2016) will be used to ensure variation in role, years of involvement, and club size. </w:t>
      </w:r>
      <w:r w:rsidR="009D4DB6" w:rsidRPr="00D83CA7">
        <w:rPr>
          <w:rFonts w:ascii="Calibri" w:eastAsia="Times New Roman" w:hAnsi="Calibri" w:cs="Calibri"/>
          <w:color w:val="000000"/>
          <w:kern w:val="0"/>
          <w:lang w:eastAsia="en-GB"/>
          <w14:ligatures w14:val="none"/>
        </w:rPr>
        <w:t xml:space="preserve"> </w:t>
      </w:r>
      <w:r w:rsidRPr="00D83CA7">
        <w:rPr>
          <w:rFonts w:ascii="Calibri" w:eastAsia="Times New Roman" w:hAnsi="Calibri" w:cs="Calibri"/>
          <w:color w:val="000000"/>
          <w:kern w:val="0"/>
          <w:lang w:eastAsia="en-GB"/>
          <w14:ligatures w14:val="none"/>
        </w:rPr>
        <w:t xml:space="preserve">Clubs will be </w:t>
      </w:r>
      <w:r w:rsidR="00E16E4B" w:rsidRPr="00D83CA7">
        <w:rPr>
          <w:rFonts w:ascii="Calibri" w:eastAsia="Times New Roman" w:hAnsi="Calibri" w:cs="Calibri"/>
          <w:color w:val="000000"/>
          <w:kern w:val="0"/>
          <w:lang w:eastAsia="en-GB"/>
          <w14:ligatures w14:val="none"/>
        </w:rPr>
        <w:t>approached via email with a study pack</w:t>
      </w:r>
      <w:r w:rsidR="00E16E4B" w:rsidRPr="00D83CA7">
        <w:rPr>
          <w:rFonts w:ascii="Calibri" w:eastAsia="Times New Roman" w:hAnsi="Calibri" w:cs="Calibri"/>
          <w:color w:val="000000"/>
          <w:kern w:val="0"/>
          <w:lang w:eastAsia="en-GB"/>
          <w14:ligatures w14:val="none"/>
        </w:rPr>
        <w:t xml:space="preserve"> and </w:t>
      </w:r>
      <w:r w:rsidRPr="00D83CA7">
        <w:rPr>
          <w:rFonts w:ascii="Calibri" w:eastAsia="Times New Roman" w:hAnsi="Calibri" w:cs="Calibri"/>
          <w:color w:val="000000"/>
          <w:kern w:val="0"/>
          <w:lang w:eastAsia="en-GB"/>
          <w14:ligatures w14:val="none"/>
        </w:rPr>
        <w:t>asked to distribute the invitation to eligible members. Interested individuals will contact the researcher directly to avoid any perception of obligation. For participants aged 16–17, the university’s ethics guidance will be followed; age-appropriate consent and parent/guardian information will be provided where required.</w:t>
      </w:r>
    </w:p>
    <w:p w14:paraId="4E242E22" w14:textId="77777777" w:rsidR="00DE6504" w:rsidRPr="00D83CA7" w:rsidRDefault="00DE6504" w:rsidP="00DE6504">
      <w:pPr>
        <w:spacing w:before="100" w:beforeAutospacing="1" w:after="100" w:afterAutospacing="1" w:line="240" w:lineRule="auto"/>
        <w:contextualSpacing/>
        <w:rPr>
          <w:rFonts w:ascii="Calibri" w:eastAsia="Times New Roman" w:hAnsi="Calibri" w:cs="Calibri"/>
          <w:color w:val="000000"/>
          <w:kern w:val="0"/>
          <w:lang w:eastAsia="en-GB"/>
          <w14:ligatures w14:val="none"/>
        </w:rPr>
      </w:pPr>
    </w:p>
    <w:p w14:paraId="45E00F43" w14:textId="267489F8" w:rsidR="00DE6504" w:rsidRDefault="00DE6504" w:rsidP="00DE6504">
      <w:pPr>
        <w:spacing w:before="100" w:beforeAutospacing="1" w:after="100" w:afterAutospacing="1" w:line="240" w:lineRule="auto"/>
        <w:contextualSpacing/>
        <w:rPr>
          <w:rFonts w:ascii="Calibri" w:eastAsia="Times New Roman" w:hAnsi="Calibri" w:cs="Calibri"/>
          <w:b/>
          <w:bCs/>
          <w:color w:val="000000"/>
          <w:kern w:val="0"/>
          <w:lang w:eastAsia="en-GB"/>
          <w14:ligatures w14:val="none"/>
        </w:rPr>
      </w:pPr>
      <w:r w:rsidRPr="00D83CA7">
        <w:rPr>
          <w:rFonts w:ascii="Calibri" w:eastAsia="Times New Roman" w:hAnsi="Calibri" w:cs="Calibri"/>
          <w:b/>
          <w:bCs/>
          <w:color w:val="000000"/>
          <w:kern w:val="0"/>
          <w:lang w:eastAsia="en-GB"/>
          <w14:ligatures w14:val="none"/>
        </w:rPr>
        <w:t>Data Collection</w:t>
      </w:r>
    </w:p>
    <w:p w14:paraId="6A148C60" w14:textId="77777777" w:rsidR="00942198" w:rsidRPr="00D83CA7" w:rsidRDefault="00942198" w:rsidP="00DE6504">
      <w:pPr>
        <w:spacing w:before="100" w:beforeAutospacing="1" w:after="100" w:afterAutospacing="1" w:line="240" w:lineRule="auto"/>
        <w:contextualSpacing/>
        <w:rPr>
          <w:rFonts w:ascii="Calibri" w:eastAsia="Times New Roman" w:hAnsi="Calibri" w:cs="Calibri"/>
          <w:color w:val="000000"/>
          <w:kern w:val="0"/>
          <w:lang w:eastAsia="en-GB"/>
          <w14:ligatures w14:val="none"/>
        </w:rPr>
      </w:pPr>
    </w:p>
    <w:p w14:paraId="643182D7" w14:textId="7DE9D43D" w:rsidR="00DE6504" w:rsidRPr="00D83CA7" w:rsidRDefault="00DE6504" w:rsidP="00DE6504">
      <w:pPr>
        <w:spacing w:before="100" w:beforeAutospacing="1" w:after="100" w:afterAutospacing="1" w:line="240" w:lineRule="auto"/>
        <w:contextualSpacing/>
        <w:rPr>
          <w:rFonts w:ascii="Calibri" w:eastAsia="Times New Roman" w:hAnsi="Calibri" w:cs="Calibri"/>
          <w:color w:val="000000"/>
          <w:kern w:val="0"/>
          <w:lang w:eastAsia="en-GB"/>
          <w14:ligatures w14:val="none"/>
        </w:rPr>
      </w:pPr>
      <w:r w:rsidRPr="00D83CA7">
        <w:rPr>
          <w:rFonts w:ascii="Calibri" w:eastAsia="Times New Roman" w:hAnsi="Calibri" w:cs="Calibri"/>
          <w:color w:val="000000"/>
          <w:kern w:val="0"/>
          <w:lang w:eastAsia="en-GB"/>
          <w14:ligatures w14:val="none"/>
        </w:rPr>
        <w:t xml:space="preserve">Data will be generated through semi-structured interviews lasting 30–45 minutes, conducted face-to-face at a convenient, private location or online to widen access and reduce travel burden. With permission, interviews will be audio-recorded and supported by brief field notes. </w:t>
      </w:r>
      <w:r w:rsidR="001B2FDC" w:rsidRPr="00D83CA7">
        <w:rPr>
          <w:rFonts w:ascii="Calibri" w:eastAsia="Times New Roman" w:hAnsi="Calibri" w:cs="Calibri"/>
          <w:color w:val="000000"/>
          <w:kern w:val="0"/>
          <w:lang w:eastAsia="en-GB"/>
          <w14:ligatures w14:val="none"/>
        </w:rPr>
        <w:t xml:space="preserve"> </w:t>
      </w:r>
      <w:r w:rsidRPr="00D83CA7">
        <w:rPr>
          <w:rFonts w:ascii="Calibri" w:eastAsia="Times New Roman" w:hAnsi="Calibri" w:cs="Calibri"/>
          <w:color w:val="000000"/>
          <w:kern w:val="0"/>
          <w:lang w:eastAsia="en-GB"/>
          <w14:ligatures w14:val="none"/>
        </w:rPr>
        <w:t>An interview guide will cover: (a) access to and quality of facilities (pitches, training times), (b) financial and material resources, (c) coaching and organisational support, and (d) cultural climate </w:t>
      </w:r>
      <w:r w:rsidR="007E3899" w:rsidRPr="00D83CA7">
        <w:rPr>
          <w:rFonts w:ascii="Calibri" w:eastAsia="Times New Roman" w:hAnsi="Calibri" w:cs="Calibri"/>
          <w:color w:val="000000"/>
          <w:kern w:val="0"/>
          <w:lang w:eastAsia="en-GB"/>
          <w14:ligatures w14:val="none"/>
        </w:rPr>
        <w:t xml:space="preserve">such as </w:t>
      </w:r>
      <w:r w:rsidRPr="00D83CA7">
        <w:rPr>
          <w:rFonts w:ascii="Calibri" w:eastAsia="Times New Roman" w:hAnsi="Calibri" w:cs="Calibri"/>
          <w:color w:val="000000"/>
          <w:kern w:val="0"/>
          <w:lang w:eastAsia="en-GB"/>
          <w14:ligatures w14:val="none"/>
        </w:rPr>
        <w:t>stereotypes, recognition</w:t>
      </w:r>
      <w:r w:rsidR="007E3899" w:rsidRPr="00D83CA7">
        <w:rPr>
          <w:rFonts w:ascii="Calibri" w:eastAsia="Times New Roman" w:hAnsi="Calibri" w:cs="Calibri"/>
          <w:color w:val="000000"/>
          <w:kern w:val="0"/>
          <w:lang w:eastAsia="en-GB"/>
          <w14:ligatures w14:val="none"/>
        </w:rPr>
        <w:t xml:space="preserve"> and </w:t>
      </w:r>
      <w:r w:rsidRPr="00D83CA7">
        <w:rPr>
          <w:rFonts w:ascii="Calibri" w:eastAsia="Times New Roman" w:hAnsi="Calibri" w:cs="Calibri"/>
          <w:color w:val="000000"/>
          <w:kern w:val="0"/>
          <w:lang w:eastAsia="en-GB"/>
          <w14:ligatures w14:val="none"/>
        </w:rPr>
        <w:t>respect. The guide will be piloted with one participant (data not analysed) to refine wording and flow. Interviews will remain flexible, allowing probes and follow-ups to elicit concrete examples</w:t>
      </w:r>
      <w:r w:rsidR="00530AD6" w:rsidRPr="00D83CA7">
        <w:rPr>
          <w:rFonts w:ascii="Calibri" w:eastAsia="Times New Roman" w:hAnsi="Calibri" w:cs="Calibri"/>
          <w:color w:val="000000"/>
          <w:kern w:val="0"/>
          <w:lang w:eastAsia="en-GB"/>
          <w14:ligatures w14:val="none"/>
        </w:rPr>
        <w:t xml:space="preserve">. </w:t>
      </w:r>
      <w:r w:rsidRPr="00D83CA7">
        <w:rPr>
          <w:rFonts w:ascii="Calibri" w:eastAsia="Times New Roman" w:hAnsi="Calibri" w:cs="Calibri"/>
          <w:color w:val="000000"/>
          <w:kern w:val="0"/>
          <w:lang w:eastAsia="en-GB"/>
          <w14:ligatures w14:val="none"/>
        </w:rPr>
        <w:t>Recordings will be transcribed verbatim by the researcher</w:t>
      </w:r>
      <w:r w:rsidR="007E3899" w:rsidRPr="00D83CA7">
        <w:rPr>
          <w:rFonts w:ascii="Calibri" w:eastAsia="Times New Roman" w:hAnsi="Calibri" w:cs="Calibri"/>
          <w:color w:val="000000"/>
          <w:kern w:val="0"/>
          <w:lang w:eastAsia="en-GB"/>
          <w14:ligatures w14:val="none"/>
        </w:rPr>
        <w:t xml:space="preserve">. </w:t>
      </w:r>
      <w:r w:rsidRPr="00D83CA7">
        <w:rPr>
          <w:rFonts w:ascii="Calibri" w:eastAsia="Times New Roman" w:hAnsi="Calibri" w:cs="Calibri"/>
          <w:color w:val="000000"/>
          <w:kern w:val="0"/>
          <w:lang w:eastAsia="en-GB"/>
          <w14:ligatures w14:val="none"/>
        </w:rPr>
        <w:t>Transcripts will be </w:t>
      </w:r>
      <w:proofErr w:type="gramStart"/>
      <w:r w:rsidR="0030637A" w:rsidRPr="00D83CA7">
        <w:rPr>
          <w:rFonts w:ascii="Calibri" w:eastAsia="Times New Roman" w:hAnsi="Calibri" w:cs="Calibri"/>
          <w:color w:val="000000"/>
          <w:kern w:val="0"/>
          <w:lang w:eastAsia="en-GB"/>
          <w14:ligatures w14:val="none"/>
        </w:rPr>
        <w:t>anonymised,</w:t>
      </w:r>
      <w:proofErr w:type="gramEnd"/>
      <w:r w:rsidR="0030637A" w:rsidRPr="00D83CA7">
        <w:rPr>
          <w:rFonts w:ascii="Calibri" w:eastAsia="Times New Roman" w:hAnsi="Calibri" w:cs="Calibri"/>
          <w:color w:val="000000"/>
          <w:kern w:val="0"/>
          <w:lang w:eastAsia="en-GB"/>
          <w14:ligatures w14:val="none"/>
        </w:rPr>
        <w:t xml:space="preserve"> </w:t>
      </w:r>
      <w:r w:rsidRPr="00D83CA7">
        <w:rPr>
          <w:rFonts w:ascii="Calibri" w:eastAsia="Times New Roman" w:hAnsi="Calibri" w:cs="Calibri"/>
          <w:color w:val="000000"/>
          <w:kern w:val="0"/>
          <w:lang w:eastAsia="en-GB"/>
          <w14:ligatures w14:val="none"/>
        </w:rPr>
        <w:t>any identifying details will be removed or masked. Data will be stored on encrypted university drives, accessible only to the researcher/supervisor, and retained/deleted in line with institutional policy</w:t>
      </w:r>
      <w:r w:rsidR="007E3899" w:rsidRPr="00D83CA7">
        <w:rPr>
          <w:rFonts w:ascii="Calibri" w:eastAsia="Times New Roman" w:hAnsi="Calibri" w:cs="Calibri"/>
          <w:color w:val="000000"/>
          <w:kern w:val="0"/>
          <w:lang w:eastAsia="en-GB"/>
          <w14:ligatures w14:val="none"/>
        </w:rPr>
        <w:t>.</w:t>
      </w:r>
    </w:p>
    <w:p w14:paraId="77F4E8BD" w14:textId="77777777" w:rsidR="001B2FDC" w:rsidRPr="00D83CA7" w:rsidRDefault="001B2FDC" w:rsidP="00DE6504">
      <w:pPr>
        <w:spacing w:before="100" w:beforeAutospacing="1" w:after="100" w:afterAutospacing="1" w:line="240" w:lineRule="auto"/>
        <w:contextualSpacing/>
        <w:rPr>
          <w:rFonts w:ascii="Calibri" w:eastAsia="Times New Roman" w:hAnsi="Calibri" w:cs="Calibri"/>
          <w:color w:val="000000"/>
          <w:kern w:val="0"/>
          <w:lang w:eastAsia="en-GB"/>
          <w14:ligatures w14:val="none"/>
        </w:rPr>
      </w:pPr>
    </w:p>
    <w:p w14:paraId="73308104" w14:textId="77777777" w:rsidR="001B2FDC" w:rsidRPr="00D83CA7" w:rsidRDefault="001B2FDC" w:rsidP="001B2FDC">
      <w:pPr>
        <w:spacing w:before="100" w:beforeAutospacing="1" w:after="100" w:afterAutospacing="1" w:line="240" w:lineRule="auto"/>
        <w:contextualSpacing/>
        <w:outlineLvl w:val="2"/>
        <w:rPr>
          <w:rFonts w:ascii="Calibri" w:eastAsia="Times New Roman" w:hAnsi="Calibri" w:cs="Calibri"/>
          <w:color w:val="000000"/>
          <w:kern w:val="0"/>
          <w:lang w:eastAsia="en-GB"/>
          <w14:ligatures w14:val="none"/>
        </w:rPr>
      </w:pPr>
      <w:r w:rsidRPr="00D83CA7">
        <w:rPr>
          <w:rFonts w:ascii="Calibri" w:eastAsia="Times New Roman" w:hAnsi="Calibri" w:cs="Calibri"/>
          <w:color w:val="000000"/>
          <w:kern w:val="0"/>
          <w:lang w:eastAsia="en-GB"/>
          <w14:ligatures w14:val="none"/>
        </w:rPr>
        <w:t>Given the interpretive nature of qualitative work, the researcher will note their positionality (e.g., prior involvement in football, gender, student status) and reflect on how this may shape rapport, questioning, and interpretation. Reflexive notes will be integrated during coding and theme construction.</w:t>
      </w:r>
    </w:p>
    <w:p w14:paraId="00B5BA51" w14:textId="77777777" w:rsidR="00382A21" w:rsidRPr="00D83CA7" w:rsidRDefault="00382A21" w:rsidP="00DE6504">
      <w:pPr>
        <w:spacing w:before="100" w:beforeAutospacing="1" w:after="100" w:afterAutospacing="1" w:line="240" w:lineRule="auto"/>
        <w:contextualSpacing/>
        <w:outlineLvl w:val="2"/>
        <w:rPr>
          <w:rFonts w:ascii="Calibri" w:eastAsia="Times New Roman" w:hAnsi="Calibri" w:cs="Calibri"/>
          <w:b/>
          <w:bCs/>
          <w:color w:val="000000"/>
          <w:kern w:val="0"/>
          <w:lang w:eastAsia="en-GB"/>
          <w14:ligatures w14:val="none"/>
        </w:rPr>
      </w:pPr>
    </w:p>
    <w:p w14:paraId="26F25DC5" w14:textId="48634845" w:rsidR="00DE6504" w:rsidRDefault="00DE6504" w:rsidP="00DE6504">
      <w:pPr>
        <w:spacing w:before="100" w:beforeAutospacing="1" w:after="100" w:afterAutospacing="1" w:line="240" w:lineRule="auto"/>
        <w:contextualSpacing/>
        <w:outlineLvl w:val="2"/>
        <w:rPr>
          <w:rFonts w:ascii="Calibri" w:eastAsia="Times New Roman" w:hAnsi="Calibri" w:cs="Calibri"/>
          <w:b/>
          <w:bCs/>
          <w:color w:val="000000"/>
          <w:kern w:val="0"/>
          <w:lang w:eastAsia="en-GB"/>
          <w14:ligatures w14:val="none"/>
        </w:rPr>
      </w:pPr>
      <w:r w:rsidRPr="00D83CA7">
        <w:rPr>
          <w:rFonts w:ascii="Calibri" w:eastAsia="Times New Roman" w:hAnsi="Calibri" w:cs="Calibri"/>
          <w:b/>
          <w:bCs/>
          <w:color w:val="000000"/>
          <w:kern w:val="0"/>
          <w:lang w:eastAsia="en-GB"/>
          <w14:ligatures w14:val="none"/>
        </w:rPr>
        <w:t>Ethics</w:t>
      </w:r>
    </w:p>
    <w:p w14:paraId="6BF6ADAC" w14:textId="77777777" w:rsidR="00942198" w:rsidRPr="00D83CA7" w:rsidRDefault="00942198" w:rsidP="00DE6504">
      <w:pPr>
        <w:spacing w:before="100" w:beforeAutospacing="1" w:after="100" w:afterAutospacing="1" w:line="240" w:lineRule="auto"/>
        <w:contextualSpacing/>
        <w:outlineLvl w:val="2"/>
        <w:rPr>
          <w:rFonts w:ascii="Calibri" w:eastAsia="Times New Roman" w:hAnsi="Calibri" w:cs="Calibri"/>
          <w:b/>
          <w:bCs/>
          <w:color w:val="000000"/>
          <w:kern w:val="0"/>
          <w:lang w:eastAsia="en-GB"/>
          <w14:ligatures w14:val="none"/>
        </w:rPr>
      </w:pPr>
    </w:p>
    <w:p w14:paraId="302E4924" w14:textId="6A080913" w:rsidR="00D87816" w:rsidRPr="00D83CA7" w:rsidRDefault="00DE6504" w:rsidP="00AC71DC">
      <w:pPr>
        <w:spacing w:before="100" w:beforeAutospacing="1" w:after="100" w:afterAutospacing="1" w:line="240" w:lineRule="auto"/>
        <w:contextualSpacing/>
        <w:outlineLvl w:val="2"/>
        <w:rPr>
          <w:rFonts w:ascii="Calibri" w:eastAsia="Times New Roman" w:hAnsi="Calibri" w:cs="Calibri"/>
          <w:color w:val="000000"/>
          <w:kern w:val="0"/>
          <w:lang w:eastAsia="en-GB"/>
          <w14:ligatures w14:val="none"/>
        </w:rPr>
      </w:pPr>
      <w:r w:rsidRPr="00D83CA7">
        <w:rPr>
          <w:rFonts w:ascii="Calibri" w:eastAsia="Times New Roman" w:hAnsi="Calibri" w:cs="Calibri"/>
          <w:color w:val="000000"/>
          <w:kern w:val="0"/>
          <w:lang w:eastAsia="en-GB"/>
          <w14:ligatures w14:val="none"/>
        </w:rPr>
        <w:t>Ethical approval will be obtained from </w:t>
      </w:r>
      <w:r w:rsidRPr="00D83CA7">
        <w:rPr>
          <w:rFonts w:ascii="Calibri" w:eastAsia="Times New Roman" w:hAnsi="Calibri" w:cs="Calibri"/>
          <w:color w:val="000000"/>
          <w:kern w:val="0"/>
          <w:lang w:eastAsia="en-GB"/>
          <w14:ligatures w14:val="none"/>
        </w:rPr>
        <w:t>University of Wales Trinity Saint David</w:t>
      </w:r>
      <w:r w:rsidRPr="00D83CA7">
        <w:rPr>
          <w:rFonts w:ascii="Calibri" w:eastAsia="Times New Roman" w:hAnsi="Calibri" w:cs="Calibri"/>
          <w:color w:val="000000"/>
          <w:kern w:val="0"/>
          <w:lang w:eastAsia="en-GB"/>
          <w14:ligatures w14:val="none"/>
        </w:rPr>
        <w:t>. Participants will receive an information sheet and have opportunities to ask questions before providing informed consent. Participation is voluntary</w:t>
      </w:r>
      <w:r w:rsidR="00B17D65" w:rsidRPr="00D83CA7">
        <w:rPr>
          <w:rFonts w:ascii="Calibri" w:eastAsia="Times New Roman" w:hAnsi="Calibri" w:cs="Calibri"/>
          <w:color w:val="000000"/>
          <w:kern w:val="0"/>
          <w:lang w:eastAsia="en-GB"/>
          <w14:ligatures w14:val="none"/>
        </w:rPr>
        <w:t xml:space="preserve"> and</w:t>
      </w:r>
      <w:r w:rsidRPr="00D83CA7">
        <w:rPr>
          <w:rFonts w:ascii="Calibri" w:eastAsia="Times New Roman" w:hAnsi="Calibri" w:cs="Calibri"/>
          <w:color w:val="000000"/>
          <w:kern w:val="0"/>
          <w:lang w:eastAsia="en-GB"/>
          <w14:ligatures w14:val="none"/>
        </w:rPr>
        <w:t xml:space="preserve"> individuals may withdraw up to two weeks after their interview without giving a reason. Potential distress will be </w:t>
      </w:r>
      <w:r w:rsidRPr="00D83CA7">
        <w:rPr>
          <w:rFonts w:ascii="Calibri" w:eastAsia="Times New Roman" w:hAnsi="Calibri" w:cs="Calibri"/>
          <w:color w:val="000000"/>
          <w:kern w:val="0"/>
          <w:lang w:eastAsia="en-GB"/>
          <w14:ligatures w14:val="none"/>
        </w:rPr>
        <w:lastRenderedPageBreak/>
        <w:t>managed by allowing breaks/termination of the interview and providing signposting to appropriate support</w:t>
      </w:r>
      <w:r w:rsidR="007E3899" w:rsidRPr="00D83CA7">
        <w:rPr>
          <w:rFonts w:ascii="Calibri" w:eastAsia="Times New Roman" w:hAnsi="Calibri" w:cs="Calibri"/>
          <w:color w:val="000000"/>
          <w:kern w:val="0"/>
          <w:lang w:eastAsia="en-GB"/>
          <w14:ligatures w14:val="none"/>
        </w:rPr>
        <w:t xml:space="preserve">. </w:t>
      </w:r>
    </w:p>
    <w:p w14:paraId="56593845" w14:textId="77777777" w:rsidR="00AC71DC" w:rsidRPr="00D83CA7" w:rsidRDefault="00AC71DC" w:rsidP="00AC71DC">
      <w:pPr>
        <w:spacing w:before="100" w:beforeAutospacing="1" w:after="100" w:afterAutospacing="1" w:line="240" w:lineRule="auto"/>
        <w:contextualSpacing/>
        <w:outlineLvl w:val="2"/>
        <w:rPr>
          <w:rFonts w:ascii="Calibri" w:eastAsia="Times New Roman" w:hAnsi="Calibri" w:cs="Calibri"/>
          <w:color w:val="000000"/>
          <w:kern w:val="0"/>
          <w:lang w:eastAsia="en-GB"/>
          <w14:ligatures w14:val="none"/>
        </w:rPr>
      </w:pPr>
    </w:p>
    <w:p w14:paraId="7EBAF381" w14:textId="114FE5F5" w:rsidR="00F972F2" w:rsidRPr="00D83CA7" w:rsidRDefault="00F972F2" w:rsidP="00382A21">
      <w:pPr>
        <w:spacing w:line="240" w:lineRule="auto"/>
        <w:contextualSpacing/>
        <w:rPr>
          <w:rFonts w:ascii="Calibri" w:hAnsi="Calibri" w:cs="Calibri"/>
          <w:b/>
          <w:bCs/>
        </w:rPr>
      </w:pPr>
      <w:r w:rsidRPr="00D83CA7">
        <w:rPr>
          <w:rFonts w:ascii="Calibri" w:hAnsi="Calibri" w:cs="Calibri"/>
          <w:b/>
          <w:bCs/>
        </w:rPr>
        <w:t xml:space="preserve">Data Analysis </w:t>
      </w:r>
    </w:p>
    <w:p w14:paraId="583ABA69" w14:textId="4C98CDAF" w:rsidR="009B5730" w:rsidRPr="00D83CA7" w:rsidRDefault="009B5730" w:rsidP="00382A21">
      <w:pPr>
        <w:pStyle w:val="NormalWeb"/>
        <w:spacing w:before="0" w:beforeAutospacing="0"/>
        <w:contextualSpacing/>
        <w:rPr>
          <w:rFonts w:ascii="Calibri" w:hAnsi="Calibri" w:cs="Calibri"/>
          <w:color w:val="000000"/>
        </w:rPr>
      </w:pPr>
      <w:r w:rsidRPr="00D83CA7">
        <w:rPr>
          <w:rFonts w:ascii="Calibri" w:hAnsi="Calibri" w:cs="Calibri"/>
          <w:color w:val="000000"/>
        </w:rPr>
        <w:t>Interview data will be transcribed and analysed using</w:t>
      </w:r>
      <w:r w:rsidRPr="00D83CA7">
        <w:rPr>
          <w:rStyle w:val="apple-converted-space"/>
          <w:rFonts w:ascii="Calibri" w:eastAsiaTheme="majorEastAsia" w:hAnsi="Calibri" w:cs="Calibri"/>
          <w:color w:val="000000"/>
        </w:rPr>
        <w:t> </w:t>
      </w:r>
      <w:r w:rsidRPr="00D83CA7">
        <w:rPr>
          <w:rStyle w:val="Strong"/>
          <w:rFonts w:ascii="Calibri" w:eastAsiaTheme="majorEastAsia" w:hAnsi="Calibri" w:cs="Calibri"/>
          <w:b w:val="0"/>
          <w:bCs w:val="0"/>
          <w:color w:val="000000"/>
        </w:rPr>
        <w:t>thematic analysis</w:t>
      </w:r>
      <w:r w:rsidRPr="00D83CA7">
        <w:rPr>
          <w:rStyle w:val="apple-converted-space"/>
          <w:rFonts w:ascii="Calibri" w:eastAsiaTheme="majorEastAsia" w:hAnsi="Calibri" w:cs="Calibri"/>
          <w:color w:val="000000"/>
        </w:rPr>
        <w:t> </w:t>
      </w:r>
      <w:r w:rsidRPr="00D83CA7">
        <w:rPr>
          <w:rFonts w:ascii="Calibri" w:hAnsi="Calibri" w:cs="Calibri"/>
          <w:color w:val="000000"/>
        </w:rPr>
        <w:t>(Braun &amp; Clarke, 2006). This method involves systematically coding data to identify recurring patterns, themes, and sub-themes across participants’ accounts.</w:t>
      </w:r>
      <w:r w:rsidR="00930B78" w:rsidRPr="00D83CA7">
        <w:rPr>
          <w:rFonts w:ascii="Calibri" w:hAnsi="Calibri" w:cs="Calibri"/>
          <w:color w:val="000000"/>
        </w:rPr>
        <w:t xml:space="preserve"> </w:t>
      </w:r>
      <w:r w:rsidRPr="00D83CA7">
        <w:rPr>
          <w:rFonts w:ascii="Calibri" w:hAnsi="Calibri" w:cs="Calibri"/>
          <w:color w:val="000000"/>
        </w:rPr>
        <w:t xml:space="preserve">Thematic analysis is appropriate as it provides flexibility for interpreting complex qualitative data, while allowing the researcher to highlight both shared and unique experiences of inequality. It will also help identify how structural and cultural barriers are articulated by participants in relation to their grassroots football experiences. </w:t>
      </w:r>
      <w:r w:rsidR="009B41F6" w:rsidRPr="00D83CA7">
        <w:rPr>
          <w:rFonts w:ascii="Calibri" w:hAnsi="Calibri" w:cs="Calibri"/>
          <w:color w:val="000000"/>
        </w:rPr>
        <w:t xml:space="preserve">SPSS </w:t>
      </w:r>
      <w:r w:rsidRPr="00D83CA7">
        <w:rPr>
          <w:rFonts w:ascii="Calibri" w:hAnsi="Calibri" w:cs="Calibri"/>
          <w:color w:val="000000"/>
        </w:rPr>
        <w:t>software may be used to support data management and coding.</w:t>
      </w:r>
    </w:p>
    <w:p w14:paraId="600E32EC" w14:textId="493282B0" w:rsidR="009B5730" w:rsidRPr="00D83CA7" w:rsidRDefault="009B5730" w:rsidP="00382A21">
      <w:pPr>
        <w:pStyle w:val="NormalWeb"/>
        <w:spacing w:before="0" w:beforeAutospacing="0"/>
        <w:contextualSpacing/>
        <w:rPr>
          <w:rFonts w:ascii="Calibri" w:hAnsi="Calibri" w:cs="Calibri"/>
          <w:color w:val="000000"/>
        </w:rPr>
      </w:pPr>
      <w:r w:rsidRPr="00D83CA7">
        <w:rPr>
          <w:rFonts w:ascii="Calibri" w:hAnsi="Calibri" w:cs="Calibri"/>
          <w:color w:val="000000"/>
        </w:rPr>
        <w:t>The results will be compared to existing literature on gender inequalities in sport to assess how the findings align with, or challenge</w:t>
      </w:r>
      <w:r w:rsidR="00B362AD" w:rsidRPr="00D83CA7">
        <w:rPr>
          <w:rFonts w:ascii="Calibri" w:hAnsi="Calibri" w:cs="Calibri"/>
          <w:color w:val="000000"/>
        </w:rPr>
        <w:t xml:space="preserve"> </w:t>
      </w:r>
      <w:r w:rsidRPr="00D83CA7">
        <w:rPr>
          <w:rFonts w:ascii="Calibri" w:hAnsi="Calibri" w:cs="Calibri"/>
          <w:color w:val="000000"/>
        </w:rPr>
        <w:t>current knowledge and policy initiatives.</w:t>
      </w:r>
    </w:p>
    <w:p w14:paraId="3FB77993" w14:textId="4BB7A671" w:rsidR="00F972F2" w:rsidRPr="00D83CA7" w:rsidRDefault="001C6C10">
      <w:pPr>
        <w:rPr>
          <w:rFonts w:ascii="Calibri" w:hAnsi="Calibri" w:cs="Calibri"/>
          <w:b/>
          <w:bCs/>
        </w:rPr>
      </w:pPr>
      <w:r w:rsidRPr="00D83CA7">
        <w:rPr>
          <w:rFonts w:ascii="Calibri" w:hAnsi="Calibri" w:cs="Calibri"/>
          <w:b/>
          <w:bCs/>
        </w:rPr>
        <w:t xml:space="preserve">Figure 1 - </w:t>
      </w:r>
      <w:r w:rsidR="00F972F2" w:rsidRPr="00D83CA7">
        <w:rPr>
          <w:rFonts w:ascii="Calibri" w:hAnsi="Calibri" w:cs="Calibri"/>
          <w:b/>
          <w:bCs/>
        </w:rPr>
        <w:t xml:space="preserve">Research Timetable </w:t>
      </w:r>
    </w:p>
    <w:tbl>
      <w:tblPr>
        <w:tblStyle w:val="TableGrid"/>
        <w:tblW w:w="9203" w:type="dxa"/>
        <w:tblLook w:val="04A0" w:firstRow="1" w:lastRow="0" w:firstColumn="1" w:lastColumn="0" w:noHBand="0" w:noVBand="1"/>
      </w:tblPr>
      <w:tblGrid>
        <w:gridCol w:w="3067"/>
        <w:gridCol w:w="3067"/>
        <w:gridCol w:w="3069"/>
      </w:tblGrid>
      <w:tr w:rsidR="00F224CE" w:rsidRPr="00D83CA7" w14:paraId="48AE22BC" w14:textId="77777777" w:rsidTr="00EE3052">
        <w:trPr>
          <w:trHeight w:val="395"/>
        </w:trPr>
        <w:tc>
          <w:tcPr>
            <w:tcW w:w="3067" w:type="dxa"/>
          </w:tcPr>
          <w:p w14:paraId="3572703D" w14:textId="37010C0D" w:rsidR="00F224CE" w:rsidRPr="00D83CA7" w:rsidRDefault="00FC03DB">
            <w:pPr>
              <w:rPr>
                <w:rFonts w:ascii="Calibri" w:hAnsi="Calibri" w:cs="Calibri"/>
                <w:b/>
                <w:bCs/>
              </w:rPr>
            </w:pPr>
            <w:r w:rsidRPr="00D83CA7">
              <w:rPr>
                <w:rFonts w:ascii="Calibri" w:hAnsi="Calibri" w:cs="Calibri"/>
                <w:b/>
                <w:bCs/>
              </w:rPr>
              <w:t>Research s</w:t>
            </w:r>
            <w:r w:rsidR="00DB7AEB" w:rsidRPr="00D83CA7">
              <w:rPr>
                <w:rFonts w:ascii="Calibri" w:hAnsi="Calibri" w:cs="Calibri"/>
                <w:b/>
                <w:bCs/>
              </w:rPr>
              <w:t xml:space="preserve">tage </w:t>
            </w:r>
          </w:p>
        </w:tc>
        <w:tc>
          <w:tcPr>
            <w:tcW w:w="3067" w:type="dxa"/>
          </w:tcPr>
          <w:p w14:paraId="0248ACBB" w14:textId="47523CBD" w:rsidR="00F224CE" w:rsidRPr="00D83CA7" w:rsidRDefault="00FC03DB">
            <w:pPr>
              <w:rPr>
                <w:rFonts w:ascii="Calibri" w:hAnsi="Calibri" w:cs="Calibri"/>
                <w:b/>
                <w:bCs/>
              </w:rPr>
            </w:pPr>
            <w:r w:rsidRPr="00D83CA7">
              <w:rPr>
                <w:rFonts w:ascii="Calibri" w:hAnsi="Calibri" w:cs="Calibri"/>
                <w:b/>
                <w:bCs/>
              </w:rPr>
              <w:t>Tasks</w:t>
            </w:r>
          </w:p>
        </w:tc>
        <w:tc>
          <w:tcPr>
            <w:tcW w:w="3069" w:type="dxa"/>
          </w:tcPr>
          <w:p w14:paraId="391729DF" w14:textId="0071A3C4" w:rsidR="00F224CE" w:rsidRPr="00D83CA7" w:rsidRDefault="00DB7AEB">
            <w:pPr>
              <w:rPr>
                <w:rFonts w:ascii="Calibri" w:hAnsi="Calibri" w:cs="Calibri"/>
                <w:b/>
                <w:bCs/>
              </w:rPr>
            </w:pPr>
            <w:r w:rsidRPr="00D83CA7">
              <w:rPr>
                <w:rFonts w:ascii="Calibri" w:hAnsi="Calibri" w:cs="Calibri"/>
                <w:b/>
                <w:bCs/>
              </w:rPr>
              <w:t>Timeline</w:t>
            </w:r>
          </w:p>
        </w:tc>
      </w:tr>
      <w:tr w:rsidR="00F224CE" w:rsidRPr="00D83CA7" w14:paraId="206F71DF" w14:textId="77777777" w:rsidTr="00EE3052">
        <w:trPr>
          <w:trHeight w:val="370"/>
        </w:trPr>
        <w:tc>
          <w:tcPr>
            <w:tcW w:w="3067" w:type="dxa"/>
          </w:tcPr>
          <w:p w14:paraId="5B776528" w14:textId="4164737C" w:rsidR="00F224CE" w:rsidRPr="00D83CA7" w:rsidRDefault="00EC12DF">
            <w:pPr>
              <w:rPr>
                <w:rFonts w:ascii="Calibri" w:hAnsi="Calibri" w:cs="Calibri"/>
                <w:b/>
                <w:bCs/>
              </w:rPr>
            </w:pPr>
            <w:r w:rsidRPr="00D83CA7">
              <w:rPr>
                <w:rFonts w:ascii="Calibri" w:hAnsi="Calibri" w:cs="Calibri"/>
                <w:b/>
                <w:bCs/>
              </w:rPr>
              <w:t>initial</w:t>
            </w:r>
            <w:r w:rsidR="00260E81" w:rsidRPr="00D83CA7">
              <w:rPr>
                <w:rFonts w:ascii="Calibri" w:hAnsi="Calibri" w:cs="Calibri"/>
                <w:b/>
                <w:bCs/>
              </w:rPr>
              <w:t xml:space="preserve"> liter</w:t>
            </w:r>
            <w:r w:rsidRPr="00D83CA7">
              <w:rPr>
                <w:rFonts w:ascii="Calibri" w:hAnsi="Calibri" w:cs="Calibri"/>
                <w:b/>
                <w:bCs/>
              </w:rPr>
              <w:t>ature review</w:t>
            </w:r>
          </w:p>
        </w:tc>
        <w:tc>
          <w:tcPr>
            <w:tcW w:w="3067" w:type="dxa"/>
          </w:tcPr>
          <w:p w14:paraId="0E7087BA" w14:textId="0FD55CAA" w:rsidR="00F224CE" w:rsidRPr="00D83CA7" w:rsidRDefault="006D51E3">
            <w:pPr>
              <w:rPr>
                <w:rFonts w:ascii="Calibri" w:hAnsi="Calibri" w:cs="Calibri"/>
              </w:rPr>
            </w:pPr>
            <w:r w:rsidRPr="00D83CA7">
              <w:rPr>
                <w:rFonts w:ascii="Calibri" w:hAnsi="Calibri" w:cs="Calibri"/>
              </w:rPr>
              <w:t xml:space="preserve">Identify key themes, review academic articles, policy documents and reports. </w:t>
            </w:r>
          </w:p>
        </w:tc>
        <w:tc>
          <w:tcPr>
            <w:tcW w:w="3069" w:type="dxa"/>
          </w:tcPr>
          <w:p w14:paraId="0E139608" w14:textId="36C8FD0A" w:rsidR="00F224CE" w:rsidRPr="00D83CA7" w:rsidRDefault="00DB7AEB">
            <w:pPr>
              <w:rPr>
                <w:rFonts w:ascii="Calibri" w:hAnsi="Calibri" w:cs="Calibri"/>
              </w:rPr>
            </w:pPr>
            <w:r w:rsidRPr="00D83CA7">
              <w:rPr>
                <w:rFonts w:ascii="Calibri" w:hAnsi="Calibri" w:cs="Calibri"/>
              </w:rPr>
              <w:t>Weeks 1-2</w:t>
            </w:r>
          </w:p>
        </w:tc>
      </w:tr>
      <w:tr w:rsidR="00F224CE" w:rsidRPr="00D83CA7" w14:paraId="0302FF00" w14:textId="77777777" w:rsidTr="00EE3052">
        <w:trPr>
          <w:trHeight w:val="395"/>
        </w:trPr>
        <w:tc>
          <w:tcPr>
            <w:tcW w:w="3067" w:type="dxa"/>
          </w:tcPr>
          <w:p w14:paraId="6E703DFE" w14:textId="74581F3C" w:rsidR="00F224CE" w:rsidRPr="00D83CA7" w:rsidRDefault="00EC12DF">
            <w:pPr>
              <w:rPr>
                <w:rFonts w:ascii="Calibri" w:hAnsi="Calibri" w:cs="Calibri"/>
                <w:b/>
                <w:bCs/>
              </w:rPr>
            </w:pPr>
            <w:r w:rsidRPr="00D83CA7">
              <w:rPr>
                <w:rFonts w:ascii="Calibri" w:hAnsi="Calibri" w:cs="Calibri"/>
                <w:b/>
                <w:bCs/>
              </w:rPr>
              <w:t>Research design</w:t>
            </w:r>
          </w:p>
        </w:tc>
        <w:tc>
          <w:tcPr>
            <w:tcW w:w="3067" w:type="dxa"/>
          </w:tcPr>
          <w:p w14:paraId="63072C23" w14:textId="0E0E08ED" w:rsidR="00F224CE" w:rsidRPr="00D83CA7" w:rsidRDefault="00CD4495">
            <w:pPr>
              <w:rPr>
                <w:rFonts w:ascii="Calibri" w:hAnsi="Calibri" w:cs="Calibri"/>
              </w:rPr>
            </w:pPr>
            <w:r w:rsidRPr="00D83CA7">
              <w:rPr>
                <w:rFonts w:ascii="Calibri" w:hAnsi="Calibri" w:cs="Calibri"/>
              </w:rPr>
              <w:t xml:space="preserve">Develop interview guide, refine research question and objectives </w:t>
            </w:r>
          </w:p>
        </w:tc>
        <w:tc>
          <w:tcPr>
            <w:tcW w:w="3069" w:type="dxa"/>
          </w:tcPr>
          <w:p w14:paraId="25352617" w14:textId="4DC7B224" w:rsidR="00F224CE" w:rsidRPr="00D83CA7" w:rsidRDefault="00DB7AEB">
            <w:pPr>
              <w:rPr>
                <w:rFonts w:ascii="Calibri" w:hAnsi="Calibri" w:cs="Calibri"/>
              </w:rPr>
            </w:pPr>
            <w:r w:rsidRPr="00D83CA7">
              <w:rPr>
                <w:rFonts w:ascii="Calibri" w:hAnsi="Calibri" w:cs="Calibri"/>
              </w:rPr>
              <w:t>Week 3</w:t>
            </w:r>
          </w:p>
        </w:tc>
      </w:tr>
      <w:tr w:rsidR="00F224CE" w:rsidRPr="00D83CA7" w14:paraId="0207E4E0" w14:textId="77777777" w:rsidTr="00EE3052">
        <w:trPr>
          <w:trHeight w:val="395"/>
        </w:trPr>
        <w:tc>
          <w:tcPr>
            <w:tcW w:w="3067" w:type="dxa"/>
          </w:tcPr>
          <w:p w14:paraId="24FD50C8" w14:textId="06D23CC7" w:rsidR="00F224CE" w:rsidRPr="00D83CA7" w:rsidRDefault="00EC12DF">
            <w:pPr>
              <w:rPr>
                <w:rFonts w:ascii="Calibri" w:hAnsi="Calibri" w:cs="Calibri"/>
                <w:b/>
                <w:bCs/>
              </w:rPr>
            </w:pPr>
            <w:r w:rsidRPr="00D83CA7">
              <w:rPr>
                <w:rFonts w:ascii="Calibri" w:hAnsi="Calibri" w:cs="Calibri"/>
                <w:b/>
                <w:bCs/>
              </w:rPr>
              <w:t xml:space="preserve">Ethics application </w:t>
            </w:r>
          </w:p>
        </w:tc>
        <w:tc>
          <w:tcPr>
            <w:tcW w:w="3067" w:type="dxa"/>
          </w:tcPr>
          <w:p w14:paraId="2510E1D3" w14:textId="42A6B2C7" w:rsidR="00F224CE" w:rsidRPr="00D83CA7" w:rsidRDefault="00BB76B0">
            <w:pPr>
              <w:rPr>
                <w:rFonts w:ascii="Calibri" w:hAnsi="Calibri" w:cs="Calibri"/>
              </w:rPr>
            </w:pPr>
            <w:r w:rsidRPr="00D83CA7">
              <w:rPr>
                <w:rFonts w:ascii="Calibri" w:hAnsi="Calibri" w:cs="Calibri"/>
              </w:rPr>
              <w:t>Submit proposal to ethics committee</w:t>
            </w:r>
            <w:r w:rsidR="00CD4495" w:rsidRPr="00D83CA7">
              <w:rPr>
                <w:rFonts w:ascii="Calibri" w:hAnsi="Calibri" w:cs="Calibri"/>
              </w:rPr>
              <w:t xml:space="preserve">, respond to feedback if required. </w:t>
            </w:r>
          </w:p>
        </w:tc>
        <w:tc>
          <w:tcPr>
            <w:tcW w:w="3069" w:type="dxa"/>
          </w:tcPr>
          <w:p w14:paraId="13B42BFA" w14:textId="016057D8" w:rsidR="00F224CE" w:rsidRPr="00D83CA7" w:rsidRDefault="00EE3052">
            <w:pPr>
              <w:rPr>
                <w:rFonts w:ascii="Calibri" w:hAnsi="Calibri" w:cs="Calibri"/>
              </w:rPr>
            </w:pPr>
            <w:r w:rsidRPr="00D83CA7">
              <w:rPr>
                <w:rFonts w:ascii="Calibri" w:hAnsi="Calibri" w:cs="Calibri"/>
              </w:rPr>
              <w:t>Weeks 4-5</w:t>
            </w:r>
          </w:p>
        </w:tc>
      </w:tr>
      <w:tr w:rsidR="00F224CE" w:rsidRPr="00D83CA7" w14:paraId="64D4EDD1" w14:textId="77777777" w:rsidTr="00EE3052">
        <w:trPr>
          <w:trHeight w:val="370"/>
        </w:trPr>
        <w:tc>
          <w:tcPr>
            <w:tcW w:w="3067" w:type="dxa"/>
          </w:tcPr>
          <w:p w14:paraId="03E40AB1" w14:textId="61CD3E8B" w:rsidR="00F224CE" w:rsidRPr="00D83CA7" w:rsidRDefault="001C186D">
            <w:pPr>
              <w:rPr>
                <w:rFonts w:ascii="Calibri" w:hAnsi="Calibri" w:cs="Calibri"/>
                <w:b/>
                <w:bCs/>
              </w:rPr>
            </w:pPr>
            <w:r w:rsidRPr="00D83CA7">
              <w:rPr>
                <w:rFonts w:ascii="Calibri" w:hAnsi="Calibri" w:cs="Calibri"/>
                <w:b/>
                <w:bCs/>
              </w:rPr>
              <w:t xml:space="preserve">Participation recruitment </w:t>
            </w:r>
          </w:p>
        </w:tc>
        <w:tc>
          <w:tcPr>
            <w:tcW w:w="3067" w:type="dxa"/>
          </w:tcPr>
          <w:p w14:paraId="5E7AED50" w14:textId="69891A3D" w:rsidR="00F224CE" w:rsidRPr="00D83CA7" w:rsidRDefault="00FF0F8B">
            <w:pPr>
              <w:rPr>
                <w:rFonts w:ascii="Calibri" w:hAnsi="Calibri" w:cs="Calibri"/>
              </w:rPr>
            </w:pPr>
            <w:r w:rsidRPr="00D83CA7">
              <w:rPr>
                <w:rFonts w:ascii="Calibri" w:hAnsi="Calibri" w:cs="Calibri"/>
              </w:rPr>
              <w:t>Contact grass</w:t>
            </w:r>
            <w:r w:rsidR="00BB76B0" w:rsidRPr="00D83CA7">
              <w:rPr>
                <w:rFonts w:ascii="Calibri" w:hAnsi="Calibri" w:cs="Calibri"/>
              </w:rPr>
              <w:t>roots clubs, distribute information sheets and consent forms</w:t>
            </w:r>
          </w:p>
        </w:tc>
        <w:tc>
          <w:tcPr>
            <w:tcW w:w="3069" w:type="dxa"/>
          </w:tcPr>
          <w:p w14:paraId="2CEEEBB3" w14:textId="6ACA057B" w:rsidR="00F224CE" w:rsidRPr="00D83CA7" w:rsidRDefault="00EE3052">
            <w:pPr>
              <w:rPr>
                <w:rFonts w:ascii="Calibri" w:hAnsi="Calibri" w:cs="Calibri"/>
              </w:rPr>
            </w:pPr>
            <w:r w:rsidRPr="00D83CA7">
              <w:rPr>
                <w:rFonts w:ascii="Calibri" w:hAnsi="Calibri" w:cs="Calibri"/>
              </w:rPr>
              <w:t>Weeks 6-7</w:t>
            </w:r>
          </w:p>
        </w:tc>
      </w:tr>
      <w:tr w:rsidR="00F224CE" w:rsidRPr="00D83CA7" w14:paraId="02D7F5FA" w14:textId="77777777" w:rsidTr="00EE3052">
        <w:trPr>
          <w:trHeight w:val="395"/>
        </w:trPr>
        <w:tc>
          <w:tcPr>
            <w:tcW w:w="3067" w:type="dxa"/>
          </w:tcPr>
          <w:p w14:paraId="57B4692E" w14:textId="3B9588A3" w:rsidR="00F224CE" w:rsidRPr="00D83CA7" w:rsidRDefault="001C186D">
            <w:pPr>
              <w:rPr>
                <w:rFonts w:ascii="Calibri" w:hAnsi="Calibri" w:cs="Calibri"/>
                <w:b/>
                <w:bCs/>
              </w:rPr>
            </w:pPr>
            <w:r w:rsidRPr="00D83CA7">
              <w:rPr>
                <w:rFonts w:ascii="Calibri" w:hAnsi="Calibri" w:cs="Calibri"/>
                <w:b/>
                <w:bCs/>
              </w:rPr>
              <w:t xml:space="preserve">Data </w:t>
            </w:r>
            <w:r w:rsidR="00B0178E" w:rsidRPr="00D83CA7">
              <w:rPr>
                <w:rFonts w:ascii="Calibri" w:hAnsi="Calibri" w:cs="Calibri"/>
                <w:b/>
                <w:bCs/>
              </w:rPr>
              <w:t>collection</w:t>
            </w:r>
          </w:p>
        </w:tc>
        <w:tc>
          <w:tcPr>
            <w:tcW w:w="3067" w:type="dxa"/>
          </w:tcPr>
          <w:p w14:paraId="3F33E606" w14:textId="07DF39D2" w:rsidR="00F224CE" w:rsidRPr="00D83CA7" w:rsidRDefault="00454ACF">
            <w:pPr>
              <w:rPr>
                <w:rFonts w:ascii="Calibri" w:hAnsi="Calibri" w:cs="Calibri"/>
              </w:rPr>
            </w:pPr>
            <w:r w:rsidRPr="00D83CA7">
              <w:rPr>
                <w:rFonts w:ascii="Calibri" w:hAnsi="Calibri" w:cs="Calibri"/>
              </w:rPr>
              <w:t xml:space="preserve">Conduct semi-structured interview (8-12 participants) </w:t>
            </w:r>
          </w:p>
        </w:tc>
        <w:tc>
          <w:tcPr>
            <w:tcW w:w="3069" w:type="dxa"/>
          </w:tcPr>
          <w:p w14:paraId="450C45A0" w14:textId="7C4CA82E" w:rsidR="00F224CE" w:rsidRPr="00D83CA7" w:rsidRDefault="00EE3052">
            <w:pPr>
              <w:rPr>
                <w:rFonts w:ascii="Calibri" w:hAnsi="Calibri" w:cs="Calibri"/>
              </w:rPr>
            </w:pPr>
            <w:r w:rsidRPr="00D83CA7">
              <w:rPr>
                <w:rFonts w:ascii="Calibri" w:hAnsi="Calibri" w:cs="Calibri"/>
              </w:rPr>
              <w:t>Weeks 8-9</w:t>
            </w:r>
          </w:p>
        </w:tc>
      </w:tr>
      <w:tr w:rsidR="00F224CE" w:rsidRPr="00D83CA7" w14:paraId="76270E68" w14:textId="77777777" w:rsidTr="00EE3052">
        <w:trPr>
          <w:trHeight w:val="395"/>
        </w:trPr>
        <w:tc>
          <w:tcPr>
            <w:tcW w:w="3067" w:type="dxa"/>
          </w:tcPr>
          <w:p w14:paraId="32042C0C" w14:textId="4CAD4654" w:rsidR="00F224CE" w:rsidRPr="00D83CA7" w:rsidRDefault="00B0178E">
            <w:pPr>
              <w:rPr>
                <w:rFonts w:ascii="Calibri" w:hAnsi="Calibri" w:cs="Calibri"/>
                <w:b/>
                <w:bCs/>
              </w:rPr>
            </w:pPr>
            <w:r w:rsidRPr="00D83CA7">
              <w:rPr>
                <w:rFonts w:ascii="Calibri" w:hAnsi="Calibri" w:cs="Calibri"/>
                <w:b/>
                <w:bCs/>
              </w:rPr>
              <w:t xml:space="preserve">Transcription </w:t>
            </w:r>
          </w:p>
        </w:tc>
        <w:tc>
          <w:tcPr>
            <w:tcW w:w="3067" w:type="dxa"/>
          </w:tcPr>
          <w:p w14:paraId="651A92FD" w14:textId="281C300A" w:rsidR="00F224CE" w:rsidRPr="00D83CA7" w:rsidRDefault="00287E30">
            <w:pPr>
              <w:rPr>
                <w:rFonts w:ascii="Calibri" w:hAnsi="Calibri" w:cs="Calibri"/>
              </w:rPr>
            </w:pPr>
            <w:r w:rsidRPr="00D83CA7">
              <w:rPr>
                <w:rFonts w:ascii="Calibri" w:hAnsi="Calibri" w:cs="Calibri"/>
              </w:rPr>
              <w:t xml:space="preserve">Transcribe interviews, begin initial coding </w:t>
            </w:r>
          </w:p>
        </w:tc>
        <w:tc>
          <w:tcPr>
            <w:tcW w:w="3069" w:type="dxa"/>
          </w:tcPr>
          <w:p w14:paraId="4785E175" w14:textId="35711828" w:rsidR="00F224CE" w:rsidRPr="00D83CA7" w:rsidRDefault="00EE3052">
            <w:pPr>
              <w:rPr>
                <w:rFonts w:ascii="Calibri" w:hAnsi="Calibri" w:cs="Calibri"/>
              </w:rPr>
            </w:pPr>
            <w:r w:rsidRPr="00D83CA7">
              <w:rPr>
                <w:rFonts w:ascii="Calibri" w:hAnsi="Calibri" w:cs="Calibri"/>
              </w:rPr>
              <w:t>Weeks 10-11</w:t>
            </w:r>
          </w:p>
        </w:tc>
      </w:tr>
      <w:tr w:rsidR="00F224CE" w:rsidRPr="00D83CA7" w14:paraId="50E32C26" w14:textId="77777777" w:rsidTr="00EE3052">
        <w:trPr>
          <w:trHeight w:val="370"/>
        </w:trPr>
        <w:tc>
          <w:tcPr>
            <w:tcW w:w="3067" w:type="dxa"/>
          </w:tcPr>
          <w:p w14:paraId="5360A1DE" w14:textId="71158F7B" w:rsidR="00F224CE" w:rsidRPr="00D83CA7" w:rsidRDefault="0039252A">
            <w:pPr>
              <w:rPr>
                <w:rFonts w:ascii="Calibri" w:hAnsi="Calibri" w:cs="Calibri"/>
                <w:b/>
                <w:bCs/>
              </w:rPr>
            </w:pPr>
            <w:r w:rsidRPr="00D83CA7">
              <w:rPr>
                <w:rFonts w:ascii="Calibri" w:hAnsi="Calibri" w:cs="Calibri"/>
                <w:b/>
                <w:bCs/>
              </w:rPr>
              <w:t>Data analysis</w:t>
            </w:r>
          </w:p>
        </w:tc>
        <w:tc>
          <w:tcPr>
            <w:tcW w:w="3067" w:type="dxa"/>
          </w:tcPr>
          <w:p w14:paraId="3D2EA5AE" w14:textId="1085C2EC" w:rsidR="00F224CE" w:rsidRPr="00D83CA7" w:rsidRDefault="00B07C4B">
            <w:pPr>
              <w:rPr>
                <w:rFonts w:ascii="Calibri" w:hAnsi="Calibri" w:cs="Calibri"/>
              </w:rPr>
            </w:pPr>
            <w:r w:rsidRPr="00D83CA7">
              <w:rPr>
                <w:rFonts w:ascii="Calibri" w:hAnsi="Calibri" w:cs="Calibri"/>
              </w:rPr>
              <w:t>Thematic analysis (coding, theme development, review</w:t>
            </w:r>
          </w:p>
        </w:tc>
        <w:tc>
          <w:tcPr>
            <w:tcW w:w="3069" w:type="dxa"/>
          </w:tcPr>
          <w:p w14:paraId="4196CA7E" w14:textId="626C5338" w:rsidR="00F224CE" w:rsidRPr="00D83CA7" w:rsidRDefault="00EE3052">
            <w:pPr>
              <w:rPr>
                <w:rFonts w:ascii="Calibri" w:hAnsi="Calibri" w:cs="Calibri"/>
              </w:rPr>
            </w:pPr>
            <w:r w:rsidRPr="00D83CA7">
              <w:rPr>
                <w:rFonts w:ascii="Calibri" w:hAnsi="Calibri" w:cs="Calibri"/>
              </w:rPr>
              <w:t>Weeks 12-13</w:t>
            </w:r>
          </w:p>
        </w:tc>
      </w:tr>
      <w:tr w:rsidR="00F224CE" w:rsidRPr="00D83CA7" w14:paraId="4AACDC75" w14:textId="77777777" w:rsidTr="00EE3052">
        <w:trPr>
          <w:trHeight w:val="395"/>
        </w:trPr>
        <w:tc>
          <w:tcPr>
            <w:tcW w:w="3067" w:type="dxa"/>
          </w:tcPr>
          <w:p w14:paraId="3621889E" w14:textId="062F0127" w:rsidR="00F224CE" w:rsidRPr="00D83CA7" w:rsidRDefault="0039252A">
            <w:pPr>
              <w:rPr>
                <w:rFonts w:ascii="Calibri" w:hAnsi="Calibri" w:cs="Calibri"/>
                <w:b/>
                <w:bCs/>
              </w:rPr>
            </w:pPr>
            <w:r w:rsidRPr="00D83CA7">
              <w:rPr>
                <w:rFonts w:ascii="Calibri" w:hAnsi="Calibri" w:cs="Calibri"/>
                <w:b/>
                <w:bCs/>
              </w:rPr>
              <w:t>Drafting Chapters</w:t>
            </w:r>
          </w:p>
        </w:tc>
        <w:tc>
          <w:tcPr>
            <w:tcW w:w="3067" w:type="dxa"/>
          </w:tcPr>
          <w:p w14:paraId="3F82F4EF" w14:textId="2FA440EA" w:rsidR="00F224CE" w:rsidRPr="00D83CA7" w:rsidRDefault="00D615B5">
            <w:pPr>
              <w:rPr>
                <w:rFonts w:ascii="Calibri" w:hAnsi="Calibri" w:cs="Calibri"/>
              </w:rPr>
            </w:pPr>
            <w:r w:rsidRPr="00D83CA7">
              <w:rPr>
                <w:rFonts w:ascii="Calibri" w:hAnsi="Calibri" w:cs="Calibri"/>
              </w:rPr>
              <w:t>Write introduction, methodology and findings chapters</w:t>
            </w:r>
          </w:p>
        </w:tc>
        <w:tc>
          <w:tcPr>
            <w:tcW w:w="3069" w:type="dxa"/>
          </w:tcPr>
          <w:p w14:paraId="1DFB3F01" w14:textId="2B47B8F3" w:rsidR="00F224CE" w:rsidRPr="00D83CA7" w:rsidRDefault="00EE3052">
            <w:pPr>
              <w:rPr>
                <w:rFonts w:ascii="Calibri" w:hAnsi="Calibri" w:cs="Calibri"/>
              </w:rPr>
            </w:pPr>
            <w:r w:rsidRPr="00D83CA7">
              <w:rPr>
                <w:rFonts w:ascii="Calibri" w:hAnsi="Calibri" w:cs="Calibri"/>
              </w:rPr>
              <w:t xml:space="preserve">Weeks </w:t>
            </w:r>
            <w:r w:rsidR="00D203D8" w:rsidRPr="00D83CA7">
              <w:rPr>
                <w:rFonts w:ascii="Calibri" w:hAnsi="Calibri" w:cs="Calibri"/>
              </w:rPr>
              <w:t>14-15</w:t>
            </w:r>
          </w:p>
        </w:tc>
      </w:tr>
      <w:tr w:rsidR="00F224CE" w:rsidRPr="00D83CA7" w14:paraId="32D800F1" w14:textId="77777777" w:rsidTr="00EE3052">
        <w:trPr>
          <w:trHeight w:val="395"/>
        </w:trPr>
        <w:tc>
          <w:tcPr>
            <w:tcW w:w="3067" w:type="dxa"/>
          </w:tcPr>
          <w:p w14:paraId="64925F33" w14:textId="04AACFF0" w:rsidR="00F224CE" w:rsidRPr="00D83CA7" w:rsidRDefault="0039252A">
            <w:pPr>
              <w:rPr>
                <w:rFonts w:ascii="Calibri" w:hAnsi="Calibri" w:cs="Calibri"/>
                <w:b/>
                <w:bCs/>
              </w:rPr>
            </w:pPr>
            <w:r w:rsidRPr="00D83CA7">
              <w:rPr>
                <w:rFonts w:ascii="Calibri" w:hAnsi="Calibri" w:cs="Calibri"/>
                <w:b/>
                <w:bCs/>
              </w:rPr>
              <w:t>Discussion and conclusion</w:t>
            </w:r>
          </w:p>
        </w:tc>
        <w:tc>
          <w:tcPr>
            <w:tcW w:w="3067" w:type="dxa"/>
          </w:tcPr>
          <w:p w14:paraId="5E5B1A8A" w14:textId="5B8E1465" w:rsidR="00F224CE" w:rsidRPr="00D83CA7" w:rsidRDefault="0087556C">
            <w:pPr>
              <w:rPr>
                <w:rFonts w:ascii="Calibri" w:hAnsi="Calibri" w:cs="Calibri"/>
              </w:rPr>
            </w:pPr>
            <w:r w:rsidRPr="00D83CA7">
              <w:rPr>
                <w:rFonts w:ascii="Calibri" w:hAnsi="Calibri" w:cs="Calibri"/>
              </w:rPr>
              <w:t>Relate findings to literature and policy. Draft final chapters</w:t>
            </w:r>
          </w:p>
        </w:tc>
        <w:tc>
          <w:tcPr>
            <w:tcW w:w="3069" w:type="dxa"/>
          </w:tcPr>
          <w:p w14:paraId="6816195D" w14:textId="577B426C" w:rsidR="00F224CE" w:rsidRPr="00D83CA7" w:rsidRDefault="00D203D8">
            <w:pPr>
              <w:rPr>
                <w:rFonts w:ascii="Calibri" w:hAnsi="Calibri" w:cs="Calibri"/>
              </w:rPr>
            </w:pPr>
            <w:r w:rsidRPr="00D83CA7">
              <w:rPr>
                <w:rFonts w:ascii="Calibri" w:hAnsi="Calibri" w:cs="Calibri"/>
              </w:rPr>
              <w:t>Week 16</w:t>
            </w:r>
          </w:p>
        </w:tc>
      </w:tr>
      <w:tr w:rsidR="00F224CE" w:rsidRPr="00D83CA7" w14:paraId="7CE4BE52" w14:textId="77777777" w:rsidTr="00EE3052">
        <w:trPr>
          <w:trHeight w:val="370"/>
        </w:trPr>
        <w:tc>
          <w:tcPr>
            <w:tcW w:w="3067" w:type="dxa"/>
          </w:tcPr>
          <w:p w14:paraId="23A8F691" w14:textId="2C00B352" w:rsidR="00F224CE" w:rsidRPr="00D83CA7" w:rsidRDefault="00BA68A5">
            <w:pPr>
              <w:rPr>
                <w:rFonts w:ascii="Calibri" w:hAnsi="Calibri" w:cs="Calibri"/>
                <w:b/>
                <w:bCs/>
              </w:rPr>
            </w:pPr>
            <w:r w:rsidRPr="00D83CA7">
              <w:rPr>
                <w:rFonts w:ascii="Calibri" w:hAnsi="Calibri" w:cs="Calibri"/>
                <w:b/>
                <w:bCs/>
              </w:rPr>
              <w:t>Final revisions and submission</w:t>
            </w:r>
          </w:p>
        </w:tc>
        <w:tc>
          <w:tcPr>
            <w:tcW w:w="3067" w:type="dxa"/>
          </w:tcPr>
          <w:p w14:paraId="2407EA6D" w14:textId="31FA5991" w:rsidR="00F224CE" w:rsidRPr="00D83CA7" w:rsidRDefault="0039252A">
            <w:pPr>
              <w:rPr>
                <w:rFonts w:ascii="Calibri" w:hAnsi="Calibri" w:cs="Calibri"/>
              </w:rPr>
            </w:pPr>
            <w:r w:rsidRPr="00D83CA7">
              <w:rPr>
                <w:rFonts w:ascii="Calibri" w:hAnsi="Calibri" w:cs="Calibri"/>
              </w:rPr>
              <w:t xml:space="preserve">Proofreading, formatting, </w:t>
            </w:r>
            <w:r w:rsidR="0087556C" w:rsidRPr="00D83CA7">
              <w:rPr>
                <w:rFonts w:ascii="Calibri" w:hAnsi="Calibri" w:cs="Calibri"/>
              </w:rPr>
              <w:t>and submission</w:t>
            </w:r>
          </w:p>
        </w:tc>
        <w:tc>
          <w:tcPr>
            <w:tcW w:w="3069" w:type="dxa"/>
          </w:tcPr>
          <w:p w14:paraId="5EB91197" w14:textId="36828666" w:rsidR="00F224CE" w:rsidRPr="00D83CA7" w:rsidRDefault="00D203D8">
            <w:pPr>
              <w:rPr>
                <w:rFonts w:ascii="Calibri" w:hAnsi="Calibri" w:cs="Calibri"/>
              </w:rPr>
            </w:pPr>
            <w:r w:rsidRPr="00D83CA7">
              <w:rPr>
                <w:rFonts w:ascii="Calibri" w:hAnsi="Calibri" w:cs="Calibri"/>
              </w:rPr>
              <w:t>Weeks 17-18</w:t>
            </w:r>
          </w:p>
        </w:tc>
      </w:tr>
    </w:tbl>
    <w:p w14:paraId="093DF105" w14:textId="77777777" w:rsidR="00666196" w:rsidRPr="00D83CA7" w:rsidRDefault="00666196" w:rsidP="00666196">
      <w:pPr>
        <w:rPr>
          <w:rFonts w:ascii="Calibri" w:hAnsi="Calibri" w:cs="Calibri"/>
          <w:color w:val="000000"/>
        </w:rPr>
      </w:pPr>
    </w:p>
    <w:p w14:paraId="57931530" w14:textId="592C960E" w:rsidR="009458B1" w:rsidRPr="00D83CA7" w:rsidRDefault="008D70F7" w:rsidP="00A54C14">
      <w:pPr>
        <w:rPr>
          <w:rFonts w:ascii="Calibri" w:hAnsi="Calibri" w:cs="Calibri"/>
          <w:b/>
          <w:bCs/>
        </w:rPr>
      </w:pPr>
      <w:r w:rsidRPr="00D83CA7">
        <w:rPr>
          <w:rFonts w:ascii="Calibri" w:hAnsi="Calibri" w:cs="Calibri"/>
          <w:color w:val="000000"/>
        </w:rPr>
        <w:lastRenderedPageBreak/>
        <w:t xml:space="preserve">To conclude, this </w:t>
      </w:r>
      <w:r w:rsidR="00A54C14" w:rsidRPr="00D83CA7">
        <w:rPr>
          <w:rFonts w:ascii="Calibri" w:hAnsi="Calibri" w:cs="Calibri"/>
          <w:color w:val="000000"/>
        </w:rPr>
        <w:t xml:space="preserve">study proposes a focused, qualitative examination of how routine club practices and cultures configure participation and progression in women’s grassroots football. By </w:t>
      </w:r>
      <w:r w:rsidR="00C012B1" w:rsidRPr="00D83CA7">
        <w:rPr>
          <w:rFonts w:ascii="Calibri" w:hAnsi="Calibri" w:cs="Calibri"/>
          <w:color w:val="000000"/>
        </w:rPr>
        <w:t>analysing</w:t>
      </w:r>
      <w:r w:rsidR="00A54C14" w:rsidRPr="00D83CA7">
        <w:rPr>
          <w:rFonts w:ascii="Calibri" w:hAnsi="Calibri" w:cs="Calibri"/>
          <w:color w:val="000000"/>
        </w:rPr>
        <w:t xml:space="preserve"> the perspectives of players, coaches, and volunteers, </w:t>
      </w:r>
      <w:r w:rsidR="00303E6E" w:rsidRPr="00D83CA7">
        <w:rPr>
          <w:rFonts w:ascii="Calibri" w:hAnsi="Calibri" w:cs="Calibri"/>
          <w:color w:val="000000"/>
        </w:rPr>
        <w:t xml:space="preserve">the study aims to identify the </w:t>
      </w:r>
      <w:r w:rsidR="00A54C14" w:rsidRPr="00D83CA7">
        <w:rPr>
          <w:rFonts w:ascii="Calibri" w:hAnsi="Calibri" w:cs="Calibri"/>
          <w:color w:val="000000"/>
        </w:rPr>
        <w:t>mechanisms through which inequalities are produced and sustained</w:t>
      </w:r>
      <w:r w:rsidR="00303E6E" w:rsidRPr="00D83CA7">
        <w:rPr>
          <w:rFonts w:ascii="Calibri" w:hAnsi="Calibri" w:cs="Calibri"/>
          <w:color w:val="000000"/>
        </w:rPr>
        <w:t xml:space="preserve">. </w:t>
      </w:r>
      <w:r w:rsidR="00E97953" w:rsidRPr="00D83CA7">
        <w:rPr>
          <w:rFonts w:ascii="Calibri" w:hAnsi="Calibri" w:cs="Calibri"/>
          <w:color w:val="000000"/>
        </w:rPr>
        <w:t>T</w:t>
      </w:r>
      <w:r w:rsidR="00693581" w:rsidRPr="00D83CA7">
        <w:rPr>
          <w:rFonts w:ascii="Calibri" w:hAnsi="Calibri" w:cs="Calibri"/>
          <w:color w:val="000000"/>
        </w:rPr>
        <w:t>he information gathered seeks to be utilised</w:t>
      </w:r>
      <w:r w:rsidR="001F72CA" w:rsidRPr="00D83CA7">
        <w:rPr>
          <w:rFonts w:ascii="Calibri" w:hAnsi="Calibri" w:cs="Calibri"/>
          <w:color w:val="000000"/>
        </w:rPr>
        <w:t xml:space="preserve"> as </w:t>
      </w:r>
      <w:r w:rsidR="00A54C14" w:rsidRPr="00D83CA7">
        <w:rPr>
          <w:rFonts w:ascii="Calibri" w:hAnsi="Calibri" w:cs="Calibri"/>
          <w:color w:val="000000"/>
        </w:rPr>
        <w:t>actionable guidance for clubs, leagues, and governing bodies seeking to enhance equity and retention within the grassroots game.</w:t>
      </w:r>
    </w:p>
    <w:p w14:paraId="72B84687" w14:textId="77777777" w:rsidR="009458B1" w:rsidRPr="00D83CA7" w:rsidRDefault="009458B1" w:rsidP="009458B1">
      <w:pPr>
        <w:ind w:firstLine="720"/>
        <w:rPr>
          <w:rFonts w:ascii="Calibri" w:hAnsi="Calibri" w:cs="Calibri"/>
          <w:b/>
          <w:bCs/>
        </w:rPr>
      </w:pPr>
    </w:p>
    <w:p w14:paraId="39651462" w14:textId="77777777" w:rsidR="009458B1" w:rsidRPr="00D83CA7" w:rsidRDefault="009458B1" w:rsidP="009458B1">
      <w:pPr>
        <w:ind w:firstLine="720"/>
        <w:rPr>
          <w:rFonts w:ascii="Calibri" w:hAnsi="Calibri" w:cs="Calibri"/>
          <w:b/>
          <w:bCs/>
        </w:rPr>
      </w:pPr>
    </w:p>
    <w:p w14:paraId="22C6C591" w14:textId="77777777" w:rsidR="009458B1" w:rsidRPr="00D83CA7" w:rsidRDefault="009458B1" w:rsidP="009458B1">
      <w:pPr>
        <w:ind w:firstLine="720"/>
        <w:rPr>
          <w:rFonts w:ascii="Calibri" w:hAnsi="Calibri" w:cs="Calibri"/>
          <w:b/>
          <w:bCs/>
        </w:rPr>
      </w:pPr>
    </w:p>
    <w:p w14:paraId="1DC031F1" w14:textId="77777777" w:rsidR="009458B1" w:rsidRPr="00D83CA7" w:rsidRDefault="009458B1" w:rsidP="009458B1">
      <w:pPr>
        <w:ind w:firstLine="720"/>
        <w:rPr>
          <w:rFonts w:ascii="Calibri" w:hAnsi="Calibri" w:cs="Calibri"/>
          <w:b/>
          <w:bCs/>
        </w:rPr>
      </w:pPr>
    </w:p>
    <w:p w14:paraId="0D97D98A" w14:textId="77777777" w:rsidR="009458B1" w:rsidRDefault="009458B1" w:rsidP="009458B1">
      <w:pPr>
        <w:ind w:firstLine="720"/>
        <w:rPr>
          <w:rFonts w:ascii="Calibri" w:hAnsi="Calibri" w:cs="Calibri"/>
          <w:b/>
          <w:bCs/>
        </w:rPr>
      </w:pPr>
    </w:p>
    <w:p w14:paraId="2B61BECB" w14:textId="77777777" w:rsidR="00942198" w:rsidRDefault="00942198" w:rsidP="009458B1">
      <w:pPr>
        <w:ind w:firstLine="720"/>
        <w:rPr>
          <w:rFonts w:ascii="Calibri" w:hAnsi="Calibri" w:cs="Calibri"/>
          <w:b/>
          <w:bCs/>
        </w:rPr>
      </w:pPr>
    </w:p>
    <w:p w14:paraId="5CE4BBCA" w14:textId="77777777" w:rsidR="00942198" w:rsidRDefault="00942198" w:rsidP="009458B1">
      <w:pPr>
        <w:ind w:firstLine="720"/>
        <w:rPr>
          <w:rFonts w:ascii="Calibri" w:hAnsi="Calibri" w:cs="Calibri"/>
          <w:b/>
          <w:bCs/>
        </w:rPr>
      </w:pPr>
    </w:p>
    <w:p w14:paraId="352D194A" w14:textId="77777777" w:rsidR="00942198" w:rsidRDefault="00942198" w:rsidP="009458B1">
      <w:pPr>
        <w:ind w:firstLine="720"/>
        <w:rPr>
          <w:rFonts w:ascii="Calibri" w:hAnsi="Calibri" w:cs="Calibri"/>
          <w:b/>
          <w:bCs/>
        </w:rPr>
      </w:pPr>
    </w:p>
    <w:p w14:paraId="3432D20D" w14:textId="77777777" w:rsidR="00942198" w:rsidRDefault="00942198" w:rsidP="009458B1">
      <w:pPr>
        <w:ind w:firstLine="720"/>
        <w:rPr>
          <w:rFonts w:ascii="Calibri" w:hAnsi="Calibri" w:cs="Calibri"/>
          <w:b/>
          <w:bCs/>
        </w:rPr>
      </w:pPr>
    </w:p>
    <w:p w14:paraId="4FB8AF9F" w14:textId="77777777" w:rsidR="00942198" w:rsidRDefault="00942198" w:rsidP="009458B1">
      <w:pPr>
        <w:ind w:firstLine="720"/>
        <w:rPr>
          <w:rFonts w:ascii="Calibri" w:hAnsi="Calibri" w:cs="Calibri"/>
          <w:b/>
          <w:bCs/>
        </w:rPr>
      </w:pPr>
    </w:p>
    <w:p w14:paraId="6F1EFA29" w14:textId="77777777" w:rsidR="00942198" w:rsidRDefault="00942198" w:rsidP="009458B1">
      <w:pPr>
        <w:ind w:firstLine="720"/>
        <w:rPr>
          <w:rFonts w:ascii="Calibri" w:hAnsi="Calibri" w:cs="Calibri"/>
          <w:b/>
          <w:bCs/>
        </w:rPr>
      </w:pPr>
    </w:p>
    <w:p w14:paraId="6BD1D28D" w14:textId="77777777" w:rsidR="00942198" w:rsidRDefault="00942198" w:rsidP="009458B1">
      <w:pPr>
        <w:ind w:firstLine="720"/>
        <w:rPr>
          <w:rFonts w:ascii="Calibri" w:hAnsi="Calibri" w:cs="Calibri"/>
          <w:b/>
          <w:bCs/>
        </w:rPr>
      </w:pPr>
    </w:p>
    <w:p w14:paraId="43C9B696" w14:textId="77777777" w:rsidR="00942198" w:rsidRDefault="00942198" w:rsidP="009458B1">
      <w:pPr>
        <w:ind w:firstLine="720"/>
        <w:rPr>
          <w:rFonts w:ascii="Calibri" w:hAnsi="Calibri" w:cs="Calibri"/>
          <w:b/>
          <w:bCs/>
        </w:rPr>
      </w:pPr>
    </w:p>
    <w:p w14:paraId="22E3070A" w14:textId="77777777" w:rsidR="00942198" w:rsidRDefault="00942198" w:rsidP="009458B1">
      <w:pPr>
        <w:ind w:firstLine="720"/>
        <w:rPr>
          <w:rFonts w:ascii="Calibri" w:hAnsi="Calibri" w:cs="Calibri"/>
          <w:b/>
          <w:bCs/>
        </w:rPr>
      </w:pPr>
    </w:p>
    <w:p w14:paraId="4453C88D" w14:textId="77777777" w:rsidR="00942198" w:rsidRDefault="00942198" w:rsidP="009458B1">
      <w:pPr>
        <w:ind w:firstLine="720"/>
        <w:rPr>
          <w:rFonts w:ascii="Calibri" w:hAnsi="Calibri" w:cs="Calibri"/>
          <w:b/>
          <w:bCs/>
        </w:rPr>
      </w:pPr>
    </w:p>
    <w:p w14:paraId="399AF42D" w14:textId="77777777" w:rsidR="00942198" w:rsidRDefault="00942198" w:rsidP="009458B1">
      <w:pPr>
        <w:ind w:firstLine="720"/>
        <w:rPr>
          <w:rFonts w:ascii="Calibri" w:hAnsi="Calibri" w:cs="Calibri"/>
          <w:b/>
          <w:bCs/>
        </w:rPr>
      </w:pPr>
    </w:p>
    <w:p w14:paraId="04EC21FF" w14:textId="77777777" w:rsidR="00942198" w:rsidRDefault="00942198" w:rsidP="009458B1">
      <w:pPr>
        <w:ind w:firstLine="720"/>
        <w:rPr>
          <w:rFonts w:ascii="Calibri" w:hAnsi="Calibri" w:cs="Calibri"/>
          <w:b/>
          <w:bCs/>
        </w:rPr>
      </w:pPr>
    </w:p>
    <w:p w14:paraId="5A2C2AEF" w14:textId="77777777" w:rsidR="00942198" w:rsidRDefault="00942198" w:rsidP="009458B1">
      <w:pPr>
        <w:ind w:firstLine="720"/>
        <w:rPr>
          <w:rFonts w:ascii="Calibri" w:hAnsi="Calibri" w:cs="Calibri"/>
          <w:b/>
          <w:bCs/>
        </w:rPr>
      </w:pPr>
    </w:p>
    <w:p w14:paraId="72F884D7" w14:textId="77777777" w:rsidR="00942198" w:rsidRDefault="00942198" w:rsidP="009458B1">
      <w:pPr>
        <w:ind w:firstLine="720"/>
        <w:rPr>
          <w:rFonts w:ascii="Calibri" w:hAnsi="Calibri" w:cs="Calibri"/>
          <w:b/>
          <w:bCs/>
        </w:rPr>
      </w:pPr>
    </w:p>
    <w:p w14:paraId="6A83AECA" w14:textId="77777777" w:rsidR="00942198" w:rsidRDefault="00942198" w:rsidP="009458B1">
      <w:pPr>
        <w:ind w:firstLine="720"/>
        <w:rPr>
          <w:rFonts w:ascii="Calibri" w:hAnsi="Calibri" w:cs="Calibri"/>
          <w:b/>
          <w:bCs/>
        </w:rPr>
      </w:pPr>
    </w:p>
    <w:p w14:paraId="0F972AD1" w14:textId="77777777" w:rsidR="00942198" w:rsidRDefault="00942198" w:rsidP="009458B1">
      <w:pPr>
        <w:ind w:firstLine="720"/>
        <w:rPr>
          <w:rFonts w:ascii="Calibri" w:hAnsi="Calibri" w:cs="Calibri"/>
          <w:b/>
          <w:bCs/>
        </w:rPr>
      </w:pPr>
    </w:p>
    <w:p w14:paraId="3075ECFF" w14:textId="77777777" w:rsidR="00942198" w:rsidRDefault="00942198" w:rsidP="009458B1">
      <w:pPr>
        <w:ind w:firstLine="720"/>
        <w:rPr>
          <w:rFonts w:ascii="Calibri" w:hAnsi="Calibri" w:cs="Calibri"/>
          <w:b/>
          <w:bCs/>
        </w:rPr>
      </w:pPr>
    </w:p>
    <w:p w14:paraId="3F5FE731" w14:textId="77777777" w:rsidR="00942198" w:rsidRPr="00D83CA7" w:rsidRDefault="00942198" w:rsidP="009458B1">
      <w:pPr>
        <w:ind w:firstLine="720"/>
        <w:rPr>
          <w:rFonts w:ascii="Calibri" w:hAnsi="Calibri" w:cs="Calibri"/>
          <w:b/>
          <w:bCs/>
        </w:rPr>
      </w:pPr>
    </w:p>
    <w:p w14:paraId="1C322CA7" w14:textId="3BA9707B" w:rsidR="009458B1" w:rsidRPr="00D83CA7" w:rsidRDefault="00B61C0B" w:rsidP="00B61C0B">
      <w:pPr>
        <w:rPr>
          <w:rFonts w:ascii="Calibri" w:hAnsi="Calibri" w:cs="Calibri"/>
          <w:b/>
          <w:bCs/>
          <w:u w:val="single"/>
        </w:rPr>
      </w:pPr>
      <w:r w:rsidRPr="00D83CA7">
        <w:rPr>
          <w:rFonts w:ascii="Calibri" w:hAnsi="Calibri" w:cs="Calibri"/>
          <w:b/>
          <w:bCs/>
          <w:u w:val="single"/>
        </w:rPr>
        <w:lastRenderedPageBreak/>
        <w:t xml:space="preserve">References </w:t>
      </w:r>
    </w:p>
    <w:p w14:paraId="03DEF19B" w14:textId="0E0A87E0" w:rsidR="00245048" w:rsidRPr="00D83CA7" w:rsidRDefault="00245048" w:rsidP="00245048">
      <w:pPr>
        <w:pStyle w:val="NormalWeb"/>
        <w:rPr>
          <w:rFonts w:ascii="Calibri" w:hAnsi="Calibri" w:cs="Calibri"/>
          <w:i/>
          <w:iCs/>
        </w:rPr>
      </w:pPr>
      <w:r w:rsidRPr="00D83CA7">
        <w:rPr>
          <w:rStyle w:val="Strong"/>
          <w:rFonts w:ascii="Calibri" w:eastAsiaTheme="majorEastAsia" w:hAnsi="Calibri" w:cs="Calibri"/>
          <w:b w:val="0"/>
          <w:bCs w:val="0"/>
          <w:i/>
          <w:iCs/>
        </w:rPr>
        <w:t>Braun, V., &amp; Clarke, V.</w:t>
      </w:r>
      <w:r w:rsidRPr="00D83CA7">
        <w:rPr>
          <w:rStyle w:val="apple-converted-space"/>
          <w:rFonts w:ascii="Calibri" w:eastAsiaTheme="majorEastAsia" w:hAnsi="Calibri" w:cs="Calibri"/>
          <w:i/>
          <w:iCs/>
        </w:rPr>
        <w:t> </w:t>
      </w:r>
      <w:r w:rsidRPr="00D83CA7">
        <w:rPr>
          <w:rFonts w:ascii="Calibri" w:hAnsi="Calibri" w:cs="Calibri"/>
          <w:i/>
          <w:iCs/>
        </w:rPr>
        <w:t>(2006). Using thematic analysis in psychology.</w:t>
      </w:r>
      <w:r w:rsidRPr="00D83CA7">
        <w:rPr>
          <w:rStyle w:val="apple-converted-space"/>
          <w:rFonts w:ascii="Calibri" w:eastAsiaTheme="majorEastAsia" w:hAnsi="Calibri" w:cs="Calibri"/>
          <w:i/>
          <w:iCs/>
        </w:rPr>
        <w:t> </w:t>
      </w:r>
      <w:r w:rsidRPr="00D83CA7">
        <w:rPr>
          <w:rStyle w:val="Emphasis"/>
          <w:rFonts w:ascii="Calibri" w:eastAsiaTheme="majorEastAsia" w:hAnsi="Calibri" w:cs="Calibri"/>
          <w:i w:val="0"/>
          <w:iCs w:val="0"/>
        </w:rPr>
        <w:t>Qualitative Research in Psychology</w:t>
      </w:r>
      <w:r w:rsidRPr="00D83CA7">
        <w:rPr>
          <w:rFonts w:ascii="Calibri" w:hAnsi="Calibri" w:cs="Calibri"/>
          <w:i/>
          <w:iCs/>
        </w:rPr>
        <w:t>, 3(2), 77–101.</w:t>
      </w:r>
    </w:p>
    <w:p w14:paraId="1AE7879A" w14:textId="2EB1BD14" w:rsidR="00245048" w:rsidRPr="00D83CA7" w:rsidRDefault="00245048" w:rsidP="00245048">
      <w:pPr>
        <w:pStyle w:val="NormalWeb"/>
        <w:rPr>
          <w:rFonts w:ascii="Calibri" w:hAnsi="Calibri" w:cs="Calibri"/>
          <w:i/>
          <w:iCs/>
        </w:rPr>
      </w:pPr>
      <w:r w:rsidRPr="00D83CA7">
        <w:rPr>
          <w:rStyle w:val="Strong"/>
          <w:rFonts w:ascii="Calibri" w:eastAsiaTheme="majorEastAsia" w:hAnsi="Calibri" w:cs="Calibri"/>
          <w:b w:val="0"/>
          <w:bCs w:val="0"/>
          <w:i/>
          <w:iCs/>
        </w:rPr>
        <w:t>Clarkson, B.G.</w:t>
      </w:r>
      <w:r w:rsidRPr="00D83CA7">
        <w:rPr>
          <w:rStyle w:val="apple-converted-space"/>
          <w:rFonts w:ascii="Calibri" w:eastAsiaTheme="majorEastAsia" w:hAnsi="Calibri" w:cs="Calibri"/>
          <w:i/>
          <w:iCs/>
        </w:rPr>
        <w:t> </w:t>
      </w:r>
      <w:r w:rsidRPr="00D83CA7">
        <w:rPr>
          <w:rFonts w:ascii="Calibri" w:hAnsi="Calibri" w:cs="Calibri"/>
          <w:i/>
          <w:iCs/>
        </w:rPr>
        <w:t>(2019)</w:t>
      </w:r>
      <w:r w:rsidRPr="00D83CA7">
        <w:rPr>
          <w:rStyle w:val="apple-converted-space"/>
          <w:rFonts w:ascii="Calibri" w:eastAsiaTheme="majorEastAsia" w:hAnsi="Calibri" w:cs="Calibri"/>
          <w:i/>
          <w:iCs/>
        </w:rPr>
        <w:t> </w:t>
      </w:r>
      <w:r w:rsidRPr="00D83CA7">
        <w:rPr>
          <w:rStyle w:val="Emphasis"/>
          <w:rFonts w:ascii="Calibri" w:eastAsiaTheme="majorEastAsia" w:hAnsi="Calibri" w:cs="Calibri"/>
          <w:i w:val="0"/>
          <w:iCs w:val="0"/>
        </w:rPr>
        <w:t>Negotiating gender in the English football workplace</w:t>
      </w:r>
      <w:r w:rsidRPr="00D83CA7">
        <w:rPr>
          <w:rFonts w:ascii="Calibri" w:hAnsi="Calibri" w:cs="Calibri"/>
          <w:i/>
          <w:iCs/>
        </w:rPr>
        <w:t>. Portsmouth: University of Portsmouth. Available at:</w:t>
      </w:r>
      <w:r w:rsidRPr="00D83CA7">
        <w:rPr>
          <w:rStyle w:val="apple-converted-space"/>
          <w:rFonts w:ascii="Calibri" w:eastAsiaTheme="majorEastAsia" w:hAnsi="Calibri" w:cs="Calibri"/>
          <w:i/>
          <w:iCs/>
        </w:rPr>
        <w:t> </w:t>
      </w:r>
      <w:hyperlink r:id="rId5" w:tgtFrame="_new" w:history="1">
        <w:r w:rsidRPr="00D83CA7">
          <w:rPr>
            <w:rStyle w:val="Hyperlink"/>
            <w:rFonts w:ascii="Calibri" w:eastAsiaTheme="majorEastAsia" w:hAnsi="Calibri" w:cs="Calibri"/>
            <w:i/>
            <w:iCs/>
          </w:rPr>
          <w:t>https://researchportal.port.ac.uk/</w:t>
        </w:r>
      </w:hyperlink>
      <w:r w:rsidRPr="00D83CA7">
        <w:rPr>
          <w:rStyle w:val="apple-converted-space"/>
          <w:rFonts w:ascii="Calibri" w:eastAsiaTheme="majorEastAsia" w:hAnsi="Calibri" w:cs="Calibri"/>
          <w:i/>
          <w:iCs/>
        </w:rPr>
        <w:t> </w:t>
      </w:r>
      <w:r w:rsidRPr="00D83CA7">
        <w:rPr>
          <w:rFonts w:ascii="Calibri" w:hAnsi="Calibri" w:cs="Calibri"/>
          <w:i/>
          <w:iCs/>
        </w:rPr>
        <w:t>(Accessed: 21 October 2025).</w:t>
      </w:r>
    </w:p>
    <w:p w14:paraId="3F49CC94" w14:textId="132544D4" w:rsidR="00245048" w:rsidRPr="00D83CA7" w:rsidRDefault="00245048" w:rsidP="00245048">
      <w:pPr>
        <w:pStyle w:val="NormalWeb"/>
        <w:rPr>
          <w:rFonts w:ascii="Calibri" w:hAnsi="Calibri" w:cs="Calibri"/>
          <w:i/>
          <w:iCs/>
        </w:rPr>
      </w:pPr>
      <w:r w:rsidRPr="00D83CA7">
        <w:rPr>
          <w:rStyle w:val="Strong"/>
          <w:rFonts w:ascii="Calibri" w:eastAsiaTheme="majorEastAsia" w:hAnsi="Calibri" w:cs="Calibri"/>
          <w:b w:val="0"/>
          <w:bCs w:val="0"/>
          <w:i/>
          <w:iCs/>
        </w:rPr>
        <w:t>Creswell, J. W.</w:t>
      </w:r>
      <w:r w:rsidRPr="00D83CA7">
        <w:rPr>
          <w:rStyle w:val="apple-converted-space"/>
          <w:rFonts w:ascii="Calibri" w:eastAsiaTheme="majorEastAsia" w:hAnsi="Calibri" w:cs="Calibri"/>
          <w:i/>
          <w:iCs/>
        </w:rPr>
        <w:t> </w:t>
      </w:r>
      <w:r w:rsidRPr="00D83CA7">
        <w:rPr>
          <w:rFonts w:ascii="Calibri" w:hAnsi="Calibri" w:cs="Calibri"/>
          <w:i/>
          <w:iCs/>
        </w:rPr>
        <w:t>(2018).</w:t>
      </w:r>
      <w:r w:rsidRPr="00D83CA7">
        <w:rPr>
          <w:rStyle w:val="apple-converted-space"/>
          <w:rFonts w:ascii="Calibri" w:eastAsiaTheme="majorEastAsia" w:hAnsi="Calibri" w:cs="Calibri"/>
          <w:i/>
          <w:iCs/>
        </w:rPr>
        <w:t> </w:t>
      </w:r>
      <w:r w:rsidRPr="00D83CA7">
        <w:rPr>
          <w:rStyle w:val="Emphasis"/>
          <w:rFonts w:ascii="Calibri" w:eastAsiaTheme="majorEastAsia" w:hAnsi="Calibri" w:cs="Calibri"/>
          <w:i w:val="0"/>
          <w:iCs w:val="0"/>
        </w:rPr>
        <w:t>Research Design</w:t>
      </w:r>
      <w:r w:rsidRPr="00D83CA7">
        <w:rPr>
          <w:rStyle w:val="apple-converted-space"/>
          <w:rFonts w:ascii="Calibri" w:eastAsiaTheme="majorEastAsia" w:hAnsi="Calibri" w:cs="Calibri"/>
          <w:i/>
          <w:iCs/>
        </w:rPr>
        <w:t> </w:t>
      </w:r>
      <w:r w:rsidRPr="00D83CA7">
        <w:rPr>
          <w:rFonts w:ascii="Calibri" w:hAnsi="Calibri" w:cs="Calibri"/>
          <w:i/>
          <w:iCs/>
        </w:rPr>
        <w:t>(5th ed.). Sage.</w:t>
      </w:r>
    </w:p>
    <w:p w14:paraId="0D3A14FF" w14:textId="17CE41C6" w:rsidR="00245048" w:rsidRPr="00D83CA7" w:rsidRDefault="00245048" w:rsidP="00245048">
      <w:pPr>
        <w:pStyle w:val="NormalWeb"/>
        <w:rPr>
          <w:rFonts w:ascii="Calibri" w:hAnsi="Calibri" w:cs="Calibri"/>
          <w:i/>
          <w:iCs/>
        </w:rPr>
      </w:pPr>
      <w:r w:rsidRPr="00D83CA7">
        <w:rPr>
          <w:rStyle w:val="Strong"/>
          <w:rFonts w:ascii="Calibri" w:eastAsiaTheme="majorEastAsia" w:hAnsi="Calibri" w:cs="Calibri"/>
          <w:b w:val="0"/>
          <w:bCs w:val="0"/>
          <w:i/>
          <w:iCs/>
        </w:rPr>
        <w:t>Downward, P. and Muñiz, C.</w:t>
      </w:r>
      <w:r w:rsidRPr="00D83CA7">
        <w:rPr>
          <w:rStyle w:val="apple-converted-space"/>
          <w:rFonts w:ascii="Calibri" w:eastAsiaTheme="majorEastAsia" w:hAnsi="Calibri" w:cs="Calibri"/>
          <w:i/>
          <w:iCs/>
        </w:rPr>
        <w:t> </w:t>
      </w:r>
      <w:r w:rsidRPr="00D83CA7">
        <w:rPr>
          <w:rFonts w:ascii="Calibri" w:hAnsi="Calibri" w:cs="Calibri"/>
          <w:i/>
          <w:iCs/>
        </w:rPr>
        <w:t>(2025) ‘The opportunities and challenges facing participation in different types of women’s football in England’,</w:t>
      </w:r>
      <w:r w:rsidRPr="00D83CA7">
        <w:rPr>
          <w:rStyle w:val="apple-converted-space"/>
          <w:rFonts w:ascii="Calibri" w:eastAsiaTheme="majorEastAsia" w:hAnsi="Calibri" w:cs="Calibri"/>
          <w:i/>
          <w:iCs/>
        </w:rPr>
        <w:t> </w:t>
      </w:r>
      <w:r w:rsidRPr="00D83CA7">
        <w:rPr>
          <w:rStyle w:val="Emphasis"/>
          <w:rFonts w:ascii="Calibri" w:eastAsiaTheme="majorEastAsia" w:hAnsi="Calibri" w:cs="Calibri"/>
          <w:i w:val="0"/>
          <w:iCs w:val="0"/>
        </w:rPr>
        <w:t>Sport Management Review</w:t>
      </w:r>
      <w:r w:rsidRPr="00D83CA7">
        <w:rPr>
          <w:rFonts w:ascii="Calibri" w:hAnsi="Calibri" w:cs="Calibri"/>
          <w:i/>
          <w:iCs/>
        </w:rPr>
        <w:t>. doi:10.1080/14413523.2025.2467473.</w:t>
      </w:r>
    </w:p>
    <w:p w14:paraId="08443C34" w14:textId="5EBE0AB7" w:rsidR="00245048" w:rsidRPr="00D83CA7" w:rsidRDefault="00245048" w:rsidP="00245048">
      <w:pPr>
        <w:pStyle w:val="NormalWeb"/>
        <w:rPr>
          <w:rFonts w:ascii="Calibri" w:hAnsi="Calibri" w:cs="Calibri"/>
          <w:i/>
          <w:iCs/>
        </w:rPr>
      </w:pPr>
      <w:r w:rsidRPr="00D83CA7">
        <w:rPr>
          <w:rStyle w:val="Strong"/>
          <w:rFonts w:ascii="Calibri" w:eastAsiaTheme="majorEastAsia" w:hAnsi="Calibri" w:cs="Calibri"/>
          <w:b w:val="0"/>
          <w:bCs w:val="0"/>
          <w:i/>
          <w:iCs/>
        </w:rPr>
        <w:t>Drury, S., Thelwell, R. and Weston, N.</w:t>
      </w:r>
      <w:r w:rsidRPr="00D83CA7">
        <w:rPr>
          <w:rStyle w:val="apple-converted-space"/>
          <w:rFonts w:ascii="Calibri" w:eastAsiaTheme="majorEastAsia" w:hAnsi="Calibri" w:cs="Calibri"/>
          <w:i/>
          <w:iCs/>
        </w:rPr>
        <w:t> </w:t>
      </w:r>
      <w:r w:rsidRPr="00D83CA7">
        <w:rPr>
          <w:rFonts w:ascii="Calibri" w:hAnsi="Calibri" w:cs="Calibri"/>
          <w:i/>
          <w:iCs/>
        </w:rPr>
        <w:t>(2022) ‘“I’m a referee, not a female referee”: The experiences of women involved in football as coaches and referees’,</w:t>
      </w:r>
      <w:r w:rsidRPr="00D83CA7">
        <w:rPr>
          <w:rStyle w:val="apple-converted-space"/>
          <w:rFonts w:ascii="Calibri" w:eastAsiaTheme="majorEastAsia" w:hAnsi="Calibri" w:cs="Calibri"/>
          <w:i/>
          <w:iCs/>
        </w:rPr>
        <w:t> </w:t>
      </w:r>
      <w:r w:rsidRPr="00D83CA7">
        <w:rPr>
          <w:rStyle w:val="Emphasis"/>
          <w:rFonts w:ascii="Calibri" w:eastAsiaTheme="majorEastAsia" w:hAnsi="Calibri" w:cs="Calibri"/>
          <w:i w:val="0"/>
          <w:iCs w:val="0"/>
        </w:rPr>
        <w:t>Frontiers in Sports and Active Living</w:t>
      </w:r>
      <w:r w:rsidRPr="00D83CA7">
        <w:rPr>
          <w:rFonts w:ascii="Calibri" w:hAnsi="Calibri" w:cs="Calibri"/>
          <w:i/>
          <w:iCs/>
        </w:rPr>
        <w:t>, 4, 833706. doi:10.3389/fspor.2022.833706.</w:t>
      </w:r>
    </w:p>
    <w:p w14:paraId="3CC647E5" w14:textId="3BADFAC1" w:rsidR="00245048" w:rsidRPr="00D83CA7" w:rsidRDefault="00245048" w:rsidP="00245048">
      <w:pPr>
        <w:pStyle w:val="NormalWeb"/>
        <w:rPr>
          <w:rFonts w:ascii="Calibri" w:hAnsi="Calibri" w:cs="Calibri"/>
          <w:i/>
          <w:iCs/>
        </w:rPr>
      </w:pPr>
      <w:proofErr w:type="spellStart"/>
      <w:r w:rsidRPr="00D83CA7">
        <w:rPr>
          <w:rStyle w:val="Strong"/>
          <w:rFonts w:ascii="Calibri" w:eastAsiaTheme="majorEastAsia" w:hAnsi="Calibri" w:cs="Calibri"/>
          <w:b w:val="0"/>
          <w:bCs w:val="0"/>
          <w:i/>
          <w:iCs/>
        </w:rPr>
        <w:t>Etikan</w:t>
      </w:r>
      <w:proofErr w:type="spellEnd"/>
      <w:r w:rsidRPr="00D83CA7">
        <w:rPr>
          <w:rStyle w:val="Strong"/>
          <w:rFonts w:ascii="Calibri" w:eastAsiaTheme="majorEastAsia" w:hAnsi="Calibri" w:cs="Calibri"/>
          <w:b w:val="0"/>
          <w:bCs w:val="0"/>
          <w:i/>
          <w:iCs/>
        </w:rPr>
        <w:t xml:space="preserve">, I., Musa, S. A., &amp; </w:t>
      </w:r>
      <w:proofErr w:type="spellStart"/>
      <w:r w:rsidRPr="00D83CA7">
        <w:rPr>
          <w:rStyle w:val="Strong"/>
          <w:rFonts w:ascii="Calibri" w:eastAsiaTheme="majorEastAsia" w:hAnsi="Calibri" w:cs="Calibri"/>
          <w:b w:val="0"/>
          <w:bCs w:val="0"/>
          <w:i/>
          <w:iCs/>
        </w:rPr>
        <w:t>Alkassim</w:t>
      </w:r>
      <w:proofErr w:type="spellEnd"/>
      <w:r w:rsidRPr="00D83CA7">
        <w:rPr>
          <w:rStyle w:val="Strong"/>
          <w:rFonts w:ascii="Calibri" w:eastAsiaTheme="majorEastAsia" w:hAnsi="Calibri" w:cs="Calibri"/>
          <w:b w:val="0"/>
          <w:bCs w:val="0"/>
          <w:i/>
          <w:iCs/>
        </w:rPr>
        <w:t>, R. S.</w:t>
      </w:r>
      <w:r w:rsidRPr="00D83CA7">
        <w:rPr>
          <w:rStyle w:val="apple-converted-space"/>
          <w:rFonts w:ascii="Calibri" w:eastAsiaTheme="majorEastAsia" w:hAnsi="Calibri" w:cs="Calibri"/>
          <w:i/>
          <w:iCs/>
        </w:rPr>
        <w:t> </w:t>
      </w:r>
      <w:r w:rsidRPr="00D83CA7">
        <w:rPr>
          <w:rFonts w:ascii="Calibri" w:hAnsi="Calibri" w:cs="Calibri"/>
          <w:i/>
          <w:iCs/>
        </w:rPr>
        <w:t>(2016). Comparison of convenience and purposive sampling.</w:t>
      </w:r>
      <w:r w:rsidRPr="00D83CA7">
        <w:rPr>
          <w:rStyle w:val="apple-converted-space"/>
          <w:rFonts w:ascii="Calibri" w:eastAsiaTheme="majorEastAsia" w:hAnsi="Calibri" w:cs="Calibri"/>
          <w:i/>
          <w:iCs/>
        </w:rPr>
        <w:t> </w:t>
      </w:r>
      <w:r w:rsidRPr="00D83CA7">
        <w:rPr>
          <w:rStyle w:val="Emphasis"/>
          <w:rFonts w:ascii="Calibri" w:eastAsiaTheme="majorEastAsia" w:hAnsi="Calibri" w:cs="Calibri"/>
          <w:i w:val="0"/>
          <w:iCs w:val="0"/>
        </w:rPr>
        <w:t>AJTAS</w:t>
      </w:r>
      <w:r w:rsidRPr="00D83CA7">
        <w:rPr>
          <w:rFonts w:ascii="Calibri" w:hAnsi="Calibri" w:cs="Calibri"/>
          <w:i/>
          <w:iCs/>
        </w:rPr>
        <w:t>, 5(1), 1–4.</w:t>
      </w:r>
    </w:p>
    <w:p w14:paraId="1DC0EE17" w14:textId="1C7983A6" w:rsidR="00245048" w:rsidRPr="00D83CA7" w:rsidRDefault="00245048" w:rsidP="00245048">
      <w:pPr>
        <w:pStyle w:val="NormalWeb"/>
        <w:rPr>
          <w:rFonts w:ascii="Calibri" w:hAnsi="Calibri" w:cs="Calibri"/>
          <w:i/>
          <w:iCs/>
        </w:rPr>
      </w:pPr>
      <w:r w:rsidRPr="00D83CA7">
        <w:rPr>
          <w:rStyle w:val="Strong"/>
          <w:rFonts w:ascii="Calibri" w:eastAsiaTheme="majorEastAsia" w:hAnsi="Calibri" w:cs="Calibri"/>
          <w:b w:val="0"/>
          <w:bCs w:val="0"/>
          <w:i/>
          <w:iCs/>
        </w:rPr>
        <w:t>Grice, B.</w:t>
      </w:r>
      <w:r w:rsidRPr="00D83CA7">
        <w:rPr>
          <w:rStyle w:val="apple-converted-space"/>
          <w:rFonts w:ascii="Calibri" w:eastAsiaTheme="majorEastAsia" w:hAnsi="Calibri" w:cs="Calibri"/>
          <w:i/>
          <w:iCs/>
        </w:rPr>
        <w:t> </w:t>
      </w:r>
      <w:r w:rsidRPr="00D83CA7">
        <w:rPr>
          <w:rFonts w:ascii="Calibri" w:hAnsi="Calibri" w:cs="Calibri"/>
          <w:i/>
          <w:iCs/>
        </w:rPr>
        <w:t>(2023) ‘From performing gender to symbolic violence in women’s football: school PE legacies in England’,</w:t>
      </w:r>
      <w:r w:rsidRPr="00D83CA7">
        <w:rPr>
          <w:rStyle w:val="apple-converted-space"/>
          <w:rFonts w:ascii="Calibri" w:eastAsiaTheme="majorEastAsia" w:hAnsi="Calibri" w:cs="Calibri"/>
          <w:i/>
          <w:iCs/>
        </w:rPr>
        <w:t> </w:t>
      </w:r>
      <w:r w:rsidRPr="00D83CA7">
        <w:rPr>
          <w:rStyle w:val="Emphasis"/>
          <w:rFonts w:ascii="Calibri" w:eastAsiaTheme="majorEastAsia" w:hAnsi="Calibri" w:cs="Calibri"/>
          <w:i w:val="0"/>
          <w:iCs w:val="0"/>
        </w:rPr>
        <w:t>Soccer &amp; Society</w:t>
      </w:r>
      <w:r w:rsidRPr="00D83CA7">
        <w:rPr>
          <w:rFonts w:ascii="Calibri" w:hAnsi="Calibri" w:cs="Calibri"/>
          <w:i/>
          <w:iCs/>
        </w:rPr>
        <w:t>, 26(2), pp. 1–18. doi:10.1080/23750472.2023.2170269.</w:t>
      </w:r>
    </w:p>
    <w:p w14:paraId="0D7AB04A" w14:textId="7CBC405B" w:rsidR="00245048" w:rsidRPr="00D83CA7" w:rsidRDefault="00245048" w:rsidP="00245048">
      <w:pPr>
        <w:pStyle w:val="NormalWeb"/>
        <w:rPr>
          <w:rFonts w:ascii="Calibri" w:hAnsi="Calibri" w:cs="Calibri"/>
          <w:i/>
          <w:iCs/>
        </w:rPr>
      </w:pPr>
      <w:r w:rsidRPr="00D83CA7">
        <w:rPr>
          <w:rStyle w:val="Strong"/>
          <w:rFonts w:ascii="Calibri" w:eastAsiaTheme="majorEastAsia" w:hAnsi="Calibri" w:cs="Calibri"/>
          <w:b w:val="0"/>
          <w:bCs w:val="0"/>
          <w:i/>
          <w:iCs/>
        </w:rPr>
        <w:t>Gubby, L.</w:t>
      </w:r>
      <w:r w:rsidRPr="00D83CA7">
        <w:rPr>
          <w:rStyle w:val="apple-converted-space"/>
          <w:rFonts w:ascii="Calibri" w:eastAsiaTheme="majorEastAsia" w:hAnsi="Calibri" w:cs="Calibri"/>
          <w:i/>
          <w:iCs/>
        </w:rPr>
        <w:t> </w:t>
      </w:r>
      <w:r w:rsidRPr="00D83CA7">
        <w:rPr>
          <w:rFonts w:ascii="Calibri" w:hAnsi="Calibri" w:cs="Calibri"/>
          <w:i/>
          <w:iCs/>
        </w:rPr>
        <w:t>(2024) ‘Sexism, abuse and threatening behaviour: Experiences of women football referees in amateur and semi-professional men’s football in the UK’,</w:t>
      </w:r>
      <w:r w:rsidRPr="00D83CA7">
        <w:rPr>
          <w:rStyle w:val="apple-converted-space"/>
          <w:rFonts w:ascii="Calibri" w:eastAsiaTheme="majorEastAsia" w:hAnsi="Calibri" w:cs="Calibri"/>
          <w:i/>
          <w:iCs/>
        </w:rPr>
        <w:t> </w:t>
      </w:r>
      <w:r w:rsidRPr="00D83CA7">
        <w:rPr>
          <w:rStyle w:val="Emphasis"/>
          <w:rFonts w:ascii="Calibri" w:eastAsiaTheme="majorEastAsia" w:hAnsi="Calibri" w:cs="Calibri"/>
          <w:i w:val="0"/>
          <w:iCs w:val="0"/>
        </w:rPr>
        <w:t>Sport, Education and Society</w:t>
      </w:r>
      <w:r w:rsidRPr="00D83CA7">
        <w:rPr>
          <w:rFonts w:ascii="Calibri" w:hAnsi="Calibri" w:cs="Calibri"/>
          <w:i/>
          <w:iCs/>
        </w:rPr>
        <w:t>. doi:10.1080/13573322.2024.2324376.</w:t>
      </w:r>
    </w:p>
    <w:p w14:paraId="36C9C8BF" w14:textId="5CFDE715" w:rsidR="00245048" w:rsidRPr="00D83CA7" w:rsidRDefault="00245048" w:rsidP="00245048">
      <w:pPr>
        <w:pStyle w:val="NormalWeb"/>
        <w:rPr>
          <w:rFonts w:ascii="Calibri" w:hAnsi="Calibri" w:cs="Calibri"/>
          <w:i/>
          <w:iCs/>
        </w:rPr>
      </w:pPr>
      <w:r w:rsidRPr="00D83CA7">
        <w:rPr>
          <w:rStyle w:val="Strong"/>
          <w:rFonts w:ascii="Calibri" w:eastAsiaTheme="majorEastAsia" w:hAnsi="Calibri" w:cs="Calibri"/>
          <w:b w:val="0"/>
          <w:bCs w:val="0"/>
          <w:i/>
          <w:iCs/>
        </w:rPr>
        <w:t xml:space="preserve">Hoye, R., </w:t>
      </w:r>
      <w:proofErr w:type="spellStart"/>
      <w:r w:rsidRPr="00D83CA7">
        <w:rPr>
          <w:rStyle w:val="Strong"/>
          <w:rFonts w:ascii="Calibri" w:eastAsiaTheme="majorEastAsia" w:hAnsi="Calibri" w:cs="Calibri"/>
          <w:b w:val="0"/>
          <w:bCs w:val="0"/>
          <w:i/>
          <w:iCs/>
        </w:rPr>
        <w:t>Kappelides</w:t>
      </w:r>
      <w:proofErr w:type="spellEnd"/>
      <w:r w:rsidRPr="00D83CA7">
        <w:rPr>
          <w:rStyle w:val="Strong"/>
          <w:rFonts w:ascii="Calibri" w:eastAsiaTheme="majorEastAsia" w:hAnsi="Calibri" w:cs="Calibri"/>
          <w:b w:val="0"/>
          <w:bCs w:val="0"/>
          <w:i/>
          <w:iCs/>
        </w:rPr>
        <w:t>, P. and Baxter, H.</w:t>
      </w:r>
      <w:r w:rsidRPr="00D83CA7">
        <w:rPr>
          <w:rStyle w:val="apple-converted-space"/>
          <w:rFonts w:ascii="Calibri" w:eastAsiaTheme="majorEastAsia" w:hAnsi="Calibri" w:cs="Calibri"/>
          <w:i/>
          <w:iCs/>
        </w:rPr>
        <w:t> </w:t>
      </w:r>
      <w:r w:rsidRPr="00D83CA7">
        <w:rPr>
          <w:rFonts w:ascii="Calibri" w:hAnsi="Calibri" w:cs="Calibri"/>
          <w:i/>
          <w:iCs/>
        </w:rPr>
        <w:t>(2025) ‘The experiences of women coaches in community sport’,</w:t>
      </w:r>
      <w:r w:rsidRPr="00D83CA7">
        <w:rPr>
          <w:rStyle w:val="apple-converted-space"/>
          <w:rFonts w:ascii="Calibri" w:eastAsiaTheme="majorEastAsia" w:hAnsi="Calibri" w:cs="Calibri"/>
          <w:i/>
          <w:iCs/>
        </w:rPr>
        <w:t> </w:t>
      </w:r>
      <w:r w:rsidRPr="00D83CA7">
        <w:rPr>
          <w:rStyle w:val="Emphasis"/>
          <w:rFonts w:ascii="Calibri" w:eastAsiaTheme="majorEastAsia" w:hAnsi="Calibri" w:cs="Calibri"/>
          <w:i w:val="0"/>
          <w:iCs w:val="0"/>
        </w:rPr>
        <w:t>Women in Sport and Physical Activity Journal</w:t>
      </w:r>
      <w:r w:rsidRPr="00D83CA7">
        <w:rPr>
          <w:rFonts w:ascii="Calibri" w:hAnsi="Calibri" w:cs="Calibri"/>
          <w:i/>
          <w:iCs/>
        </w:rPr>
        <w:t>, 31(2), pp. 147–159. doi:10.1080/21640629.2025.2462900.</w:t>
      </w:r>
    </w:p>
    <w:p w14:paraId="76271443" w14:textId="1396EC92" w:rsidR="00245048" w:rsidRPr="00D83CA7" w:rsidRDefault="00245048" w:rsidP="00245048">
      <w:pPr>
        <w:pStyle w:val="NormalWeb"/>
        <w:rPr>
          <w:rFonts w:ascii="Calibri" w:hAnsi="Calibri" w:cs="Calibri"/>
          <w:i/>
          <w:iCs/>
        </w:rPr>
      </w:pPr>
      <w:r w:rsidRPr="00D83CA7">
        <w:rPr>
          <w:rStyle w:val="Strong"/>
          <w:rFonts w:ascii="Calibri" w:eastAsiaTheme="majorEastAsia" w:hAnsi="Calibri" w:cs="Calibri"/>
          <w:b w:val="0"/>
          <w:bCs w:val="0"/>
          <w:i/>
          <w:iCs/>
        </w:rPr>
        <w:t>Lincoln, Y. S., &amp; Guba, E. G.</w:t>
      </w:r>
      <w:r w:rsidRPr="00D83CA7">
        <w:rPr>
          <w:rStyle w:val="apple-converted-space"/>
          <w:rFonts w:ascii="Calibri" w:eastAsiaTheme="majorEastAsia" w:hAnsi="Calibri" w:cs="Calibri"/>
          <w:i/>
          <w:iCs/>
        </w:rPr>
        <w:t> </w:t>
      </w:r>
      <w:r w:rsidRPr="00D83CA7">
        <w:rPr>
          <w:rFonts w:ascii="Calibri" w:hAnsi="Calibri" w:cs="Calibri"/>
          <w:i/>
          <w:iCs/>
        </w:rPr>
        <w:t>(1985).</w:t>
      </w:r>
      <w:r w:rsidRPr="00D83CA7">
        <w:rPr>
          <w:rStyle w:val="apple-converted-space"/>
          <w:rFonts w:ascii="Calibri" w:eastAsiaTheme="majorEastAsia" w:hAnsi="Calibri" w:cs="Calibri"/>
          <w:i/>
          <w:iCs/>
        </w:rPr>
        <w:t> </w:t>
      </w:r>
      <w:r w:rsidRPr="00D83CA7">
        <w:rPr>
          <w:rStyle w:val="Emphasis"/>
          <w:rFonts w:ascii="Calibri" w:eastAsiaTheme="majorEastAsia" w:hAnsi="Calibri" w:cs="Calibri"/>
          <w:i w:val="0"/>
          <w:iCs w:val="0"/>
        </w:rPr>
        <w:t>Naturalistic Inquiry</w:t>
      </w:r>
      <w:r w:rsidRPr="00D83CA7">
        <w:rPr>
          <w:rFonts w:ascii="Calibri" w:hAnsi="Calibri" w:cs="Calibri"/>
          <w:i/>
          <w:iCs/>
        </w:rPr>
        <w:t>. Sage.</w:t>
      </w:r>
    </w:p>
    <w:p w14:paraId="5441361D" w14:textId="1FFE4BA6" w:rsidR="00245048" w:rsidRPr="00D83CA7" w:rsidRDefault="00245048" w:rsidP="00245048">
      <w:pPr>
        <w:pStyle w:val="NormalWeb"/>
        <w:rPr>
          <w:rFonts w:ascii="Calibri" w:hAnsi="Calibri" w:cs="Calibri"/>
          <w:i/>
          <w:iCs/>
        </w:rPr>
      </w:pPr>
      <w:r w:rsidRPr="00D83CA7">
        <w:rPr>
          <w:rStyle w:val="Strong"/>
          <w:rFonts w:ascii="Calibri" w:eastAsiaTheme="majorEastAsia" w:hAnsi="Calibri" w:cs="Calibri"/>
          <w:b w:val="0"/>
          <w:bCs w:val="0"/>
          <w:i/>
          <w:iCs/>
        </w:rPr>
        <w:t>Pinel, C., et al.</w:t>
      </w:r>
      <w:r w:rsidRPr="00D83CA7">
        <w:rPr>
          <w:rStyle w:val="apple-converted-space"/>
          <w:rFonts w:ascii="Calibri" w:eastAsiaTheme="majorEastAsia" w:hAnsi="Calibri" w:cs="Calibri"/>
          <w:i/>
          <w:iCs/>
        </w:rPr>
        <w:t> </w:t>
      </w:r>
      <w:r w:rsidRPr="00D83CA7">
        <w:rPr>
          <w:rFonts w:ascii="Calibri" w:hAnsi="Calibri" w:cs="Calibri"/>
          <w:i/>
          <w:iCs/>
        </w:rPr>
        <w:t>(2022) ‘The impact and experienced barriers menstruation presents to participation and performance in UK amateur women footballers’, [Institutional repository preprint], St Mary’s University, Twickenham. Available at:</w:t>
      </w:r>
      <w:r w:rsidRPr="00D83CA7">
        <w:rPr>
          <w:rStyle w:val="apple-converted-space"/>
          <w:rFonts w:ascii="Calibri" w:eastAsiaTheme="majorEastAsia" w:hAnsi="Calibri" w:cs="Calibri"/>
          <w:i/>
          <w:iCs/>
        </w:rPr>
        <w:t> </w:t>
      </w:r>
      <w:hyperlink r:id="rId6" w:tgtFrame="_new" w:history="1">
        <w:r w:rsidRPr="00D83CA7">
          <w:rPr>
            <w:rStyle w:val="Hyperlink"/>
            <w:rFonts w:ascii="Calibri" w:eastAsiaTheme="majorEastAsia" w:hAnsi="Calibri" w:cs="Calibri"/>
            <w:i/>
            <w:iCs/>
          </w:rPr>
          <w:t>https://research.stmarys.ac.uk/id/eprint/5777/</w:t>
        </w:r>
      </w:hyperlink>
      <w:r w:rsidRPr="00D83CA7">
        <w:rPr>
          <w:rStyle w:val="apple-converted-space"/>
          <w:rFonts w:ascii="Calibri" w:eastAsiaTheme="majorEastAsia" w:hAnsi="Calibri" w:cs="Calibri"/>
          <w:i/>
          <w:iCs/>
        </w:rPr>
        <w:t> </w:t>
      </w:r>
      <w:r w:rsidRPr="00D83CA7">
        <w:rPr>
          <w:rFonts w:ascii="Calibri" w:hAnsi="Calibri" w:cs="Calibri"/>
          <w:i/>
          <w:iCs/>
        </w:rPr>
        <w:t>(Accessed: 21 October 2025).</w:t>
      </w:r>
    </w:p>
    <w:p w14:paraId="64C5E667" w14:textId="7676D04A" w:rsidR="00245048" w:rsidRPr="00D83CA7" w:rsidRDefault="00245048" w:rsidP="00245048">
      <w:pPr>
        <w:pStyle w:val="NormalWeb"/>
        <w:rPr>
          <w:rFonts w:ascii="Calibri" w:hAnsi="Calibri" w:cs="Calibri"/>
          <w:i/>
          <w:iCs/>
        </w:rPr>
      </w:pPr>
      <w:r w:rsidRPr="00D83CA7">
        <w:rPr>
          <w:rStyle w:val="Strong"/>
          <w:rFonts w:ascii="Calibri" w:eastAsiaTheme="majorEastAsia" w:hAnsi="Calibri" w:cs="Calibri"/>
          <w:b w:val="0"/>
          <w:bCs w:val="0"/>
          <w:i/>
          <w:iCs/>
        </w:rPr>
        <w:t>Welford, J.</w:t>
      </w:r>
      <w:r w:rsidRPr="00D83CA7">
        <w:rPr>
          <w:rStyle w:val="apple-converted-space"/>
          <w:rFonts w:ascii="Calibri" w:eastAsiaTheme="majorEastAsia" w:hAnsi="Calibri" w:cs="Calibri"/>
          <w:i/>
          <w:iCs/>
        </w:rPr>
        <w:t> </w:t>
      </w:r>
      <w:r w:rsidRPr="00D83CA7">
        <w:rPr>
          <w:rFonts w:ascii="Calibri" w:hAnsi="Calibri" w:cs="Calibri"/>
          <w:i/>
          <w:iCs/>
        </w:rPr>
        <w:t>(2011)</w:t>
      </w:r>
      <w:r w:rsidRPr="00D83CA7">
        <w:rPr>
          <w:rStyle w:val="apple-converted-space"/>
          <w:rFonts w:ascii="Calibri" w:eastAsiaTheme="majorEastAsia" w:hAnsi="Calibri" w:cs="Calibri"/>
          <w:i/>
          <w:iCs/>
        </w:rPr>
        <w:t> </w:t>
      </w:r>
      <w:r w:rsidRPr="00D83CA7">
        <w:rPr>
          <w:rStyle w:val="Emphasis"/>
          <w:rFonts w:ascii="Calibri" w:eastAsiaTheme="majorEastAsia" w:hAnsi="Calibri" w:cs="Calibri"/>
          <w:i w:val="0"/>
          <w:iCs w:val="0"/>
        </w:rPr>
        <w:t>What’s the score? Women in football in England</w:t>
      </w:r>
      <w:r w:rsidRPr="00D83CA7">
        <w:rPr>
          <w:rFonts w:ascii="Calibri" w:hAnsi="Calibri" w:cs="Calibri"/>
          <w:i/>
          <w:iCs/>
        </w:rPr>
        <w:t>. Loughborough: Loughborough University (PhD thesis). Available at:</w:t>
      </w:r>
      <w:r w:rsidRPr="00D83CA7">
        <w:rPr>
          <w:rStyle w:val="apple-converted-space"/>
          <w:rFonts w:ascii="Calibri" w:eastAsiaTheme="majorEastAsia" w:hAnsi="Calibri" w:cs="Calibri"/>
          <w:i/>
          <w:iCs/>
        </w:rPr>
        <w:t> </w:t>
      </w:r>
      <w:hyperlink r:id="rId7" w:tgtFrame="_new" w:history="1">
        <w:r w:rsidRPr="00D83CA7">
          <w:rPr>
            <w:rStyle w:val="Hyperlink"/>
            <w:rFonts w:ascii="Calibri" w:eastAsiaTheme="majorEastAsia" w:hAnsi="Calibri" w:cs="Calibri"/>
            <w:i/>
            <w:iCs/>
          </w:rPr>
          <w:t>https://repository.lboro.ac.uk/</w:t>
        </w:r>
      </w:hyperlink>
      <w:r w:rsidRPr="00D83CA7">
        <w:rPr>
          <w:rStyle w:val="apple-converted-space"/>
          <w:rFonts w:ascii="Calibri" w:eastAsiaTheme="majorEastAsia" w:hAnsi="Calibri" w:cs="Calibri"/>
          <w:i/>
          <w:iCs/>
        </w:rPr>
        <w:t> </w:t>
      </w:r>
      <w:r w:rsidRPr="00D83CA7">
        <w:rPr>
          <w:rFonts w:ascii="Calibri" w:hAnsi="Calibri" w:cs="Calibri"/>
          <w:i/>
          <w:iCs/>
        </w:rPr>
        <w:t>(Accessed: 21 October 2025).</w:t>
      </w:r>
    </w:p>
    <w:p w14:paraId="2977CE37" w14:textId="77777777" w:rsidR="002C4569" w:rsidRPr="00016E72" w:rsidRDefault="002C4569">
      <w:pPr>
        <w:rPr>
          <w:rFonts w:ascii="Times New Roman" w:hAnsi="Times New Roman" w:cs="Times New Roman"/>
          <w:b/>
          <w:bCs/>
        </w:rPr>
      </w:pPr>
    </w:p>
    <w:sectPr w:rsidR="002C4569" w:rsidRPr="00016E7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83243FB"/>
    <w:multiLevelType w:val="multilevel"/>
    <w:tmpl w:val="791CAC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697530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20C1"/>
    <w:rsid w:val="00016E72"/>
    <w:rsid w:val="00034323"/>
    <w:rsid w:val="00050A3B"/>
    <w:rsid w:val="0005635A"/>
    <w:rsid w:val="00060A38"/>
    <w:rsid w:val="000662A2"/>
    <w:rsid w:val="000D2C00"/>
    <w:rsid w:val="000E7EDD"/>
    <w:rsid w:val="0013519F"/>
    <w:rsid w:val="001743D6"/>
    <w:rsid w:val="00190EC1"/>
    <w:rsid w:val="001B2FDC"/>
    <w:rsid w:val="001B5594"/>
    <w:rsid w:val="001B793C"/>
    <w:rsid w:val="001C186D"/>
    <w:rsid w:val="001C6C10"/>
    <w:rsid w:val="001E0677"/>
    <w:rsid w:val="001E2C3F"/>
    <w:rsid w:val="001F72CA"/>
    <w:rsid w:val="002114E4"/>
    <w:rsid w:val="00245048"/>
    <w:rsid w:val="00260E81"/>
    <w:rsid w:val="002731A0"/>
    <w:rsid w:val="00287E30"/>
    <w:rsid w:val="00291B2C"/>
    <w:rsid w:val="002C16A4"/>
    <w:rsid w:val="002C3C10"/>
    <w:rsid w:val="002C4569"/>
    <w:rsid w:val="002C6462"/>
    <w:rsid w:val="0030324B"/>
    <w:rsid w:val="00303E6E"/>
    <w:rsid w:val="003052B3"/>
    <w:rsid w:val="0030637A"/>
    <w:rsid w:val="00307AA6"/>
    <w:rsid w:val="003379A8"/>
    <w:rsid w:val="00345A13"/>
    <w:rsid w:val="00362367"/>
    <w:rsid w:val="003632B5"/>
    <w:rsid w:val="00382A21"/>
    <w:rsid w:val="0039252A"/>
    <w:rsid w:val="003D145A"/>
    <w:rsid w:val="0041018A"/>
    <w:rsid w:val="00436B17"/>
    <w:rsid w:val="00437F8D"/>
    <w:rsid w:val="00454ACF"/>
    <w:rsid w:val="00471D50"/>
    <w:rsid w:val="004A56EE"/>
    <w:rsid w:val="004C6F62"/>
    <w:rsid w:val="004D41F0"/>
    <w:rsid w:val="004D4428"/>
    <w:rsid w:val="004E4F2B"/>
    <w:rsid w:val="004E567E"/>
    <w:rsid w:val="00510CCC"/>
    <w:rsid w:val="00530AD6"/>
    <w:rsid w:val="005342CE"/>
    <w:rsid w:val="0053613C"/>
    <w:rsid w:val="005773D6"/>
    <w:rsid w:val="005B5575"/>
    <w:rsid w:val="005D3A10"/>
    <w:rsid w:val="005E056C"/>
    <w:rsid w:val="00666196"/>
    <w:rsid w:val="00693581"/>
    <w:rsid w:val="006945FD"/>
    <w:rsid w:val="006A4A72"/>
    <w:rsid w:val="006A7C04"/>
    <w:rsid w:val="006D51E3"/>
    <w:rsid w:val="00745DFB"/>
    <w:rsid w:val="00764BBB"/>
    <w:rsid w:val="007801A6"/>
    <w:rsid w:val="00790FD8"/>
    <w:rsid w:val="007A04F1"/>
    <w:rsid w:val="007D413B"/>
    <w:rsid w:val="007D59C3"/>
    <w:rsid w:val="007E11B1"/>
    <w:rsid w:val="007E3899"/>
    <w:rsid w:val="007E44F1"/>
    <w:rsid w:val="007F47D7"/>
    <w:rsid w:val="00820F5D"/>
    <w:rsid w:val="008520C1"/>
    <w:rsid w:val="0087556C"/>
    <w:rsid w:val="008763F5"/>
    <w:rsid w:val="00893C73"/>
    <w:rsid w:val="008D70F7"/>
    <w:rsid w:val="008E27F6"/>
    <w:rsid w:val="00911AB3"/>
    <w:rsid w:val="0092019A"/>
    <w:rsid w:val="00930B78"/>
    <w:rsid w:val="00942198"/>
    <w:rsid w:val="009436B5"/>
    <w:rsid w:val="009458B1"/>
    <w:rsid w:val="00967B1C"/>
    <w:rsid w:val="009974DA"/>
    <w:rsid w:val="009B0AE0"/>
    <w:rsid w:val="009B2BAC"/>
    <w:rsid w:val="009B41F6"/>
    <w:rsid w:val="009B5730"/>
    <w:rsid w:val="009C2DDE"/>
    <w:rsid w:val="009D4DB6"/>
    <w:rsid w:val="009F4535"/>
    <w:rsid w:val="00A21E4F"/>
    <w:rsid w:val="00A54C14"/>
    <w:rsid w:val="00A86079"/>
    <w:rsid w:val="00AA38F1"/>
    <w:rsid w:val="00AB5CD6"/>
    <w:rsid w:val="00AC3513"/>
    <w:rsid w:val="00AC35CC"/>
    <w:rsid w:val="00AC63B0"/>
    <w:rsid w:val="00AC71DC"/>
    <w:rsid w:val="00AE0B15"/>
    <w:rsid w:val="00AE28BD"/>
    <w:rsid w:val="00AF199C"/>
    <w:rsid w:val="00AF3D42"/>
    <w:rsid w:val="00B0178E"/>
    <w:rsid w:val="00B0511F"/>
    <w:rsid w:val="00B06231"/>
    <w:rsid w:val="00B07C4B"/>
    <w:rsid w:val="00B17D65"/>
    <w:rsid w:val="00B278D3"/>
    <w:rsid w:val="00B362AD"/>
    <w:rsid w:val="00B40D4E"/>
    <w:rsid w:val="00B442A3"/>
    <w:rsid w:val="00B61C0B"/>
    <w:rsid w:val="00B82E5D"/>
    <w:rsid w:val="00BA68A5"/>
    <w:rsid w:val="00BB76B0"/>
    <w:rsid w:val="00BE02E6"/>
    <w:rsid w:val="00BE5A11"/>
    <w:rsid w:val="00C012B1"/>
    <w:rsid w:val="00C044C4"/>
    <w:rsid w:val="00C064C4"/>
    <w:rsid w:val="00C47CAA"/>
    <w:rsid w:val="00C90A7D"/>
    <w:rsid w:val="00CB1BB2"/>
    <w:rsid w:val="00CD4495"/>
    <w:rsid w:val="00CD5C7B"/>
    <w:rsid w:val="00CF1A4F"/>
    <w:rsid w:val="00D203D8"/>
    <w:rsid w:val="00D4775B"/>
    <w:rsid w:val="00D615B5"/>
    <w:rsid w:val="00D76A1A"/>
    <w:rsid w:val="00D83CA7"/>
    <w:rsid w:val="00D87816"/>
    <w:rsid w:val="00DB03EC"/>
    <w:rsid w:val="00DB7AEB"/>
    <w:rsid w:val="00DC096C"/>
    <w:rsid w:val="00DD5741"/>
    <w:rsid w:val="00DE6504"/>
    <w:rsid w:val="00E16E4B"/>
    <w:rsid w:val="00E4281D"/>
    <w:rsid w:val="00E503D3"/>
    <w:rsid w:val="00E537D3"/>
    <w:rsid w:val="00E85B7D"/>
    <w:rsid w:val="00E97953"/>
    <w:rsid w:val="00EC12DF"/>
    <w:rsid w:val="00EE3052"/>
    <w:rsid w:val="00F224CE"/>
    <w:rsid w:val="00F362C3"/>
    <w:rsid w:val="00F448A6"/>
    <w:rsid w:val="00F85E94"/>
    <w:rsid w:val="00F972F2"/>
    <w:rsid w:val="00FC03DB"/>
    <w:rsid w:val="00FF0F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4C80DC"/>
  <w15:chartTrackingRefBased/>
  <w15:docId w15:val="{12EB1D78-A01F-6E43-AFD5-A82439220D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520C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520C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520C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520C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520C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520C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520C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520C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520C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20C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520C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520C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520C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520C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520C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520C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520C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520C1"/>
    <w:rPr>
      <w:rFonts w:eastAsiaTheme="majorEastAsia" w:cstheme="majorBidi"/>
      <w:color w:val="272727" w:themeColor="text1" w:themeTint="D8"/>
    </w:rPr>
  </w:style>
  <w:style w:type="paragraph" w:styleId="Title">
    <w:name w:val="Title"/>
    <w:basedOn w:val="Normal"/>
    <w:next w:val="Normal"/>
    <w:link w:val="TitleChar"/>
    <w:uiPriority w:val="10"/>
    <w:qFormat/>
    <w:rsid w:val="008520C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520C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520C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520C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520C1"/>
    <w:pPr>
      <w:spacing w:before="160"/>
      <w:jc w:val="center"/>
    </w:pPr>
    <w:rPr>
      <w:i/>
      <w:iCs/>
      <w:color w:val="404040" w:themeColor="text1" w:themeTint="BF"/>
    </w:rPr>
  </w:style>
  <w:style w:type="character" w:customStyle="1" w:styleId="QuoteChar">
    <w:name w:val="Quote Char"/>
    <w:basedOn w:val="DefaultParagraphFont"/>
    <w:link w:val="Quote"/>
    <w:uiPriority w:val="29"/>
    <w:rsid w:val="008520C1"/>
    <w:rPr>
      <w:i/>
      <w:iCs/>
      <w:color w:val="404040" w:themeColor="text1" w:themeTint="BF"/>
    </w:rPr>
  </w:style>
  <w:style w:type="paragraph" w:styleId="ListParagraph">
    <w:name w:val="List Paragraph"/>
    <w:basedOn w:val="Normal"/>
    <w:uiPriority w:val="34"/>
    <w:qFormat/>
    <w:rsid w:val="008520C1"/>
    <w:pPr>
      <w:ind w:left="720"/>
      <w:contextualSpacing/>
    </w:pPr>
  </w:style>
  <w:style w:type="character" w:styleId="IntenseEmphasis">
    <w:name w:val="Intense Emphasis"/>
    <w:basedOn w:val="DefaultParagraphFont"/>
    <w:uiPriority w:val="21"/>
    <w:qFormat/>
    <w:rsid w:val="008520C1"/>
    <w:rPr>
      <w:i/>
      <w:iCs/>
      <w:color w:val="0F4761" w:themeColor="accent1" w:themeShade="BF"/>
    </w:rPr>
  </w:style>
  <w:style w:type="paragraph" w:styleId="IntenseQuote">
    <w:name w:val="Intense Quote"/>
    <w:basedOn w:val="Normal"/>
    <w:next w:val="Normal"/>
    <w:link w:val="IntenseQuoteChar"/>
    <w:uiPriority w:val="30"/>
    <w:qFormat/>
    <w:rsid w:val="008520C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520C1"/>
    <w:rPr>
      <w:i/>
      <w:iCs/>
      <w:color w:val="0F4761" w:themeColor="accent1" w:themeShade="BF"/>
    </w:rPr>
  </w:style>
  <w:style w:type="character" w:styleId="IntenseReference">
    <w:name w:val="Intense Reference"/>
    <w:basedOn w:val="DefaultParagraphFont"/>
    <w:uiPriority w:val="32"/>
    <w:qFormat/>
    <w:rsid w:val="008520C1"/>
    <w:rPr>
      <w:b/>
      <w:bCs/>
      <w:smallCaps/>
      <w:color w:val="0F4761" w:themeColor="accent1" w:themeShade="BF"/>
      <w:spacing w:val="5"/>
    </w:rPr>
  </w:style>
  <w:style w:type="table" w:styleId="TableGrid">
    <w:name w:val="Table Grid"/>
    <w:basedOn w:val="TableNormal"/>
    <w:uiPriority w:val="39"/>
    <w:rsid w:val="00F224C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B573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9B5730"/>
  </w:style>
  <w:style w:type="character" w:styleId="Strong">
    <w:name w:val="Strong"/>
    <w:basedOn w:val="DefaultParagraphFont"/>
    <w:uiPriority w:val="22"/>
    <w:qFormat/>
    <w:rsid w:val="009B5730"/>
    <w:rPr>
      <w:b/>
      <w:bCs/>
    </w:rPr>
  </w:style>
  <w:style w:type="character" w:styleId="Emphasis">
    <w:name w:val="Emphasis"/>
    <w:basedOn w:val="DefaultParagraphFont"/>
    <w:uiPriority w:val="20"/>
    <w:qFormat/>
    <w:rsid w:val="00B06231"/>
    <w:rPr>
      <w:i/>
      <w:iCs/>
    </w:rPr>
  </w:style>
  <w:style w:type="character" w:customStyle="1" w:styleId="ms-1">
    <w:name w:val="ms-1"/>
    <w:basedOn w:val="DefaultParagraphFont"/>
    <w:rsid w:val="009B0AE0"/>
  </w:style>
  <w:style w:type="character" w:customStyle="1" w:styleId="max-w-15ch">
    <w:name w:val="max-w-[15ch]"/>
    <w:basedOn w:val="DefaultParagraphFont"/>
    <w:rsid w:val="009B0AE0"/>
  </w:style>
  <w:style w:type="character" w:customStyle="1" w:styleId="-me-1">
    <w:name w:val="-me-1"/>
    <w:basedOn w:val="DefaultParagraphFont"/>
    <w:rsid w:val="009B0AE0"/>
  </w:style>
  <w:style w:type="character" w:styleId="Hyperlink">
    <w:name w:val="Hyperlink"/>
    <w:basedOn w:val="DefaultParagraphFont"/>
    <w:uiPriority w:val="99"/>
    <w:semiHidden/>
    <w:unhideWhenUsed/>
    <w:rsid w:val="0030324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2024125">
      <w:bodyDiv w:val="1"/>
      <w:marLeft w:val="0"/>
      <w:marRight w:val="0"/>
      <w:marTop w:val="0"/>
      <w:marBottom w:val="0"/>
      <w:divBdr>
        <w:top w:val="none" w:sz="0" w:space="0" w:color="auto"/>
        <w:left w:val="none" w:sz="0" w:space="0" w:color="auto"/>
        <w:bottom w:val="none" w:sz="0" w:space="0" w:color="auto"/>
        <w:right w:val="none" w:sz="0" w:space="0" w:color="auto"/>
      </w:divBdr>
    </w:div>
    <w:div w:id="344212638">
      <w:bodyDiv w:val="1"/>
      <w:marLeft w:val="0"/>
      <w:marRight w:val="0"/>
      <w:marTop w:val="0"/>
      <w:marBottom w:val="0"/>
      <w:divBdr>
        <w:top w:val="none" w:sz="0" w:space="0" w:color="auto"/>
        <w:left w:val="none" w:sz="0" w:space="0" w:color="auto"/>
        <w:bottom w:val="none" w:sz="0" w:space="0" w:color="auto"/>
        <w:right w:val="none" w:sz="0" w:space="0" w:color="auto"/>
      </w:divBdr>
    </w:div>
    <w:div w:id="464540270">
      <w:bodyDiv w:val="1"/>
      <w:marLeft w:val="0"/>
      <w:marRight w:val="0"/>
      <w:marTop w:val="0"/>
      <w:marBottom w:val="0"/>
      <w:divBdr>
        <w:top w:val="none" w:sz="0" w:space="0" w:color="auto"/>
        <w:left w:val="none" w:sz="0" w:space="0" w:color="auto"/>
        <w:bottom w:val="none" w:sz="0" w:space="0" w:color="auto"/>
        <w:right w:val="none" w:sz="0" w:space="0" w:color="auto"/>
      </w:divBdr>
    </w:div>
    <w:div w:id="470632033">
      <w:bodyDiv w:val="1"/>
      <w:marLeft w:val="0"/>
      <w:marRight w:val="0"/>
      <w:marTop w:val="0"/>
      <w:marBottom w:val="0"/>
      <w:divBdr>
        <w:top w:val="none" w:sz="0" w:space="0" w:color="auto"/>
        <w:left w:val="none" w:sz="0" w:space="0" w:color="auto"/>
        <w:bottom w:val="none" w:sz="0" w:space="0" w:color="auto"/>
        <w:right w:val="none" w:sz="0" w:space="0" w:color="auto"/>
      </w:divBdr>
    </w:div>
    <w:div w:id="886144191">
      <w:bodyDiv w:val="1"/>
      <w:marLeft w:val="0"/>
      <w:marRight w:val="0"/>
      <w:marTop w:val="0"/>
      <w:marBottom w:val="0"/>
      <w:divBdr>
        <w:top w:val="none" w:sz="0" w:space="0" w:color="auto"/>
        <w:left w:val="none" w:sz="0" w:space="0" w:color="auto"/>
        <w:bottom w:val="none" w:sz="0" w:space="0" w:color="auto"/>
        <w:right w:val="none" w:sz="0" w:space="0" w:color="auto"/>
      </w:divBdr>
    </w:div>
    <w:div w:id="1056512395">
      <w:bodyDiv w:val="1"/>
      <w:marLeft w:val="0"/>
      <w:marRight w:val="0"/>
      <w:marTop w:val="0"/>
      <w:marBottom w:val="0"/>
      <w:divBdr>
        <w:top w:val="none" w:sz="0" w:space="0" w:color="auto"/>
        <w:left w:val="none" w:sz="0" w:space="0" w:color="auto"/>
        <w:bottom w:val="none" w:sz="0" w:space="0" w:color="auto"/>
        <w:right w:val="none" w:sz="0" w:space="0" w:color="auto"/>
      </w:divBdr>
      <w:divsChild>
        <w:div w:id="1994600794">
          <w:marLeft w:val="0"/>
          <w:marRight w:val="0"/>
          <w:marTop w:val="0"/>
          <w:marBottom w:val="0"/>
          <w:divBdr>
            <w:top w:val="none" w:sz="0" w:space="0" w:color="auto"/>
            <w:left w:val="none" w:sz="0" w:space="0" w:color="auto"/>
            <w:bottom w:val="none" w:sz="0" w:space="0" w:color="auto"/>
            <w:right w:val="none" w:sz="0" w:space="0" w:color="auto"/>
          </w:divBdr>
          <w:divsChild>
            <w:div w:id="1611038425">
              <w:marLeft w:val="0"/>
              <w:marRight w:val="0"/>
              <w:marTop w:val="0"/>
              <w:marBottom w:val="0"/>
              <w:divBdr>
                <w:top w:val="none" w:sz="0" w:space="0" w:color="auto"/>
                <w:left w:val="none" w:sz="0" w:space="0" w:color="auto"/>
                <w:bottom w:val="none" w:sz="0" w:space="0" w:color="auto"/>
                <w:right w:val="none" w:sz="0" w:space="0" w:color="auto"/>
              </w:divBdr>
              <w:divsChild>
                <w:div w:id="1469083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472403">
          <w:marLeft w:val="0"/>
          <w:marRight w:val="0"/>
          <w:marTop w:val="0"/>
          <w:marBottom w:val="0"/>
          <w:divBdr>
            <w:top w:val="none" w:sz="0" w:space="0" w:color="auto"/>
            <w:left w:val="none" w:sz="0" w:space="0" w:color="auto"/>
            <w:bottom w:val="none" w:sz="0" w:space="0" w:color="auto"/>
            <w:right w:val="none" w:sz="0" w:space="0" w:color="auto"/>
          </w:divBdr>
          <w:divsChild>
            <w:div w:id="423648353">
              <w:marLeft w:val="0"/>
              <w:marRight w:val="0"/>
              <w:marTop w:val="0"/>
              <w:marBottom w:val="0"/>
              <w:divBdr>
                <w:top w:val="none" w:sz="0" w:space="0" w:color="auto"/>
                <w:left w:val="none" w:sz="0" w:space="0" w:color="auto"/>
                <w:bottom w:val="none" w:sz="0" w:space="0" w:color="auto"/>
                <w:right w:val="none" w:sz="0" w:space="0" w:color="auto"/>
              </w:divBdr>
              <w:divsChild>
                <w:div w:id="1464150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2156660">
      <w:bodyDiv w:val="1"/>
      <w:marLeft w:val="0"/>
      <w:marRight w:val="0"/>
      <w:marTop w:val="0"/>
      <w:marBottom w:val="0"/>
      <w:divBdr>
        <w:top w:val="none" w:sz="0" w:space="0" w:color="auto"/>
        <w:left w:val="none" w:sz="0" w:space="0" w:color="auto"/>
        <w:bottom w:val="none" w:sz="0" w:space="0" w:color="auto"/>
        <w:right w:val="none" w:sz="0" w:space="0" w:color="auto"/>
      </w:divBdr>
    </w:div>
    <w:div w:id="1361199981">
      <w:bodyDiv w:val="1"/>
      <w:marLeft w:val="0"/>
      <w:marRight w:val="0"/>
      <w:marTop w:val="0"/>
      <w:marBottom w:val="0"/>
      <w:divBdr>
        <w:top w:val="none" w:sz="0" w:space="0" w:color="auto"/>
        <w:left w:val="none" w:sz="0" w:space="0" w:color="auto"/>
        <w:bottom w:val="none" w:sz="0" w:space="0" w:color="auto"/>
        <w:right w:val="none" w:sz="0" w:space="0" w:color="auto"/>
      </w:divBdr>
    </w:div>
    <w:div w:id="1503665587">
      <w:bodyDiv w:val="1"/>
      <w:marLeft w:val="0"/>
      <w:marRight w:val="0"/>
      <w:marTop w:val="0"/>
      <w:marBottom w:val="0"/>
      <w:divBdr>
        <w:top w:val="none" w:sz="0" w:space="0" w:color="auto"/>
        <w:left w:val="none" w:sz="0" w:space="0" w:color="auto"/>
        <w:bottom w:val="none" w:sz="0" w:space="0" w:color="auto"/>
        <w:right w:val="none" w:sz="0" w:space="0" w:color="auto"/>
      </w:divBdr>
    </w:div>
    <w:div w:id="1512258646">
      <w:bodyDiv w:val="1"/>
      <w:marLeft w:val="0"/>
      <w:marRight w:val="0"/>
      <w:marTop w:val="0"/>
      <w:marBottom w:val="0"/>
      <w:divBdr>
        <w:top w:val="none" w:sz="0" w:space="0" w:color="auto"/>
        <w:left w:val="none" w:sz="0" w:space="0" w:color="auto"/>
        <w:bottom w:val="none" w:sz="0" w:space="0" w:color="auto"/>
        <w:right w:val="none" w:sz="0" w:space="0" w:color="auto"/>
      </w:divBdr>
    </w:div>
    <w:div w:id="1746369270">
      <w:bodyDiv w:val="1"/>
      <w:marLeft w:val="0"/>
      <w:marRight w:val="0"/>
      <w:marTop w:val="0"/>
      <w:marBottom w:val="0"/>
      <w:divBdr>
        <w:top w:val="none" w:sz="0" w:space="0" w:color="auto"/>
        <w:left w:val="none" w:sz="0" w:space="0" w:color="auto"/>
        <w:bottom w:val="none" w:sz="0" w:space="0" w:color="auto"/>
        <w:right w:val="none" w:sz="0" w:space="0" w:color="auto"/>
      </w:divBdr>
      <w:divsChild>
        <w:div w:id="1402750710">
          <w:marLeft w:val="0"/>
          <w:marRight w:val="0"/>
          <w:marTop w:val="0"/>
          <w:marBottom w:val="0"/>
          <w:divBdr>
            <w:top w:val="none" w:sz="0" w:space="0" w:color="auto"/>
            <w:left w:val="none" w:sz="0" w:space="0" w:color="auto"/>
            <w:bottom w:val="none" w:sz="0" w:space="0" w:color="auto"/>
            <w:right w:val="none" w:sz="0" w:space="0" w:color="auto"/>
          </w:divBdr>
          <w:divsChild>
            <w:div w:id="662860306">
              <w:marLeft w:val="0"/>
              <w:marRight w:val="0"/>
              <w:marTop w:val="0"/>
              <w:marBottom w:val="0"/>
              <w:divBdr>
                <w:top w:val="none" w:sz="0" w:space="0" w:color="auto"/>
                <w:left w:val="none" w:sz="0" w:space="0" w:color="auto"/>
                <w:bottom w:val="none" w:sz="0" w:space="0" w:color="auto"/>
                <w:right w:val="none" w:sz="0" w:space="0" w:color="auto"/>
              </w:divBdr>
              <w:divsChild>
                <w:div w:id="468130855">
                  <w:marLeft w:val="0"/>
                  <w:marRight w:val="0"/>
                  <w:marTop w:val="0"/>
                  <w:marBottom w:val="0"/>
                  <w:divBdr>
                    <w:top w:val="none" w:sz="0" w:space="0" w:color="auto"/>
                    <w:left w:val="none" w:sz="0" w:space="0" w:color="auto"/>
                    <w:bottom w:val="none" w:sz="0" w:space="0" w:color="auto"/>
                    <w:right w:val="none" w:sz="0" w:space="0" w:color="auto"/>
                  </w:divBdr>
                  <w:divsChild>
                    <w:div w:id="497497873">
                      <w:marLeft w:val="0"/>
                      <w:marRight w:val="0"/>
                      <w:marTop w:val="0"/>
                      <w:marBottom w:val="0"/>
                      <w:divBdr>
                        <w:top w:val="none" w:sz="0" w:space="0" w:color="auto"/>
                        <w:left w:val="none" w:sz="0" w:space="0" w:color="auto"/>
                        <w:bottom w:val="none" w:sz="0" w:space="0" w:color="auto"/>
                        <w:right w:val="none" w:sz="0" w:space="0" w:color="auto"/>
                      </w:divBdr>
                      <w:divsChild>
                        <w:div w:id="1725060349">
                          <w:marLeft w:val="0"/>
                          <w:marRight w:val="0"/>
                          <w:marTop w:val="0"/>
                          <w:marBottom w:val="0"/>
                          <w:divBdr>
                            <w:top w:val="none" w:sz="0" w:space="0" w:color="auto"/>
                            <w:left w:val="none" w:sz="0" w:space="0" w:color="auto"/>
                            <w:bottom w:val="none" w:sz="0" w:space="0" w:color="auto"/>
                            <w:right w:val="none" w:sz="0" w:space="0" w:color="auto"/>
                          </w:divBdr>
                          <w:divsChild>
                            <w:div w:id="1567180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539179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repository.lboro.ac.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research.stmarys.ac.uk/id/eprint/5777/" TargetMode="External"/><Relationship Id="rId5" Type="http://schemas.openxmlformats.org/officeDocument/2006/relationships/hyperlink" Target="https://researchportal.port.ac.uk/"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333</TotalTime>
  <Pages>6</Pages>
  <Words>2020</Words>
  <Characters>11519</Characters>
  <Application>Microsoft Office Word</Application>
  <DocSecurity>0</DocSecurity>
  <Lines>95</Lines>
  <Paragraphs>27</Paragraphs>
  <ScaleCrop>false</ScaleCrop>
  <Company/>
  <LinksUpToDate>false</LinksUpToDate>
  <CharactersWithSpaces>13512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Aimee Heath (2304346)</dc:creator>
  <cp:keywords/>
  <dc:description/>
  <cp:lastModifiedBy>Aimee Heath (2304346)</cp:lastModifiedBy>
  <cp:revision>161</cp:revision>
  <dcterms:created xsi:type="dcterms:W3CDTF">2025-09-30T13:29:00Z</dcterms:created>
  <dcterms:modified xsi:type="dcterms:W3CDTF">2025-10-24T08:26:00Z</dcterms:modified>
</cp:coreProperties>
</file>