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7E4BA" w14:textId="77777777" w:rsidR="009B7612" w:rsidRPr="009B7612" w:rsidRDefault="009B7612" w:rsidP="009B7612">
      <w:pPr>
        <w:spacing w:before="100" w:beforeAutospacing="1" w:after="0" w:afterAutospacing="1" w:line="360" w:lineRule="auto"/>
        <w:contextualSpacing/>
        <w:jc w:val="both"/>
        <w:rPr>
          <w:rFonts w:ascii="Arial" w:eastAsiaTheme="majorEastAsia" w:hAnsi="Arial" w:cstheme="majorBidi"/>
          <w:b/>
          <w:spacing w:val="-10"/>
          <w:kern w:val="28"/>
          <w:sz w:val="40"/>
          <w:szCs w:val="50"/>
          <w:lang w:val="en-IN" w:bidi="hi-IN"/>
        </w:rPr>
      </w:pPr>
      <w:r w:rsidRPr="009B7612">
        <w:rPr>
          <w:rFonts w:ascii="Arial" w:eastAsiaTheme="majorEastAsia" w:hAnsi="Arial" w:cstheme="majorBidi"/>
          <w:b/>
          <w:spacing w:val="-10"/>
          <w:kern w:val="28"/>
          <w:sz w:val="40"/>
          <w:szCs w:val="50"/>
          <w:lang w:val="en-IN" w:bidi="hi-IN"/>
        </w:rPr>
        <w:t>Examine and discuss the factors that can contribute to the causes of vulnerability.</w:t>
      </w:r>
    </w:p>
    <w:p w14:paraId="193EA34B" w14:textId="77777777" w:rsidR="009B7612" w:rsidRPr="009B7612" w:rsidRDefault="009B7612" w:rsidP="009B7612">
      <w:pPr>
        <w:spacing w:before="100" w:beforeAutospacing="1" w:after="100" w:afterAutospacing="1" w:line="360" w:lineRule="auto"/>
        <w:jc w:val="both"/>
        <w:rPr>
          <w:rFonts w:ascii="Arial" w:hAnsi="Arial" w:cs="Mangal"/>
          <w:sz w:val="24"/>
          <w:szCs w:val="20"/>
          <w:lang w:bidi="hi-IN"/>
        </w:rPr>
      </w:pPr>
      <w:r w:rsidRPr="009B7612">
        <w:rPr>
          <w:rFonts w:ascii="Arial" w:hAnsi="Arial" w:cs="Mangal"/>
          <w:sz w:val="24"/>
          <w:szCs w:val="20"/>
          <w:lang w:bidi="hi-IN"/>
        </w:rPr>
        <w:br w:type="page"/>
      </w:r>
    </w:p>
    <w:p w14:paraId="130B210E" w14:textId="77777777" w:rsidR="009B7612" w:rsidRPr="009B7612" w:rsidRDefault="009B7612" w:rsidP="009B7612">
      <w:pPr>
        <w:spacing w:before="100" w:beforeAutospacing="1" w:after="100" w:afterAutospacing="1" w:line="360" w:lineRule="auto"/>
        <w:jc w:val="both"/>
        <w:rPr>
          <w:rFonts w:ascii="Arial" w:hAnsi="Arial" w:cs="Arial"/>
          <w:sz w:val="24"/>
          <w:szCs w:val="24"/>
          <w:shd w:val="clear" w:color="auto" w:fill="FFFFFF"/>
          <w:lang w:bidi="hi-IN"/>
        </w:rPr>
      </w:pPr>
      <w:r w:rsidRPr="009B7612">
        <w:rPr>
          <w:rFonts w:ascii="Arial" w:hAnsi="Arial" w:cs="Arial"/>
          <w:sz w:val="24"/>
          <w:szCs w:val="24"/>
          <w:shd w:val="clear" w:color="auto" w:fill="FFFFFF"/>
          <w:lang w:bidi="hi-IN"/>
        </w:rPr>
        <w:lastRenderedPageBreak/>
        <w:t xml:space="preserve">To understand the different causes of vulnerability, it's crucial to have a firm understanding of what is meant by "vulnerability," which populations are particularly at risk, which circumstances can contribute to the root of vulnerability, and how police can help these populations </w:t>
      </w:r>
      <w:sdt>
        <w:sdtPr>
          <w:rPr>
            <w:rFonts w:ascii="Arial" w:hAnsi="Arial" w:cs="Arial"/>
            <w:sz w:val="24"/>
            <w:szCs w:val="24"/>
            <w:shd w:val="clear" w:color="auto" w:fill="FFFFFF"/>
            <w:lang w:bidi="hi-IN"/>
          </w:rPr>
          <w:id w:val="791020614"/>
          <w:citation/>
        </w:sdtPr>
        <w:sdtContent>
          <w:r w:rsidRPr="009B7612">
            <w:rPr>
              <w:rFonts w:ascii="Arial" w:hAnsi="Arial" w:cs="Arial"/>
              <w:sz w:val="24"/>
              <w:szCs w:val="24"/>
              <w:shd w:val="clear" w:color="auto" w:fill="FFFFFF"/>
              <w:lang w:bidi="hi-IN"/>
            </w:rPr>
            <w:fldChar w:fldCharType="begin"/>
          </w:r>
          <w:r w:rsidRPr="009B7612">
            <w:rPr>
              <w:rFonts w:ascii="Arial" w:hAnsi="Arial" w:cs="Arial"/>
              <w:sz w:val="24"/>
              <w:szCs w:val="24"/>
              <w:shd w:val="clear" w:color="auto" w:fill="FFFFFF"/>
              <w:lang w:val="en-US" w:bidi="hi-IN"/>
            </w:rPr>
            <w:instrText xml:space="preserve"> CITATION car23 \l 1033 </w:instrText>
          </w:r>
          <w:r w:rsidRPr="009B7612">
            <w:rPr>
              <w:rFonts w:ascii="Arial" w:hAnsi="Arial" w:cs="Arial"/>
              <w:sz w:val="24"/>
              <w:szCs w:val="24"/>
              <w:shd w:val="clear" w:color="auto" w:fill="FFFFFF"/>
              <w:lang w:bidi="hi-IN"/>
            </w:rPr>
            <w:fldChar w:fldCharType="separate"/>
          </w:r>
          <w:r w:rsidRPr="009B7612">
            <w:rPr>
              <w:rFonts w:ascii="Arial" w:hAnsi="Arial" w:cs="Arial"/>
              <w:noProof/>
              <w:sz w:val="24"/>
              <w:szCs w:val="24"/>
              <w:shd w:val="clear" w:color="auto" w:fill="FFFFFF"/>
              <w:lang w:val="en-US" w:bidi="hi-IN"/>
            </w:rPr>
            <w:t>(carecheck, 2023)</w:t>
          </w:r>
          <w:r w:rsidRPr="009B7612">
            <w:rPr>
              <w:rFonts w:ascii="Arial" w:hAnsi="Arial" w:cs="Arial"/>
              <w:sz w:val="24"/>
              <w:szCs w:val="24"/>
              <w:shd w:val="clear" w:color="auto" w:fill="FFFFFF"/>
              <w:lang w:bidi="hi-IN"/>
            </w:rPr>
            <w:fldChar w:fldCharType="end"/>
          </w:r>
        </w:sdtContent>
      </w:sdt>
      <w:r w:rsidRPr="009B7612">
        <w:rPr>
          <w:rFonts w:ascii="Arial" w:hAnsi="Arial" w:cs="Arial"/>
          <w:sz w:val="24"/>
          <w:szCs w:val="24"/>
          <w:shd w:val="clear" w:color="auto" w:fill="FFFFFF"/>
          <w:lang w:bidi="hi-IN"/>
        </w:rPr>
        <w:t xml:space="preserve">. </w:t>
      </w:r>
    </w:p>
    <w:p w14:paraId="2CFFE164" w14:textId="77777777" w:rsidR="009B7612" w:rsidRPr="009B7612" w:rsidRDefault="009B7612" w:rsidP="009B7612">
      <w:pPr>
        <w:spacing w:before="100" w:beforeAutospacing="1" w:after="100" w:afterAutospacing="1" w:line="360" w:lineRule="auto"/>
        <w:jc w:val="both"/>
        <w:rPr>
          <w:rFonts w:ascii="Arial" w:hAnsi="Arial" w:cs="Arial"/>
          <w:sz w:val="24"/>
          <w:szCs w:val="24"/>
          <w:shd w:val="clear" w:color="auto" w:fill="FFFFFF"/>
          <w:lang w:bidi="hi-IN"/>
        </w:rPr>
      </w:pPr>
      <w:r w:rsidRPr="009B7612">
        <w:rPr>
          <w:rFonts w:ascii="Arial" w:hAnsi="Arial" w:cs="Mangal"/>
          <w:sz w:val="24"/>
          <w:szCs w:val="20"/>
          <w:lang w:bidi="hi-IN"/>
        </w:rPr>
        <w:t xml:space="preserve">The concept of vulnerability and vulnerable people have recently gained traction </w:t>
      </w:r>
      <w:r w:rsidRPr="009B7612">
        <w:rPr>
          <w:rFonts w:ascii="Arial" w:hAnsi="Arial" w:cs="Arial"/>
          <w:sz w:val="24"/>
          <w:szCs w:val="24"/>
          <w:shd w:val="clear" w:color="auto" w:fill="FFFFFF"/>
          <w:lang w:bidi="hi-IN"/>
        </w:rPr>
        <w:t xml:space="preserve">in international legal frameworks. Vulnerability is linked to people who are vulnerable for example, those who have not been victims of terrible disease, an accident, or crime are more likely to view themselves as "uniquely vulnerable," than the general population. In simple terms, people who are not able to take care of themselves therefore, are at the risk of being harmed or exploited by others can be considered as vulnerable people </w:t>
      </w:r>
      <w:sdt>
        <w:sdtPr>
          <w:rPr>
            <w:rFonts w:ascii="Arial" w:hAnsi="Arial" w:cs="Arial"/>
            <w:sz w:val="24"/>
            <w:szCs w:val="24"/>
            <w:shd w:val="clear" w:color="auto" w:fill="FFFFFF"/>
            <w:lang w:bidi="hi-IN"/>
          </w:rPr>
          <w:id w:val="1410657323"/>
          <w:citation/>
        </w:sdtPr>
        <w:sdtContent>
          <w:r w:rsidRPr="009B7612">
            <w:rPr>
              <w:rFonts w:ascii="Arial" w:hAnsi="Arial" w:cs="Arial"/>
              <w:sz w:val="24"/>
              <w:szCs w:val="24"/>
              <w:shd w:val="clear" w:color="auto" w:fill="FFFFFF"/>
              <w:lang w:bidi="hi-IN"/>
            </w:rPr>
            <w:fldChar w:fldCharType="begin"/>
          </w:r>
          <w:r w:rsidRPr="009B7612">
            <w:rPr>
              <w:rFonts w:ascii="Arial" w:hAnsi="Arial" w:cs="Arial"/>
              <w:sz w:val="24"/>
              <w:szCs w:val="24"/>
              <w:shd w:val="clear" w:color="auto" w:fill="FFFFFF"/>
              <w:lang w:val="en-US" w:bidi="hi-IN"/>
            </w:rPr>
            <w:instrText xml:space="preserve"> CITATION Per83 \l 1033 </w:instrText>
          </w:r>
          <w:r w:rsidRPr="009B7612">
            <w:rPr>
              <w:rFonts w:ascii="Arial" w:hAnsi="Arial" w:cs="Arial"/>
              <w:sz w:val="24"/>
              <w:szCs w:val="24"/>
              <w:shd w:val="clear" w:color="auto" w:fill="FFFFFF"/>
              <w:lang w:bidi="hi-IN"/>
            </w:rPr>
            <w:fldChar w:fldCharType="separate"/>
          </w:r>
          <w:r w:rsidRPr="009B7612">
            <w:rPr>
              <w:rFonts w:ascii="Arial" w:hAnsi="Arial" w:cs="Arial"/>
              <w:noProof/>
              <w:sz w:val="24"/>
              <w:szCs w:val="24"/>
              <w:shd w:val="clear" w:color="auto" w:fill="FFFFFF"/>
              <w:lang w:val="en-US" w:bidi="hi-IN"/>
            </w:rPr>
            <w:t>(Perloff, 1983)</w:t>
          </w:r>
          <w:r w:rsidRPr="009B7612">
            <w:rPr>
              <w:rFonts w:ascii="Arial" w:hAnsi="Arial" w:cs="Arial"/>
              <w:sz w:val="24"/>
              <w:szCs w:val="24"/>
              <w:shd w:val="clear" w:color="auto" w:fill="FFFFFF"/>
              <w:lang w:bidi="hi-IN"/>
            </w:rPr>
            <w:fldChar w:fldCharType="end"/>
          </w:r>
        </w:sdtContent>
      </w:sdt>
      <w:r w:rsidRPr="009B7612">
        <w:rPr>
          <w:rFonts w:ascii="Arial" w:hAnsi="Arial" w:cs="Arial"/>
          <w:sz w:val="24"/>
          <w:szCs w:val="24"/>
          <w:shd w:val="clear" w:color="auto" w:fill="FFFFFF"/>
          <w:lang w:bidi="hi-IN"/>
        </w:rPr>
        <w:t xml:space="preserve">. </w:t>
      </w:r>
    </w:p>
    <w:p w14:paraId="6F7681DB" w14:textId="77777777" w:rsidR="009B7612" w:rsidRPr="009B7612" w:rsidRDefault="009B7612" w:rsidP="009B7612">
      <w:pPr>
        <w:spacing w:before="100" w:beforeAutospacing="1" w:after="100" w:afterAutospacing="1" w:line="360" w:lineRule="auto"/>
        <w:jc w:val="both"/>
        <w:rPr>
          <w:rFonts w:ascii="Arial" w:hAnsi="Arial" w:cs="Arial"/>
          <w:sz w:val="24"/>
          <w:szCs w:val="24"/>
          <w:shd w:val="clear" w:color="auto" w:fill="FFFFFF"/>
          <w:lang w:bidi="hi-IN"/>
        </w:rPr>
      </w:pPr>
      <w:r w:rsidRPr="009B7612">
        <w:rPr>
          <w:rFonts w:ascii="Arial" w:hAnsi="Arial" w:cs="Arial"/>
          <w:sz w:val="24"/>
          <w:szCs w:val="24"/>
          <w:shd w:val="clear" w:color="auto" w:fill="FFFFFF"/>
          <w:lang w:bidi="hi-IN"/>
        </w:rPr>
        <w:t xml:space="preserve">In a society, every individual has the right to live the life with dignity, without any fear, in complete safety. So, within the society, not all individuals have the capacity of taking care of themselves, and not being able to report or share their issues of vulnerability </w:t>
      </w:r>
      <w:sdt>
        <w:sdtPr>
          <w:rPr>
            <w:rFonts w:ascii="Arial" w:hAnsi="Arial" w:cs="Arial"/>
            <w:sz w:val="24"/>
            <w:szCs w:val="24"/>
            <w:shd w:val="clear" w:color="auto" w:fill="FFFFFF"/>
            <w:lang w:bidi="hi-IN"/>
          </w:rPr>
          <w:id w:val="419072802"/>
          <w:citation/>
        </w:sdtPr>
        <w:sdtContent>
          <w:r w:rsidRPr="009B7612">
            <w:rPr>
              <w:rFonts w:ascii="Arial" w:hAnsi="Arial" w:cs="Arial"/>
              <w:sz w:val="24"/>
              <w:szCs w:val="24"/>
              <w:shd w:val="clear" w:color="auto" w:fill="FFFFFF"/>
              <w:lang w:bidi="hi-IN"/>
            </w:rPr>
            <w:fldChar w:fldCharType="begin"/>
          </w:r>
          <w:r w:rsidRPr="009B7612">
            <w:rPr>
              <w:rFonts w:ascii="Arial" w:hAnsi="Arial" w:cs="Arial"/>
              <w:sz w:val="24"/>
              <w:szCs w:val="24"/>
              <w:shd w:val="clear" w:color="auto" w:fill="FFFFFF"/>
              <w:lang w:val="en-US" w:bidi="hi-IN"/>
            </w:rPr>
            <w:instrText xml:space="preserve"> CITATION car23 \l 1033 </w:instrText>
          </w:r>
          <w:r w:rsidRPr="009B7612">
            <w:rPr>
              <w:rFonts w:ascii="Arial" w:hAnsi="Arial" w:cs="Arial"/>
              <w:sz w:val="24"/>
              <w:szCs w:val="24"/>
              <w:shd w:val="clear" w:color="auto" w:fill="FFFFFF"/>
              <w:lang w:bidi="hi-IN"/>
            </w:rPr>
            <w:fldChar w:fldCharType="separate"/>
          </w:r>
          <w:r w:rsidRPr="009B7612">
            <w:rPr>
              <w:rFonts w:ascii="Arial" w:hAnsi="Arial" w:cs="Arial"/>
              <w:noProof/>
              <w:sz w:val="24"/>
              <w:szCs w:val="24"/>
              <w:shd w:val="clear" w:color="auto" w:fill="FFFFFF"/>
              <w:lang w:val="en-US" w:bidi="hi-IN"/>
            </w:rPr>
            <w:t>(carecheck, 2023)</w:t>
          </w:r>
          <w:r w:rsidRPr="009B7612">
            <w:rPr>
              <w:rFonts w:ascii="Arial" w:hAnsi="Arial" w:cs="Arial"/>
              <w:sz w:val="24"/>
              <w:szCs w:val="24"/>
              <w:shd w:val="clear" w:color="auto" w:fill="FFFFFF"/>
              <w:lang w:bidi="hi-IN"/>
            </w:rPr>
            <w:fldChar w:fldCharType="end"/>
          </w:r>
        </w:sdtContent>
      </w:sdt>
      <w:r w:rsidRPr="009B7612">
        <w:rPr>
          <w:rFonts w:ascii="Arial" w:hAnsi="Arial" w:cs="Arial"/>
          <w:sz w:val="24"/>
          <w:szCs w:val="24"/>
          <w:shd w:val="clear" w:color="auto" w:fill="FFFFFF"/>
          <w:lang w:bidi="hi-IN"/>
        </w:rPr>
        <w:t xml:space="preserve">. </w:t>
      </w:r>
    </w:p>
    <w:p w14:paraId="3060A82B" w14:textId="77777777" w:rsidR="009B7612" w:rsidRPr="009B7612" w:rsidRDefault="009B7612" w:rsidP="009B7612">
      <w:pPr>
        <w:spacing w:before="100" w:beforeAutospacing="1" w:after="100" w:afterAutospacing="1" w:line="360" w:lineRule="auto"/>
        <w:jc w:val="both"/>
        <w:rPr>
          <w:rFonts w:ascii="Arial" w:hAnsi="Arial" w:cs="Arial"/>
          <w:sz w:val="24"/>
          <w:szCs w:val="24"/>
          <w:shd w:val="clear" w:color="auto" w:fill="FFFFFF"/>
          <w:lang w:bidi="hi-IN"/>
        </w:rPr>
      </w:pPr>
      <w:r w:rsidRPr="009B7612">
        <w:rPr>
          <w:rFonts w:ascii="Arial" w:hAnsi="Arial" w:cs="Arial"/>
          <w:sz w:val="24"/>
          <w:szCs w:val="24"/>
          <w:shd w:val="clear" w:color="auto" w:fill="FFFFFF"/>
          <w:lang w:bidi="hi-IN"/>
        </w:rPr>
        <w:t xml:space="preserve">Therefore, modern policing puts keen focus on Identifying and assessing vulnerable individuals within the society by working with health departments </w:t>
      </w:r>
      <w:sdt>
        <w:sdtPr>
          <w:rPr>
            <w:rFonts w:ascii="Arial" w:hAnsi="Arial" w:cs="Arial"/>
            <w:sz w:val="24"/>
            <w:szCs w:val="24"/>
            <w:shd w:val="clear" w:color="auto" w:fill="FFFFFF"/>
            <w:lang w:bidi="hi-IN"/>
          </w:rPr>
          <w:id w:val="2078238165"/>
          <w:citation/>
        </w:sdtPr>
        <w:sdtContent>
          <w:r w:rsidRPr="009B7612">
            <w:rPr>
              <w:rFonts w:ascii="Arial" w:hAnsi="Arial" w:cs="Arial"/>
              <w:sz w:val="24"/>
              <w:szCs w:val="24"/>
              <w:shd w:val="clear" w:color="auto" w:fill="FFFFFF"/>
              <w:lang w:bidi="hi-IN"/>
            </w:rPr>
            <w:fldChar w:fldCharType="begin"/>
          </w:r>
          <w:r w:rsidRPr="009B7612">
            <w:rPr>
              <w:rFonts w:ascii="Arial" w:hAnsi="Arial" w:cs="Arial"/>
              <w:sz w:val="24"/>
              <w:szCs w:val="24"/>
              <w:shd w:val="clear" w:color="auto" w:fill="FFFFFF"/>
              <w:lang w:val="en-US" w:bidi="hi-IN"/>
            </w:rPr>
            <w:instrText xml:space="preserve"> CITATION Mur18 \l 1033 </w:instrText>
          </w:r>
          <w:r w:rsidRPr="009B7612">
            <w:rPr>
              <w:rFonts w:ascii="Arial" w:hAnsi="Arial" w:cs="Arial"/>
              <w:sz w:val="24"/>
              <w:szCs w:val="24"/>
              <w:shd w:val="clear" w:color="auto" w:fill="FFFFFF"/>
              <w:lang w:bidi="hi-IN"/>
            </w:rPr>
            <w:fldChar w:fldCharType="separate"/>
          </w:r>
          <w:r w:rsidRPr="009B7612">
            <w:rPr>
              <w:rFonts w:ascii="Arial" w:hAnsi="Arial" w:cs="Arial"/>
              <w:noProof/>
              <w:sz w:val="24"/>
              <w:szCs w:val="24"/>
              <w:shd w:val="clear" w:color="auto" w:fill="FFFFFF"/>
              <w:lang w:val="en-US" w:bidi="hi-IN"/>
            </w:rPr>
            <w:t>(Murray, et al., 2018)</w:t>
          </w:r>
          <w:r w:rsidRPr="009B7612">
            <w:rPr>
              <w:rFonts w:ascii="Arial" w:hAnsi="Arial" w:cs="Arial"/>
              <w:sz w:val="24"/>
              <w:szCs w:val="24"/>
              <w:shd w:val="clear" w:color="auto" w:fill="FFFFFF"/>
              <w:lang w:bidi="hi-IN"/>
            </w:rPr>
            <w:fldChar w:fldCharType="end"/>
          </w:r>
        </w:sdtContent>
      </w:sdt>
      <w:r w:rsidRPr="009B7612">
        <w:rPr>
          <w:rFonts w:ascii="Arial" w:hAnsi="Arial" w:cs="Arial"/>
          <w:sz w:val="24"/>
          <w:szCs w:val="24"/>
          <w:shd w:val="clear" w:color="auto" w:fill="FFFFFF"/>
          <w:lang w:bidi="hi-IN"/>
        </w:rPr>
        <w:t xml:space="preserve">. Further, the mandate of police department also focuses on keeping the most vulnerable among us safe  </w:t>
      </w:r>
      <w:sdt>
        <w:sdtPr>
          <w:rPr>
            <w:rFonts w:ascii="Arial" w:hAnsi="Arial" w:cs="Arial"/>
            <w:sz w:val="24"/>
            <w:szCs w:val="24"/>
            <w:shd w:val="clear" w:color="auto" w:fill="FFFFFF"/>
            <w:lang w:bidi="hi-IN"/>
          </w:rPr>
          <w:id w:val="1976871608"/>
          <w:citation/>
        </w:sdtPr>
        <w:sdtContent>
          <w:r w:rsidRPr="009B7612">
            <w:rPr>
              <w:rFonts w:ascii="Arial" w:hAnsi="Arial" w:cs="Arial"/>
              <w:sz w:val="24"/>
              <w:szCs w:val="24"/>
              <w:shd w:val="clear" w:color="auto" w:fill="FFFFFF"/>
              <w:lang w:bidi="hi-IN"/>
            </w:rPr>
            <w:fldChar w:fldCharType="begin"/>
          </w:r>
          <w:r w:rsidRPr="009B7612">
            <w:rPr>
              <w:rFonts w:ascii="Arial" w:hAnsi="Arial" w:cs="Arial"/>
              <w:sz w:val="24"/>
              <w:szCs w:val="24"/>
              <w:shd w:val="clear" w:color="auto" w:fill="FFFFFF"/>
              <w:lang w:val="en-US" w:bidi="hi-IN"/>
            </w:rPr>
            <w:instrText xml:space="preserve"> CITATION Pol17 \l 1033 </w:instrText>
          </w:r>
          <w:r w:rsidRPr="009B7612">
            <w:rPr>
              <w:rFonts w:ascii="Arial" w:hAnsi="Arial" w:cs="Arial"/>
              <w:sz w:val="24"/>
              <w:szCs w:val="24"/>
              <w:shd w:val="clear" w:color="auto" w:fill="FFFFFF"/>
              <w:lang w:bidi="hi-IN"/>
            </w:rPr>
            <w:fldChar w:fldCharType="separate"/>
          </w:r>
          <w:r w:rsidRPr="009B7612">
            <w:rPr>
              <w:rFonts w:ascii="Arial" w:hAnsi="Arial" w:cs="Arial"/>
              <w:noProof/>
              <w:sz w:val="24"/>
              <w:szCs w:val="24"/>
              <w:shd w:val="clear" w:color="auto" w:fill="FFFFFF"/>
              <w:lang w:val="en-US" w:bidi="hi-IN"/>
            </w:rPr>
            <w:t>(Police Scotland, 2017)</w:t>
          </w:r>
          <w:r w:rsidRPr="009B7612">
            <w:rPr>
              <w:rFonts w:ascii="Arial" w:hAnsi="Arial" w:cs="Arial"/>
              <w:sz w:val="24"/>
              <w:szCs w:val="24"/>
              <w:shd w:val="clear" w:color="auto" w:fill="FFFFFF"/>
              <w:lang w:bidi="hi-IN"/>
            </w:rPr>
            <w:fldChar w:fldCharType="end"/>
          </w:r>
        </w:sdtContent>
      </w:sdt>
      <w:r w:rsidRPr="009B7612">
        <w:rPr>
          <w:rFonts w:ascii="Arial" w:hAnsi="Arial" w:cs="Arial"/>
          <w:sz w:val="24"/>
          <w:szCs w:val="24"/>
          <w:shd w:val="clear" w:color="auto" w:fill="FFFFFF"/>
          <w:lang w:bidi="hi-IN"/>
        </w:rPr>
        <w:t xml:space="preserve">. Despite this, there is still no unified agreed-upon definition of vulnerability in policing and public health practises. </w:t>
      </w:r>
    </w:p>
    <w:p w14:paraId="07204BF9" w14:textId="77777777" w:rsidR="009B7612" w:rsidRPr="009B7612" w:rsidRDefault="009B7612" w:rsidP="009B7612">
      <w:pPr>
        <w:spacing w:before="100" w:beforeAutospacing="1" w:after="100" w:afterAutospacing="1" w:line="360" w:lineRule="auto"/>
        <w:jc w:val="both"/>
        <w:rPr>
          <w:rFonts w:ascii="Arial" w:hAnsi="Arial" w:cs="Arial"/>
          <w:sz w:val="24"/>
          <w:szCs w:val="24"/>
          <w:shd w:val="clear" w:color="auto" w:fill="FFFFFF"/>
          <w:lang w:bidi="hi-IN"/>
        </w:rPr>
      </w:pPr>
      <w:r w:rsidRPr="009B7612">
        <w:rPr>
          <w:rFonts w:ascii="Arial" w:hAnsi="Arial" w:cs="Arial"/>
          <w:sz w:val="24"/>
          <w:szCs w:val="24"/>
          <w:shd w:val="clear" w:color="auto" w:fill="FFFFFF"/>
          <w:lang w:bidi="hi-IN"/>
        </w:rPr>
        <w:t xml:space="preserve">As a result of this, identifying and managing vulnerable person becomes difficult for the concerned authorities. Further, if there is greater clarity about understanding the meaning of vulnerability and understanding what contributes towards vulnerability, can be helpful in improving communication, decision making, and management of vulnerable people </w:t>
      </w:r>
      <w:sdt>
        <w:sdtPr>
          <w:rPr>
            <w:rFonts w:ascii="Arial" w:hAnsi="Arial" w:cs="Arial"/>
            <w:sz w:val="24"/>
            <w:szCs w:val="24"/>
            <w:shd w:val="clear" w:color="auto" w:fill="FFFFFF"/>
            <w:lang w:bidi="hi-IN"/>
          </w:rPr>
          <w:id w:val="1924134259"/>
          <w:citation/>
        </w:sdtPr>
        <w:sdtContent>
          <w:r w:rsidRPr="009B7612">
            <w:rPr>
              <w:rFonts w:ascii="Arial" w:hAnsi="Arial" w:cs="Arial"/>
              <w:sz w:val="24"/>
              <w:szCs w:val="24"/>
              <w:shd w:val="clear" w:color="auto" w:fill="FFFFFF"/>
              <w:lang w:bidi="hi-IN"/>
            </w:rPr>
            <w:fldChar w:fldCharType="begin"/>
          </w:r>
          <w:r w:rsidRPr="009B7612">
            <w:rPr>
              <w:rFonts w:ascii="Arial" w:hAnsi="Arial" w:cs="Arial"/>
              <w:sz w:val="24"/>
              <w:szCs w:val="24"/>
              <w:shd w:val="clear" w:color="auto" w:fill="FFFFFF"/>
              <w:lang w:val="en-US" w:bidi="hi-IN"/>
            </w:rPr>
            <w:instrText xml:space="preserve"> CITATION Ena19 \l 1033 </w:instrText>
          </w:r>
          <w:r w:rsidRPr="009B7612">
            <w:rPr>
              <w:rFonts w:ascii="Arial" w:hAnsi="Arial" w:cs="Arial"/>
              <w:sz w:val="24"/>
              <w:szCs w:val="24"/>
              <w:shd w:val="clear" w:color="auto" w:fill="FFFFFF"/>
              <w:lang w:bidi="hi-IN"/>
            </w:rPr>
            <w:fldChar w:fldCharType="separate"/>
          </w:r>
          <w:r w:rsidRPr="009B7612">
            <w:rPr>
              <w:rFonts w:ascii="Arial" w:hAnsi="Arial" w:cs="Arial"/>
              <w:noProof/>
              <w:sz w:val="24"/>
              <w:szCs w:val="24"/>
              <w:shd w:val="clear" w:color="auto" w:fill="FFFFFF"/>
              <w:lang w:val="en-US" w:bidi="hi-IN"/>
            </w:rPr>
            <w:t>(Enang, et al., 2019)</w:t>
          </w:r>
          <w:r w:rsidRPr="009B7612">
            <w:rPr>
              <w:rFonts w:ascii="Arial" w:hAnsi="Arial" w:cs="Arial"/>
              <w:sz w:val="24"/>
              <w:szCs w:val="24"/>
              <w:shd w:val="clear" w:color="auto" w:fill="FFFFFF"/>
              <w:lang w:bidi="hi-IN"/>
            </w:rPr>
            <w:fldChar w:fldCharType="end"/>
          </w:r>
        </w:sdtContent>
      </w:sdt>
      <w:r w:rsidRPr="009B7612">
        <w:rPr>
          <w:rFonts w:ascii="Arial" w:hAnsi="Arial" w:cs="Arial"/>
          <w:sz w:val="24"/>
          <w:szCs w:val="24"/>
          <w:shd w:val="clear" w:color="auto" w:fill="FFFFFF"/>
          <w:lang w:bidi="hi-IN"/>
        </w:rPr>
        <w:t>.</w:t>
      </w:r>
    </w:p>
    <w:p w14:paraId="7D0F3478" w14:textId="77777777" w:rsidR="009B7612" w:rsidRPr="009B7612" w:rsidRDefault="009B7612" w:rsidP="009B7612">
      <w:pPr>
        <w:spacing w:before="100" w:beforeAutospacing="1" w:after="100" w:afterAutospacing="1" w:line="360" w:lineRule="auto"/>
        <w:jc w:val="both"/>
        <w:rPr>
          <w:rFonts w:ascii="Arial" w:hAnsi="Arial" w:cs="Arial"/>
          <w:sz w:val="24"/>
          <w:szCs w:val="24"/>
          <w:shd w:val="clear" w:color="auto" w:fill="FFFFFF"/>
          <w:lang w:bidi="hi-IN"/>
        </w:rPr>
      </w:pPr>
      <w:r w:rsidRPr="009B7612">
        <w:rPr>
          <w:rFonts w:ascii="Arial" w:hAnsi="Arial" w:cs="Arial"/>
          <w:sz w:val="24"/>
          <w:szCs w:val="24"/>
          <w:shd w:val="clear" w:color="auto" w:fill="FFFFFF"/>
          <w:lang w:bidi="hi-IN"/>
        </w:rPr>
        <w:t xml:space="preserve">Vulnerability is defined for people who are most likely to be harmed which could be physically, mentally, psychologically, financially, sexually  </w:t>
      </w:r>
      <w:sdt>
        <w:sdtPr>
          <w:rPr>
            <w:rFonts w:ascii="Arial" w:hAnsi="Arial" w:cs="Arial"/>
            <w:sz w:val="24"/>
            <w:szCs w:val="24"/>
            <w:shd w:val="clear" w:color="auto" w:fill="FFFFFF"/>
            <w:lang w:bidi="hi-IN"/>
          </w:rPr>
          <w:id w:val="1839653310"/>
          <w:citation/>
        </w:sdtPr>
        <w:sdtContent>
          <w:r w:rsidRPr="009B7612">
            <w:rPr>
              <w:rFonts w:ascii="Arial" w:hAnsi="Arial" w:cs="Arial"/>
              <w:sz w:val="24"/>
              <w:szCs w:val="24"/>
              <w:shd w:val="clear" w:color="auto" w:fill="FFFFFF"/>
              <w:lang w:bidi="hi-IN"/>
            </w:rPr>
            <w:fldChar w:fldCharType="begin"/>
          </w:r>
          <w:r w:rsidRPr="009B7612">
            <w:rPr>
              <w:rFonts w:ascii="Arial" w:hAnsi="Arial" w:cs="Arial"/>
              <w:sz w:val="24"/>
              <w:szCs w:val="24"/>
              <w:shd w:val="clear" w:color="auto" w:fill="FFFFFF"/>
              <w:lang w:val="en-US" w:bidi="hi-IN"/>
            </w:rPr>
            <w:instrText xml:space="preserve"> CITATION Her20 \l 1033 </w:instrText>
          </w:r>
          <w:r w:rsidRPr="009B7612">
            <w:rPr>
              <w:rFonts w:ascii="Arial" w:hAnsi="Arial" w:cs="Arial"/>
              <w:sz w:val="24"/>
              <w:szCs w:val="24"/>
              <w:shd w:val="clear" w:color="auto" w:fill="FFFFFF"/>
              <w:lang w:bidi="hi-IN"/>
            </w:rPr>
            <w:fldChar w:fldCharType="separate"/>
          </w:r>
          <w:r w:rsidRPr="009B7612">
            <w:rPr>
              <w:rFonts w:ascii="Arial" w:hAnsi="Arial" w:cs="Arial"/>
              <w:noProof/>
              <w:sz w:val="24"/>
              <w:szCs w:val="24"/>
              <w:shd w:val="clear" w:color="auto" w:fill="FFFFFF"/>
              <w:lang w:val="en-US" w:bidi="hi-IN"/>
            </w:rPr>
            <w:t>(Herring, 2020)</w:t>
          </w:r>
          <w:r w:rsidRPr="009B7612">
            <w:rPr>
              <w:rFonts w:ascii="Arial" w:hAnsi="Arial" w:cs="Arial"/>
              <w:sz w:val="24"/>
              <w:szCs w:val="24"/>
              <w:shd w:val="clear" w:color="auto" w:fill="FFFFFF"/>
              <w:lang w:bidi="hi-IN"/>
            </w:rPr>
            <w:fldChar w:fldCharType="end"/>
          </w:r>
        </w:sdtContent>
      </w:sdt>
      <w:r w:rsidRPr="009B7612">
        <w:rPr>
          <w:rFonts w:ascii="Arial" w:hAnsi="Arial" w:cs="Arial"/>
          <w:sz w:val="24"/>
          <w:szCs w:val="24"/>
          <w:shd w:val="clear" w:color="auto" w:fill="FFFFFF"/>
          <w:lang w:bidi="hi-IN"/>
        </w:rPr>
        <w:t xml:space="preserve"> . Vulnerability therefore is used to refer to harmful actions, experiences, and settings that individuals generally where they suffer physical or mental harm  </w:t>
      </w:r>
      <w:sdt>
        <w:sdtPr>
          <w:rPr>
            <w:rFonts w:ascii="Arial" w:hAnsi="Arial" w:cs="Arial"/>
            <w:sz w:val="24"/>
            <w:szCs w:val="24"/>
            <w:shd w:val="clear" w:color="auto" w:fill="FFFFFF"/>
            <w:lang w:bidi="hi-IN"/>
          </w:rPr>
          <w:id w:val="898170597"/>
          <w:citation/>
        </w:sdtPr>
        <w:sdtContent>
          <w:r w:rsidRPr="009B7612">
            <w:rPr>
              <w:rFonts w:ascii="Arial" w:hAnsi="Arial" w:cs="Arial"/>
              <w:sz w:val="24"/>
              <w:szCs w:val="24"/>
              <w:shd w:val="clear" w:color="auto" w:fill="FFFFFF"/>
              <w:lang w:bidi="hi-IN"/>
            </w:rPr>
            <w:fldChar w:fldCharType="begin"/>
          </w:r>
          <w:r w:rsidRPr="009B7612">
            <w:rPr>
              <w:rFonts w:ascii="Arial" w:hAnsi="Arial" w:cs="Arial"/>
              <w:sz w:val="24"/>
              <w:szCs w:val="24"/>
              <w:shd w:val="clear" w:color="auto" w:fill="FFFFFF"/>
              <w:lang w:val="en-US" w:bidi="hi-IN"/>
            </w:rPr>
            <w:instrText xml:space="preserve"> CITATION Bui21 \l 1033 </w:instrText>
          </w:r>
          <w:r w:rsidRPr="009B7612">
            <w:rPr>
              <w:rFonts w:ascii="Arial" w:hAnsi="Arial" w:cs="Arial"/>
              <w:sz w:val="24"/>
              <w:szCs w:val="24"/>
              <w:shd w:val="clear" w:color="auto" w:fill="FFFFFF"/>
              <w:lang w:bidi="hi-IN"/>
            </w:rPr>
            <w:fldChar w:fldCharType="separate"/>
          </w:r>
          <w:r w:rsidRPr="009B7612">
            <w:rPr>
              <w:rFonts w:ascii="Arial" w:hAnsi="Arial" w:cs="Arial"/>
              <w:noProof/>
              <w:sz w:val="24"/>
              <w:szCs w:val="24"/>
              <w:shd w:val="clear" w:color="auto" w:fill="FFFFFF"/>
              <w:lang w:val="en-US" w:bidi="hi-IN"/>
            </w:rPr>
            <w:t>(Bui &amp; Deakin, 2021)</w:t>
          </w:r>
          <w:r w:rsidRPr="009B7612">
            <w:rPr>
              <w:rFonts w:ascii="Arial" w:hAnsi="Arial" w:cs="Arial"/>
              <w:sz w:val="24"/>
              <w:szCs w:val="24"/>
              <w:shd w:val="clear" w:color="auto" w:fill="FFFFFF"/>
              <w:lang w:bidi="hi-IN"/>
            </w:rPr>
            <w:fldChar w:fldCharType="end"/>
          </w:r>
        </w:sdtContent>
      </w:sdt>
      <w:r w:rsidRPr="009B7612">
        <w:rPr>
          <w:rFonts w:ascii="Arial" w:hAnsi="Arial" w:cs="Arial"/>
          <w:sz w:val="24"/>
          <w:szCs w:val="24"/>
          <w:shd w:val="clear" w:color="auto" w:fill="FFFFFF"/>
          <w:lang w:bidi="hi-IN"/>
        </w:rPr>
        <w:t xml:space="preserve">. </w:t>
      </w:r>
    </w:p>
    <w:p w14:paraId="4B5CD575" w14:textId="77777777" w:rsidR="009B7612" w:rsidRPr="009B7612" w:rsidRDefault="009B7612" w:rsidP="009B7612">
      <w:pPr>
        <w:spacing w:before="100" w:beforeAutospacing="1" w:after="100" w:afterAutospacing="1" w:line="360" w:lineRule="auto"/>
        <w:jc w:val="both"/>
        <w:rPr>
          <w:rFonts w:ascii="Arial" w:hAnsi="Arial" w:cs="Arial"/>
          <w:sz w:val="24"/>
          <w:szCs w:val="24"/>
          <w:shd w:val="clear" w:color="auto" w:fill="FFFFFF"/>
          <w:lang w:bidi="hi-IN"/>
        </w:rPr>
      </w:pPr>
      <w:r w:rsidRPr="009B7612">
        <w:rPr>
          <w:rFonts w:ascii="Arial" w:hAnsi="Arial" w:cs="Arial"/>
          <w:sz w:val="24"/>
          <w:szCs w:val="24"/>
          <w:shd w:val="clear" w:color="auto" w:fill="FFFFFF"/>
          <w:lang w:bidi="hi-IN"/>
        </w:rPr>
        <w:lastRenderedPageBreak/>
        <w:t xml:space="preserve">According to Brown (2017), vulnerability can be sub categorized into four sub-sections of specific type of vulnerability: </w:t>
      </w:r>
    </w:p>
    <w:p w14:paraId="4375B8B4" w14:textId="77777777" w:rsidR="009B7612" w:rsidRPr="009B7612" w:rsidRDefault="009B7612" w:rsidP="009B7612">
      <w:pPr>
        <w:numPr>
          <w:ilvl w:val="0"/>
          <w:numId w:val="1"/>
        </w:numPr>
        <w:spacing w:before="100" w:beforeAutospacing="1" w:after="100" w:afterAutospacing="1" w:line="360" w:lineRule="auto"/>
        <w:contextualSpacing/>
        <w:jc w:val="both"/>
        <w:rPr>
          <w:rFonts w:ascii="Arial" w:hAnsi="Arial" w:cs="Arial"/>
          <w:sz w:val="24"/>
          <w:szCs w:val="24"/>
          <w:shd w:val="clear" w:color="auto" w:fill="FFFFFF"/>
          <w:lang w:bidi="hi-IN"/>
        </w:rPr>
      </w:pPr>
      <w:r w:rsidRPr="009B7612">
        <w:rPr>
          <w:rFonts w:ascii="Arial" w:hAnsi="Arial" w:cs="Arial"/>
          <w:sz w:val="24"/>
          <w:szCs w:val="24"/>
          <w:shd w:val="clear" w:color="auto" w:fill="FFFFFF"/>
          <w:lang w:bidi="hi-IN"/>
        </w:rPr>
        <w:t xml:space="preserve">social disadvantage, the incapacity to cope with the effects of being exposed to harmful natural, social, or economic situations. </w:t>
      </w:r>
    </w:p>
    <w:p w14:paraId="163BAB02" w14:textId="77777777" w:rsidR="009B7612" w:rsidRPr="009B7612" w:rsidRDefault="009B7612" w:rsidP="009B7612">
      <w:pPr>
        <w:numPr>
          <w:ilvl w:val="0"/>
          <w:numId w:val="1"/>
        </w:numPr>
        <w:spacing w:before="100" w:beforeAutospacing="1" w:after="100" w:afterAutospacing="1" w:line="360" w:lineRule="auto"/>
        <w:contextualSpacing/>
        <w:jc w:val="both"/>
        <w:rPr>
          <w:rFonts w:ascii="Arial" w:hAnsi="Arial" w:cs="Arial"/>
          <w:sz w:val="24"/>
          <w:szCs w:val="24"/>
          <w:shd w:val="clear" w:color="auto" w:fill="FFFFFF"/>
          <w:lang w:bidi="hi-IN"/>
        </w:rPr>
      </w:pPr>
      <w:r w:rsidRPr="009B7612">
        <w:rPr>
          <w:rFonts w:ascii="Arial" w:hAnsi="Arial" w:cs="Arial"/>
          <w:sz w:val="24"/>
          <w:szCs w:val="24"/>
          <w:shd w:val="clear" w:color="auto" w:fill="FFFFFF"/>
          <w:lang w:bidi="hi-IN"/>
        </w:rPr>
        <w:t>contextual, in the sense that specific life events—whether social or political—tend to amplify the sense that some people or groups are more vulnerable; Individual elements associated with specific developmental or life-span stages</w:t>
      </w:r>
    </w:p>
    <w:p w14:paraId="0A1C287F" w14:textId="77777777" w:rsidR="009B7612" w:rsidRPr="009B7612" w:rsidRDefault="009B7612" w:rsidP="009B7612">
      <w:pPr>
        <w:numPr>
          <w:ilvl w:val="0"/>
          <w:numId w:val="1"/>
        </w:numPr>
        <w:spacing w:before="100" w:beforeAutospacing="1" w:after="100" w:afterAutospacing="1" w:line="360" w:lineRule="auto"/>
        <w:contextualSpacing/>
        <w:jc w:val="both"/>
        <w:rPr>
          <w:rFonts w:ascii="Arial" w:hAnsi="Arial" w:cs="Arial"/>
          <w:sz w:val="24"/>
          <w:szCs w:val="24"/>
          <w:shd w:val="clear" w:color="auto" w:fill="FFFFFF"/>
          <w:lang w:bidi="hi-IN"/>
        </w:rPr>
      </w:pPr>
      <w:r w:rsidRPr="009B7612">
        <w:rPr>
          <w:rFonts w:ascii="Arial" w:hAnsi="Arial" w:cs="Arial"/>
          <w:sz w:val="24"/>
          <w:szCs w:val="24"/>
          <w:shd w:val="clear" w:color="auto" w:fill="FFFFFF"/>
          <w:lang w:bidi="hi-IN"/>
        </w:rPr>
        <w:t xml:space="preserve">inherent, referring to the internal nature of an element and its relationship to a specific developmental stage or life stage </w:t>
      </w:r>
      <w:sdt>
        <w:sdtPr>
          <w:rPr>
            <w:rFonts w:ascii="Arial" w:hAnsi="Arial" w:cs="Arial"/>
            <w:sz w:val="24"/>
            <w:szCs w:val="24"/>
            <w:shd w:val="clear" w:color="auto" w:fill="FFFFFF"/>
            <w:lang w:bidi="hi-IN"/>
          </w:rPr>
          <w:id w:val="389311078"/>
          <w:citation/>
        </w:sdtPr>
        <w:sdtContent>
          <w:r w:rsidRPr="009B7612">
            <w:rPr>
              <w:rFonts w:ascii="Arial" w:hAnsi="Arial" w:cs="Arial"/>
              <w:sz w:val="24"/>
              <w:szCs w:val="24"/>
              <w:shd w:val="clear" w:color="auto" w:fill="FFFFFF"/>
              <w:lang w:bidi="hi-IN"/>
            </w:rPr>
            <w:fldChar w:fldCharType="begin"/>
          </w:r>
          <w:r w:rsidRPr="009B7612">
            <w:rPr>
              <w:rFonts w:ascii="Arial" w:hAnsi="Arial" w:cs="Arial"/>
              <w:sz w:val="24"/>
              <w:szCs w:val="24"/>
              <w:shd w:val="clear" w:color="auto" w:fill="FFFFFF"/>
              <w:lang w:val="en-US" w:bidi="hi-IN"/>
            </w:rPr>
            <w:instrText xml:space="preserve"> CITATION Bro17 \l 1033 </w:instrText>
          </w:r>
          <w:r w:rsidRPr="009B7612">
            <w:rPr>
              <w:rFonts w:ascii="Arial" w:hAnsi="Arial" w:cs="Arial"/>
              <w:sz w:val="24"/>
              <w:szCs w:val="24"/>
              <w:shd w:val="clear" w:color="auto" w:fill="FFFFFF"/>
              <w:lang w:bidi="hi-IN"/>
            </w:rPr>
            <w:fldChar w:fldCharType="separate"/>
          </w:r>
          <w:r w:rsidRPr="009B7612">
            <w:rPr>
              <w:rFonts w:ascii="Arial" w:hAnsi="Arial" w:cs="Arial"/>
              <w:noProof/>
              <w:sz w:val="24"/>
              <w:szCs w:val="24"/>
              <w:shd w:val="clear" w:color="auto" w:fill="FFFFFF"/>
              <w:lang w:val="en-US" w:bidi="hi-IN"/>
            </w:rPr>
            <w:t>(Brown, 2017)</w:t>
          </w:r>
          <w:r w:rsidRPr="009B7612">
            <w:rPr>
              <w:rFonts w:ascii="Arial" w:hAnsi="Arial" w:cs="Arial"/>
              <w:sz w:val="24"/>
              <w:szCs w:val="24"/>
              <w:shd w:val="clear" w:color="auto" w:fill="FFFFFF"/>
              <w:lang w:bidi="hi-IN"/>
            </w:rPr>
            <w:fldChar w:fldCharType="end"/>
          </w:r>
        </w:sdtContent>
      </w:sdt>
    </w:p>
    <w:p w14:paraId="754A4F86" w14:textId="77777777" w:rsidR="009B7612" w:rsidRPr="009B7612" w:rsidRDefault="009B7612" w:rsidP="009B7612">
      <w:pPr>
        <w:numPr>
          <w:ilvl w:val="0"/>
          <w:numId w:val="1"/>
        </w:numPr>
        <w:spacing w:before="100" w:beforeAutospacing="1" w:after="100" w:afterAutospacing="1" w:line="360" w:lineRule="auto"/>
        <w:contextualSpacing/>
        <w:jc w:val="both"/>
        <w:rPr>
          <w:rFonts w:ascii="Arial" w:hAnsi="Arial" w:cs="Arial"/>
          <w:sz w:val="24"/>
          <w:szCs w:val="24"/>
          <w:shd w:val="clear" w:color="auto" w:fill="FFFFFF"/>
          <w:lang w:bidi="hi-IN"/>
        </w:rPr>
      </w:pPr>
      <w:r w:rsidRPr="009B7612">
        <w:rPr>
          <w:rFonts w:ascii="Arial" w:hAnsi="Arial" w:cs="Arial"/>
          <w:sz w:val="24"/>
          <w:szCs w:val="24"/>
          <w:shd w:val="clear" w:color="auto" w:fill="FFFFFF"/>
          <w:lang w:bidi="hi-IN"/>
        </w:rPr>
        <w:t xml:space="preserve">Particular vulnerability has been criticised for its labelling consequences, which can lead to the exclusion and stigmatisation of entire groups of people, and for failing to take into account the fact that people who have been given such a label do not see themselves as vulnerable </w:t>
      </w:r>
      <w:sdt>
        <w:sdtPr>
          <w:rPr>
            <w:rFonts w:ascii="Arial" w:hAnsi="Arial" w:cs="Arial"/>
            <w:sz w:val="24"/>
            <w:szCs w:val="24"/>
            <w:shd w:val="clear" w:color="auto" w:fill="FFFFFF"/>
            <w:lang w:bidi="hi-IN"/>
          </w:rPr>
          <w:id w:val="-21019056"/>
          <w:citation/>
        </w:sdtPr>
        <w:sdtContent>
          <w:r w:rsidRPr="009B7612">
            <w:rPr>
              <w:rFonts w:ascii="Arial" w:hAnsi="Arial" w:cs="Arial"/>
              <w:sz w:val="24"/>
              <w:szCs w:val="24"/>
              <w:shd w:val="clear" w:color="auto" w:fill="FFFFFF"/>
              <w:lang w:bidi="hi-IN"/>
            </w:rPr>
            <w:fldChar w:fldCharType="begin"/>
          </w:r>
          <w:r w:rsidRPr="009B7612">
            <w:rPr>
              <w:rFonts w:ascii="Arial" w:hAnsi="Arial" w:cs="Arial"/>
              <w:sz w:val="24"/>
              <w:szCs w:val="24"/>
              <w:shd w:val="clear" w:color="auto" w:fill="FFFFFF"/>
              <w:lang w:val="en-US" w:bidi="hi-IN"/>
            </w:rPr>
            <w:instrText xml:space="preserve"> CITATION Bro17 \l 1033 </w:instrText>
          </w:r>
          <w:r w:rsidRPr="009B7612">
            <w:rPr>
              <w:rFonts w:ascii="Arial" w:hAnsi="Arial" w:cs="Arial"/>
              <w:sz w:val="24"/>
              <w:szCs w:val="24"/>
              <w:shd w:val="clear" w:color="auto" w:fill="FFFFFF"/>
              <w:lang w:bidi="hi-IN"/>
            </w:rPr>
            <w:fldChar w:fldCharType="separate"/>
          </w:r>
          <w:r w:rsidRPr="009B7612">
            <w:rPr>
              <w:rFonts w:ascii="Arial" w:hAnsi="Arial" w:cs="Arial"/>
              <w:noProof/>
              <w:sz w:val="24"/>
              <w:szCs w:val="24"/>
              <w:shd w:val="clear" w:color="auto" w:fill="FFFFFF"/>
              <w:lang w:val="en-US" w:bidi="hi-IN"/>
            </w:rPr>
            <w:t>(Brown, 2017)</w:t>
          </w:r>
          <w:r w:rsidRPr="009B7612">
            <w:rPr>
              <w:rFonts w:ascii="Arial" w:hAnsi="Arial" w:cs="Arial"/>
              <w:sz w:val="24"/>
              <w:szCs w:val="24"/>
              <w:shd w:val="clear" w:color="auto" w:fill="FFFFFF"/>
              <w:lang w:bidi="hi-IN"/>
            </w:rPr>
            <w:fldChar w:fldCharType="end"/>
          </w:r>
        </w:sdtContent>
      </w:sdt>
      <w:r w:rsidRPr="009B7612">
        <w:rPr>
          <w:rFonts w:ascii="Arial" w:hAnsi="Arial" w:cs="Arial"/>
          <w:sz w:val="24"/>
          <w:szCs w:val="24"/>
          <w:shd w:val="clear" w:color="auto" w:fill="FFFFFF"/>
          <w:lang w:bidi="hi-IN"/>
        </w:rPr>
        <w:t xml:space="preserve"> </w:t>
      </w:r>
    </w:p>
    <w:p w14:paraId="3ED9BB25" w14:textId="77777777" w:rsidR="009B7612" w:rsidRPr="009B7612" w:rsidRDefault="009B7612" w:rsidP="009B7612">
      <w:pPr>
        <w:spacing w:before="100" w:beforeAutospacing="1" w:after="100" w:afterAutospacing="1" w:line="360" w:lineRule="auto"/>
        <w:jc w:val="both"/>
        <w:rPr>
          <w:rFonts w:ascii="Arial" w:hAnsi="Arial" w:cs="Arial"/>
          <w:sz w:val="24"/>
          <w:szCs w:val="24"/>
          <w:lang w:val="en-IN" w:bidi="hi-IN"/>
        </w:rPr>
      </w:pPr>
      <w:r w:rsidRPr="009B7612">
        <w:rPr>
          <w:rFonts w:ascii="Arial" w:hAnsi="Arial" w:cs="Arial"/>
          <w:sz w:val="24"/>
          <w:szCs w:val="24"/>
          <w:lang w:val="en-IN" w:bidi="hi-IN"/>
        </w:rPr>
        <w:t xml:space="preserve">Vulnerability can be caused by a wide variety of external issues and other circumstances. The nature and severity of these characteristics vary with the different categories and types of exposure. Vulnerability is caused by variables such as a lack of resources, knowledge, and political platform. Further, several economic factors, physical social factors and environmental factors lead to vulnerability. </w:t>
      </w:r>
    </w:p>
    <w:p w14:paraId="41ED50D5" w14:textId="77777777" w:rsidR="009B7612" w:rsidRPr="009B7612" w:rsidRDefault="009B7612" w:rsidP="009B7612">
      <w:pPr>
        <w:spacing w:before="100" w:beforeAutospacing="1" w:after="100" w:afterAutospacing="1" w:line="360" w:lineRule="auto"/>
        <w:jc w:val="both"/>
        <w:rPr>
          <w:rFonts w:ascii="Arial" w:hAnsi="Arial" w:cs="Arial"/>
          <w:sz w:val="24"/>
          <w:szCs w:val="24"/>
          <w:shd w:val="clear" w:color="auto" w:fill="FFFFFF"/>
          <w:lang w:bidi="hi-IN"/>
        </w:rPr>
      </w:pPr>
      <w:r w:rsidRPr="009B7612">
        <w:rPr>
          <w:rFonts w:ascii="Arial" w:hAnsi="Arial" w:cs="Arial"/>
          <w:sz w:val="24"/>
          <w:szCs w:val="24"/>
          <w:shd w:val="clear" w:color="auto" w:fill="FFFFFF"/>
          <w:lang w:bidi="hi-IN"/>
        </w:rPr>
        <w:t xml:space="preserve">According to Ezechukwu (2014), young offenders are seen as the most susceptible to being vulnerable if they are exposed to a wide range of unfavourable negative circumstances which prevents their development. The poor life experiences lead to overall negative attitude towards future possibility, which makes them vulnerable. According to Ezechukwu, such young individuals can develop an inclination towards criminal behaviour </w:t>
      </w:r>
      <w:sdt>
        <w:sdtPr>
          <w:rPr>
            <w:rFonts w:ascii="Arial" w:hAnsi="Arial" w:cs="Arial"/>
            <w:sz w:val="24"/>
            <w:szCs w:val="24"/>
            <w:shd w:val="clear" w:color="auto" w:fill="FFFFFF"/>
            <w:lang w:bidi="hi-IN"/>
          </w:rPr>
          <w:id w:val="363326047"/>
          <w:citation/>
        </w:sdtPr>
        <w:sdtContent>
          <w:r w:rsidRPr="009B7612">
            <w:rPr>
              <w:rFonts w:ascii="Arial" w:hAnsi="Arial" w:cs="Arial"/>
              <w:sz w:val="24"/>
              <w:szCs w:val="24"/>
              <w:shd w:val="clear" w:color="auto" w:fill="FFFFFF"/>
              <w:lang w:bidi="hi-IN"/>
            </w:rPr>
            <w:fldChar w:fldCharType="begin"/>
          </w:r>
          <w:r w:rsidRPr="009B7612">
            <w:rPr>
              <w:rFonts w:ascii="Arial" w:hAnsi="Arial" w:cs="Arial"/>
              <w:sz w:val="24"/>
              <w:szCs w:val="24"/>
              <w:shd w:val="clear" w:color="auto" w:fill="FFFFFF"/>
              <w:lang w:val="en-US" w:bidi="hi-IN"/>
            </w:rPr>
            <w:instrText xml:space="preserve"> CITATION Eze14 \l 1033 </w:instrText>
          </w:r>
          <w:r w:rsidRPr="009B7612">
            <w:rPr>
              <w:rFonts w:ascii="Arial" w:hAnsi="Arial" w:cs="Arial"/>
              <w:sz w:val="24"/>
              <w:szCs w:val="24"/>
              <w:shd w:val="clear" w:color="auto" w:fill="FFFFFF"/>
              <w:lang w:bidi="hi-IN"/>
            </w:rPr>
            <w:fldChar w:fldCharType="separate"/>
          </w:r>
          <w:r w:rsidRPr="009B7612">
            <w:rPr>
              <w:rFonts w:ascii="Arial" w:hAnsi="Arial" w:cs="Arial"/>
              <w:noProof/>
              <w:sz w:val="24"/>
              <w:szCs w:val="24"/>
              <w:shd w:val="clear" w:color="auto" w:fill="FFFFFF"/>
              <w:lang w:val="en-US" w:bidi="hi-IN"/>
            </w:rPr>
            <w:t>(Ezechukwu, 2014)</w:t>
          </w:r>
          <w:r w:rsidRPr="009B7612">
            <w:rPr>
              <w:rFonts w:ascii="Arial" w:hAnsi="Arial" w:cs="Arial"/>
              <w:sz w:val="24"/>
              <w:szCs w:val="24"/>
              <w:shd w:val="clear" w:color="auto" w:fill="FFFFFF"/>
              <w:lang w:bidi="hi-IN"/>
            </w:rPr>
            <w:fldChar w:fldCharType="end"/>
          </w:r>
        </w:sdtContent>
      </w:sdt>
      <w:r w:rsidRPr="009B7612">
        <w:rPr>
          <w:rFonts w:ascii="Arial" w:hAnsi="Arial" w:cs="Arial"/>
          <w:sz w:val="24"/>
          <w:szCs w:val="24"/>
          <w:shd w:val="clear" w:color="auto" w:fill="FFFFFF"/>
          <w:lang w:bidi="hi-IN"/>
        </w:rPr>
        <w:t xml:space="preserve">. </w:t>
      </w:r>
    </w:p>
    <w:p w14:paraId="4842E5C7" w14:textId="77777777" w:rsidR="009B7612" w:rsidRPr="009B7612" w:rsidRDefault="009B7612" w:rsidP="009B7612">
      <w:pPr>
        <w:spacing w:before="100" w:beforeAutospacing="1" w:after="100" w:afterAutospacing="1" w:line="360" w:lineRule="auto"/>
        <w:jc w:val="both"/>
        <w:rPr>
          <w:rFonts w:ascii="Arial" w:hAnsi="Arial" w:cs="Arial"/>
          <w:sz w:val="24"/>
          <w:szCs w:val="24"/>
          <w:shd w:val="clear" w:color="auto" w:fill="FFFFFF"/>
          <w:lang w:bidi="hi-IN"/>
        </w:rPr>
      </w:pPr>
      <w:r w:rsidRPr="009B7612">
        <w:rPr>
          <w:rFonts w:ascii="Arial" w:hAnsi="Arial" w:cs="Arial"/>
          <w:sz w:val="24"/>
          <w:szCs w:val="24"/>
          <w:shd w:val="clear" w:color="auto" w:fill="FFFFFF"/>
          <w:lang w:bidi="hi-IN"/>
        </w:rPr>
        <w:t xml:space="preserve">Factors that can contribute towards vulnerability of a young person can be many different which may be because of lack of maturity, unable to control personal impulses, contact with bad elements of the society, or bad judgements because of not </w:t>
      </w:r>
    </w:p>
    <w:p w14:paraId="4975DA6F" w14:textId="77777777" w:rsidR="009B7612" w:rsidRPr="009B7612" w:rsidRDefault="009B7612" w:rsidP="009B7612">
      <w:pPr>
        <w:spacing w:before="100" w:beforeAutospacing="1" w:after="100" w:afterAutospacing="1" w:line="360" w:lineRule="auto"/>
        <w:jc w:val="both"/>
        <w:rPr>
          <w:rFonts w:ascii="Arial" w:hAnsi="Arial" w:cs="Arial"/>
          <w:sz w:val="24"/>
          <w:szCs w:val="24"/>
          <w:shd w:val="clear" w:color="auto" w:fill="FFFFFF"/>
          <w:lang w:bidi="hi-IN"/>
        </w:rPr>
      </w:pPr>
      <w:r w:rsidRPr="009B7612">
        <w:rPr>
          <w:rFonts w:ascii="Arial" w:hAnsi="Arial" w:cs="Arial"/>
          <w:sz w:val="24"/>
          <w:szCs w:val="24"/>
          <w:shd w:val="clear" w:color="auto" w:fill="FFFFFF"/>
          <w:lang w:bidi="hi-IN"/>
        </w:rPr>
        <w:t xml:space="preserve">There can be many different reasons why a young person, adolescent is vulnerable. As adolescence is a pivotal phase in a young person's life, as their physical, social, and cognitive development are all affected by a variety of circumstances </w:t>
      </w:r>
      <w:sdt>
        <w:sdtPr>
          <w:rPr>
            <w:rFonts w:ascii="Arial" w:hAnsi="Arial" w:cs="Arial"/>
            <w:sz w:val="24"/>
            <w:szCs w:val="24"/>
            <w:shd w:val="clear" w:color="auto" w:fill="FFFFFF"/>
            <w:lang w:bidi="hi-IN"/>
          </w:rPr>
          <w:id w:val="744770520"/>
          <w:citation/>
        </w:sdtPr>
        <w:sdtContent>
          <w:r w:rsidRPr="009B7612">
            <w:rPr>
              <w:rFonts w:ascii="Arial" w:hAnsi="Arial" w:cs="Arial"/>
              <w:sz w:val="24"/>
              <w:szCs w:val="24"/>
              <w:shd w:val="clear" w:color="auto" w:fill="FFFFFF"/>
              <w:lang w:bidi="hi-IN"/>
            </w:rPr>
            <w:fldChar w:fldCharType="begin"/>
          </w:r>
          <w:r w:rsidRPr="009B7612">
            <w:rPr>
              <w:rFonts w:ascii="Arial" w:hAnsi="Arial" w:cs="Arial"/>
              <w:sz w:val="24"/>
              <w:szCs w:val="24"/>
              <w:shd w:val="clear" w:color="auto" w:fill="FFFFFF"/>
              <w:lang w:val="en-US" w:bidi="hi-IN"/>
            </w:rPr>
            <w:instrText xml:space="preserve"> CITATION Bui21 \l 1033 </w:instrText>
          </w:r>
          <w:r w:rsidRPr="009B7612">
            <w:rPr>
              <w:rFonts w:ascii="Arial" w:hAnsi="Arial" w:cs="Arial"/>
              <w:sz w:val="24"/>
              <w:szCs w:val="24"/>
              <w:shd w:val="clear" w:color="auto" w:fill="FFFFFF"/>
              <w:lang w:bidi="hi-IN"/>
            </w:rPr>
            <w:fldChar w:fldCharType="separate"/>
          </w:r>
          <w:r w:rsidRPr="009B7612">
            <w:rPr>
              <w:rFonts w:ascii="Arial" w:hAnsi="Arial" w:cs="Arial"/>
              <w:noProof/>
              <w:sz w:val="24"/>
              <w:szCs w:val="24"/>
              <w:shd w:val="clear" w:color="auto" w:fill="FFFFFF"/>
              <w:lang w:val="en-US" w:bidi="hi-IN"/>
            </w:rPr>
            <w:t xml:space="preserve">(Bui &amp; </w:t>
          </w:r>
          <w:r w:rsidRPr="009B7612">
            <w:rPr>
              <w:rFonts w:ascii="Arial" w:hAnsi="Arial" w:cs="Arial"/>
              <w:noProof/>
              <w:sz w:val="24"/>
              <w:szCs w:val="24"/>
              <w:shd w:val="clear" w:color="auto" w:fill="FFFFFF"/>
              <w:lang w:val="en-US" w:bidi="hi-IN"/>
            </w:rPr>
            <w:lastRenderedPageBreak/>
            <w:t>Deakin, 2021)</w:t>
          </w:r>
          <w:r w:rsidRPr="009B7612">
            <w:rPr>
              <w:rFonts w:ascii="Arial" w:hAnsi="Arial" w:cs="Arial"/>
              <w:sz w:val="24"/>
              <w:szCs w:val="24"/>
              <w:shd w:val="clear" w:color="auto" w:fill="FFFFFF"/>
              <w:lang w:bidi="hi-IN"/>
            </w:rPr>
            <w:fldChar w:fldCharType="end"/>
          </w:r>
        </w:sdtContent>
      </w:sdt>
      <w:r w:rsidRPr="009B7612">
        <w:rPr>
          <w:rFonts w:ascii="Arial" w:hAnsi="Arial" w:cs="Arial"/>
          <w:sz w:val="24"/>
          <w:szCs w:val="24"/>
          <w:shd w:val="clear" w:color="auto" w:fill="FFFFFF"/>
          <w:lang w:bidi="hi-IN"/>
        </w:rPr>
        <w:t xml:space="preserve">, young persons’ struggle to regulate their actions are particularly susceptible to engaging in criminal behaviour </w:t>
      </w:r>
      <w:sdt>
        <w:sdtPr>
          <w:rPr>
            <w:rFonts w:ascii="Arial" w:hAnsi="Arial" w:cs="Arial"/>
            <w:sz w:val="24"/>
            <w:szCs w:val="24"/>
            <w:shd w:val="clear" w:color="auto" w:fill="FFFFFF"/>
            <w:lang w:bidi="hi-IN"/>
          </w:rPr>
          <w:id w:val="1938012268"/>
          <w:citation/>
        </w:sdtPr>
        <w:sdtContent>
          <w:r w:rsidRPr="009B7612">
            <w:rPr>
              <w:rFonts w:ascii="Arial" w:hAnsi="Arial" w:cs="Arial"/>
              <w:sz w:val="24"/>
              <w:szCs w:val="24"/>
              <w:shd w:val="clear" w:color="auto" w:fill="FFFFFF"/>
              <w:lang w:bidi="hi-IN"/>
            </w:rPr>
            <w:fldChar w:fldCharType="begin"/>
          </w:r>
          <w:r w:rsidRPr="009B7612">
            <w:rPr>
              <w:rFonts w:ascii="Arial" w:hAnsi="Arial" w:cs="Arial"/>
              <w:sz w:val="24"/>
              <w:szCs w:val="24"/>
              <w:shd w:val="clear" w:color="auto" w:fill="FFFFFF"/>
              <w:lang w:val="en-US" w:bidi="hi-IN"/>
            </w:rPr>
            <w:instrText xml:space="preserve"> CITATION Fin17 \l 1033 </w:instrText>
          </w:r>
          <w:r w:rsidRPr="009B7612">
            <w:rPr>
              <w:rFonts w:ascii="Arial" w:hAnsi="Arial" w:cs="Arial"/>
              <w:sz w:val="24"/>
              <w:szCs w:val="24"/>
              <w:shd w:val="clear" w:color="auto" w:fill="FFFFFF"/>
              <w:lang w:bidi="hi-IN"/>
            </w:rPr>
            <w:fldChar w:fldCharType="separate"/>
          </w:r>
          <w:r w:rsidRPr="009B7612">
            <w:rPr>
              <w:rFonts w:ascii="Arial" w:hAnsi="Arial" w:cs="Arial"/>
              <w:noProof/>
              <w:sz w:val="24"/>
              <w:szCs w:val="24"/>
              <w:shd w:val="clear" w:color="auto" w:fill="FFFFFF"/>
              <w:lang w:val="en-US" w:bidi="hi-IN"/>
            </w:rPr>
            <w:t>(Fine, et al., 2017)</w:t>
          </w:r>
          <w:r w:rsidRPr="009B7612">
            <w:rPr>
              <w:rFonts w:ascii="Arial" w:hAnsi="Arial" w:cs="Arial"/>
              <w:sz w:val="24"/>
              <w:szCs w:val="24"/>
              <w:shd w:val="clear" w:color="auto" w:fill="FFFFFF"/>
              <w:lang w:bidi="hi-IN"/>
            </w:rPr>
            <w:fldChar w:fldCharType="end"/>
          </w:r>
        </w:sdtContent>
      </w:sdt>
      <w:r w:rsidRPr="009B7612">
        <w:rPr>
          <w:rFonts w:ascii="Arial" w:hAnsi="Arial" w:cs="Arial"/>
          <w:sz w:val="24"/>
          <w:szCs w:val="24"/>
          <w:shd w:val="clear" w:color="auto" w:fill="FFFFFF"/>
          <w:lang w:bidi="hi-IN"/>
        </w:rPr>
        <w:t>.</w:t>
      </w:r>
    </w:p>
    <w:p w14:paraId="4949B7AE" w14:textId="77777777" w:rsidR="009B7612" w:rsidRPr="009B7612" w:rsidRDefault="009B7612" w:rsidP="009B7612">
      <w:pPr>
        <w:spacing w:before="100" w:beforeAutospacing="1" w:after="100" w:afterAutospacing="1" w:line="360" w:lineRule="auto"/>
        <w:jc w:val="both"/>
        <w:rPr>
          <w:rFonts w:ascii="Arial" w:hAnsi="Arial" w:cs="Arial"/>
          <w:sz w:val="24"/>
          <w:szCs w:val="24"/>
          <w:shd w:val="clear" w:color="auto" w:fill="FFFFFF"/>
          <w:lang w:bidi="hi-IN"/>
        </w:rPr>
      </w:pPr>
      <w:r w:rsidRPr="009B7612">
        <w:rPr>
          <w:rFonts w:ascii="Arial" w:hAnsi="Arial" w:cs="Arial"/>
          <w:sz w:val="24"/>
          <w:szCs w:val="24"/>
          <w:shd w:val="clear" w:color="auto" w:fill="FFFFFF"/>
          <w:lang w:bidi="hi-IN"/>
        </w:rPr>
        <w:t>Further, many young who are exposed to negative life circumstances, feel that their personal situation is beyond of their control, and that resorting to violence was the only way to deal with the issues of live which may be poverty, poor family life etc. Moreover, repeat offences are more likely to occur when a person's contacts with bad elements within the society</w:t>
      </w:r>
      <w:sdt>
        <w:sdtPr>
          <w:rPr>
            <w:rFonts w:ascii="Arial" w:hAnsi="Arial" w:cs="Arial"/>
            <w:sz w:val="24"/>
            <w:szCs w:val="24"/>
            <w:shd w:val="clear" w:color="auto" w:fill="FFFFFF"/>
            <w:lang w:bidi="hi-IN"/>
          </w:rPr>
          <w:id w:val="1460152626"/>
          <w:citation/>
        </w:sdtPr>
        <w:sdtContent>
          <w:r w:rsidRPr="009B7612">
            <w:rPr>
              <w:rFonts w:ascii="Arial" w:hAnsi="Arial" w:cs="Arial"/>
              <w:sz w:val="24"/>
              <w:szCs w:val="24"/>
              <w:shd w:val="clear" w:color="auto" w:fill="FFFFFF"/>
              <w:lang w:bidi="hi-IN"/>
            </w:rPr>
            <w:fldChar w:fldCharType="begin"/>
          </w:r>
          <w:r w:rsidRPr="009B7612">
            <w:rPr>
              <w:rFonts w:ascii="Arial" w:hAnsi="Arial" w:cs="Arial"/>
              <w:sz w:val="24"/>
              <w:szCs w:val="24"/>
              <w:shd w:val="clear" w:color="auto" w:fill="FFFFFF"/>
              <w:lang w:val="en-US" w:bidi="hi-IN"/>
            </w:rPr>
            <w:instrText xml:space="preserve"> CITATION Nea20 \l 1033 </w:instrText>
          </w:r>
          <w:r w:rsidRPr="009B7612">
            <w:rPr>
              <w:rFonts w:ascii="Arial" w:hAnsi="Arial" w:cs="Arial"/>
              <w:sz w:val="24"/>
              <w:szCs w:val="24"/>
              <w:shd w:val="clear" w:color="auto" w:fill="FFFFFF"/>
              <w:lang w:bidi="hi-IN"/>
            </w:rPr>
            <w:fldChar w:fldCharType="separate"/>
          </w:r>
          <w:r w:rsidRPr="009B7612">
            <w:rPr>
              <w:rFonts w:ascii="Arial" w:hAnsi="Arial" w:cs="Arial"/>
              <w:noProof/>
              <w:sz w:val="24"/>
              <w:szCs w:val="24"/>
              <w:shd w:val="clear" w:color="auto" w:fill="FFFFFF"/>
              <w:lang w:val="en-US" w:bidi="hi-IN"/>
            </w:rPr>
            <w:t xml:space="preserve"> (Neal, 2020)</w:t>
          </w:r>
          <w:r w:rsidRPr="009B7612">
            <w:rPr>
              <w:rFonts w:ascii="Arial" w:hAnsi="Arial" w:cs="Arial"/>
              <w:sz w:val="24"/>
              <w:szCs w:val="24"/>
              <w:shd w:val="clear" w:color="auto" w:fill="FFFFFF"/>
              <w:lang w:bidi="hi-IN"/>
            </w:rPr>
            <w:fldChar w:fldCharType="end"/>
          </w:r>
        </w:sdtContent>
      </w:sdt>
      <w:r w:rsidRPr="009B7612">
        <w:rPr>
          <w:rFonts w:ascii="Arial" w:hAnsi="Arial" w:cs="Arial"/>
          <w:sz w:val="24"/>
          <w:szCs w:val="24"/>
          <w:shd w:val="clear" w:color="auto" w:fill="FFFFFF"/>
          <w:lang w:bidi="hi-IN"/>
        </w:rPr>
        <w:t xml:space="preserve">. </w:t>
      </w:r>
    </w:p>
    <w:p w14:paraId="2C186282" w14:textId="77777777" w:rsidR="009B7612" w:rsidRPr="009B7612" w:rsidRDefault="009B7612" w:rsidP="009B7612">
      <w:pPr>
        <w:spacing w:before="100" w:beforeAutospacing="1" w:after="100" w:afterAutospacing="1" w:line="360" w:lineRule="auto"/>
        <w:jc w:val="both"/>
        <w:rPr>
          <w:rFonts w:ascii="Arial" w:hAnsi="Arial" w:cs="Arial"/>
          <w:sz w:val="24"/>
          <w:szCs w:val="24"/>
          <w:shd w:val="clear" w:color="auto" w:fill="FFFFFF"/>
          <w:lang w:bidi="hi-IN"/>
        </w:rPr>
      </w:pPr>
      <w:r w:rsidRPr="009B7612">
        <w:rPr>
          <w:rFonts w:ascii="Arial" w:hAnsi="Arial" w:cs="Arial"/>
          <w:sz w:val="24"/>
          <w:szCs w:val="24"/>
          <w:shd w:val="clear" w:color="auto" w:fill="FFFFFF"/>
          <w:lang w:bidi="hi-IN"/>
        </w:rPr>
        <w:t>For example, those young adults who are from the marginalised social groups or with low socioeconomic position are more likely to have unfavourable interactions with society at large, and these institutions are less equipped to address their needs</w:t>
      </w:r>
      <w:sdt>
        <w:sdtPr>
          <w:rPr>
            <w:rFonts w:ascii="Arial" w:hAnsi="Arial" w:cs="Arial"/>
            <w:sz w:val="24"/>
            <w:szCs w:val="24"/>
            <w:shd w:val="clear" w:color="auto" w:fill="FFFFFF"/>
            <w:lang w:bidi="hi-IN"/>
          </w:rPr>
          <w:id w:val="-1968970662"/>
          <w:citation/>
        </w:sdtPr>
        <w:sdtContent>
          <w:r w:rsidRPr="009B7612">
            <w:rPr>
              <w:rFonts w:ascii="Arial" w:hAnsi="Arial" w:cs="Arial"/>
              <w:sz w:val="24"/>
              <w:szCs w:val="24"/>
              <w:shd w:val="clear" w:color="auto" w:fill="FFFFFF"/>
              <w:lang w:bidi="hi-IN"/>
            </w:rPr>
            <w:fldChar w:fldCharType="begin"/>
          </w:r>
          <w:r w:rsidRPr="009B7612">
            <w:rPr>
              <w:rFonts w:ascii="Arial" w:hAnsi="Arial" w:cs="Arial"/>
              <w:sz w:val="24"/>
              <w:szCs w:val="24"/>
              <w:shd w:val="clear" w:color="auto" w:fill="FFFFFF"/>
              <w:lang w:val="en-US" w:bidi="hi-IN"/>
            </w:rPr>
            <w:instrText xml:space="preserve"> CITATION Her20 \l 1033 </w:instrText>
          </w:r>
          <w:r w:rsidRPr="009B7612">
            <w:rPr>
              <w:rFonts w:ascii="Arial" w:hAnsi="Arial" w:cs="Arial"/>
              <w:sz w:val="24"/>
              <w:szCs w:val="24"/>
              <w:shd w:val="clear" w:color="auto" w:fill="FFFFFF"/>
              <w:lang w:bidi="hi-IN"/>
            </w:rPr>
            <w:fldChar w:fldCharType="separate"/>
          </w:r>
          <w:r w:rsidRPr="009B7612">
            <w:rPr>
              <w:rFonts w:ascii="Arial" w:hAnsi="Arial" w:cs="Arial"/>
              <w:noProof/>
              <w:sz w:val="24"/>
              <w:szCs w:val="24"/>
              <w:shd w:val="clear" w:color="auto" w:fill="FFFFFF"/>
              <w:lang w:val="en-US" w:bidi="hi-IN"/>
            </w:rPr>
            <w:t xml:space="preserve"> (Herring, 2020)</w:t>
          </w:r>
          <w:r w:rsidRPr="009B7612">
            <w:rPr>
              <w:rFonts w:ascii="Arial" w:hAnsi="Arial" w:cs="Arial"/>
              <w:sz w:val="24"/>
              <w:szCs w:val="24"/>
              <w:shd w:val="clear" w:color="auto" w:fill="FFFFFF"/>
              <w:lang w:bidi="hi-IN"/>
            </w:rPr>
            <w:fldChar w:fldCharType="end"/>
          </w:r>
        </w:sdtContent>
      </w:sdt>
      <w:r w:rsidRPr="009B7612">
        <w:rPr>
          <w:rFonts w:ascii="Arial" w:hAnsi="Arial" w:cs="Arial"/>
          <w:sz w:val="24"/>
          <w:szCs w:val="24"/>
          <w:shd w:val="clear" w:color="auto" w:fill="FFFFFF"/>
          <w:lang w:bidi="hi-IN"/>
        </w:rPr>
        <w:t xml:space="preserve">. </w:t>
      </w:r>
    </w:p>
    <w:p w14:paraId="3E87D5F7" w14:textId="77777777" w:rsidR="009B7612" w:rsidRPr="009B7612" w:rsidRDefault="009B7612" w:rsidP="009B7612">
      <w:pPr>
        <w:spacing w:before="100" w:beforeAutospacing="1" w:after="100" w:afterAutospacing="1" w:line="360" w:lineRule="auto"/>
        <w:jc w:val="both"/>
        <w:rPr>
          <w:rFonts w:ascii="Arial" w:hAnsi="Arial" w:cs="Arial"/>
          <w:sz w:val="24"/>
          <w:szCs w:val="24"/>
          <w:lang w:val="en-IN" w:bidi="hi-IN"/>
        </w:rPr>
      </w:pPr>
      <w:r w:rsidRPr="009B7612">
        <w:rPr>
          <w:rFonts w:ascii="Arial" w:hAnsi="Arial" w:cs="Arial"/>
          <w:sz w:val="24"/>
          <w:szCs w:val="24"/>
          <w:lang w:val="en-IN" w:bidi="hi-IN"/>
        </w:rPr>
        <w:t xml:space="preserve">There are both positive and negative outcomes associated with rapid population growth for any nation, business, or family. When a country's population exceeds its resources, it becomes difficult to effectively channel limited resources, leading to crises over the distribution of those resources and leaving the poor particularly at risk. In addition, the poor often travel to engage in criminal and drug-related activity, making them even more susceptible to harm. When a family's size increases, but their income does not, they will struggle to meet even their most basic necessities </w:t>
      </w:r>
      <w:sdt>
        <w:sdtPr>
          <w:rPr>
            <w:rFonts w:ascii="Arial" w:hAnsi="Arial" w:cs="Arial"/>
            <w:sz w:val="24"/>
            <w:szCs w:val="24"/>
            <w:lang w:val="en-IN" w:bidi="hi-IN"/>
          </w:rPr>
          <w:id w:val="-2096226987"/>
          <w:citation/>
        </w:sdtPr>
        <w:sdtContent>
          <w:r w:rsidRPr="009B7612">
            <w:rPr>
              <w:rFonts w:ascii="Arial" w:hAnsi="Arial" w:cs="Arial"/>
              <w:sz w:val="24"/>
              <w:szCs w:val="24"/>
              <w:lang w:val="en-IN" w:bidi="hi-IN"/>
            </w:rPr>
            <w:fldChar w:fldCharType="begin"/>
          </w:r>
          <w:r w:rsidRPr="009B7612">
            <w:rPr>
              <w:rFonts w:ascii="Arial" w:hAnsi="Arial" w:cs="Arial"/>
              <w:sz w:val="24"/>
              <w:szCs w:val="24"/>
              <w:lang w:val="en-US" w:bidi="hi-IN"/>
            </w:rPr>
            <w:instrText xml:space="preserve"> CITATION Pet211 \l 1033 </w:instrText>
          </w:r>
          <w:r w:rsidRPr="009B7612">
            <w:rPr>
              <w:rFonts w:ascii="Arial" w:hAnsi="Arial" w:cs="Arial"/>
              <w:sz w:val="24"/>
              <w:szCs w:val="24"/>
              <w:lang w:val="en-IN" w:bidi="hi-IN"/>
            </w:rPr>
            <w:fldChar w:fldCharType="separate"/>
          </w:r>
          <w:r w:rsidRPr="009B7612">
            <w:rPr>
              <w:rFonts w:ascii="Arial" w:hAnsi="Arial" w:cs="Arial"/>
              <w:noProof/>
              <w:sz w:val="24"/>
              <w:szCs w:val="24"/>
              <w:lang w:val="en-US" w:bidi="hi-IN"/>
            </w:rPr>
            <w:t>(Peter Terna, 2021)</w:t>
          </w:r>
          <w:r w:rsidRPr="009B7612">
            <w:rPr>
              <w:rFonts w:ascii="Arial" w:hAnsi="Arial" w:cs="Arial"/>
              <w:sz w:val="24"/>
              <w:szCs w:val="24"/>
              <w:lang w:val="en-IN" w:bidi="hi-IN"/>
            </w:rPr>
            <w:fldChar w:fldCharType="end"/>
          </w:r>
        </w:sdtContent>
      </w:sdt>
      <w:r w:rsidRPr="009B7612">
        <w:rPr>
          <w:rFonts w:ascii="Arial" w:hAnsi="Arial" w:cs="Arial"/>
          <w:sz w:val="24"/>
          <w:szCs w:val="24"/>
          <w:lang w:val="en-IN" w:bidi="hi-IN"/>
        </w:rPr>
        <w:t>.</w:t>
      </w:r>
    </w:p>
    <w:p w14:paraId="7C283C2B" w14:textId="77777777" w:rsidR="009B7612" w:rsidRPr="009B7612" w:rsidRDefault="009B7612" w:rsidP="009B7612">
      <w:pPr>
        <w:spacing w:before="100" w:beforeAutospacing="1" w:after="100" w:afterAutospacing="1" w:line="360" w:lineRule="auto"/>
        <w:jc w:val="both"/>
        <w:rPr>
          <w:rFonts w:ascii="Arial" w:hAnsi="Arial" w:cs="Arial"/>
          <w:sz w:val="24"/>
          <w:szCs w:val="24"/>
          <w:lang w:val="en-IN" w:bidi="hi-IN"/>
        </w:rPr>
      </w:pPr>
      <w:r w:rsidRPr="009B7612">
        <w:rPr>
          <w:rFonts w:ascii="Arial" w:hAnsi="Arial" w:cs="Arial"/>
          <w:sz w:val="24"/>
          <w:szCs w:val="24"/>
          <w:lang w:val="en-IN" w:bidi="hi-IN"/>
        </w:rPr>
        <w:t xml:space="preserve">Across the world, every 1 in 5 has some form of disability. Persons having disability face challenges much more than normal persons which include financial challenges, physical challenges and therefore they are dependent on others for overcoming these barriers </w:t>
      </w:r>
      <w:sdt>
        <w:sdtPr>
          <w:rPr>
            <w:rFonts w:ascii="Arial" w:hAnsi="Arial" w:cs="Arial"/>
            <w:sz w:val="24"/>
            <w:szCs w:val="24"/>
            <w:lang w:val="en-IN" w:bidi="hi-IN"/>
          </w:rPr>
          <w:id w:val="59830575"/>
          <w:citation/>
        </w:sdtPr>
        <w:sdtContent>
          <w:r w:rsidRPr="009B7612">
            <w:rPr>
              <w:rFonts w:ascii="Arial" w:hAnsi="Arial" w:cs="Arial"/>
              <w:sz w:val="24"/>
              <w:szCs w:val="24"/>
              <w:lang w:val="en-IN" w:bidi="hi-IN"/>
            </w:rPr>
            <w:fldChar w:fldCharType="begin"/>
          </w:r>
          <w:r w:rsidRPr="009B7612">
            <w:rPr>
              <w:rFonts w:ascii="Arial" w:hAnsi="Arial" w:cs="Arial"/>
              <w:sz w:val="24"/>
              <w:szCs w:val="24"/>
              <w:lang w:val="en-US" w:bidi="hi-IN"/>
            </w:rPr>
            <w:instrText xml:space="preserve"> CITATION STE14 \l 1033 </w:instrText>
          </w:r>
          <w:r w:rsidRPr="009B7612">
            <w:rPr>
              <w:rFonts w:ascii="Arial" w:hAnsi="Arial" w:cs="Arial"/>
              <w:sz w:val="24"/>
              <w:szCs w:val="24"/>
              <w:lang w:val="en-IN" w:bidi="hi-IN"/>
            </w:rPr>
            <w:fldChar w:fldCharType="separate"/>
          </w:r>
          <w:r w:rsidRPr="009B7612">
            <w:rPr>
              <w:rFonts w:ascii="Arial" w:hAnsi="Arial" w:cs="Arial"/>
              <w:noProof/>
              <w:sz w:val="24"/>
              <w:szCs w:val="24"/>
              <w:lang w:val="en-US" w:bidi="hi-IN"/>
            </w:rPr>
            <w:t>(STEPHEN HAWKING, 2014)</w:t>
          </w:r>
          <w:r w:rsidRPr="009B7612">
            <w:rPr>
              <w:rFonts w:ascii="Arial" w:hAnsi="Arial" w:cs="Arial"/>
              <w:sz w:val="24"/>
              <w:szCs w:val="24"/>
              <w:lang w:val="en-IN" w:bidi="hi-IN"/>
            </w:rPr>
            <w:fldChar w:fldCharType="end"/>
          </w:r>
        </w:sdtContent>
      </w:sdt>
      <w:r w:rsidRPr="009B7612">
        <w:rPr>
          <w:rFonts w:ascii="Arial" w:hAnsi="Arial" w:cs="Arial"/>
          <w:sz w:val="24"/>
          <w:szCs w:val="24"/>
          <w:lang w:val="en-IN" w:bidi="hi-IN"/>
        </w:rPr>
        <w:t xml:space="preserve">. This makes them vulnerable and being dependent on others. </w:t>
      </w:r>
    </w:p>
    <w:p w14:paraId="2E993CDA" w14:textId="77777777" w:rsidR="009B7612" w:rsidRPr="009B7612" w:rsidRDefault="009B7612" w:rsidP="009B7612">
      <w:pPr>
        <w:spacing w:before="100" w:beforeAutospacing="1" w:after="100" w:afterAutospacing="1" w:line="360" w:lineRule="auto"/>
        <w:jc w:val="both"/>
        <w:rPr>
          <w:rFonts w:ascii="Arial" w:hAnsi="Arial" w:cs="Arial"/>
          <w:sz w:val="24"/>
          <w:szCs w:val="24"/>
          <w:lang w:val="en-IN" w:bidi="hi-IN"/>
        </w:rPr>
      </w:pPr>
      <w:r w:rsidRPr="009B7612">
        <w:rPr>
          <w:rFonts w:ascii="Arial" w:hAnsi="Arial" w:cs="Arial"/>
          <w:sz w:val="24"/>
          <w:szCs w:val="24"/>
          <w:lang w:val="en-IN" w:bidi="hi-IN"/>
        </w:rPr>
        <w:t xml:space="preserve">Persistent Economic Deprivation Hulme and Shepherd (2003) classify poor people into two broad groups: the chronic and the temporary. Those whose lives are permanently derailed by poverty are said to be living in chronic poverty, whereas those whose lives are temporarily derailed by poverty are said to be living in temporary poverty. Thus, both chronic and transient poverty are sensitive, but chronic poverty causes considerably greater vulnerability due to the full lack of basic necessities </w:t>
      </w:r>
      <w:r w:rsidRPr="009B7612">
        <w:rPr>
          <w:rFonts w:ascii="Arial" w:hAnsi="Arial" w:cs="Arial"/>
          <w:sz w:val="24"/>
          <w:szCs w:val="24"/>
          <w:lang w:val="en-IN" w:bidi="hi-IN"/>
        </w:rPr>
        <w:lastRenderedPageBreak/>
        <w:t xml:space="preserve">including food, housing, healthcare, education, water, and so on </w:t>
      </w:r>
      <w:sdt>
        <w:sdtPr>
          <w:rPr>
            <w:rFonts w:ascii="Arial" w:hAnsi="Arial" w:cs="Arial"/>
            <w:sz w:val="24"/>
            <w:szCs w:val="24"/>
            <w:lang w:val="en-IN" w:bidi="hi-IN"/>
          </w:rPr>
          <w:id w:val="1798488061"/>
          <w:citation/>
        </w:sdtPr>
        <w:sdtContent>
          <w:r w:rsidRPr="009B7612">
            <w:rPr>
              <w:rFonts w:ascii="Arial" w:hAnsi="Arial" w:cs="Arial"/>
              <w:sz w:val="24"/>
              <w:szCs w:val="24"/>
              <w:lang w:val="en-IN" w:bidi="hi-IN"/>
            </w:rPr>
            <w:fldChar w:fldCharType="begin"/>
          </w:r>
          <w:r w:rsidRPr="009B7612">
            <w:rPr>
              <w:rFonts w:ascii="Arial" w:hAnsi="Arial" w:cs="Arial"/>
              <w:sz w:val="24"/>
              <w:szCs w:val="24"/>
              <w:lang w:val="en-US" w:bidi="hi-IN"/>
            </w:rPr>
            <w:instrText xml:space="preserve"> CITATION Pet211 \l 1033 </w:instrText>
          </w:r>
          <w:r w:rsidRPr="009B7612">
            <w:rPr>
              <w:rFonts w:ascii="Arial" w:hAnsi="Arial" w:cs="Arial"/>
              <w:sz w:val="24"/>
              <w:szCs w:val="24"/>
              <w:lang w:val="en-IN" w:bidi="hi-IN"/>
            </w:rPr>
            <w:fldChar w:fldCharType="separate"/>
          </w:r>
          <w:r w:rsidRPr="009B7612">
            <w:rPr>
              <w:rFonts w:ascii="Arial" w:hAnsi="Arial" w:cs="Arial"/>
              <w:noProof/>
              <w:sz w:val="24"/>
              <w:szCs w:val="24"/>
              <w:lang w:val="en-US" w:bidi="hi-IN"/>
            </w:rPr>
            <w:t>(Peter Terna, 2021)</w:t>
          </w:r>
          <w:r w:rsidRPr="009B7612">
            <w:rPr>
              <w:rFonts w:ascii="Arial" w:hAnsi="Arial" w:cs="Arial"/>
              <w:sz w:val="24"/>
              <w:szCs w:val="24"/>
              <w:lang w:val="en-IN" w:bidi="hi-IN"/>
            </w:rPr>
            <w:fldChar w:fldCharType="end"/>
          </w:r>
        </w:sdtContent>
      </w:sdt>
      <w:r w:rsidRPr="009B7612">
        <w:rPr>
          <w:rFonts w:ascii="Arial" w:hAnsi="Arial" w:cs="Arial"/>
          <w:sz w:val="24"/>
          <w:szCs w:val="24"/>
          <w:lang w:val="en-IN" w:bidi="hi-IN"/>
        </w:rPr>
        <w:t>. Thus, both chronic and transient poverty are sensitive, but chronic poverty causes considerably greater vulnerability due to the full lack of basic necessities including food, housing, healthcare, education, water, and so on.</w:t>
      </w:r>
    </w:p>
    <w:p w14:paraId="47C03B28" w14:textId="77777777" w:rsidR="009B7612" w:rsidRPr="009B7612" w:rsidRDefault="009B7612" w:rsidP="009B7612">
      <w:pPr>
        <w:spacing w:before="100" w:beforeAutospacing="1" w:after="100" w:afterAutospacing="1" w:line="360" w:lineRule="auto"/>
        <w:jc w:val="both"/>
        <w:rPr>
          <w:rFonts w:ascii="Arial" w:hAnsi="Arial" w:cs="Arial"/>
          <w:sz w:val="24"/>
          <w:szCs w:val="24"/>
          <w:lang w:val="en-IN" w:bidi="hi-IN"/>
        </w:rPr>
      </w:pPr>
      <w:r w:rsidRPr="009B7612">
        <w:rPr>
          <w:rFonts w:ascii="Arial" w:hAnsi="Arial" w:cs="Arial"/>
          <w:sz w:val="24"/>
          <w:szCs w:val="24"/>
          <w:lang w:val="en-IN" w:bidi="hi-IN"/>
        </w:rPr>
        <w:t>A high mortality and fatality rate is a clear indication that healthcare services in a given area are inadequate.</w:t>
      </w:r>
    </w:p>
    <w:p w14:paraId="34AA3DB5" w14:textId="77777777" w:rsidR="009B7612" w:rsidRPr="009B7612" w:rsidRDefault="009B7612" w:rsidP="009B7612">
      <w:pPr>
        <w:spacing w:before="100" w:beforeAutospacing="1" w:after="100" w:afterAutospacing="1" w:line="360" w:lineRule="auto"/>
        <w:jc w:val="both"/>
        <w:rPr>
          <w:rFonts w:ascii="Arial" w:hAnsi="Arial" w:cs="Arial"/>
          <w:sz w:val="24"/>
          <w:szCs w:val="24"/>
          <w:lang w:val="en-IN" w:bidi="hi-IN"/>
        </w:rPr>
      </w:pPr>
      <w:r w:rsidRPr="009B7612">
        <w:rPr>
          <w:rFonts w:ascii="Arial" w:hAnsi="Arial" w:cs="Arial"/>
          <w:sz w:val="24"/>
          <w:szCs w:val="24"/>
          <w:lang w:val="en-IN" w:bidi="hi-IN"/>
        </w:rPr>
        <w:t xml:space="preserve">In any country, the lives of its citizens and the prosperity of its economy are in danger if the government, both elected and appointed, is unable to establish policies, rules, and regulations, including economic and political institutions, that will suit the requirements of the people. So, the areas which are neglected, have poor administration are likely to have higher number of vulnerable people </w:t>
      </w:r>
      <w:sdt>
        <w:sdtPr>
          <w:rPr>
            <w:rFonts w:ascii="Arial" w:hAnsi="Arial" w:cs="Arial"/>
            <w:sz w:val="24"/>
            <w:szCs w:val="24"/>
            <w:lang w:val="en-IN" w:bidi="hi-IN"/>
          </w:rPr>
          <w:id w:val="894545618"/>
          <w:citation/>
        </w:sdtPr>
        <w:sdtContent>
          <w:r w:rsidRPr="009B7612">
            <w:rPr>
              <w:rFonts w:ascii="Arial" w:hAnsi="Arial" w:cs="Arial"/>
              <w:sz w:val="24"/>
              <w:szCs w:val="24"/>
              <w:lang w:val="en-IN" w:bidi="hi-IN"/>
            </w:rPr>
            <w:fldChar w:fldCharType="begin"/>
          </w:r>
          <w:r w:rsidRPr="009B7612">
            <w:rPr>
              <w:rFonts w:ascii="Arial" w:hAnsi="Arial" w:cs="Arial"/>
              <w:sz w:val="24"/>
              <w:szCs w:val="24"/>
              <w:lang w:val="en-US" w:bidi="hi-IN"/>
            </w:rPr>
            <w:instrText xml:space="preserve"> CITATION Vet13 \l 1033 </w:instrText>
          </w:r>
          <w:r w:rsidRPr="009B7612">
            <w:rPr>
              <w:rFonts w:ascii="Arial" w:hAnsi="Arial" w:cs="Arial"/>
              <w:sz w:val="24"/>
              <w:szCs w:val="24"/>
              <w:lang w:val="en-IN" w:bidi="hi-IN"/>
            </w:rPr>
            <w:fldChar w:fldCharType="separate"/>
          </w:r>
          <w:r w:rsidRPr="009B7612">
            <w:rPr>
              <w:rFonts w:ascii="Arial" w:hAnsi="Arial" w:cs="Arial"/>
              <w:noProof/>
              <w:sz w:val="24"/>
              <w:szCs w:val="24"/>
              <w:lang w:val="en-US" w:bidi="hi-IN"/>
            </w:rPr>
            <w:t>(Vettenburg, et al., 2013)</w:t>
          </w:r>
          <w:r w:rsidRPr="009B7612">
            <w:rPr>
              <w:rFonts w:ascii="Arial" w:hAnsi="Arial" w:cs="Arial"/>
              <w:sz w:val="24"/>
              <w:szCs w:val="24"/>
              <w:lang w:val="en-IN" w:bidi="hi-IN"/>
            </w:rPr>
            <w:fldChar w:fldCharType="end"/>
          </w:r>
        </w:sdtContent>
      </w:sdt>
    </w:p>
    <w:p w14:paraId="020E09DF" w14:textId="77777777" w:rsidR="009B7612" w:rsidRPr="009B7612" w:rsidRDefault="009B7612" w:rsidP="009B7612">
      <w:pPr>
        <w:spacing w:before="100" w:beforeAutospacing="1" w:after="100" w:afterAutospacing="1" w:line="360" w:lineRule="auto"/>
        <w:jc w:val="both"/>
        <w:rPr>
          <w:rFonts w:ascii="Arial" w:hAnsi="Arial" w:cs="Arial"/>
          <w:b/>
          <w:bCs/>
          <w:sz w:val="24"/>
          <w:szCs w:val="24"/>
          <w:lang w:val="en-IN" w:bidi="hi-IN"/>
        </w:rPr>
      </w:pPr>
      <w:r w:rsidRPr="009B7612">
        <w:rPr>
          <w:rFonts w:ascii="Arial" w:hAnsi="Arial" w:cs="Arial"/>
          <w:sz w:val="24"/>
          <w:szCs w:val="24"/>
          <w:lang w:val="en-IN" w:bidi="hi-IN"/>
        </w:rPr>
        <w:t xml:space="preserve">When there are constantly more men than women or more women than men in a given system, the underrepresented minority is left feeling helpless and defenceless </w:t>
      </w:r>
      <w:sdt>
        <w:sdtPr>
          <w:rPr>
            <w:rFonts w:ascii="Arial" w:hAnsi="Arial" w:cs="Arial"/>
            <w:sz w:val="24"/>
            <w:szCs w:val="24"/>
            <w:lang w:val="en-IN" w:bidi="hi-IN"/>
          </w:rPr>
          <w:id w:val="-1477362673"/>
          <w:citation/>
        </w:sdtPr>
        <w:sdtContent>
          <w:r w:rsidRPr="009B7612">
            <w:rPr>
              <w:rFonts w:ascii="Arial" w:hAnsi="Arial" w:cs="Arial"/>
              <w:sz w:val="24"/>
              <w:szCs w:val="24"/>
              <w:lang w:val="en-IN" w:bidi="hi-IN"/>
            </w:rPr>
            <w:fldChar w:fldCharType="begin"/>
          </w:r>
          <w:r w:rsidRPr="009B7612">
            <w:rPr>
              <w:rFonts w:ascii="Arial" w:hAnsi="Arial" w:cs="Arial"/>
              <w:sz w:val="24"/>
              <w:szCs w:val="24"/>
              <w:lang w:val="en-US" w:bidi="hi-IN"/>
            </w:rPr>
            <w:instrText xml:space="preserve"> CITATION Mac222 \l 1033 </w:instrText>
          </w:r>
          <w:r w:rsidRPr="009B7612">
            <w:rPr>
              <w:rFonts w:ascii="Arial" w:hAnsi="Arial" w:cs="Arial"/>
              <w:sz w:val="24"/>
              <w:szCs w:val="24"/>
              <w:lang w:val="en-IN" w:bidi="hi-IN"/>
            </w:rPr>
            <w:fldChar w:fldCharType="separate"/>
          </w:r>
          <w:r w:rsidRPr="009B7612">
            <w:rPr>
              <w:rFonts w:ascii="Arial" w:hAnsi="Arial" w:cs="Arial"/>
              <w:noProof/>
              <w:sz w:val="24"/>
              <w:szCs w:val="24"/>
              <w:lang w:val="en-US" w:bidi="hi-IN"/>
            </w:rPr>
            <w:t>(Macioce, 2022)</w:t>
          </w:r>
          <w:r w:rsidRPr="009B7612">
            <w:rPr>
              <w:rFonts w:ascii="Arial" w:hAnsi="Arial" w:cs="Arial"/>
              <w:sz w:val="24"/>
              <w:szCs w:val="24"/>
              <w:lang w:val="en-IN" w:bidi="hi-IN"/>
            </w:rPr>
            <w:fldChar w:fldCharType="end"/>
          </w:r>
        </w:sdtContent>
      </w:sdt>
      <w:r w:rsidRPr="009B7612">
        <w:rPr>
          <w:rFonts w:ascii="Arial" w:hAnsi="Arial" w:cs="Arial"/>
          <w:sz w:val="24"/>
          <w:szCs w:val="24"/>
          <w:lang w:val="en-IN" w:bidi="hi-IN"/>
        </w:rPr>
        <w:t xml:space="preserve">. Also, in some specific geographies, cultures, regions etc. the women don’t have the same rights as men and therefore, women are mistreated. This makes women vulnerable to abuse, physical and mental harm </w:t>
      </w:r>
      <w:sdt>
        <w:sdtPr>
          <w:rPr>
            <w:rFonts w:ascii="Arial" w:hAnsi="Arial" w:cs="Arial"/>
            <w:sz w:val="24"/>
            <w:szCs w:val="24"/>
            <w:lang w:val="en-IN" w:bidi="hi-IN"/>
          </w:rPr>
          <w:id w:val="1780226930"/>
          <w:citation/>
        </w:sdtPr>
        <w:sdtContent>
          <w:r w:rsidRPr="009B7612">
            <w:rPr>
              <w:rFonts w:ascii="Arial" w:hAnsi="Arial" w:cs="Arial"/>
              <w:sz w:val="24"/>
              <w:szCs w:val="24"/>
              <w:lang w:val="en-IN" w:bidi="hi-IN"/>
            </w:rPr>
            <w:fldChar w:fldCharType="begin"/>
          </w:r>
          <w:r w:rsidRPr="009B7612">
            <w:rPr>
              <w:rFonts w:ascii="Arial" w:hAnsi="Arial" w:cs="Arial"/>
              <w:sz w:val="24"/>
              <w:szCs w:val="24"/>
              <w:lang w:val="en-US" w:bidi="hi-IN"/>
            </w:rPr>
            <w:instrText xml:space="preserve"> CITATION Mac222 \l 1033 </w:instrText>
          </w:r>
          <w:r w:rsidRPr="009B7612">
            <w:rPr>
              <w:rFonts w:ascii="Arial" w:hAnsi="Arial" w:cs="Arial"/>
              <w:sz w:val="24"/>
              <w:szCs w:val="24"/>
              <w:lang w:val="en-IN" w:bidi="hi-IN"/>
            </w:rPr>
            <w:fldChar w:fldCharType="separate"/>
          </w:r>
          <w:r w:rsidRPr="009B7612">
            <w:rPr>
              <w:rFonts w:ascii="Arial" w:hAnsi="Arial" w:cs="Arial"/>
              <w:noProof/>
              <w:sz w:val="24"/>
              <w:szCs w:val="24"/>
              <w:lang w:val="en-US" w:bidi="hi-IN"/>
            </w:rPr>
            <w:t>(Macioce, 2022)</w:t>
          </w:r>
          <w:r w:rsidRPr="009B7612">
            <w:rPr>
              <w:rFonts w:ascii="Arial" w:hAnsi="Arial" w:cs="Arial"/>
              <w:sz w:val="24"/>
              <w:szCs w:val="24"/>
              <w:lang w:val="en-IN" w:bidi="hi-IN"/>
            </w:rPr>
            <w:fldChar w:fldCharType="end"/>
          </w:r>
        </w:sdtContent>
      </w:sdt>
      <w:r w:rsidRPr="009B7612">
        <w:rPr>
          <w:rFonts w:ascii="Arial" w:hAnsi="Arial" w:cs="Arial"/>
          <w:sz w:val="24"/>
          <w:szCs w:val="24"/>
          <w:lang w:val="en-IN" w:bidi="hi-IN"/>
        </w:rPr>
        <w:t xml:space="preserve">. </w:t>
      </w:r>
    </w:p>
    <w:p w14:paraId="6F9D5D91" w14:textId="77777777" w:rsidR="009B7612" w:rsidRPr="009B7612" w:rsidRDefault="009B7612" w:rsidP="009B7612">
      <w:pPr>
        <w:spacing w:before="100" w:beforeAutospacing="1" w:after="100" w:afterAutospacing="1" w:line="360" w:lineRule="auto"/>
        <w:jc w:val="both"/>
        <w:rPr>
          <w:rFonts w:ascii="Arial" w:hAnsi="Arial" w:cs="Arial"/>
          <w:sz w:val="24"/>
          <w:szCs w:val="24"/>
          <w:lang w:val="en-IN" w:bidi="hi-IN"/>
        </w:rPr>
      </w:pPr>
      <w:r w:rsidRPr="009B7612">
        <w:rPr>
          <w:rFonts w:ascii="Arial" w:hAnsi="Arial" w:cs="Arial"/>
          <w:sz w:val="24"/>
          <w:szCs w:val="24"/>
          <w:lang w:val="en-IN" w:bidi="hi-IN"/>
        </w:rPr>
        <w:t>Low Quality of Education Countries with poor educational systems will always struggle to give their population the fundamental education they need to break free from ignorance, therefore those people will be helpless in the face of crises because they will lack the information, experience, and abilities to cope with them (Peter Terna,2021).</w:t>
      </w:r>
    </w:p>
    <w:p w14:paraId="031B6E4E" w14:textId="77777777" w:rsidR="009B7612" w:rsidRPr="009B7612" w:rsidRDefault="009B7612" w:rsidP="009B7612">
      <w:pPr>
        <w:spacing w:before="100" w:beforeAutospacing="1" w:after="100" w:afterAutospacing="1" w:line="360" w:lineRule="auto"/>
        <w:jc w:val="both"/>
        <w:rPr>
          <w:rFonts w:ascii="Arial" w:hAnsi="Arial" w:cs="Arial"/>
          <w:sz w:val="24"/>
          <w:szCs w:val="24"/>
          <w:lang w:val="en-IN" w:bidi="hi-IN"/>
        </w:rPr>
      </w:pPr>
      <w:r w:rsidRPr="009B7612">
        <w:rPr>
          <w:rFonts w:ascii="Arial" w:hAnsi="Arial" w:cs="Arial"/>
          <w:sz w:val="24"/>
          <w:szCs w:val="24"/>
          <w:lang w:val="en-IN" w:bidi="hi-IN"/>
        </w:rPr>
        <w:t xml:space="preserve">Another reason which can lead to vulnerability is because of age. In old age, a person doesn’t have the physical strength to undertake the work that normal being is capable of. Further, increase age leads to limitations in terms of actions and functions a person can do. Finally, older people and </w:t>
      </w:r>
      <w:sdt>
        <w:sdtPr>
          <w:rPr>
            <w:rFonts w:ascii="Arial" w:hAnsi="Arial" w:cs="Arial"/>
            <w:sz w:val="24"/>
            <w:szCs w:val="24"/>
            <w:lang w:val="en-IN" w:bidi="hi-IN"/>
          </w:rPr>
          <w:id w:val="2072693066"/>
          <w:citation/>
        </w:sdtPr>
        <w:sdtContent>
          <w:r w:rsidRPr="009B7612">
            <w:rPr>
              <w:rFonts w:ascii="Arial" w:hAnsi="Arial" w:cs="Arial"/>
              <w:sz w:val="24"/>
              <w:szCs w:val="24"/>
              <w:lang w:val="en-IN" w:bidi="hi-IN"/>
            </w:rPr>
            <w:fldChar w:fldCharType="begin"/>
          </w:r>
          <w:r w:rsidRPr="009B7612">
            <w:rPr>
              <w:rFonts w:ascii="Arial" w:hAnsi="Arial" w:cs="Arial"/>
              <w:sz w:val="24"/>
              <w:szCs w:val="24"/>
              <w:lang w:val="en-US" w:bidi="hi-IN"/>
            </w:rPr>
            <w:instrText xml:space="preserve">CITATION Abe21 \l 1033 </w:instrText>
          </w:r>
          <w:r w:rsidRPr="009B7612">
            <w:rPr>
              <w:rFonts w:ascii="Arial" w:hAnsi="Arial" w:cs="Arial"/>
              <w:sz w:val="24"/>
              <w:szCs w:val="24"/>
              <w:lang w:val="en-IN" w:bidi="hi-IN"/>
            </w:rPr>
            <w:fldChar w:fldCharType="separate"/>
          </w:r>
          <w:r w:rsidRPr="009B7612">
            <w:rPr>
              <w:rFonts w:ascii="Arial" w:hAnsi="Arial" w:cs="Arial"/>
              <w:noProof/>
              <w:sz w:val="24"/>
              <w:szCs w:val="24"/>
              <w:lang w:val="en-US" w:bidi="hi-IN"/>
            </w:rPr>
            <w:t>(Schröder-Butterfill &amp; Marianti, 2021)</w:t>
          </w:r>
          <w:r w:rsidRPr="009B7612">
            <w:rPr>
              <w:rFonts w:ascii="Arial" w:hAnsi="Arial" w:cs="Arial"/>
              <w:sz w:val="24"/>
              <w:szCs w:val="24"/>
              <w:lang w:val="en-IN" w:bidi="hi-IN"/>
            </w:rPr>
            <w:fldChar w:fldCharType="end"/>
          </w:r>
        </w:sdtContent>
      </w:sdt>
      <w:r w:rsidRPr="009B7612">
        <w:rPr>
          <w:rFonts w:ascii="Arial" w:hAnsi="Arial" w:cs="Arial"/>
          <w:sz w:val="24"/>
          <w:szCs w:val="24"/>
          <w:lang w:val="en-IN" w:bidi="hi-IN"/>
        </w:rPr>
        <w:t xml:space="preserve">. There can also other social reasons for vulnerability of old persons which could be loneliness, dependency on others etc. All these factors make old persons vulnerable to risks to which they are uncapable to defending themselves because they don’t have the </w:t>
      </w:r>
      <w:r w:rsidRPr="009B7612">
        <w:rPr>
          <w:rFonts w:ascii="Arial" w:hAnsi="Arial" w:cs="Arial"/>
          <w:sz w:val="24"/>
          <w:szCs w:val="24"/>
          <w:lang w:val="en-IN" w:bidi="hi-IN"/>
        </w:rPr>
        <w:lastRenderedPageBreak/>
        <w:t xml:space="preserve">physical or mental strengths and at the same time not access to resources </w:t>
      </w:r>
      <w:sdt>
        <w:sdtPr>
          <w:rPr>
            <w:rFonts w:ascii="Arial" w:hAnsi="Arial" w:cs="Arial"/>
            <w:sz w:val="24"/>
            <w:szCs w:val="24"/>
            <w:lang w:val="en-IN" w:bidi="hi-IN"/>
          </w:rPr>
          <w:id w:val="-1021084786"/>
          <w:citation/>
        </w:sdtPr>
        <w:sdtContent>
          <w:r w:rsidRPr="009B7612">
            <w:rPr>
              <w:rFonts w:ascii="Arial" w:hAnsi="Arial" w:cs="Arial"/>
              <w:sz w:val="24"/>
              <w:szCs w:val="24"/>
              <w:lang w:val="en-IN" w:bidi="hi-IN"/>
            </w:rPr>
            <w:fldChar w:fldCharType="begin"/>
          </w:r>
          <w:r w:rsidRPr="009B7612">
            <w:rPr>
              <w:rFonts w:ascii="Arial" w:hAnsi="Arial" w:cs="Arial"/>
              <w:sz w:val="24"/>
              <w:szCs w:val="24"/>
              <w:lang w:val="en-US" w:bidi="hi-IN"/>
            </w:rPr>
            <w:instrText xml:space="preserve">CITATION Abe21 \l 1033 </w:instrText>
          </w:r>
          <w:r w:rsidRPr="009B7612">
            <w:rPr>
              <w:rFonts w:ascii="Arial" w:hAnsi="Arial" w:cs="Arial"/>
              <w:sz w:val="24"/>
              <w:szCs w:val="24"/>
              <w:lang w:val="en-IN" w:bidi="hi-IN"/>
            </w:rPr>
            <w:fldChar w:fldCharType="separate"/>
          </w:r>
          <w:r w:rsidRPr="009B7612">
            <w:rPr>
              <w:rFonts w:ascii="Arial" w:hAnsi="Arial" w:cs="Arial"/>
              <w:noProof/>
              <w:sz w:val="24"/>
              <w:szCs w:val="24"/>
              <w:lang w:val="en-US" w:bidi="hi-IN"/>
            </w:rPr>
            <w:t>(Schröder-Butterfill &amp; Marianti, 2021)</w:t>
          </w:r>
          <w:r w:rsidRPr="009B7612">
            <w:rPr>
              <w:rFonts w:ascii="Arial" w:hAnsi="Arial" w:cs="Arial"/>
              <w:sz w:val="24"/>
              <w:szCs w:val="24"/>
              <w:lang w:val="en-IN" w:bidi="hi-IN"/>
            </w:rPr>
            <w:fldChar w:fldCharType="end"/>
          </w:r>
        </w:sdtContent>
      </w:sdt>
      <w:r w:rsidRPr="009B7612">
        <w:rPr>
          <w:rFonts w:ascii="Arial" w:hAnsi="Arial" w:cs="Arial"/>
          <w:sz w:val="24"/>
          <w:szCs w:val="24"/>
          <w:lang w:val="en-IN" w:bidi="hi-IN"/>
        </w:rPr>
        <w:t xml:space="preserve">. </w:t>
      </w:r>
    </w:p>
    <w:p w14:paraId="4E635CA9" w14:textId="77777777" w:rsidR="009B7612" w:rsidRPr="009B7612" w:rsidRDefault="009B7612" w:rsidP="009B7612">
      <w:pPr>
        <w:spacing w:before="100" w:beforeAutospacing="1" w:after="100" w:afterAutospacing="1" w:line="360" w:lineRule="auto"/>
        <w:jc w:val="both"/>
        <w:rPr>
          <w:rFonts w:ascii="Arial" w:hAnsi="Arial" w:cs="Arial"/>
          <w:sz w:val="24"/>
          <w:szCs w:val="24"/>
          <w:lang w:val="en-IN" w:bidi="hi-IN"/>
        </w:rPr>
      </w:pPr>
      <w:r w:rsidRPr="009B7612">
        <w:rPr>
          <w:rFonts w:ascii="Arial" w:hAnsi="Arial" w:cs="Arial"/>
          <w:sz w:val="24"/>
          <w:szCs w:val="24"/>
          <w:lang w:val="en-IN" w:bidi="hi-IN"/>
        </w:rPr>
        <w:t>Despite its prevalence in the health care industry, vulnerability is dynamic and can have many different underlying causes. It has cost more than just human lives, impacting nations and institutions as well. Ineffective national political and economic structures are putting nations at risk today.  Finally, population growth, unemployment, insecurity, illiteracy, and sickness are all contributors to people's precarious situations. Vulnerability obviously has a far-reaching impact, one that threatens not only individual lives but also entire communities and institutions. As a result, the above discussion on vulnerability's causes can not only used theoretically but also in allowing individuals, nations, and organisations to practically deploy coping mechanisms against threats, risks, and shocks, thereby reducing the likelihood of vulnerability becoming chronic.</w:t>
      </w:r>
    </w:p>
    <w:p w14:paraId="54E68D52" w14:textId="77777777" w:rsidR="009B7612" w:rsidRPr="009B7612" w:rsidRDefault="009B7612" w:rsidP="009B7612">
      <w:pPr>
        <w:spacing w:before="100" w:beforeAutospacing="1" w:after="100" w:afterAutospacing="1" w:line="360" w:lineRule="auto"/>
        <w:jc w:val="both"/>
        <w:rPr>
          <w:rFonts w:ascii="Arial" w:hAnsi="Arial" w:cs="Arial"/>
          <w:sz w:val="24"/>
          <w:szCs w:val="24"/>
          <w:lang w:val="en-IN" w:bidi="hi-IN"/>
        </w:rPr>
      </w:pPr>
      <w:r w:rsidRPr="009B7612">
        <w:rPr>
          <w:rFonts w:ascii="Arial" w:hAnsi="Arial" w:cs="Arial"/>
          <w:sz w:val="24"/>
          <w:szCs w:val="24"/>
          <w:lang w:val="en-IN" w:bidi="hi-IN"/>
        </w:rPr>
        <w:t xml:space="preserve">There are times when people seek help and also commit crimes. Vulnerability can either make someone more inclined to commit a crime or more likely to become a victim of one. To prevent the criminalization of vulnerable adults and children for lack of a more appropriate response, it is essential that our police officers be able to distinguish between the need for care and the requirements of justice </w:t>
      </w:r>
      <w:sdt>
        <w:sdtPr>
          <w:rPr>
            <w:rFonts w:ascii="Arial" w:hAnsi="Arial" w:cs="Arial"/>
            <w:sz w:val="24"/>
            <w:szCs w:val="24"/>
            <w:lang w:val="en-IN" w:bidi="hi-IN"/>
          </w:rPr>
          <w:id w:val="417534823"/>
          <w:citation/>
        </w:sdtPr>
        <w:sdtContent>
          <w:r w:rsidRPr="009B7612">
            <w:rPr>
              <w:rFonts w:ascii="Arial" w:hAnsi="Arial" w:cs="Arial"/>
              <w:sz w:val="24"/>
              <w:szCs w:val="24"/>
              <w:lang w:val="en-IN" w:bidi="hi-IN"/>
            </w:rPr>
            <w:fldChar w:fldCharType="begin"/>
          </w:r>
          <w:r w:rsidRPr="009B7612">
            <w:rPr>
              <w:rFonts w:ascii="Arial" w:hAnsi="Arial" w:cs="Arial"/>
              <w:sz w:val="24"/>
              <w:szCs w:val="24"/>
              <w:lang w:val="en-US" w:bidi="hi-IN"/>
            </w:rPr>
            <w:instrText xml:space="preserve"> CITATION Jus15 \l 1033 </w:instrText>
          </w:r>
          <w:r w:rsidRPr="009B7612">
            <w:rPr>
              <w:rFonts w:ascii="Arial" w:hAnsi="Arial" w:cs="Arial"/>
              <w:sz w:val="24"/>
              <w:szCs w:val="24"/>
              <w:lang w:val="en-IN" w:bidi="hi-IN"/>
            </w:rPr>
            <w:fldChar w:fldCharType="separate"/>
          </w:r>
          <w:r w:rsidRPr="009B7612">
            <w:rPr>
              <w:rFonts w:ascii="Arial" w:hAnsi="Arial" w:cs="Arial"/>
              <w:noProof/>
              <w:sz w:val="24"/>
              <w:szCs w:val="24"/>
              <w:lang w:val="en-US" w:bidi="hi-IN"/>
            </w:rPr>
            <w:t>(JusticeInspectorates, 2015)</w:t>
          </w:r>
          <w:r w:rsidRPr="009B7612">
            <w:rPr>
              <w:rFonts w:ascii="Arial" w:hAnsi="Arial" w:cs="Arial"/>
              <w:sz w:val="24"/>
              <w:szCs w:val="24"/>
              <w:lang w:val="en-IN" w:bidi="hi-IN"/>
            </w:rPr>
            <w:fldChar w:fldCharType="end"/>
          </w:r>
        </w:sdtContent>
      </w:sdt>
      <w:r w:rsidRPr="009B7612">
        <w:rPr>
          <w:rFonts w:ascii="Arial" w:hAnsi="Arial" w:cs="Arial"/>
          <w:sz w:val="24"/>
          <w:szCs w:val="24"/>
          <w:lang w:val="en-IN" w:bidi="hi-IN"/>
        </w:rPr>
        <w:t>.</w:t>
      </w:r>
    </w:p>
    <w:p w14:paraId="2BC87009" w14:textId="77777777" w:rsidR="009B7612" w:rsidRPr="009B7612" w:rsidRDefault="009B7612" w:rsidP="009B7612">
      <w:pPr>
        <w:spacing w:before="100" w:beforeAutospacing="1" w:after="100" w:afterAutospacing="1" w:line="360" w:lineRule="auto"/>
        <w:jc w:val="both"/>
        <w:rPr>
          <w:rFonts w:ascii="Arial" w:hAnsi="Arial" w:cs="Arial"/>
          <w:sz w:val="24"/>
          <w:szCs w:val="24"/>
          <w:lang w:val="en-IN" w:bidi="hi-IN"/>
        </w:rPr>
      </w:pPr>
      <w:r w:rsidRPr="009B7612">
        <w:rPr>
          <w:rFonts w:ascii="Arial" w:hAnsi="Arial" w:cs="Arial"/>
          <w:sz w:val="24"/>
          <w:szCs w:val="24"/>
          <w:lang w:val="en-IN" w:bidi="hi-IN"/>
        </w:rPr>
        <w:t xml:space="preserve">The first aspect to managing vulnerable people is to develop the right legal framework and standard operating procedure to manage people with vulnerability. This has to be coded into a proper procedure so that it is clarified for all the policing departments, what actions can be taken. Further, the procedures must be consistent and must be based on research which can bring in maximum help and support to the vulnerable people </w:t>
      </w:r>
      <w:sdt>
        <w:sdtPr>
          <w:rPr>
            <w:rFonts w:ascii="Arial" w:hAnsi="Arial" w:cs="Arial"/>
            <w:sz w:val="24"/>
            <w:szCs w:val="24"/>
            <w:lang w:val="en-IN" w:bidi="hi-IN"/>
          </w:rPr>
          <w:id w:val="1151408708"/>
          <w:citation/>
        </w:sdtPr>
        <w:sdtContent>
          <w:r w:rsidRPr="009B7612">
            <w:rPr>
              <w:rFonts w:ascii="Arial" w:hAnsi="Arial" w:cs="Arial"/>
              <w:sz w:val="24"/>
              <w:szCs w:val="24"/>
              <w:lang w:val="en-IN" w:bidi="hi-IN"/>
            </w:rPr>
            <w:fldChar w:fldCharType="begin"/>
          </w:r>
          <w:r w:rsidRPr="009B7612">
            <w:rPr>
              <w:rFonts w:ascii="Arial" w:hAnsi="Arial" w:cs="Arial"/>
              <w:sz w:val="24"/>
              <w:szCs w:val="24"/>
              <w:lang w:val="en-US" w:bidi="hi-IN"/>
            </w:rPr>
            <w:instrText xml:space="preserve"> CITATION Bar19 \l 1033 </w:instrText>
          </w:r>
          <w:r w:rsidRPr="009B7612">
            <w:rPr>
              <w:rFonts w:ascii="Arial" w:hAnsi="Arial" w:cs="Arial"/>
              <w:sz w:val="24"/>
              <w:szCs w:val="24"/>
              <w:lang w:val="en-IN" w:bidi="hi-IN"/>
            </w:rPr>
            <w:fldChar w:fldCharType="separate"/>
          </w:r>
          <w:r w:rsidRPr="009B7612">
            <w:rPr>
              <w:rFonts w:ascii="Arial" w:hAnsi="Arial" w:cs="Arial"/>
              <w:noProof/>
              <w:sz w:val="24"/>
              <w:szCs w:val="24"/>
              <w:lang w:val="en-US" w:bidi="hi-IN"/>
            </w:rPr>
            <w:t>(Bartkowiak-Theron &amp; Asquith, 2019)</w:t>
          </w:r>
          <w:r w:rsidRPr="009B7612">
            <w:rPr>
              <w:rFonts w:ascii="Arial" w:hAnsi="Arial" w:cs="Arial"/>
              <w:sz w:val="24"/>
              <w:szCs w:val="24"/>
              <w:lang w:val="en-IN" w:bidi="hi-IN"/>
            </w:rPr>
            <w:fldChar w:fldCharType="end"/>
          </w:r>
        </w:sdtContent>
      </w:sdt>
      <w:r w:rsidRPr="009B7612">
        <w:rPr>
          <w:rFonts w:ascii="Arial" w:hAnsi="Arial" w:cs="Arial"/>
          <w:sz w:val="24"/>
          <w:szCs w:val="24"/>
          <w:lang w:val="en-IN" w:bidi="hi-IN"/>
        </w:rPr>
        <w:t xml:space="preserve">. </w:t>
      </w:r>
    </w:p>
    <w:p w14:paraId="437EDCAA" w14:textId="77777777" w:rsidR="009B7612" w:rsidRPr="009B7612" w:rsidRDefault="009B7612" w:rsidP="009B7612">
      <w:pPr>
        <w:spacing w:before="100" w:beforeAutospacing="1" w:after="100" w:afterAutospacing="1" w:line="360" w:lineRule="auto"/>
        <w:jc w:val="both"/>
        <w:rPr>
          <w:rFonts w:ascii="Arial" w:hAnsi="Arial" w:cs="Arial"/>
          <w:sz w:val="24"/>
          <w:szCs w:val="24"/>
          <w:lang w:val="en-IN" w:bidi="hi-IN"/>
        </w:rPr>
      </w:pPr>
      <w:r w:rsidRPr="009B7612">
        <w:rPr>
          <w:rFonts w:ascii="Arial" w:hAnsi="Arial" w:cs="Arial"/>
          <w:sz w:val="24"/>
          <w:szCs w:val="24"/>
          <w:lang w:val="en-IN" w:bidi="hi-IN"/>
        </w:rPr>
        <w:t xml:space="preserve">While it is not the responsibility of the police to rehabilitate or take care of the complicated needs of people who are vulnerable, but developing a proper procedure with clear instructions and standard operating procedure can provide help for vulnerable people. These could include calling the right government authorities and providing the necessary help. Further, early and timely help can be helpful in reducing the issues of the vulnerable people </w:t>
      </w:r>
      <w:sdt>
        <w:sdtPr>
          <w:rPr>
            <w:rFonts w:ascii="Arial" w:hAnsi="Arial" w:cs="Arial"/>
            <w:sz w:val="24"/>
            <w:szCs w:val="24"/>
            <w:lang w:val="en-IN" w:bidi="hi-IN"/>
          </w:rPr>
          <w:id w:val="-1140715782"/>
          <w:citation/>
        </w:sdtPr>
        <w:sdtContent>
          <w:r w:rsidRPr="009B7612">
            <w:rPr>
              <w:rFonts w:ascii="Arial" w:hAnsi="Arial" w:cs="Arial"/>
              <w:sz w:val="24"/>
              <w:szCs w:val="24"/>
              <w:lang w:val="en-IN" w:bidi="hi-IN"/>
            </w:rPr>
            <w:fldChar w:fldCharType="begin"/>
          </w:r>
          <w:r w:rsidRPr="009B7612">
            <w:rPr>
              <w:rFonts w:ascii="Arial" w:hAnsi="Arial" w:cs="Arial"/>
              <w:sz w:val="24"/>
              <w:szCs w:val="24"/>
              <w:lang w:val="en-US" w:bidi="hi-IN"/>
            </w:rPr>
            <w:instrText xml:space="preserve"> CITATION Ena19 \l 1033 </w:instrText>
          </w:r>
          <w:r w:rsidRPr="009B7612">
            <w:rPr>
              <w:rFonts w:ascii="Arial" w:hAnsi="Arial" w:cs="Arial"/>
              <w:sz w:val="24"/>
              <w:szCs w:val="24"/>
              <w:lang w:val="en-IN" w:bidi="hi-IN"/>
            </w:rPr>
            <w:fldChar w:fldCharType="separate"/>
          </w:r>
          <w:r w:rsidRPr="009B7612">
            <w:rPr>
              <w:rFonts w:ascii="Arial" w:hAnsi="Arial" w:cs="Arial"/>
              <w:noProof/>
              <w:sz w:val="24"/>
              <w:szCs w:val="24"/>
              <w:lang w:val="en-US" w:bidi="hi-IN"/>
            </w:rPr>
            <w:t>(Enang, et al., 2019)</w:t>
          </w:r>
          <w:r w:rsidRPr="009B7612">
            <w:rPr>
              <w:rFonts w:ascii="Arial" w:hAnsi="Arial" w:cs="Arial"/>
              <w:sz w:val="24"/>
              <w:szCs w:val="24"/>
              <w:lang w:val="en-IN" w:bidi="hi-IN"/>
            </w:rPr>
            <w:fldChar w:fldCharType="end"/>
          </w:r>
        </w:sdtContent>
      </w:sdt>
      <w:r w:rsidRPr="009B7612">
        <w:rPr>
          <w:rFonts w:ascii="Arial" w:hAnsi="Arial" w:cs="Arial"/>
          <w:sz w:val="24"/>
          <w:szCs w:val="24"/>
          <w:lang w:val="en-IN" w:bidi="hi-IN"/>
        </w:rPr>
        <w:t xml:space="preserve">. </w:t>
      </w:r>
    </w:p>
    <w:p w14:paraId="74E445F6" w14:textId="77777777" w:rsidR="009B7612" w:rsidRPr="009B7612" w:rsidRDefault="009B7612" w:rsidP="009B7612">
      <w:pPr>
        <w:spacing w:before="100" w:beforeAutospacing="1" w:after="100" w:afterAutospacing="1" w:line="360" w:lineRule="auto"/>
        <w:jc w:val="both"/>
        <w:rPr>
          <w:rFonts w:ascii="Arial" w:hAnsi="Arial" w:cs="Arial"/>
          <w:sz w:val="24"/>
          <w:szCs w:val="24"/>
          <w:lang w:val="en-IN" w:bidi="hi-IN"/>
        </w:rPr>
      </w:pPr>
      <w:r w:rsidRPr="009B7612">
        <w:rPr>
          <w:rFonts w:ascii="Arial" w:hAnsi="Arial" w:cs="Arial"/>
          <w:sz w:val="24"/>
          <w:szCs w:val="24"/>
          <w:lang w:val="en-IN" w:bidi="hi-IN"/>
        </w:rPr>
        <w:lastRenderedPageBreak/>
        <w:t xml:space="preserve">Further, tackling vulnerability can not be overcome by a single authority. There is a need for collaboration among several agencies which can lead to better decision making and cooperation among different organizations. Further, such communication among agencies could also be helpful in developing person-specific action plan for an individual. Further, through discussions among agencies, the right agency who can help in improving the issues of the vulnerable person can be handled the responsibility, which can then add checks on the person at the place of residence </w:t>
      </w:r>
      <w:sdt>
        <w:sdtPr>
          <w:rPr>
            <w:rFonts w:ascii="Arial" w:hAnsi="Arial" w:cs="Arial"/>
            <w:sz w:val="24"/>
            <w:szCs w:val="24"/>
            <w:lang w:val="en-IN" w:bidi="hi-IN"/>
          </w:rPr>
          <w:id w:val="939491049"/>
          <w:citation/>
        </w:sdtPr>
        <w:sdtContent>
          <w:r w:rsidRPr="009B7612">
            <w:rPr>
              <w:rFonts w:ascii="Arial" w:hAnsi="Arial" w:cs="Arial"/>
              <w:sz w:val="24"/>
              <w:szCs w:val="24"/>
              <w:lang w:val="en-IN" w:bidi="hi-IN"/>
            </w:rPr>
            <w:fldChar w:fldCharType="begin"/>
          </w:r>
          <w:r w:rsidRPr="009B7612">
            <w:rPr>
              <w:rFonts w:ascii="Arial" w:hAnsi="Arial" w:cs="Arial"/>
              <w:sz w:val="24"/>
              <w:szCs w:val="24"/>
              <w:lang w:val="en-US" w:bidi="hi-IN"/>
            </w:rPr>
            <w:instrText xml:space="preserve"> CITATION Hom222 \l 1033 </w:instrText>
          </w:r>
          <w:r w:rsidRPr="009B7612">
            <w:rPr>
              <w:rFonts w:ascii="Arial" w:hAnsi="Arial" w:cs="Arial"/>
              <w:sz w:val="24"/>
              <w:szCs w:val="24"/>
              <w:lang w:val="en-IN" w:bidi="hi-IN"/>
            </w:rPr>
            <w:fldChar w:fldCharType="separate"/>
          </w:r>
          <w:r w:rsidRPr="009B7612">
            <w:rPr>
              <w:rFonts w:ascii="Arial" w:hAnsi="Arial" w:cs="Arial"/>
              <w:noProof/>
              <w:sz w:val="24"/>
              <w:szCs w:val="24"/>
              <w:lang w:val="en-US" w:bidi="hi-IN"/>
            </w:rPr>
            <w:t>(Home Office, 2022)</w:t>
          </w:r>
          <w:r w:rsidRPr="009B7612">
            <w:rPr>
              <w:rFonts w:ascii="Arial" w:hAnsi="Arial" w:cs="Arial"/>
              <w:sz w:val="24"/>
              <w:szCs w:val="24"/>
              <w:lang w:val="en-IN" w:bidi="hi-IN"/>
            </w:rPr>
            <w:fldChar w:fldCharType="end"/>
          </w:r>
        </w:sdtContent>
      </w:sdt>
      <w:r w:rsidRPr="009B7612">
        <w:rPr>
          <w:rFonts w:ascii="Arial" w:hAnsi="Arial" w:cs="Arial"/>
          <w:sz w:val="24"/>
          <w:szCs w:val="24"/>
          <w:lang w:val="en-IN" w:bidi="hi-IN"/>
        </w:rPr>
        <w:t xml:space="preserve">. </w:t>
      </w:r>
    </w:p>
    <w:p w14:paraId="745CF742" w14:textId="77777777" w:rsidR="009B7612" w:rsidRPr="009B7612" w:rsidRDefault="009B7612" w:rsidP="009B7612">
      <w:pPr>
        <w:spacing w:before="100" w:beforeAutospacing="1" w:after="100" w:afterAutospacing="1" w:line="360" w:lineRule="auto"/>
        <w:jc w:val="both"/>
        <w:rPr>
          <w:rFonts w:ascii="Arial" w:hAnsi="Arial" w:cs="Arial"/>
          <w:sz w:val="24"/>
          <w:szCs w:val="24"/>
          <w:lang w:val="en-IN" w:bidi="hi-IN"/>
        </w:rPr>
      </w:pPr>
      <w:r w:rsidRPr="009B7612">
        <w:rPr>
          <w:rFonts w:ascii="Arial" w:hAnsi="Arial" w:cs="Arial"/>
          <w:sz w:val="24"/>
          <w:szCs w:val="24"/>
          <w:lang w:val="en-IN" w:bidi="hi-IN"/>
        </w:rPr>
        <w:t xml:space="preserve">If one of the parties, say the social services department of a local government, is worried about the safety of a child or other vulnerable person, it should notify the proper agency. In some cases, this may need a "safe and well check" at the person's home </w:t>
      </w:r>
      <w:sdt>
        <w:sdtPr>
          <w:rPr>
            <w:rFonts w:ascii="Arial" w:hAnsi="Arial" w:cs="Arial"/>
            <w:sz w:val="24"/>
            <w:szCs w:val="24"/>
            <w:lang w:val="en-IN" w:bidi="hi-IN"/>
          </w:rPr>
          <w:id w:val="-1592766048"/>
          <w:citation/>
        </w:sdtPr>
        <w:sdtContent>
          <w:r w:rsidRPr="009B7612">
            <w:rPr>
              <w:rFonts w:ascii="Arial" w:hAnsi="Arial" w:cs="Arial"/>
              <w:sz w:val="24"/>
              <w:szCs w:val="24"/>
              <w:lang w:val="en-IN" w:bidi="hi-IN"/>
            </w:rPr>
            <w:fldChar w:fldCharType="begin"/>
          </w:r>
          <w:r w:rsidRPr="009B7612">
            <w:rPr>
              <w:rFonts w:ascii="Arial" w:hAnsi="Arial" w:cs="Arial"/>
              <w:sz w:val="24"/>
              <w:szCs w:val="24"/>
              <w:lang w:val="en-US" w:bidi="hi-IN"/>
            </w:rPr>
            <w:instrText xml:space="preserve"> CITATION Jus15 \l 1033 </w:instrText>
          </w:r>
          <w:r w:rsidRPr="009B7612">
            <w:rPr>
              <w:rFonts w:ascii="Arial" w:hAnsi="Arial" w:cs="Arial"/>
              <w:sz w:val="24"/>
              <w:szCs w:val="24"/>
              <w:lang w:val="en-IN" w:bidi="hi-IN"/>
            </w:rPr>
            <w:fldChar w:fldCharType="separate"/>
          </w:r>
          <w:r w:rsidRPr="009B7612">
            <w:rPr>
              <w:rFonts w:ascii="Arial" w:hAnsi="Arial" w:cs="Arial"/>
              <w:noProof/>
              <w:sz w:val="24"/>
              <w:szCs w:val="24"/>
              <w:lang w:val="en-US" w:bidi="hi-IN"/>
            </w:rPr>
            <w:t>(JusticeInspectorates, 2015)</w:t>
          </w:r>
          <w:r w:rsidRPr="009B7612">
            <w:rPr>
              <w:rFonts w:ascii="Arial" w:hAnsi="Arial" w:cs="Arial"/>
              <w:sz w:val="24"/>
              <w:szCs w:val="24"/>
              <w:lang w:val="en-IN" w:bidi="hi-IN"/>
            </w:rPr>
            <w:fldChar w:fldCharType="end"/>
          </w:r>
        </w:sdtContent>
      </w:sdt>
      <w:r w:rsidRPr="009B7612">
        <w:rPr>
          <w:rFonts w:ascii="Arial" w:hAnsi="Arial" w:cs="Arial"/>
          <w:sz w:val="24"/>
          <w:szCs w:val="24"/>
          <w:lang w:val="en-IN" w:bidi="hi-IN"/>
        </w:rPr>
        <w:t xml:space="preserve">. If a "safe and well check" involves the core functions of the police, such as crime prevention, maintaining order, or protecting people or property, then it is reasonable to seek assistance from the authorities. When conducting a "safe and well check," some police departments have made it policy to notify the agency best suited to respond to the person's needs whenever possible so that they can accompany the police officer on the visit </w:t>
      </w:r>
      <w:sdt>
        <w:sdtPr>
          <w:rPr>
            <w:rFonts w:ascii="Arial" w:hAnsi="Arial" w:cs="Arial"/>
            <w:sz w:val="24"/>
            <w:szCs w:val="24"/>
            <w:lang w:val="en-IN" w:bidi="hi-IN"/>
          </w:rPr>
          <w:id w:val="-1796754109"/>
          <w:citation/>
        </w:sdtPr>
        <w:sdtContent>
          <w:r w:rsidRPr="009B7612">
            <w:rPr>
              <w:rFonts w:ascii="Arial" w:hAnsi="Arial" w:cs="Arial"/>
              <w:sz w:val="24"/>
              <w:szCs w:val="24"/>
              <w:lang w:val="en-IN" w:bidi="hi-IN"/>
            </w:rPr>
            <w:fldChar w:fldCharType="begin"/>
          </w:r>
          <w:r w:rsidRPr="009B7612">
            <w:rPr>
              <w:rFonts w:ascii="Arial" w:hAnsi="Arial" w:cs="Arial"/>
              <w:sz w:val="24"/>
              <w:szCs w:val="24"/>
              <w:lang w:val="en-US" w:bidi="hi-IN"/>
            </w:rPr>
            <w:instrText xml:space="preserve"> CITATION Jus15 \l 1033 </w:instrText>
          </w:r>
          <w:r w:rsidRPr="009B7612">
            <w:rPr>
              <w:rFonts w:ascii="Arial" w:hAnsi="Arial" w:cs="Arial"/>
              <w:sz w:val="24"/>
              <w:szCs w:val="24"/>
              <w:lang w:val="en-IN" w:bidi="hi-IN"/>
            </w:rPr>
            <w:fldChar w:fldCharType="separate"/>
          </w:r>
          <w:r w:rsidRPr="009B7612">
            <w:rPr>
              <w:rFonts w:ascii="Arial" w:hAnsi="Arial" w:cs="Arial"/>
              <w:noProof/>
              <w:sz w:val="24"/>
              <w:szCs w:val="24"/>
              <w:lang w:val="en-US" w:bidi="hi-IN"/>
            </w:rPr>
            <w:t>(JusticeInspectorates, 2015)</w:t>
          </w:r>
          <w:r w:rsidRPr="009B7612">
            <w:rPr>
              <w:rFonts w:ascii="Arial" w:hAnsi="Arial" w:cs="Arial"/>
              <w:sz w:val="24"/>
              <w:szCs w:val="24"/>
              <w:lang w:val="en-IN" w:bidi="hi-IN"/>
            </w:rPr>
            <w:fldChar w:fldCharType="end"/>
          </w:r>
        </w:sdtContent>
      </w:sdt>
    </w:p>
    <w:p w14:paraId="2D8699C9" w14:textId="77777777" w:rsidR="009B7612" w:rsidRPr="009B7612" w:rsidRDefault="009B7612" w:rsidP="009B7612">
      <w:pPr>
        <w:spacing w:before="100" w:beforeAutospacing="1" w:after="100" w:afterAutospacing="1" w:line="360" w:lineRule="auto"/>
        <w:jc w:val="both"/>
        <w:rPr>
          <w:rFonts w:ascii="Arial" w:hAnsi="Arial" w:cs="Arial"/>
          <w:sz w:val="24"/>
          <w:szCs w:val="24"/>
          <w:lang w:val="en-IN" w:bidi="hi-IN"/>
        </w:rPr>
      </w:pPr>
      <w:r w:rsidRPr="009B7612">
        <w:rPr>
          <w:rFonts w:ascii="Arial" w:hAnsi="Arial" w:cs="Arial"/>
          <w:sz w:val="24"/>
          <w:szCs w:val="24"/>
          <w:lang w:val="en-IN" w:bidi="hi-IN"/>
        </w:rPr>
        <w:t xml:space="preserve">The College of Policing has made it quite obvious that law enforcement personnel must be equipped to recognise signs of vulnerability. An understanding of what constitutes a weak point is essential for any military. That doesn't imply police officers require medical training, but they should be aware of when to call in backup from other departments, such social services or health care, as necessary </w:t>
      </w:r>
      <w:sdt>
        <w:sdtPr>
          <w:rPr>
            <w:rFonts w:ascii="Arial" w:hAnsi="Arial" w:cs="Arial"/>
            <w:sz w:val="24"/>
            <w:szCs w:val="24"/>
            <w:lang w:val="en-IN" w:bidi="hi-IN"/>
          </w:rPr>
          <w:id w:val="677238240"/>
          <w:citation/>
        </w:sdtPr>
        <w:sdtContent>
          <w:r w:rsidRPr="009B7612">
            <w:rPr>
              <w:rFonts w:ascii="Arial" w:hAnsi="Arial" w:cs="Arial"/>
              <w:sz w:val="24"/>
              <w:szCs w:val="24"/>
              <w:lang w:val="en-IN" w:bidi="hi-IN"/>
            </w:rPr>
            <w:fldChar w:fldCharType="begin"/>
          </w:r>
          <w:r w:rsidRPr="009B7612">
            <w:rPr>
              <w:rFonts w:ascii="Arial" w:hAnsi="Arial" w:cs="Arial"/>
              <w:sz w:val="24"/>
              <w:szCs w:val="24"/>
              <w:lang w:val="en-US" w:bidi="hi-IN"/>
            </w:rPr>
            <w:instrText xml:space="preserve"> CITATION Col18 \l 1033 </w:instrText>
          </w:r>
          <w:r w:rsidRPr="009B7612">
            <w:rPr>
              <w:rFonts w:ascii="Arial" w:hAnsi="Arial" w:cs="Arial"/>
              <w:sz w:val="24"/>
              <w:szCs w:val="24"/>
              <w:lang w:val="en-IN" w:bidi="hi-IN"/>
            </w:rPr>
            <w:fldChar w:fldCharType="separate"/>
          </w:r>
          <w:r w:rsidRPr="009B7612">
            <w:rPr>
              <w:rFonts w:ascii="Arial" w:hAnsi="Arial" w:cs="Arial"/>
              <w:noProof/>
              <w:sz w:val="24"/>
              <w:szCs w:val="24"/>
              <w:lang w:val="en-US" w:bidi="hi-IN"/>
            </w:rPr>
            <w:t>(College of Policing, 2018)</w:t>
          </w:r>
          <w:r w:rsidRPr="009B7612">
            <w:rPr>
              <w:rFonts w:ascii="Arial" w:hAnsi="Arial" w:cs="Arial"/>
              <w:sz w:val="24"/>
              <w:szCs w:val="24"/>
              <w:lang w:val="en-IN" w:bidi="hi-IN"/>
            </w:rPr>
            <w:fldChar w:fldCharType="end"/>
          </w:r>
        </w:sdtContent>
      </w:sdt>
      <w:r w:rsidRPr="009B7612">
        <w:rPr>
          <w:rFonts w:ascii="Arial" w:hAnsi="Arial" w:cs="Arial"/>
          <w:sz w:val="24"/>
          <w:szCs w:val="24"/>
          <w:lang w:val="en-IN" w:bidi="hi-IN"/>
        </w:rPr>
        <w:t xml:space="preserve">. </w:t>
      </w:r>
    </w:p>
    <w:p w14:paraId="1FC682C5" w14:textId="77777777" w:rsidR="009B7612" w:rsidRPr="009B7612" w:rsidRDefault="009B7612" w:rsidP="009B7612">
      <w:pPr>
        <w:spacing w:before="100" w:beforeAutospacing="1" w:after="100" w:afterAutospacing="1" w:line="360" w:lineRule="auto"/>
        <w:jc w:val="both"/>
        <w:rPr>
          <w:rFonts w:ascii="Arial" w:hAnsi="Arial" w:cs="Arial"/>
          <w:sz w:val="24"/>
          <w:szCs w:val="24"/>
          <w:lang w:val="en-IN" w:bidi="hi-IN"/>
        </w:rPr>
      </w:pPr>
      <w:r w:rsidRPr="009B7612">
        <w:rPr>
          <w:rFonts w:ascii="Arial" w:hAnsi="Arial" w:cs="Arial"/>
          <w:sz w:val="24"/>
          <w:szCs w:val="24"/>
          <w:lang w:val="en-IN" w:bidi="hi-IN"/>
        </w:rPr>
        <w:t xml:space="preserve">Some police departments have procedures in place to refer suspects who are found to be particularly vulnerable to an L&amp;D programme. The health specialists on the L&amp;D teams in the criminal justice system will then evaluate the patient's condition, recommend appropriate care, and share their findings with the prosecution and defence. The L&amp;D schemes work in the several phases of the criminal justice system. This includes detention centres, local courts, and the federal system </w:t>
      </w:r>
      <w:sdt>
        <w:sdtPr>
          <w:rPr>
            <w:rFonts w:ascii="Arial" w:hAnsi="Arial" w:cs="Arial"/>
            <w:sz w:val="24"/>
            <w:szCs w:val="24"/>
            <w:lang w:val="en-IN" w:bidi="hi-IN"/>
          </w:rPr>
          <w:id w:val="999699966"/>
          <w:citation/>
        </w:sdtPr>
        <w:sdtContent>
          <w:r w:rsidRPr="009B7612">
            <w:rPr>
              <w:rFonts w:ascii="Arial" w:hAnsi="Arial" w:cs="Arial"/>
              <w:sz w:val="24"/>
              <w:szCs w:val="24"/>
              <w:lang w:val="en-IN" w:bidi="hi-IN"/>
            </w:rPr>
            <w:fldChar w:fldCharType="begin"/>
          </w:r>
          <w:r w:rsidRPr="009B7612">
            <w:rPr>
              <w:rFonts w:ascii="Arial" w:hAnsi="Arial" w:cs="Arial"/>
              <w:sz w:val="24"/>
              <w:szCs w:val="24"/>
              <w:lang w:val="en-US" w:bidi="hi-IN"/>
            </w:rPr>
            <w:instrText xml:space="preserve"> CITATION Vet13 \l 1033 </w:instrText>
          </w:r>
          <w:r w:rsidRPr="009B7612">
            <w:rPr>
              <w:rFonts w:ascii="Arial" w:hAnsi="Arial" w:cs="Arial"/>
              <w:sz w:val="24"/>
              <w:szCs w:val="24"/>
              <w:lang w:val="en-IN" w:bidi="hi-IN"/>
            </w:rPr>
            <w:fldChar w:fldCharType="separate"/>
          </w:r>
          <w:r w:rsidRPr="009B7612">
            <w:rPr>
              <w:rFonts w:ascii="Arial" w:hAnsi="Arial" w:cs="Arial"/>
              <w:noProof/>
              <w:sz w:val="24"/>
              <w:szCs w:val="24"/>
              <w:lang w:val="en-US" w:bidi="hi-IN"/>
            </w:rPr>
            <w:t>(Vettenburg, et al., 2013)</w:t>
          </w:r>
          <w:r w:rsidRPr="009B7612">
            <w:rPr>
              <w:rFonts w:ascii="Arial" w:hAnsi="Arial" w:cs="Arial"/>
              <w:sz w:val="24"/>
              <w:szCs w:val="24"/>
              <w:lang w:val="en-IN" w:bidi="hi-IN"/>
            </w:rPr>
            <w:fldChar w:fldCharType="end"/>
          </w:r>
        </w:sdtContent>
      </w:sdt>
      <w:r w:rsidRPr="009B7612">
        <w:rPr>
          <w:rFonts w:ascii="Arial" w:hAnsi="Arial" w:cs="Arial"/>
          <w:sz w:val="24"/>
          <w:szCs w:val="24"/>
          <w:lang w:val="en-IN" w:bidi="hi-IN"/>
        </w:rPr>
        <w:t xml:space="preserve">. </w:t>
      </w:r>
    </w:p>
    <w:p w14:paraId="1D9395BD" w14:textId="77777777" w:rsidR="009B7612" w:rsidRPr="009B7612" w:rsidRDefault="009B7612" w:rsidP="009B7612">
      <w:pPr>
        <w:spacing w:before="100" w:beforeAutospacing="1" w:after="100" w:afterAutospacing="1" w:line="360" w:lineRule="auto"/>
        <w:jc w:val="both"/>
        <w:rPr>
          <w:rFonts w:ascii="Arial" w:hAnsi="Arial" w:cs="Arial"/>
          <w:sz w:val="24"/>
          <w:szCs w:val="24"/>
          <w:lang w:val="en-IN" w:bidi="hi-IN"/>
        </w:rPr>
      </w:pPr>
      <w:r w:rsidRPr="009B7612">
        <w:rPr>
          <w:rFonts w:ascii="Arial" w:hAnsi="Arial" w:cs="Arial"/>
          <w:sz w:val="24"/>
          <w:szCs w:val="24"/>
          <w:lang w:val="en-IN" w:bidi="hi-IN"/>
        </w:rPr>
        <w:lastRenderedPageBreak/>
        <w:t>The College of Policing's Personal Safety Training Manual and the Department of Health's Positive and Proactive Care: decreasing the need for restrictive actions both provide guidelines for how law enforcement and medical personnel should handle potentially dangerous situations. As a general rule, police involvement should be minimised in any environment providing health or care services. Mental health experts continue to be accountable for the health and safety of the individual in question, and the police should be called only in extreme circumstances to control a person's behaviour in this environment. Any use of force by the police should be documented, along with the rationale for it, so that it may be reviewed by those concerned about lack of transparency and accountability.</w:t>
      </w:r>
    </w:p>
    <w:p w14:paraId="41E422CA" w14:textId="77777777" w:rsidR="009B7612" w:rsidRPr="009B7612" w:rsidRDefault="009B7612" w:rsidP="009B7612">
      <w:pPr>
        <w:rPr>
          <w:rFonts w:ascii="Arial" w:hAnsi="Arial" w:cs="Mangal"/>
          <w:sz w:val="24"/>
          <w:szCs w:val="20"/>
          <w:lang w:val="en-IN" w:bidi="hi-IN"/>
        </w:rPr>
      </w:pPr>
      <w:r w:rsidRPr="009B7612">
        <w:rPr>
          <w:rFonts w:ascii="Arial" w:hAnsi="Arial" w:cs="Arial"/>
          <w:b/>
          <w:bCs/>
          <w:i/>
          <w:iCs/>
          <w:sz w:val="24"/>
          <w:szCs w:val="24"/>
          <w:lang w:val="en-IN" w:bidi="hi-IN"/>
        </w:rPr>
        <w:br w:type="page"/>
      </w:r>
    </w:p>
    <w:sdt>
      <w:sdtPr>
        <w:rPr>
          <w:rFonts w:ascii="Arial" w:hAnsi="Arial" w:cs="Mangal"/>
          <w:sz w:val="24"/>
          <w:szCs w:val="20"/>
          <w:lang w:val="en-IN" w:bidi="hi-IN"/>
        </w:rPr>
        <w:id w:val="1166127343"/>
        <w:docPartObj>
          <w:docPartGallery w:val="Bibliographies"/>
          <w:docPartUnique/>
        </w:docPartObj>
      </w:sdtPr>
      <w:sdtContent>
        <w:p w14:paraId="681782E3" w14:textId="77777777" w:rsidR="009B7612" w:rsidRPr="009B7612" w:rsidRDefault="009B7612" w:rsidP="009B7612">
          <w:pPr>
            <w:rPr>
              <w:rFonts w:ascii="Arial" w:hAnsi="Arial" w:cs="Mangal"/>
              <w:sz w:val="24"/>
              <w:szCs w:val="20"/>
              <w:lang w:val="en-IN" w:bidi="hi-IN"/>
            </w:rPr>
          </w:pPr>
          <w:r w:rsidRPr="009B7612">
            <w:rPr>
              <w:rFonts w:ascii="Arial" w:hAnsi="Arial" w:cs="Mangal"/>
              <w:sz w:val="24"/>
              <w:szCs w:val="20"/>
              <w:lang w:val="en-IN" w:bidi="hi-IN"/>
            </w:rPr>
            <w:t>References</w:t>
          </w:r>
        </w:p>
        <w:sdt>
          <w:sdtPr>
            <w:rPr>
              <w:rFonts w:ascii="Arial" w:hAnsi="Arial" w:cs="Mangal"/>
              <w:sz w:val="24"/>
              <w:szCs w:val="20"/>
              <w:lang w:val="en-IN" w:bidi="hi-IN"/>
            </w:rPr>
            <w:id w:val="-573587230"/>
            <w:bibliography/>
          </w:sdtPr>
          <w:sdtContent>
            <w:p w14:paraId="690520B2" w14:textId="77777777" w:rsidR="009B7612" w:rsidRPr="009B7612" w:rsidRDefault="009B7612" w:rsidP="009B7612">
              <w:pPr>
                <w:spacing w:before="100" w:beforeAutospacing="1" w:after="100" w:afterAutospacing="1" w:line="360" w:lineRule="auto"/>
                <w:jc w:val="both"/>
                <w:rPr>
                  <w:rFonts w:ascii="Arial" w:hAnsi="Arial" w:cs="Mangal"/>
                  <w:noProof/>
                  <w:sz w:val="24"/>
                  <w:szCs w:val="24"/>
                  <w:lang w:val="en-IN" w:bidi="hi-IN"/>
                </w:rPr>
              </w:pPr>
              <w:r w:rsidRPr="009B7612">
                <w:rPr>
                  <w:rFonts w:ascii="Arial" w:hAnsi="Arial" w:cs="Mangal"/>
                  <w:sz w:val="24"/>
                  <w:szCs w:val="20"/>
                  <w:lang w:val="en-IN" w:bidi="hi-IN"/>
                </w:rPr>
                <w:fldChar w:fldCharType="begin"/>
              </w:r>
              <w:r w:rsidRPr="009B7612">
                <w:rPr>
                  <w:rFonts w:ascii="Arial" w:hAnsi="Arial" w:cs="Mangal"/>
                  <w:sz w:val="24"/>
                  <w:szCs w:val="20"/>
                  <w:lang w:val="en-IN" w:bidi="hi-IN"/>
                </w:rPr>
                <w:instrText xml:space="preserve"> BIBLIOGRAPHY </w:instrText>
              </w:r>
              <w:r w:rsidRPr="009B7612">
                <w:rPr>
                  <w:rFonts w:ascii="Arial" w:hAnsi="Arial" w:cs="Mangal"/>
                  <w:sz w:val="24"/>
                  <w:szCs w:val="20"/>
                  <w:lang w:val="en-IN" w:bidi="hi-IN"/>
                </w:rPr>
                <w:fldChar w:fldCharType="separate"/>
              </w:r>
              <w:r w:rsidRPr="009B7612">
                <w:rPr>
                  <w:rFonts w:ascii="Arial" w:hAnsi="Arial" w:cs="Mangal"/>
                  <w:noProof/>
                  <w:sz w:val="24"/>
                  <w:szCs w:val="20"/>
                  <w:lang w:val="en-IN" w:bidi="hi-IN"/>
                </w:rPr>
                <w:t xml:space="preserve">Bartkowiak-Theron, I. &amp; Asquith, N., 2019. Policing vulnerable people. </w:t>
              </w:r>
              <w:r w:rsidRPr="009B7612">
                <w:rPr>
                  <w:rFonts w:ascii="Arial" w:hAnsi="Arial" w:cs="Mangal"/>
                  <w:i/>
                  <w:iCs/>
                  <w:noProof/>
                  <w:sz w:val="24"/>
                  <w:szCs w:val="20"/>
                  <w:lang w:val="en-IN" w:bidi="hi-IN"/>
                </w:rPr>
                <w:t xml:space="preserve">Tasmanian Institute of Law Enforcement Studies, </w:t>
              </w:r>
              <w:r w:rsidRPr="009B7612">
                <w:rPr>
                  <w:rFonts w:ascii="Arial" w:hAnsi="Arial" w:cs="Mangal"/>
                  <w:noProof/>
                  <w:sz w:val="24"/>
                  <w:szCs w:val="20"/>
                  <w:lang w:val="en-IN" w:bidi="hi-IN"/>
                </w:rPr>
                <w:t>pp. 1-7.</w:t>
              </w:r>
            </w:p>
            <w:p w14:paraId="04C42B87"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t xml:space="preserve">Brown, K., 2017. Vulnerability and young people: Care and social control in policy and practice. In: </w:t>
              </w:r>
              <w:r w:rsidRPr="009B7612">
                <w:rPr>
                  <w:rFonts w:ascii="Arial" w:hAnsi="Arial" w:cs="Mangal"/>
                  <w:i/>
                  <w:iCs/>
                  <w:noProof/>
                  <w:sz w:val="24"/>
                  <w:szCs w:val="20"/>
                  <w:lang w:val="en-IN" w:bidi="hi-IN"/>
                </w:rPr>
                <w:t xml:space="preserve">Policy Press. </w:t>
              </w:r>
              <w:r w:rsidRPr="009B7612">
                <w:rPr>
                  <w:rFonts w:ascii="Arial" w:hAnsi="Arial" w:cs="Mangal"/>
                  <w:noProof/>
                  <w:sz w:val="24"/>
                  <w:szCs w:val="20"/>
                  <w:lang w:val="en-IN" w:bidi="hi-IN"/>
                </w:rPr>
                <w:t>s.l.:s.n.</w:t>
              </w:r>
            </w:p>
            <w:p w14:paraId="74C68BDE"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t xml:space="preserve">Bui, L. &amp; Deakin, J., 2021. What we talk about when we talk about vulnerability and youth crime: A narrative review. </w:t>
              </w:r>
              <w:r w:rsidRPr="009B7612">
                <w:rPr>
                  <w:rFonts w:ascii="Arial" w:hAnsi="Arial" w:cs="Mangal"/>
                  <w:i/>
                  <w:iCs/>
                  <w:noProof/>
                  <w:sz w:val="24"/>
                  <w:szCs w:val="20"/>
                  <w:lang w:val="en-IN" w:bidi="hi-IN"/>
                </w:rPr>
                <w:t xml:space="preserve">Aggression and Violent Behavior, </w:t>
              </w:r>
              <w:r w:rsidRPr="009B7612">
                <w:rPr>
                  <w:rFonts w:ascii="Arial" w:hAnsi="Arial" w:cs="Mangal"/>
                  <w:noProof/>
                  <w:sz w:val="24"/>
                  <w:szCs w:val="20"/>
                  <w:lang w:val="en-IN" w:bidi="hi-IN"/>
                </w:rPr>
                <w:t>Volume 58, p. 101605.</w:t>
              </w:r>
            </w:p>
            <w:p w14:paraId="7FF0BBD4"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t xml:space="preserve">carecheck, 2023. </w:t>
              </w:r>
              <w:r w:rsidRPr="009B7612">
                <w:rPr>
                  <w:rFonts w:ascii="Arial" w:hAnsi="Arial" w:cs="Mangal"/>
                  <w:i/>
                  <w:iCs/>
                  <w:noProof/>
                  <w:sz w:val="24"/>
                  <w:szCs w:val="20"/>
                  <w:lang w:val="en-IN" w:bidi="hi-IN"/>
                </w:rPr>
                <w:t xml:space="preserve">The Definition Of ‘Vulnerable Adults’ And The Services They Receive. </w:t>
              </w:r>
              <w:r w:rsidRPr="009B7612">
                <w:rPr>
                  <w:rFonts w:ascii="Arial" w:hAnsi="Arial" w:cs="Mangal"/>
                  <w:noProof/>
                  <w:sz w:val="24"/>
                  <w:szCs w:val="20"/>
                  <w:lang w:val="en-IN" w:bidi="hi-IN"/>
                </w:rPr>
                <w:t xml:space="preserve">[Online] </w:t>
              </w:r>
              <w:r w:rsidRPr="009B7612">
                <w:rPr>
                  <w:rFonts w:ascii="Arial" w:hAnsi="Arial" w:cs="Mangal"/>
                  <w:noProof/>
                  <w:sz w:val="24"/>
                  <w:szCs w:val="20"/>
                  <w:lang w:val="en-IN" w:bidi="hi-IN"/>
                </w:rPr>
                <w:br/>
                <w:t xml:space="preserve">Available at: </w:t>
              </w:r>
              <w:r w:rsidRPr="009B7612">
                <w:rPr>
                  <w:rFonts w:ascii="Arial" w:hAnsi="Arial" w:cs="Mangal"/>
                  <w:noProof/>
                  <w:sz w:val="24"/>
                  <w:szCs w:val="20"/>
                  <w:u w:val="single"/>
                  <w:lang w:val="en-IN" w:bidi="hi-IN"/>
                </w:rPr>
                <w:t>https://www.carecheck.co.uk/the-definition-of-vulnerable-adults-and-the-services-they-receive/</w:t>
              </w:r>
              <w:r w:rsidRPr="009B7612">
                <w:rPr>
                  <w:rFonts w:ascii="Arial" w:hAnsi="Arial" w:cs="Mangal"/>
                  <w:noProof/>
                  <w:sz w:val="24"/>
                  <w:szCs w:val="20"/>
                  <w:lang w:val="en-IN" w:bidi="hi-IN"/>
                </w:rPr>
                <w:br/>
                <w:t>[Accessed 2023].</w:t>
              </w:r>
            </w:p>
            <w:p w14:paraId="5162C1B4"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t xml:space="preserve">College of Policing, 2018. </w:t>
              </w:r>
              <w:r w:rsidRPr="009B7612">
                <w:rPr>
                  <w:rFonts w:ascii="Arial" w:hAnsi="Arial" w:cs="Mangal"/>
                  <w:i/>
                  <w:iCs/>
                  <w:noProof/>
                  <w:sz w:val="24"/>
                  <w:szCs w:val="20"/>
                  <w:lang w:val="en-IN" w:bidi="hi-IN"/>
                </w:rPr>
                <w:t xml:space="preserve">Mental health: Mental health vulnerability and illness. </w:t>
              </w:r>
              <w:r w:rsidRPr="009B7612">
                <w:rPr>
                  <w:rFonts w:ascii="Arial" w:hAnsi="Arial" w:cs="Mangal"/>
                  <w:noProof/>
                  <w:sz w:val="24"/>
                  <w:szCs w:val="20"/>
                  <w:lang w:val="en-IN" w:bidi="hi-IN"/>
                </w:rPr>
                <w:t xml:space="preserve">[Online] </w:t>
              </w:r>
              <w:r w:rsidRPr="009B7612">
                <w:rPr>
                  <w:rFonts w:ascii="Arial" w:hAnsi="Arial" w:cs="Mangal"/>
                  <w:noProof/>
                  <w:sz w:val="24"/>
                  <w:szCs w:val="20"/>
                  <w:lang w:val="en-IN" w:bidi="hi-IN"/>
                </w:rPr>
                <w:br/>
                <w:t xml:space="preserve">Available at: </w:t>
              </w:r>
              <w:r w:rsidRPr="009B7612">
                <w:rPr>
                  <w:rFonts w:ascii="Arial" w:hAnsi="Arial" w:cs="Mangal"/>
                  <w:noProof/>
                  <w:sz w:val="24"/>
                  <w:szCs w:val="20"/>
                  <w:u w:val="single"/>
                  <w:lang w:val="en-IN" w:bidi="hi-IN"/>
                </w:rPr>
                <w:t>https://www.app.college.police.uk/appcontent/mental-health/ mental-vulnerability-and illness/</w:t>
              </w:r>
              <w:r w:rsidRPr="009B7612">
                <w:rPr>
                  <w:rFonts w:ascii="Arial" w:hAnsi="Arial" w:cs="Mangal"/>
                  <w:noProof/>
                  <w:sz w:val="24"/>
                  <w:szCs w:val="20"/>
                  <w:lang w:val="en-IN" w:bidi="hi-IN"/>
                </w:rPr>
                <w:br/>
                <w:t>[Accessed 2022].</w:t>
              </w:r>
            </w:p>
            <w:p w14:paraId="54AE02D0"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t xml:space="preserve">Enang, I. et al., 2019. Defining and assessing vulnerability within law enforcement and public health organisations: a scoping review. </w:t>
              </w:r>
              <w:r w:rsidRPr="009B7612">
                <w:rPr>
                  <w:rFonts w:ascii="Arial" w:hAnsi="Arial" w:cs="Mangal"/>
                  <w:i/>
                  <w:iCs/>
                  <w:noProof/>
                  <w:sz w:val="24"/>
                  <w:szCs w:val="20"/>
                  <w:lang w:val="en-IN" w:bidi="hi-IN"/>
                </w:rPr>
                <w:t xml:space="preserve">Health &amp; justice, </w:t>
              </w:r>
              <w:r w:rsidRPr="009B7612">
                <w:rPr>
                  <w:rFonts w:ascii="Arial" w:hAnsi="Arial" w:cs="Mangal"/>
                  <w:noProof/>
                  <w:sz w:val="24"/>
                  <w:szCs w:val="20"/>
                  <w:lang w:val="en-IN" w:bidi="hi-IN"/>
                </w:rPr>
                <w:t>7(1), pp. 1-13.</w:t>
              </w:r>
            </w:p>
            <w:p w14:paraId="32AEB909"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t xml:space="preserve">Ezechukwu, R. N., 2014. </w:t>
              </w:r>
              <w:r w:rsidRPr="009B7612">
                <w:rPr>
                  <w:rFonts w:ascii="Arial" w:hAnsi="Arial" w:cs="Mangal"/>
                  <w:i/>
                  <w:iCs/>
                  <w:noProof/>
                  <w:sz w:val="24"/>
                  <w:szCs w:val="20"/>
                  <w:lang w:val="en-IN" w:bidi="hi-IN"/>
                </w:rPr>
                <w:t xml:space="preserve">Using youth perspectives to examine antisocial behavior: A qualitative investigation of the juvenile offender in context, </w:t>
              </w:r>
              <w:r w:rsidRPr="009B7612">
                <w:rPr>
                  <w:rFonts w:ascii="Arial" w:hAnsi="Arial" w:cs="Mangal"/>
                  <w:noProof/>
                  <w:sz w:val="24"/>
                  <w:szCs w:val="20"/>
                  <w:lang w:val="en-IN" w:bidi="hi-IN"/>
                </w:rPr>
                <w:t>s.l.: Miami University.</w:t>
              </w:r>
            </w:p>
            <w:p w14:paraId="73FD4F14"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t xml:space="preserve">Fine, A. et al., 2017. ndividual in context: The role of impulse control on the association between the home, school, and neighborhood developmental contexts and adolescent delinquency. </w:t>
              </w:r>
              <w:r w:rsidRPr="009B7612">
                <w:rPr>
                  <w:rFonts w:ascii="Arial" w:hAnsi="Arial" w:cs="Mangal"/>
                  <w:i/>
                  <w:iCs/>
                  <w:noProof/>
                  <w:sz w:val="24"/>
                  <w:szCs w:val="20"/>
                  <w:lang w:val="en-IN" w:bidi="hi-IN"/>
                </w:rPr>
                <w:t xml:space="preserve">Journal of youth and adolescence, </w:t>
              </w:r>
              <w:r w:rsidRPr="009B7612">
                <w:rPr>
                  <w:rFonts w:ascii="Arial" w:hAnsi="Arial" w:cs="Mangal"/>
                  <w:noProof/>
                  <w:sz w:val="24"/>
                  <w:szCs w:val="20"/>
                  <w:lang w:val="en-IN" w:bidi="hi-IN"/>
                </w:rPr>
                <w:t>456(7), pp. 1488-1502.</w:t>
              </w:r>
            </w:p>
            <w:p w14:paraId="57CFB70A"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t xml:space="preserve">Herring, J., 2020. Ageing and universal beneficial vulnerability. In: </w:t>
              </w:r>
              <w:r w:rsidRPr="009B7612">
                <w:rPr>
                  <w:rFonts w:ascii="Arial" w:hAnsi="Arial" w:cs="Mangal"/>
                  <w:i/>
                  <w:iCs/>
                  <w:noProof/>
                  <w:sz w:val="24"/>
                  <w:szCs w:val="20"/>
                  <w:lang w:val="en-IN" w:bidi="hi-IN"/>
                </w:rPr>
                <w:t xml:space="preserve">Embracing Vulnerability. </w:t>
              </w:r>
              <w:r w:rsidRPr="009B7612">
                <w:rPr>
                  <w:rFonts w:ascii="Arial" w:hAnsi="Arial" w:cs="Mangal"/>
                  <w:noProof/>
                  <w:sz w:val="24"/>
                  <w:szCs w:val="20"/>
                  <w:lang w:val="en-IN" w:bidi="hi-IN"/>
                </w:rPr>
                <w:t>s.l.:Routledge, pp. 63-78.</w:t>
              </w:r>
            </w:p>
            <w:p w14:paraId="56ADCF60"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lastRenderedPageBreak/>
                <w:t xml:space="preserve">Home Office, 2022. </w:t>
              </w:r>
              <w:r w:rsidRPr="009B7612">
                <w:rPr>
                  <w:rFonts w:ascii="Arial" w:hAnsi="Arial" w:cs="Mangal"/>
                  <w:i/>
                  <w:iCs/>
                  <w:noProof/>
                  <w:sz w:val="24"/>
                  <w:szCs w:val="20"/>
                  <w:lang w:val="en-IN" w:bidi="hi-IN"/>
                </w:rPr>
                <w:t xml:space="preserve">Supporting vulnerable people who encounter the police:. </w:t>
              </w:r>
              <w:r w:rsidRPr="009B7612">
                <w:rPr>
                  <w:rFonts w:ascii="Arial" w:hAnsi="Arial" w:cs="Mangal"/>
                  <w:noProof/>
                  <w:sz w:val="24"/>
                  <w:szCs w:val="20"/>
                  <w:lang w:val="en-IN" w:bidi="hi-IN"/>
                </w:rPr>
                <w:t xml:space="preserve">[Online] </w:t>
              </w:r>
              <w:r w:rsidRPr="009B7612">
                <w:rPr>
                  <w:rFonts w:ascii="Arial" w:hAnsi="Arial" w:cs="Mangal"/>
                  <w:noProof/>
                  <w:sz w:val="24"/>
                  <w:szCs w:val="20"/>
                  <w:lang w:val="en-IN" w:bidi="hi-IN"/>
                </w:rPr>
                <w:br/>
                <w:t xml:space="preserve">Available at: </w:t>
              </w:r>
              <w:r w:rsidRPr="009B7612">
                <w:rPr>
                  <w:rFonts w:ascii="Arial" w:hAnsi="Arial" w:cs="Mangal"/>
                  <w:noProof/>
                  <w:sz w:val="24"/>
                  <w:szCs w:val="20"/>
                  <w:u w:val="single"/>
                  <w:lang w:val="en-IN" w:bidi="hi-IN"/>
                </w:rPr>
                <w:t>https://assets.publishing.service.gov.uk/government/uploads/system/uploads/attachment_data/file/405397/6.379_Supporting_guidance_web_doc_v3.pdf</w:t>
              </w:r>
              <w:r w:rsidRPr="009B7612">
                <w:rPr>
                  <w:rFonts w:ascii="Arial" w:hAnsi="Arial" w:cs="Mangal"/>
                  <w:noProof/>
                  <w:sz w:val="24"/>
                  <w:szCs w:val="20"/>
                  <w:lang w:val="en-IN" w:bidi="hi-IN"/>
                </w:rPr>
                <w:br/>
                <w:t>[Accessed 2023].</w:t>
              </w:r>
            </w:p>
            <w:p w14:paraId="64F9806C"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t xml:space="preserve">JusticeInspectorates, 2015. </w:t>
              </w:r>
              <w:r w:rsidRPr="009B7612">
                <w:rPr>
                  <w:rFonts w:ascii="Arial" w:hAnsi="Arial" w:cs="Mangal"/>
                  <w:i/>
                  <w:iCs/>
                  <w:noProof/>
                  <w:sz w:val="24"/>
                  <w:szCs w:val="20"/>
                  <w:lang w:val="en-IN" w:bidi="hi-IN"/>
                </w:rPr>
                <w:t xml:space="preserve">The welfare of vulnerbale people in police custody. </w:t>
              </w:r>
              <w:r w:rsidRPr="009B7612">
                <w:rPr>
                  <w:rFonts w:ascii="Arial" w:hAnsi="Arial" w:cs="Mangal"/>
                  <w:noProof/>
                  <w:sz w:val="24"/>
                  <w:szCs w:val="20"/>
                  <w:lang w:val="en-IN" w:bidi="hi-IN"/>
                </w:rPr>
                <w:t xml:space="preserve">[Online] </w:t>
              </w:r>
              <w:r w:rsidRPr="009B7612">
                <w:rPr>
                  <w:rFonts w:ascii="Arial" w:hAnsi="Arial" w:cs="Mangal"/>
                  <w:noProof/>
                  <w:sz w:val="24"/>
                  <w:szCs w:val="20"/>
                  <w:lang w:val="en-IN" w:bidi="hi-IN"/>
                </w:rPr>
                <w:br/>
                <w:t xml:space="preserve">Available at: </w:t>
              </w:r>
              <w:r w:rsidRPr="009B7612">
                <w:rPr>
                  <w:rFonts w:ascii="Arial" w:hAnsi="Arial" w:cs="Mangal"/>
                  <w:noProof/>
                  <w:sz w:val="24"/>
                  <w:szCs w:val="20"/>
                  <w:u w:val="single"/>
                  <w:lang w:val="en-IN" w:bidi="hi-IN"/>
                </w:rPr>
                <w:t>www.justiceinspectorates.gov.uk</w:t>
              </w:r>
              <w:r w:rsidRPr="009B7612">
                <w:rPr>
                  <w:rFonts w:ascii="Arial" w:hAnsi="Arial" w:cs="Mangal"/>
                  <w:noProof/>
                  <w:sz w:val="24"/>
                  <w:szCs w:val="20"/>
                  <w:lang w:val="en-IN" w:bidi="hi-IN"/>
                </w:rPr>
                <w:br/>
                <w:t>[Accessed 2023].</w:t>
              </w:r>
            </w:p>
            <w:p w14:paraId="52C09450"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t xml:space="preserve">Macioce, F., 2022. The enabling value of group vulnerability. </w:t>
              </w:r>
              <w:r w:rsidRPr="009B7612">
                <w:rPr>
                  <w:rFonts w:ascii="Arial" w:hAnsi="Arial" w:cs="Mangal"/>
                  <w:i/>
                  <w:iCs/>
                  <w:noProof/>
                  <w:sz w:val="24"/>
                  <w:szCs w:val="20"/>
                  <w:lang w:val="en-IN" w:bidi="hi-IN"/>
                </w:rPr>
                <w:t xml:space="preserve">Contemporary Political Theory, </w:t>
              </w:r>
              <w:r w:rsidRPr="009B7612">
                <w:rPr>
                  <w:rFonts w:ascii="Arial" w:hAnsi="Arial" w:cs="Mangal"/>
                  <w:noProof/>
                  <w:sz w:val="24"/>
                  <w:szCs w:val="20"/>
                  <w:lang w:val="en-IN" w:bidi="hi-IN"/>
                </w:rPr>
                <w:t>pp. 1-21.</w:t>
              </w:r>
            </w:p>
            <w:p w14:paraId="41069C2D"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t xml:space="preserve">Murray, J. et al., 2018. </w:t>
              </w:r>
              <w:r w:rsidRPr="009B7612">
                <w:rPr>
                  <w:rFonts w:ascii="Arial" w:hAnsi="Arial" w:cs="Mangal"/>
                  <w:i/>
                  <w:iCs/>
                  <w:noProof/>
                  <w:sz w:val="24"/>
                  <w:szCs w:val="20"/>
                  <w:lang w:val="en-IN" w:bidi="hi-IN"/>
                </w:rPr>
                <w:t xml:space="preserve">Law enforcement and public health: setting the research agenda for Scotland, </w:t>
              </w:r>
              <w:r w:rsidRPr="009B7612">
                <w:rPr>
                  <w:rFonts w:ascii="Arial" w:hAnsi="Arial" w:cs="Mangal"/>
                  <w:noProof/>
                  <w:sz w:val="24"/>
                  <w:szCs w:val="20"/>
                  <w:lang w:val="en-IN" w:bidi="hi-IN"/>
                </w:rPr>
                <w:t>s.l.: s.n.</w:t>
              </w:r>
            </w:p>
            <w:p w14:paraId="35A23F64"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t xml:space="preserve">Neal, M., 2020. The idea of vulnerability in healthcare law and ethics: From the margins to the mainstream? . In: </w:t>
              </w:r>
              <w:r w:rsidRPr="009B7612">
                <w:rPr>
                  <w:rFonts w:ascii="Arial" w:hAnsi="Arial" w:cs="Mangal"/>
                  <w:i/>
                  <w:iCs/>
                  <w:noProof/>
                  <w:sz w:val="24"/>
                  <w:szCs w:val="20"/>
                  <w:lang w:val="en-IN" w:bidi="hi-IN"/>
                </w:rPr>
                <w:t xml:space="preserve">Embracing Vulnerability: The Challenges and Implications for Law. </w:t>
              </w:r>
              <w:r w:rsidRPr="009B7612">
                <w:rPr>
                  <w:rFonts w:ascii="Arial" w:hAnsi="Arial" w:cs="Mangal"/>
                  <w:noProof/>
                  <w:sz w:val="24"/>
                  <w:szCs w:val="20"/>
                  <w:lang w:val="en-IN" w:bidi="hi-IN"/>
                </w:rPr>
                <w:t>s.l.:Routledge.</w:t>
              </w:r>
            </w:p>
            <w:p w14:paraId="2C66BF63"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t xml:space="preserve">Perloff, L., 1983. Nonvictims' judgments of unique and universal vulnerability to future misfortune. </w:t>
              </w:r>
              <w:r w:rsidRPr="009B7612">
                <w:rPr>
                  <w:rFonts w:ascii="Arial" w:hAnsi="Arial" w:cs="Mangal"/>
                  <w:i/>
                  <w:iCs/>
                  <w:noProof/>
                  <w:sz w:val="24"/>
                  <w:szCs w:val="20"/>
                  <w:lang w:val="en-IN" w:bidi="hi-IN"/>
                </w:rPr>
                <w:t>Northwestern University.</w:t>
              </w:r>
            </w:p>
            <w:p w14:paraId="7CC90D8E"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t xml:space="preserve">Peter Terna, I., 2021. Vulnerability: Types, Causes, and Coping Mechanisms. </w:t>
              </w:r>
              <w:r w:rsidRPr="009B7612">
                <w:rPr>
                  <w:rFonts w:ascii="Arial" w:hAnsi="Arial" w:cs="Mangal"/>
                  <w:i/>
                  <w:iCs/>
                  <w:noProof/>
                  <w:sz w:val="24"/>
                  <w:szCs w:val="20"/>
                  <w:lang w:val="en-IN" w:bidi="hi-IN"/>
                </w:rPr>
                <w:t xml:space="preserve">International Journal of Science and Management Studies (IJSMS) , </w:t>
              </w:r>
              <w:r w:rsidRPr="009B7612">
                <w:rPr>
                  <w:rFonts w:ascii="Arial" w:hAnsi="Arial" w:cs="Mangal"/>
                  <w:noProof/>
                  <w:sz w:val="24"/>
                  <w:szCs w:val="20"/>
                  <w:lang w:val="en-IN" w:bidi="hi-IN"/>
                </w:rPr>
                <w:t>p. 187–194.</w:t>
              </w:r>
            </w:p>
            <w:p w14:paraId="481A038F"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t xml:space="preserve">Police Scotland, 2017. </w:t>
              </w:r>
              <w:r w:rsidRPr="009B7612">
                <w:rPr>
                  <w:rFonts w:ascii="Arial" w:hAnsi="Arial" w:cs="Mangal"/>
                  <w:i/>
                  <w:iCs/>
                  <w:noProof/>
                  <w:sz w:val="24"/>
                  <w:szCs w:val="20"/>
                  <w:lang w:val="en-IN" w:bidi="hi-IN"/>
                </w:rPr>
                <w:t xml:space="preserve">Policing 2026: Our 10 year strategy for policing in Scotland Retrieved from. </w:t>
              </w:r>
              <w:r w:rsidRPr="009B7612">
                <w:rPr>
                  <w:rFonts w:ascii="Arial" w:hAnsi="Arial" w:cs="Mangal"/>
                  <w:noProof/>
                  <w:sz w:val="24"/>
                  <w:szCs w:val="20"/>
                  <w:lang w:val="en-IN" w:bidi="hi-IN"/>
                </w:rPr>
                <w:t xml:space="preserve">[Online] </w:t>
              </w:r>
              <w:r w:rsidRPr="009B7612">
                <w:rPr>
                  <w:rFonts w:ascii="Arial" w:hAnsi="Arial" w:cs="Mangal"/>
                  <w:noProof/>
                  <w:sz w:val="24"/>
                  <w:szCs w:val="20"/>
                  <w:lang w:val="en-IN" w:bidi="hi-IN"/>
                </w:rPr>
                <w:br/>
                <w:t xml:space="preserve">Available at: </w:t>
              </w:r>
              <w:r w:rsidRPr="009B7612">
                <w:rPr>
                  <w:rFonts w:ascii="Arial" w:hAnsi="Arial" w:cs="Mangal"/>
                  <w:noProof/>
                  <w:sz w:val="24"/>
                  <w:szCs w:val="20"/>
                  <w:u w:val="single"/>
                  <w:lang w:val="en-IN" w:bidi="hi-IN"/>
                </w:rPr>
                <w:t>http://www.scotland.police.uk/assets/pdf/138327/ 386688/policing-2026-strategy.pdf</w:t>
              </w:r>
              <w:r w:rsidRPr="009B7612">
                <w:rPr>
                  <w:rFonts w:ascii="Arial" w:hAnsi="Arial" w:cs="Mangal"/>
                  <w:noProof/>
                  <w:sz w:val="24"/>
                  <w:szCs w:val="20"/>
                  <w:lang w:val="en-IN" w:bidi="hi-IN"/>
                </w:rPr>
                <w:br/>
                <w:t>[Accessed 2022].</w:t>
              </w:r>
            </w:p>
            <w:p w14:paraId="29077245"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t xml:space="preserve">Schröder-Butterfill, E. &amp; Marianti, R., 2021. A framework for understanding old-age vulnerabilities. </w:t>
              </w:r>
              <w:r w:rsidRPr="009B7612">
                <w:rPr>
                  <w:rFonts w:ascii="Arial" w:hAnsi="Arial" w:cs="Mangal"/>
                  <w:i/>
                  <w:iCs/>
                  <w:noProof/>
                  <w:sz w:val="24"/>
                  <w:szCs w:val="20"/>
                  <w:lang w:val="en-IN" w:bidi="hi-IN"/>
                </w:rPr>
                <w:t xml:space="preserve">Ageing &amp; Society, </w:t>
              </w:r>
              <w:r w:rsidRPr="009B7612">
                <w:rPr>
                  <w:rFonts w:ascii="Arial" w:hAnsi="Arial" w:cs="Mangal"/>
                  <w:noProof/>
                  <w:sz w:val="24"/>
                  <w:szCs w:val="20"/>
                  <w:lang w:val="en-IN" w:bidi="hi-IN"/>
                </w:rPr>
                <w:t>26(1), pp. 9-35.</w:t>
              </w:r>
            </w:p>
            <w:p w14:paraId="1DB79B6F"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lastRenderedPageBreak/>
                <w:t xml:space="preserve">STEPHEN HAWKING, 2014. </w:t>
              </w:r>
              <w:r w:rsidRPr="009B7612">
                <w:rPr>
                  <w:rFonts w:ascii="Arial" w:hAnsi="Arial" w:cs="Mangal"/>
                  <w:i/>
                  <w:iCs/>
                  <w:noProof/>
                  <w:sz w:val="24"/>
                  <w:szCs w:val="20"/>
                  <w:lang w:val="en-IN" w:bidi="hi-IN"/>
                </w:rPr>
                <w:t xml:space="preserve">Disability and Vulnerability. </w:t>
              </w:r>
              <w:r w:rsidRPr="009B7612">
                <w:rPr>
                  <w:rFonts w:ascii="Arial" w:hAnsi="Arial" w:cs="Mangal"/>
                  <w:noProof/>
                  <w:sz w:val="24"/>
                  <w:szCs w:val="20"/>
                  <w:lang w:val="en-IN" w:bidi="hi-IN"/>
                </w:rPr>
                <w:t xml:space="preserve">[Online] </w:t>
              </w:r>
              <w:r w:rsidRPr="009B7612">
                <w:rPr>
                  <w:rFonts w:ascii="Arial" w:hAnsi="Arial" w:cs="Mangal"/>
                  <w:noProof/>
                  <w:sz w:val="24"/>
                  <w:szCs w:val="20"/>
                  <w:lang w:val="en-IN" w:bidi="hi-IN"/>
                </w:rPr>
                <w:br/>
                <w:t xml:space="preserve">Available at: </w:t>
              </w:r>
              <w:r w:rsidRPr="009B7612">
                <w:rPr>
                  <w:rFonts w:ascii="Arial" w:hAnsi="Arial" w:cs="Mangal"/>
                  <w:noProof/>
                  <w:sz w:val="24"/>
                  <w:szCs w:val="20"/>
                  <w:u w:val="single"/>
                  <w:lang w:val="en-IN" w:bidi="hi-IN"/>
                </w:rPr>
                <w:t>https://hdr.undp.org/content/disability-and-vulnerability</w:t>
              </w:r>
              <w:r w:rsidRPr="009B7612">
                <w:rPr>
                  <w:rFonts w:ascii="Arial" w:hAnsi="Arial" w:cs="Mangal"/>
                  <w:noProof/>
                  <w:sz w:val="24"/>
                  <w:szCs w:val="20"/>
                  <w:lang w:val="en-IN" w:bidi="hi-IN"/>
                </w:rPr>
                <w:br/>
                <w:t>[Accessed 2022].</w:t>
              </w:r>
            </w:p>
            <w:p w14:paraId="27D2A70D" w14:textId="77777777" w:rsidR="009B7612" w:rsidRPr="009B7612" w:rsidRDefault="009B7612" w:rsidP="009B7612">
              <w:pPr>
                <w:spacing w:before="100" w:beforeAutospacing="1" w:after="100" w:afterAutospacing="1" w:line="360" w:lineRule="auto"/>
                <w:jc w:val="both"/>
                <w:rPr>
                  <w:rFonts w:ascii="Arial" w:hAnsi="Arial" w:cs="Mangal"/>
                  <w:noProof/>
                  <w:sz w:val="24"/>
                  <w:szCs w:val="20"/>
                  <w:lang w:val="en-IN" w:bidi="hi-IN"/>
                </w:rPr>
              </w:pPr>
              <w:r w:rsidRPr="009B7612">
                <w:rPr>
                  <w:rFonts w:ascii="Arial" w:hAnsi="Arial" w:cs="Mangal"/>
                  <w:noProof/>
                  <w:sz w:val="24"/>
                  <w:szCs w:val="20"/>
                  <w:lang w:val="en-IN" w:bidi="hi-IN"/>
                </w:rPr>
                <w:t xml:space="preserve">Vettenburg, N., Brondeel, R., Gavray, C. &amp; Pauwels, L. J. R., 2013. Societal vulnerability and adolescent offending: The role of violent values, self-control and troublesome youth group involvement. </w:t>
              </w:r>
              <w:r w:rsidRPr="009B7612">
                <w:rPr>
                  <w:rFonts w:ascii="Arial" w:hAnsi="Arial" w:cs="Mangal"/>
                  <w:i/>
                  <w:iCs/>
                  <w:noProof/>
                  <w:sz w:val="24"/>
                  <w:szCs w:val="20"/>
                  <w:lang w:val="en-IN" w:bidi="hi-IN"/>
                </w:rPr>
                <w:t xml:space="preserve">European Journal of Criminology, </w:t>
              </w:r>
              <w:r w:rsidRPr="009B7612">
                <w:rPr>
                  <w:rFonts w:ascii="Arial" w:hAnsi="Arial" w:cs="Mangal"/>
                  <w:noProof/>
                  <w:sz w:val="24"/>
                  <w:szCs w:val="20"/>
                  <w:lang w:val="en-IN" w:bidi="hi-IN"/>
                </w:rPr>
                <w:t>10(4), p. 444–461.</w:t>
              </w:r>
            </w:p>
            <w:p w14:paraId="575F5A43" w14:textId="77777777" w:rsidR="009B7612" w:rsidRPr="009B7612" w:rsidRDefault="009B7612" w:rsidP="009B7612">
              <w:pPr>
                <w:spacing w:before="100" w:beforeAutospacing="1" w:after="100" w:afterAutospacing="1" w:line="360" w:lineRule="auto"/>
                <w:jc w:val="both"/>
                <w:rPr>
                  <w:rFonts w:ascii="Arial" w:hAnsi="Arial" w:cs="Mangal"/>
                  <w:sz w:val="24"/>
                  <w:szCs w:val="20"/>
                  <w:lang w:val="en-IN" w:bidi="hi-IN"/>
                </w:rPr>
              </w:pPr>
              <w:r w:rsidRPr="009B7612">
                <w:rPr>
                  <w:rFonts w:ascii="Arial" w:hAnsi="Arial" w:cs="Mangal"/>
                  <w:b/>
                  <w:bCs/>
                  <w:noProof/>
                  <w:sz w:val="24"/>
                  <w:szCs w:val="20"/>
                  <w:lang w:val="en-IN" w:bidi="hi-IN"/>
                </w:rPr>
                <w:fldChar w:fldCharType="end"/>
              </w:r>
            </w:p>
          </w:sdtContent>
        </w:sdt>
      </w:sdtContent>
    </w:sdt>
    <w:p w14:paraId="0016B38E" w14:textId="77777777" w:rsidR="009B7612" w:rsidRPr="009B7612" w:rsidRDefault="009B7612" w:rsidP="009B7612">
      <w:pPr>
        <w:spacing w:before="100" w:beforeAutospacing="1" w:after="100" w:afterAutospacing="1" w:line="360" w:lineRule="auto"/>
        <w:jc w:val="both"/>
        <w:rPr>
          <w:rFonts w:ascii="Arial" w:hAnsi="Arial" w:cs="Mangal"/>
          <w:sz w:val="24"/>
          <w:szCs w:val="20"/>
          <w:lang w:val="en-IN" w:bidi="hi-IN"/>
        </w:rPr>
      </w:pPr>
    </w:p>
    <w:p w14:paraId="5B78F748" w14:textId="77777777" w:rsidR="000C5ED2" w:rsidRDefault="000C5ED2"/>
    <w:sectPr w:rsidR="000C5E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301976"/>
    <w:multiLevelType w:val="hybridMultilevel"/>
    <w:tmpl w:val="F3B40A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2662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612"/>
    <w:rsid w:val="000C5ED2"/>
    <w:rsid w:val="009B7612"/>
    <w:rsid w:val="00A45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39F5D"/>
  <w15:chartTrackingRefBased/>
  <w15:docId w15:val="{F8E0D15E-6041-4704-A19D-FF81B9AFC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car23</b:Tag>
    <b:SourceType>InternetSite</b:SourceType>
    <b:Guid>{4667CEC7-49D3-4E84-B2F4-C053AF47BA7D}</b:Guid>
    <b:Author>
      <b:Author>
        <b:Corporate>carecheck</b:Corporate>
      </b:Author>
    </b:Author>
    <b:Title>The Definition Of ‘Vulnerable Adults’ And The Services They Receive</b:Title>
    <b:Year>2023</b:Year>
    <b:YearAccessed>2023</b:YearAccessed>
    <b:URL>https://www.carecheck.co.uk/the-definition-of-vulnerable-adults-and-the-services-they-receive/</b:URL>
    <b:RefOrder>1</b:RefOrder>
  </b:Source>
  <b:Source>
    <b:Tag>Per83</b:Tag>
    <b:SourceType>JournalArticle</b:SourceType>
    <b:Guid>{838462F6-DF7A-4E7A-ADB7-D4214F8AE0A3}</b:Guid>
    <b:Author>
      <b:Author>
        <b:NameList>
          <b:Person>
            <b:Last>Perloff</b:Last>
            <b:First>L.S.</b:First>
          </b:Person>
        </b:NameList>
      </b:Author>
    </b:Author>
    <b:Title>Nonvictims' judgments of unique and universal vulnerability to future misfortune</b:Title>
    <b:Year>1983</b:Year>
    <b:JournalName>Northwestern University</b:JournalName>
    <b:RefOrder>2</b:RefOrder>
  </b:Source>
  <b:Source>
    <b:Tag>Mur18</b:Tag>
    <b:SourceType>ElectronicSource</b:SourceType>
    <b:Guid>{E9CAB648-0E0F-4859-A42D-A343B05950E3}</b:Guid>
    <b:Author>
      <b:Author>
        <b:NameList>
          <b:Person>
            <b:Last>Murray</b:Last>
            <b:First>J.</b:First>
          </b:Person>
          <b:Person>
            <b:Last>Heyman</b:Last>
            <b:First>I.</b:First>
          </b:Person>
          <b:Person>
            <b:Last>Wooff</b:Last>
            <b:First>A.</b:First>
          </b:Person>
          <b:Person>
            <b:Last>Dougall</b:Last>
            <b:First>N.</b:First>
          </b:Person>
          <b:Person>
            <b:Last>Aston</b:Last>
            <b:First>L.</b:First>
          </b:Person>
          <b:Person>
            <b:Last>Enang</b:Last>
          </b:Person>
        </b:NameList>
      </b:Author>
    </b:Author>
    <b:Title>Law enforcement and public health: setting the research agenda for Scotland</b:Title>
    <b:Year>2018</b:Year>
    <b:RefOrder>3</b:RefOrder>
  </b:Source>
  <b:Source>
    <b:Tag>Pol17</b:Tag>
    <b:SourceType>InternetSite</b:SourceType>
    <b:Guid>{ED05DF70-DB27-443C-A009-7B24CBBDCB55}</b:Guid>
    <b:Title>Policing 2026: Our 10 year strategy for policing in Scotland Retrieved from</b:Title>
    <b:Year>2017</b:Year>
    <b:Author>
      <b:Author>
        <b:Corporate>Police Scotland</b:Corporate>
      </b:Author>
    </b:Author>
    <b:YearAccessed>2022</b:YearAccessed>
    <b:URL>http://www.scotland.police.uk/assets/pdf/138327/ 386688/policing-2026-strategy.pdf</b:URL>
    <b:RefOrder>4</b:RefOrder>
  </b:Source>
  <b:Source>
    <b:Tag>Ena19</b:Tag>
    <b:SourceType>JournalArticle</b:SourceType>
    <b:Guid>{391A2590-E844-4E7D-9849-DAB1DADF766B}</b:Guid>
    <b:Title>Defining and assessing vulnerability within law enforcement and public health organisations: a scoping review</b:Title>
    <b:Year>2019</b:Year>
    <b:Author>
      <b:Author>
        <b:NameList>
          <b:Person>
            <b:Last>Enang</b:Last>
            <b:First>I.</b:First>
          </b:Person>
          <b:Person>
            <b:Last>Murray</b:Last>
            <b:First>J.</b:First>
          </b:Person>
          <b:Person>
            <b:Last>Dougall</b:Last>
            <b:First>N.</b:First>
          </b:Person>
          <b:Person>
            <b:Last>Wooff</b:Last>
            <b:First>A.</b:First>
          </b:Person>
          <b:Person>
            <b:Last>Heyman</b:Last>
            <b:First>I.</b:First>
          </b:Person>
          <b:Person>
            <b:Last>Aston</b:Last>
            <b:First>E.</b:First>
          </b:Person>
        </b:NameList>
      </b:Author>
    </b:Author>
    <b:JournalName> Health &amp; justice</b:JournalName>
    <b:Pages>1-13</b:Pages>
    <b:Volume>7</b:Volume>
    <b:Issue>1</b:Issue>
    <b:RefOrder>5</b:RefOrder>
  </b:Source>
  <b:Source>
    <b:Tag>Her20</b:Tag>
    <b:SourceType>BookSection</b:SourceType>
    <b:Guid>{B1E6C249-FB15-4605-9F59-CCD8ADBAFAB5}</b:Guid>
    <b:Author>
      <b:Author>
        <b:NameList>
          <b:Person>
            <b:Last>Herring</b:Last>
            <b:First>J</b:First>
          </b:Person>
        </b:NameList>
      </b:Author>
    </b:Author>
    <b:Title>Ageing and universal beneficial vulnerability</b:Title>
    <b:Year>2020</b:Year>
    <b:Pages>63-78</b:Pages>
    <b:BookTitle>Embracing Vulnerability</b:BookTitle>
    <b:Publisher>Routledge</b:Publisher>
    <b:RefOrder>6</b:RefOrder>
  </b:Source>
  <b:Source>
    <b:Tag>Bui21</b:Tag>
    <b:SourceType>JournalArticle</b:SourceType>
    <b:Guid>{7579F3EF-8814-4AF8-A79F-C2F35E361A07}</b:Guid>
    <b:Title>What we talk about when we talk about vulnerability and youth crime: A narrative review</b:Title>
    <b:Year>2021</b:Year>
    <b:Pages>101605</b:Pages>
    <b:Author>
      <b:Author>
        <b:NameList>
          <b:Person>
            <b:Last>Bui</b:Last>
            <b:First>L.</b:First>
          </b:Person>
          <b:Person>
            <b:Last>Deakin</b:Last>
            <b:First>J.</b:First>
          </b:Person>
        </b:NameList>
      </b:Author>
    </b:Author>
    <b:JournalName>Aggression and Violent Behavior</b:JournalName>
    <b:Volume>58</b:Volume>
    <b:RefOrder>7</b:RefOrder>
  </b:Source>
  <b:Source>
    <b:Tag>Bro17</b:Tag>
    <b:SourceType>BookSection</b:SourceType>
    <b:Guid>{D17A14FE-7DC0-4209-BD6B-FCC6C7A0D2D3}</b:Guid>
    <b:Author>
      <b:Author>
        <b:NameList>
          <b:Person>
            <b:Last>Brown</b:Last>
            <b:First>K.</b:First>
          </b:Person>
        </b:NameList>
      </b:Author>
    </b:Author>
    <b:Title>Vulnerability and young people: Care and social control in policy and practice</b:Title>
    <b:Year>2017</b:Year>
    <b:BookTitle>Policy Press</b:BookTitle>
    <b:RefOrder>8</b:RefOrder>
  </b:Source>
  <b:Source>
    <b:Tag>Eze14</b:Tag>
    <b:SourceType>Report</b:SourceType>
    <b:Guid>{328CEFBB-CAD9-44EB-B33D-5B83D82D6FB1}</b:Guid>
    <b:Author>
      <b:Author>
        <b:NameList>
          <b:Person>
            <b:Last>Ezechukwu</b:Last>
            <b:First>R.</b:First>
            <b:Middle>N.</b:Middle>
          </b:Person>
        </b:NameList>
      </b:Author>
    </b:Author>
    <b:Title>Using youth perspectives to examine antisocial behavior: A qualitative investigation of the juvenile offender in context</b:Title>
    <b:Year>2014</b:Year>
    <b:Publisher> Miami University</b:Publisher>
    <b:RefOrder>9</b:RefOrder>
  </b:Source>
  <b:Source>
    <b:Tag>Fin17</b:Tag>
    <b:SourceType>JournalArticle</b:SourceType>
    <b:Guid>{A8CE51A0-2D79-437F-B2C2-C2EABD7B9CF5}</b:Guid>
    <b:Title>ndividual in context: The role of impulse control on the association between the home, school, and neighborhood developmental contexts and adolescent delinquency</b:Title>
    <b:Year>2017</b:Year>
    <b:Author>
      <b:Author>
        <b:NameList>
          <b:Person>
            <b:Last>Fine</b:Last>
            <b:First>A.</b:First>
          </b:Person>
          <b:Person>
            <b:Last>Mahler</b:Last>
            <b:First>A.</b:First>
          </b:Person>
          <b:Person>
            <b:Last>Steinberg</b:Last>
            <b:First>L.</b:First>
          </b:Person>
          <b:Person>
            <b:Last>rick</b:Last>
            <b:First>P.J.</b:First>
          </b:Person>
          <b:Person>
            <b:Last>Cauffman</b:Last>
            <b:First>E.</b:First>
          </b:Person>
        </b:NameList>
      </b:Author>
    </b:Author>
    <b:JournalName>Journal of youth and adolescence</b:JournalName>
    <b:Pages>1488-1502</b:Pages>
    <b:Volume>456</b:Volume>
    <b:Issue>7</b:Issue>
    <b:RefOrder>10</b:RefOrder>
  </b:Source>
  <b:Source>
    <b:Tag>Nea20</b:Tag>
    <b:SourceType>BookSection</b:SourceType>
    <b:Guid>{BD8BC0B8-A59F-4FE0-BA35-46BB12066901}</b:Guid>
    <b:Author>
      <b:Author>
        <b:NameList>
          <b:Person>
            <b:Last>Neal</b:Last>
            <b:First>M.</b:First>
          </b:Person>
        </b:NameList>
      </b:Author>
    </b:Author>
    <b:Title> The idea of vulnerability in healthcare law and ethics: From the margins to the mainstream? </b:Title>
    <b:BookTitle> Embracing Vulnerability: The Challenges and Implications for Law</b:BookTitle>
    <b:Year>2020</b:Year>
    <b:Publisher>Routledge</b:Publisher>
    <b:RefOrder>11</b:RefOrder>
  </b:Source>
  <b:Source>
    <b:Tag>Pet211</b:Tag>
    <b:SourceType>JournalArticle</b:SourceType>
    <b:Guid>{EEBE068D-FC7E-4341-BEB3-9518D13EA08A}</b:Guid>
    <b:Author>
      <b:Author>
        <b:NameList>
          <b:Person>
            <b:Last>Peter Terna</b:Last>
            <b:First>I.</b:First>
          </b:Person>
        </b:NameList>
      </b:Author>
    </b:Author>
    <b:Title> Vulnerability: Types, Causes, and Coping Mechanisms</b:Title>
    <b:JournalName> International Journal of Science and Management Studies (IJSMS) </b:JournalName>
    <b:Year>2021</b:Year>
    <b:Pages>187–194</b:Pages>
    <b:RefOrder>12</b:RefOrder>
  </b:Source>
  <b:Source>
    <b:Tag>STE14</b:Tag>
    <b:SourceType>InternetSite</b:SourceType>
    <b:Guid>{A3E7B205-D9EC-454F-AFCD-FB238F568914}</b:Guid>
    <b:Author>
      <b:Author>
        <b:Corporate>STEPHEN HAWKING</b:Corporate>
      </b:Author>
    </b:Author>
    <b:Title>Disability and Vulnerability</b:Title>
    <b:Year>2014</b:Year>
    <b:YearAccessed>2022</b:YearAccessed>
    <b:URL>https://hdr.undp.org/content/disability-and-vulnerability</b:URL>
    <b:RefOrder>13</b:RefOrder>
  </b:Source>
  <b:Source>
    <b:Tag>Vet13</b:Tag>
    <b:SourceType>JournalArticle</b:SourceType>
    <b:Guid>{58467B27-D4C4-42EE-B6BE-71076C0B697F}</b:Guid>
    <b:Author>
      <b:Author>
        <b:NameList>
          <b:Person>
            <b:Last>Vettenburg</b:Last>
            <b:First>N.</b:First>
          </b:Person>
          <b:Person>
            <b:Last>Brondeel</b:Last>
            <b:First>R.</b:First>
          </b:Person>
          <b:Person>
            <b:Last>Gavray</b:Last>
            <b:First>C.</b:First>
          </b:Person>
          <b:Person>
            <b:Last>Pauwels</b:Last>
            <b:First>L.</b:First>
            <b:Middle>J. R.</b:Middle>
          </b:Person>
        </b:NameList>
      </b:Author>
    </b:Author>
    <b:Title>Societal vulnerability and adolescent offending: The role of violent values, self-control and troublesome youth group involvement</b:Title>
    <b:JournalName>European Journal of Criminology</b:JournalName>
    <b:Year>2013</b:Year>
    <b:Pages>444–461</b:Pages>
    <b:Volume>10</b:Volume>
    <b:Issue>4</b:Issue>
    <b:RefOrder>14</b:RefOrder>
  </b:Source>
  <b:Source>
    <b:Tag>Mac222</b:Tag>
    <b:SourceType>JournalArticle</b:SourceType>
    <b:Guid>{6773750A-A1A3-44EA-A854-7E319F428FC9}</b:Guid>
    <b:Author>
      <b:Author>
        <b:NameList>
          <b:Person>
            <b:Last>Macioce</b:Last>
            <b:First>F.</b:First>
          </b:Person>
        </b:NameList>
      </b:Author>
    </b:Author>
    <b:Title> The enabling value of group vulnerability</b:Title>
    <b:JournalName>Contemporary Political Theory</b:JournalName>
    <b:Year>2022</b:Year>
    <b:Pages>1-21</b:Pages>
    <b:RefOrder>15</b:RefOrder>
  </b:Source>
  <b:Source>
    <b:Tag>Abe21</b:Tag>
    <b:SourceType>JournalArticle</b:SourceType>
    <b:Guid>{DE7480DD-5A3E-4E99-912C-63CBC1221B34}</b:Guid>
    <b:Author>
      <b:Author>
        <b:NameList>
          <b:Person>
            <b:Last>Schröder-Butterfill</b:Last>
            <b:First>E.</b:First>
          </b:Person>
          <b:Person>
            <b:Last>Marianti</b:Last>
            <b:First>R.</b:First>
          </b:Person>
        </b:NameList>
      </b:Author>
    </b:Author>
    <b:Title>A framework for understanding old-age vulnerabilities</b:Title>
    <b:JournalName>Ageing &amp; Society</b:JournalName>
    <b:Year>2021</b:Year>
    <b:Pages>9-35</b:Pages>
    <b:Volume>26</b:Volume>
    <b:Issue>1</b:Issue>
    <b:RefOrder>16</b:RefOrder>
  </b:Source>
  <b:Source>
    <b:Tag>Jus15</b:Tag>
    <b:SourceType>InternetSite</b:SourceType>
    <b:Guid>{7FD8FBDD-8359-42CB-A811-17639B4CE024}</b:Guid>
    <b:Author>
      <b:Author>
        <b:Corporate>JusticeInspectorates</b:Corporate>
      </b:Author>
    </b:Author>
    <b:Title>The welfare of vulnerbale people in police custody</b:Title>
    <b:Year>2015</b:Year>
    <b:YearAccessed>2023</b:YearAccessed>
    <b:URL>www.justiceinspectorates.gov.uk</b:URL>
    <b:RefOrder>17</b:RefOrder>
  </b:Source>
  <b:Source>
    <b:Tag>Bar19</b:Tag>
    <b:SourceType>JournalArticle</b:SourceType>
    <b:Guid>{1EBF473D-448C-4CE1-8CF4-F14F7C84EB6D}</b:Guid>
    <b:Author>
      <b:Author>
        <b:NameList>
          <b:Person>
            <b:Last>Bartkowiak-Theron</b:Last>
            <b:First>I.M.F.</b:First>
          </b:Person>
          <b:Person>
            <b:Last>Asquith</b:Last>
            <b:First>N.L.</b:First>
          </b:Person>
        </b:NameList>
      </b:Author>
    </b:Author>
    <b:Title>Policing vulnerable people</b:Title>
    <b:JournalName>Tasmanian Institute of Law Enforcement Studies</b:JournalName>
    <b:Year>2019</b:Year>
    <b:Pages>1-7</b:Pages>
    <b:RefOrder>18</b:RefOrder>
  </b:Source>
  <b:Source>
    <b:Tag>Hom222</b:Tag>
    <b:SourceType>InternetSite</b:SourceType>
    <b:Guid>{85FF1F72-0571-4B1C-95A2-7F730637396A}</b:Guid>
    <b:Author>
      <b:Author>
        <b:Corporate>Home Office</b:Corporate>
      </b:Author>
    </b:Author>
    <b:Title>Supporting vulnerable people who encounter the police: </b:Title>
    <b:Year>2022</b:Year>
    <b:YearAccessed>2023</b:YearAccessed>
    <b:URL>https://assets.publishing.service.gov.uk/government/uploads/system/uploads/attachment_data/file/405397/6.379_Supporting_guidance_web_doc_v3.pdf</b:URL>
    <b:RefOrder>19</b:RefOrder>
  </b:Source>
  <b:Source>
    <b:Tag>Col18</b:Tag>
    <b:SourceType>InternetSite</b:SourceType>
    <b:Guid>{964D91B6-909F-4F37-AD04-F074445CBF9E}</b:Guid>
    <b:Author>
      <b:Author>
        <b:Corporate>College of Policing</b:Corporate>
      </b:Author>
    </b:Author>
    <b:Title>Mental health: Mental health vulnerability and illness</b:Title>
    <b:Year>2018</b:Year>
    <b:YearAccessed>2022</b:YearAccessed>
    <b:URL>https://www.app.college.police.uk/appcontent/mental-health/ mental-vulnerability-and illness/</b:URL>
    <b:RefOrder>20</b:RefOrder>
  </b:Source>
</b:Sources>
</file>

<file path=customXml/itemProps1.xml><?xml version="1.0" encoding="utf-8"?>
<ds:datastoreItem xmlns:ds="http://schemas.openxmlformats.org/officeDocument/2006/customXml" ds:itemID="{42220449-CC43-4D3A-B8FF-68F31EE21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2819</Words>
  <Characters>16071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Harbhajan Sran (1902444)</dc:creator>
  <cp:keywords/>
  <dc:description/>
  <cp:lastModifiedBy>Harbhajan Sran (1902444)</cp:lastModifiedBy>
  <cp:revision>1</cp:revision>
  <dcterms:created xsi:type="dcterms:W3CDTF">2023-04-24T22:51:00Z</dcterms:created>
  <dcterms:modified xsi:type="dcterms:W3CDTF">2023-04-24T22:52:00Z</dcterms:modified>
</cp:coreProperties>
</file>