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9A770DE">
      <w:pPr>
        <w:pStyle w:val="10"/>
        <w:tabs>
          <w:tab w:val="clear" w:pos="4153"/>
          <w:tab w:val="clear" w:pos="8306"/>
        </w:tabs>
        <w:jc w:val="right"/>
        <w:rPr>
          <w:rFonts w:ascii="Arial" w:hAnsi="Arial" w:cs="Arial"/>
          <w:b/>
          <w:sz w:val="28"/>
          <w:szCs w:val="28"/>
        </w:rPr>
      </w:pPr>
      <w:r>
        <w:rPr>
          <w:rFonts w:ascii="Arial" w:hAnsi="Arial" w:cs="Arial"/>
          <w:lang w:val="en-IN" w:eastAsia="en-IN"/>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7" name="Picture 7"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Style w:val="9"/>
        <w:tblW w:w="9923" w:type="dxa"/>
        <w:tblInd w:w="-2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74"/>
        <w:gridCol w:w="3293"/>
        <w:gridCol w:w="2268"/>
        <w:gridCol w:w="1588"/>
      </w:tblGrid>
      <w:tr w14:paraId="11A958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57A1F42D">
            <w:pPr>
              <w:spacing w:before="120" w:after="120"/>
              <w:rPr>
                <w:rFonts w:ascii="Arial" w:hAnsi="Arial" w:cs="Arial"/>
                <w:b/>
                <w:sz w:val="20"/>
                <w:szCs w:val="22"/>
              </w:rPr>
            </w:pPr>
            <w:r>
              <w:rPr>
                <w:rFonts w:ascii="Arial" w:hAnsi="Arial" w:cs="Arial"/>
                <w:b/>
                <w:sz w:val="20"/>
                <w:szCs w:val="22"/>
              </w:rPr>
              <w:t>Student name:</w:t>
            </w:r>
          </w:p>
        </w:tc>
        <w:tc>
          <w:tcPr>
            <w:tcW w:w="3293" w:type="dxa"/>
          </w:tcPr>
          <w:p w14:paraId="7B214207">
            <w:pPr>
              <w:spacing w:before="120" w:after="120"/>
              <w:rPr>
                <w:rFonts w:hint="default" w:ascii="Arial" w:hAnsi="Arial" w:cs="Arial"/>
                <w:b/>
                <w:sz w:val="20"/>
                <w:szCs w:val="22"/>
                <w:lang w:val="en-US"/>
              </w:rPr>
            </w:pPr>
            <w:r>
              <w:rPr>
                <w:rFonts w:ascii="Arial" w:hAnsi="Arial" w:cs="Arial"/>
                <w:b/>
                <w:sz w:val="20"/>
                <w:szCs w:val="22"/>
              </w:rPr>
              <w:fldChar w:fldCharType="begin">
                <w:ffData>
                  <w:name w:val="Text2"/>
                  <w:enabled/>
                  <w:calcOnExit w:val="0"/>
                  <w:textInput/>
                </w:ffData>
              </w:fldChar>
            </w:r>
            <w:r>
              <w:rPr>
                <w:rFonts w:ascii="Arial" w:hAnsi="Arial" w:cs="Arial"/>
                <w:b/>
                <w:sz w:val="20"/>
                <w:szCs w:val="22"/>
              </w:rPr>
              <w:instrText xml:space="preserve"> FORMTEXT </w:instrText>
            </w:r>
            <w:r>
              <w:rPr>
                <w:rFonts w:ascii="Arial" w:hAnsi="Arial" w:cs="Arial"/>
                <w:b/>
                <w:sz w:val="20"/>
                <w:szCs w:val="22"/>
              </w:rPr>
              <w:fldChar w:fldCharType="separate"/>
            </w:r>
            <w:r>
              <w:rPr>
                <w:rFonts w:ascii="Arial" w:hAnsi="Arial" w:cs="Arial"/>
                <w:b/>
                <w:sz w:val="20"/>
                <w:szCs w:val="22"/>
              </w:rPr>
              <w:t>     </w:t>
            </w:r>
            <w:r>
              <w:rPr>
                <w:rFonts w:ascii="Arial" w:hAnsi="Arial" w:cs="Arial"/>
                <w:b/>
                <w:sz w:val="20"/>
                <w:szCs w:val="22"/>
              </w:rPr>
              <w:fldChar w:fldCharType="end"/>
            </w:r>
            <w:r>
              <w:rPr>
                <w:rFonts w:hint="default" w:ascii="Arial" w:hAnsi="Arial" w:cs="Arial"/>
                <w:b/>
                <w:sz w:val="20"/>
                <w:szCs w:val="22"/>
                <w:lang w:val="en-US"/>
              </w:rPr>
              <w:t>nayi krupa</w:t>
            </w:r>
          </w:p>
        </w:tc>
        <w:tc>
          <w:tcPr>
            <w:tcW w:w="2268" w:type="dxa"/>
            <w:shd w:val="clear" w:color="auto" w:fill="D8D8D8" w:themeFill="background1" w:themeFillShade="D9"/>
          </w:tcPr>
          <w:p w14:paraId="45EF0506">
            <w:pPr>
              <w:spacing w:before="120" w:after="120"/>
              <w:rPr>
                <w:rFonts w:ascii="Arial" w:hAnsi="Arial" w:cs="Arial"/>
                <w:b/>
                <w:sz w:val="20"/>
                <w:szCs w:val="22"/>
              </w:rPr>
            </w:pPr>
            <w:r>
              <w:rPr>
                <w:rFonts w:ascii="Arial" w:hAnsi="Arial" w:cs="Arial"/>
                <w:b/>
                <w:sz w:val="20"/>
                <w:szCs w:val="22"/>
              </w:rPr>
              <w:t>Student ID number:</w:t>
            </w:r>
          </w:p>
        </w:tc>
        <w:tc>
          <w:tcPr>
            <w:tcW w:w="1588" w:type="dxa"/>
          </w:tcPr>
          <w:p w14:paraId="7DA08208">
            <w:pPr>
              <w:spacing w:before="120" w:after="120"/>
              <w:rPr>
                <w:rFonts w:hint="default" w:ascii="Arial" w:hAnsi="Arial" w:cs="Arial"/>
                <w:b/>
                <w:sz w:val="20"/>
                <w:szCs w:val="22"/>
                <w:lang w:val="en-US"/>
              </w:rPr>
            </w:pPr>
            <w:r>
              <w:rPr>
                <w:rFonts w:hint="default" w:ascii="Arial" w:hAnsi="Arial" w:cs="Arial"/>
                <w:b/>
                <w:sz w:val="20"/>
                <w:szCs w:val="22"/>
                <w:lang w:val="en-US"/>
              </w:rPr>
              <w:t>2540964</w:t>
            </w:r>
          </w:p>
        </w:tc>
      </w:tr>
      <w:tr w14:paraId="383B74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28AF60AB">
            <w:pPr>
              <w:spacing w:before="120" w:after="120"/>
              <w:rPr>
                <w:rFonts w:ascii="Arial" w:hAnsi="Arial" w:cs="Arial"/>
                <w:b/>
                <w:sz w:val="20"/>
                <w:szCs w:val="22"/>
              </w:rPr>
            </w:pPr>
            <w:r>
              <w:rPr>
                <w:rFonts w:ascii="Arial" w:hAnsi="Arial" w:cs="Arial"/>
                <w:b/>
                <w:sz w:val="20"/>
                <w:szCs w:val="22"/>
              </w:rPr>
              <w:t>Programme:</w:t>
            </w:r>
          </w:p>
        </w:tc>
        <w:tc>
          <w:tcPr>
            <w:tcW w:w="7149" w:type="dxa"/>
            <w:gridSpan w:val="3"/>
          </w:tcPr>
          <w:p w14:paraId="6B1C5024">
            <w:pPr>
              <w:spacing w:before="120" w:after="120"/>
              <w:rPr>
                <w:rFonts w:ascii="Arial" w:hAnsi="Arial" w:cs="Arial"/>
                <w:b/>
                <w:sz w:val="20"/>
                <w:szCs w:val="22"/>
              </w:rPr>
            </w:pPr>
            <w:r>
              <w:rPr>
                <w:rFonts w:ascii="Arial" w:hAnsi="Arial" w:cs="Arial"/>
                <w:b/>
                <w:sz w:val="20"/>
                <w:szCs w:val="22"/>
              </w:rPr>
              <w:t>MSc Public Health and Social Care in Practice</w:t>
            </w:r>
          </w:p>
        </w:tc>
      </w:tr>
      <w:tr w14:paraId="4E63EF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5C039D6B">
            <w:pPr>
              <w:spacing w:before="120" w:after="120"/>
              <w:rPr>
                <w:rFonts w:ascii="Arial" w:hAnsi="Arial" w:cs="Arial"/>
                <w:b/>
                <w:sz w:val="20"/>
                <w:szCs w:val="22"/>
              </w:rPr>
            </w:pPr>
            <w:r>
              <w:rPr>
                <w:rFonts w:ascii="Arial" w:hAnsi="Arial" w:cs="Arial"/>
                <w:b/>
                <w:sz w:val="20"/>
                <w:szCs w:val="22"/>
              </w:rPr>
              <w:t>Module:</w:t>
            </w:r>
          </w:p>
        </w:tc>
        <w:tc>
          <w:tcPr>
            <w:tcW w:w="7149" w:type="dxa"/>
            <w:gridSpan w:val="3"/>
          </w:tcPr>
          <w:p w14:paraId="11BB02B7">
            <w:pPr>
              <w:spacing w:before="120" w:after="120"/>
              <w:rPr>
                <w:rFonts w:ascii="Arial" w:hAnsi="Arial" w:cs="Arial"/>
                <w:b/>
                <w:sz w:val="20"/>
                <w:szCs w:val="22"/>
              </w:rPr>
            </w:pPr>
            <w:r>
              <w:rPr>
                <w:rFonts w:ascii="Arial" w:hAnsi="Arial" w:cs="Arial"/>
                <w:b/>
                <w:sz w:val="20"/>
                <w:szCs w:val="22"/>
              </w:rPr>
              <w:t>Health Care System Organisation and Leadership</w:t>
            </w:r>
          </w:p>
        </w:tc>
      </w:tr>
      <w:tr w14:paraId="4C51A6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6AD7F934">
            <w:pPr>
              <w:spacing w:before="120" w:after="120"/>
              <w:rPr>
                <w:rFonts w:ascii="Arial" w:hAnsi="Arial" w:cs="Arial"/>
                <w:b/>
                <w:sz w:val="20"/>
                <w:szCs w:val="22"/>
              </w:rPr>
            </w:pPr>
            <w:r>
              <w:rPr>
                <w:rFonts w:ascii="Arial" w:hAnsi="Arial" w:cs="Arial"/>
                <w:b/>
                <w:sz w:val="20"/>
                <w:szCs w:val="22"/>
              </w:rPr>
              <w:t>Module code:</w:t>
            </w:r>
          </w:p>
        </w:tc>
        <w:tc>
          <w:tcPr>
            <w:tcW w:w="3293" w:type="dxa"/>
          </w:tcPr>
          <w:p w14:paraId="7A803467">
            <w:pPr>
              <w:spacing w:before="120" w:after="120"/>
              <w:rPr>
                <w:rFonts w:ascii="Arial" w:hAnsi="Arial" w:cs="Arial"/>
                <w:b/>
                <w:sz w:val="20"/>
                <w:szCs w:val="22"/>
              </w:rPr>
            </w:pPr>
            <w:r>
              <w:rPr>
                <w:rFonts w:ascii="Arial" w:hAnsi="Arial" w:cs="Arial"/>
                <w:b/>
                <w:sz w:val="20"/>
                <w:szCs w:val="22"/>
              </w:rPr>
              <w:t>LCHS7002</w:t>
            </w:r>
          </w:p>
        </w:tc>
        <w:tc>
          <w:tcPr>
            <w:tcW w:w="2268" w:type="dxa"/>
            <w:shd w:val="clear" w:color="auto" w:fill="D8D8D8" w:themeFill="background1" w:themeFillShade="D9"/>
          </w:tcPr>
          <w:p w14:paraId="23673EA4">
            <w:pPr>
              <w:pStyle w:val="3"/>
              <w:rPr>
                <w:rFonts w:ascii="Arial" w:hAnsi="Arial" w:cs="Arial"/>
                <w:sz w:val="20"/>
                <w:szCs w:val="22"/>
              </w:rPr>
            </w:pPr>
            <w:r>
              <w:rPr>
                <w:rFonts w:ascii="Arial" w:hAnsi="Arial" w:cs="Arial"/>
                <w:sz w:val="20"/>
                <w:szCs w:val="22"/>
              </w:rPr>
              <w:t>Contribution to Overall Module Assessment (%):</w:t>
            </w:r>
          </w:p>
        </w:tc>
        <w:tc>
          <w:tcPr>
            <w:tcW w:w="1588" w:type="dxa"/>
          </w:tcPr>
          <w:p w14:paraId="4ADAF0B8">
            <w:pPr>
              <w:spacing w:before="120" w:after="120"/>
              <w:rPr>
                <w:rFonts w:ascii="Arial" w:hAnsi="Arial" w:cs="Arial"/>
                <w:b/>
                <w:sz w:val="20"/>
                <w:szCs w:val="22"/>
              </w:rPr>
            </w:pPr>
            <w:r>
              <w:rPr>
                <w:rFonts w:ascii="Arial" w:hAnsi="Arial" w:cs="Arial"/>
                <w:b/>
                <w:sz w:val="20"/>
                <w:szCs w:val="22"/>
              </w:rPr>
              <w:t>100%</w:t>
            </w:r>
          </w:p>
        </w:tc>
      </w:tr>
      <w:tr w14:paraId="4CA7B8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7361C6D2">
            <w:pPr>
              <w:spacing w:before="120" w:after="120"/>
              <w:rPr>
                <w:rFonts w:ascii="Arial" w:hAnsi="Arial" w:cs="Arial"/>
                <w:b/>
                <w:sz w:val="20"/>
                <w:szCs w:val="22"/>
              </w:rPr>
            </w:pPr>
            <w:r>
              <w:rPr>
                <w:rFonts w:ascii="Arial" w:hAnsi="Arial" w:cs="Arial"/>
                <w:b/>
                <w:sz w:val="20"/>
                <w:szCs w:val="22"/>
              </w:rPr>
              <w:t>Lecturer:</w:t>
            </w:r>
          </w:p>
        </w:tc>
        <w:tc>
          <w:tcPr>
            <w:tcW w:w="3293" w:type="dxa"/>
          </w:tcPr>
          <w:p w14:paraId="09154D65">
            <w:pPr>
              <w:spacing w:before="120" w:after="120"/>
              <w:rPr>
                <w:rFonts w:ascii="Arial" w:hAnsi="Arial" w:cs="Arial"/>
                <w:b/>
                <w:sz w:val="20"/>
                <w:szCs w:val="22"/>
              </w:rPr>
            </w:pPr>
          </w:p>
        </w:tc>
        <w:tc>
          <w:tcPr>
            <w:tcW w:w="2268" w:type="dxa"/>
            <w:shd w:val="clear" w:color="auto" w:fill="D8D8D8" w:themeFill="background1" w:themeFillShade="D9"/>
          </w:tcPr>
          <w:p w14:paraId="1146CCC6">
            <w:pPr>
              <w:spacing w:before="120" w:after="120"/>
              <w:rPr>
                <w:rFonts w:ascii="Arial" w:hAnsi="Arial" w:cs="Arial"/>
                <w:b/>
                <w:sz w:val="20"/>
                <w:szCs w:val="22"/>
              </w:rPr>
            </w:pPr>
            <w:r>
              <w:rPr>
                <w:rFonts w:ascii="Arial" w:hAnsi="Arial" w:cs="Arial"/>
                <w:b/>
                <w:sz w:val="20"/>
                <w:szCs w:val="22"/>
              </w:rPr>
              <w:t>Internal Verifier:</w:t>
            </w:r>
          </w:p>
        </w:tc>
        <w:tc>
          <w:tcPr>
            <w:tcW w:w="1588" w:type="dxa"/>
          </w:tcPr>
          <w:p w14:paraId="642A7A6E">
            <w:pPr>
              <w:spacing w:before="120" w:after="120"/>
              <w:rPr>
                <w:rFonts w:ascii="Arial" w:hAnsi="Arial" w:cs="Arial"/>
                <w:b/>
                <w:sz w:val="20"/>
                <w:szCs w:val="22"/>
              </w:rPr>
            </w:pPr>
            <w:r>
              <w:rPr>
                <w:rFonts w:ascii="Arial" w:hAnsi="Arial" w:cs="Arial"/>
                <w:b/>
                <w:sz w:val="20"/>
                <w:szCs w:val="22"/>
              </w:rPr>
              <w:t>Dr Hamdi Hussain</w:t>
            </w:r>
          </w:p>
        </w:tc>
      </w:tr>
      <w:tr w14:paraId="3537D3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594FD8F3">
            <w:pPr>
              <w:spacing w:before="120" w:after="120"/>
              <w:rPr>
                <w:rFonts w:ascii="Arial" w:hAnsi="Arial" w:cs="Arial"/>
                <w:b/>
                <w:sz w:val="20"/>
                <w:szCs w:val="22"/>
              </w:rPr>
            </w:pPr>
            <w:r>
              <w:rPr>
                <w:rFonts w:ascii="Arial" w:hAnsi="Arial" w:cs="Arial"/>
                <w:b/>
                <w:sz w:val="20"/>
                <w:szCs w:val="22"/>
              </w:rPr>
              <w:t>Assignment Title:</w:t>
            </w:r>
          </w:p>
        </w:tc>
        <w:tc>
          <w:tcPr>
            <w:tcW w:w="3293" w:type="dxa"/>
          </w:tcPr>
          <w:p w14:paraId="6742D1FE">
            <w:pPr>
              <w:spacing w:before="120" w:after="120"/>
              <w:rPr>
                <w:rFonts w:ascii="Arial" w:hAnsi="Arial" w:cs="Arial"/>
                <w:b/>
                <w:sz w:val="20"/>
                <w:szCs w:val="22"/>
              </w:rPr>
            </w:pPr>
            <w:r>
              <w:rPr>
                <w:rFonts w:ascii="Arial" w:hAnsi="Arial" w:cs="Arial"/>
                <w:b/>
                <w:sz w:val="20"/>
                <w:szCs w:val="22"/>
              </w:rPr>
              <w:t>Case Study Analysis Report</w:t>
            </w:r>
          </w:p>
        </w:tc>
        <w:tc>
          <w:tcPr>
            <w:tcW w:w="2268" w:type="dxa"/>
          </w:tcPr>
          <w:p w14:paraId="097EF6D0">
            <w:pPr>
              <w:spacing w:before="120" w:after="120"/>
              <w:rPr>
                <w:rFonts w:ascii="Arial" w:hAnsi="Arial" w:cs="Arial"/>
                <w:b/>
                <w:sz w:val="20"/>
                <w:szCs w:val="22"/>
              </w:rPr>
            </w:pPr>
            <w:r>
              <w:rPr>
                <w:rFonts w:ascii="Arial" w:hAnsi="Arial" w:cs="Arial"/>
                <w:b/>
                <w:sz w:val="20"/>
                <w:szCs w:val="22"/>
              </w:rPr>
              <w:t>Word count (or equivalent):</w:t>
            </w:r>
          </w:p>
        </w:tc>
        <w:tc>
          <w:tcPr>
            <w:tcW w:w="1588" w:type="dxa"/>
          </w:tcPr>
          <w:p w14:paraId="66CF2E80">
            <w:pPr>
              <w:spacing w:before="120" w:after="120"/>
              <w:rPr>
                <w:rFonts w:ascii="Arial" w:hAnsi="Arial" w:cs="Arial"/>
                <w:b/>
                <w:sz w:val="20"/>
                <w:szCs w:val="22"/>
              </w:rPr>
            </w:pPr>
            <w:r>
              <w:rPr>
                <w:rFonts w:ascii="Arial" w:hAnsi="Arial" w:cs="Arial"/>
                <w:b/>
                <w:sz w:val="20"/>
                <w:szCs w:val="22"/>
              </w:rPr>
              <w:t>5000 words (+/- 10%)</w:t>
            </w:r>
          </w:p>
        </w:tc>
      </w:tr>
      <w:tr w14:paraId="79E545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4" w:type="dxa"/>
          </w:tcPr>
          <w:p w14:paraId="39B59CF0">
            <w:pPr>
              <w:spacing w:before="120" w:after="120"/>
              <w:rPr>
                <w:rFonts w:ascii="Arial" w:hAnsi="Arial" w:cs="Arial"/>
                <w:b/>
                <w:sz w:val="20"/>
                <w:szCs w:val="22"/>
              </w:rPr>
            </w:pPr>
            <w:r>
              <w:rPr>
                <w:rFonts w:ascii="Arial" w:hAnsi="Arial" w:cs="Arial"/>
                <w:b/>
                <w:sz w:val="20"/>
                <w:szCs w:val="22"/>
              </w:rPr>
              <w:t>Submission deadline:</w:t>
            </w:r>
          </w:p>
        </w:tc>
        <w:tc>
          <w:tcPr>
            <w:tcW w:w="3293" w:type="dxa"/>
          </w:tcPr>
          <w:p w14:paraId="07527576">
            <w:pPr>
              <w:spacing w:before="120" w:after="120"/>
              <w:rPr>
                <w:rFonts w:ascii="Arial" w:hAnsi="Arial" w:cs="Arial"/>
                <w:b/>
                <w:bCs/>
                <w:sz w:val="20"/>
                <w:szCs w:val="22"/>
              </w:rPr>
            </w:pPr>
            <w:r>
              <w:rPr>
                <w:rFonts w:ascii="Arial" w:hAnsi="Arial" w:cs="Arial"/>
                <w:b/>
                <w:bCs/>
                <w:sz w:val="20"/>
                <w:szCs w:val="22"/>
              </w:rPr>
              <w:t>11</w:t>
            </w:r>
            <w:r>
              <w:rPr>
                <w:rFonts w:ascii="Arial" w:hAnsi="Arial" w:cs="Arial"/>
                <w:b/>
                <w:bCs/>
                <w:sz w:val="20"/>
                <w:szCs w:val="22"/>
                <w:vertAlign w:val="superscript"/>
              </w:rPr>
              <w:t>th</w:t>
            </w:r>
            <w:r>
              <w:rPr>
                <w:rFonts w:ascii="Arial" w:hAnsi="Arial" w:cs="Arial"/>
                <w:b/>
                <w:bCs/>
                <w:sz w:val="20"/>
                <w:szCs w:val="22"/>
              </w:rPr>
              <w:t xml:space="preserve"> August 2026 </w:t>
            </w:r>
          </w:p>
          <w:p w14:paraId="0170F448">
            <w:pPr>
              <w:spacing w:before="120" w:after="120"/>
              <w:rPr>
                <w:rFonts w:ascii="Arial" w:hAnsi="Arial" w:cs="Arial"/>
                <w:b/>
                <w:bCs/>
                <w:sz w:val="20"/>
                <w:szCs w:val="22"/>
              </w:rPr>
            </w:pPr>
            <w:r>
              <w:rPr>
                <w:rFonts w:ascii="Arial" w:hAnsi="Arial" w:cs="Arial"/>
                <w:b/>
                <w:bCs/>
                <w:sz w:val="20"/>
                <w:szCs w:val="22"/>
              </w:rPr>
              <w:t>14:00 (2 pm)</w:t>
            </w:r>
          </w:p>
        </w:tc>
        <w:tc>
          <w:tcPr>
            <w:tcW w:w="2268" w:type="dxa"/>
          </w:tcPr>
          <w:p w14:paraId="65581B69">
            <w:pPr>
              <w:spacing w:before="120" w:after="120"/>
              <w:rPr>
                <w:rFonts w:ascii="Arial" w:hAnsi="Arial" w:cs="Arial"/>
                <w:b/>
                <w:sz w:val="20"/>
                <w:szCs w:val="22"/>
              </w:rPr>
            </w:pPr>
            <w:r>
              <w:rPr>
                <w:rFonts w:ascii="Arial" w:hAnsi="Arial" w:cs="Arial"/>
                <w:b/>
                <w:sz w:val="20"/>
                <w:szCs w:val="22"/>
              </w:rPr>
              <w:t>Return date of provisional marks &amp; written feedback:</w:t>
            </w:r>
          </w:p>
        </w:tc>
        <w:tc>
          <w:tcPr>
            <w:tcW w:w="1588" w:type="dxa"/>
          </w:tcPr>
          <w:p w14:paraId="00208043">
            <w:pPr>
              <w:spacing w:before="120" w:after="120"/>
              <w:rPr>
                <w:rFonts w:ascii="Arial" w:hAnsi="Arial" w:cs="Arial"/>
                <w:b/>
                <w:bCs/>
                <w:sz w:val="20"/>
                <w:szCs w:val="22"/>
              </w:rPr>
            </w:pPr>
            <w:r>
              <w:rPr>
                <w:rFonts w:ascii="Arial" w:hAnsi="Arial" w:cs="Arial"/>
                <w:b/>
                <w:bCs/>
                <w:sz w:val="20"/>
                <w:szCs w:val="22"/>
              </w:rPr>
              <w:t>2</w:t>
            </w:r>
            <w:r>
              <w:rPr>
                <w:rFonts w:ascii="Arial" w:hAnsi="Arial" w:cs="Arial"/>
                <w:b/>
                <w:bCs/>
                <w:sz w:val="20"/>
                <w:szCs w:val="22"/>
                <w:vertAlign w:val="superscript"/>
              </w:rPr>
              <w:t>nd</w:t>
            </w:r>
            <w:r>
              <w:rPr>
                <w:rFonts w:ascii="Arial" w:hAnsi="Arial" w:cs="Arial"/>
                <w:b/>
                <w:bCs/>
                <w:sz w:val="20"/>
                <w:szCs w:val="22"/>
              </w:rPr>
              <w:t xml:space="preserve"> of September  2026</w:t>
            </w:r>
          </w:p>
        </w:tc>
      </w:tr>
    </w:tbl>
    <w:p w14:paraId="6BAC3F26">
      <w:pPr>
        <w:rPr>
          <w:rFonts w:ascii="Arial" w:hAnsi="Arial" w:cs="Arial"/>
          <w:sz w:val="32"/>
        </w:rPr>
      </w:pPr>
    </w:p>
    <w:p w14:paraId="49FF75FD">
      <w:pPr>
        <w:rPr>
          <w:rFonts w:ascii="Arial" w:hAnsi="Arial" w:cs="Arial"/>
          <w:sz w:val="32"/>
        </w:rPr>
      </w:pPr>
    </w:p>
    <w:p w14:paraId="685E3503">
      <w:pPr>
        <w:rPr>
          <w:rFonts w:ascii="Arial" w:hAnsi="Arial" w:cs="Arial"/>
          <w:sz w:val="32"/>
        </w:rPr>
      </w:pPr>
    </w:p>
    <w:p w14:paraId="0124A696">
      <w:pPr>
        <w:rPr>
          <w:rFonts w:ascii="Arial" w:hAnsi="Arial" w:cs="Arial"/>
          <w:sz w:val="32"/>
        </w:rPr>
      </w:pPr>
    </w:p>
    <w:p w14:paraId="76176A95">
      <w:r>
        <w:br w:type="page"/>
      </w:r>
    </w:p>
    <w:p w14:paraId="7B60C8C4">
      <w:pPr>
        <w:jc w:val="center"/>
        <w:rPr>
          <w:rFonts w:ascii="Arial" w:hAnsi="Arial" w:eastAsia="Arial" w:cs="Arial"/>
          <w:sz w:val="28"/>
          <w:szCs w:val="28"/>
        </w:rPr>
      </w:pPr>
      <w:r>
        <w:rPr>
          <w:rFonts w:ascii="Arial" w:hAnsi="Arial" w:eastAsia="Arial" w:cs="Arial"/>
          <w:b/>
          <w:bCs/>
          <w:sz w:val="28"/>
          <w:szCs w:val="28"/>
        </w:rPr>
        <w:t>Table of Contents</w:t>
      </w:r>
    </w:p>
    <w:sdt>
      <w:sdtPr>
        <w:id w:val="1774752971"/>
        <w:docPartObj>
          <w:docPartGallery w:val="Table of Contents"/>
          <w:docPartUnique/>
        </w:docPartObj>
      </w:sdtPr>
      <w:sdtContent>
        <w:p w14:paraId="4B030F7F">
          <w:pPr>
            <w:widowControl w:val="0"/>
            <w:tabs>
              <w:tab w:val="right" w:leader="dot" w:pos="9360"/>
            </w:tabs>
            <w:spacing w:before="60" w:line="240" w:lineRule="auto"/>
            <w:jc w:val="left"/>
            <w:rPr>
              <w:color w:val="000000"/>
            </w:rPr>
          </w:pPr>
          <w:r>
            <w:fldChar w:fldCharType="begin"/>
          </w:r>
          <w:r>
            <w:instrText xml:space="preserve"> TOC \h \u \z \t "Heading 1,1,Heading 2,2,Heading 3,3,Heading 4,4,Heading 5,5,Heading 6,6,"</w:instrText>
          </w:r>
          <w:r>
            <w:fldChar w:fldCharType="separate"/>
          </w:r>
          <w:r>
            <w:fldChar w:fldCharType="begin"/>
          </w:r>
          <w:r>
            <w:instrText xml:space="preserve"> HYPERLINK \l "_kczmwez0belf" \h </w:instrText>
          </w:r>
          <w:r>
            <w:fldChar w:fldCharType="separate"/>
          </w:r>
          <w:r>
            <w:rPr>
              <w:color w:val="000000"/>
            </w:rPr>
            <w:t>Introduction</w:t>
          </w:r>
          <w:r>
            <w:rPr>
              <w:color w:val="000000"/>
            </w:rPr>
            <w:tab/>
          </w:r>
          <w:r>
            <w:rPr>
              <w:color w:val="000000"/>
            </w:rPr>
            <w:fldChar w:fldCharType="end"/>
          </w:r>
          <w:r>
            <w:fldChar w:fldCharType="begin"/>
          </w:r>
          <w:r>
            <w:instrText xml:space="preserve"> PAGEREF _kczmwez0belf \h </w:instrText>
          </w:r>
          <w:r>
            <w:fldChar w:fldCharType="separate"/>
          </w:r>
          <w:r>
            <w:t>3</w:t>
          </w:r>
          <w:r>
            <w:fldChar w:fldCharType="end"/>
          </w:r>
        </w:p>
        <w:p w14:paraId="4F76648F">
          <w:pPr>
            <w:widowControl w:val="0"/>
            <w:tabs>
              <w:tab w:val="right" w:leader="dot" w:pos="9360"/>
            </w:tabs>
            <w:spacing w:before="60" w:line="240" w:lineRule="auto"/>
            <w:jc w:val="left"/>
            <w:rPr>
              <w:color w:val="000000"/>
            </w:rPr>
          </w:pPr>
          <w:r>
            <w:fldChar w:fldCharType="begin"/>
          </w:r>
          <w:r>
            <w:instrText xml:space="preserve"> HYPERLINK \l "_mg973p2c4mfp" \h </w:instrText>
          </w:r>
          <w:r>
            <w:fldChar w:fldCharType="separate"/>
          </w:r>
          <w:r>
            <w:rPr>
              <w:color w:val="000000"/>
            </w:rPr>
            <w:t>Main Body and Analysis</w:t>
          </w:r>
          <w:r>
            <w:rPr>
              <w:color w:val="000000"/>
            </w:rPr>
            <w:tab/>
          </w:r>
          <w:r>
            <w:rPr>
              <w:color w:val="000000"/>
            </w:rPr>
            <w:fldChar w:fldCharType="end"/>
          </w:r>
          <w:r>
            <w:fldChar w:fldCharType="begin"/>
          </w:r>
          <w:r>
            <w:instrText xml:space="preserve"> PAGEREF _mg973p2c4mfp \h </w:instrText>
          </w:r>
          <w:r>
            <w:fldChar w:fldCharType="separate"/>
          </w:r>
          <w:r>
            <w:t>4</w:t>
          </w:r>
          <w:r>
            <w:fldChar w:fldCharType="end"/>
          </w:r>
        </w:p>
        <w:p w14:paraId="0BFCB199">
          <w:pPr>
            <w:widowControl w:val="0"/>
            <w:tabs>
              <w:tab w:val="right" w:leader="dot" w:pos="9360"/>
            </w:tabs>
            <w:spacing w:before="60" w:line="240" w:lineRule="auto"/>
            <w:ind w:left="360"/>
            <w:jc w:val="left"/>
            <w:rPr>
              <w:color w:val="000000"/>
            </w:rPr>
          </w:pPr>
          <w:r>
            <w:fldChar w:fldCharType="begin"/>
          </w:r>
          <w:r>
            <w:instrText xml:space="preserve"> HYPERLINK \l "_uq1uaddrrs34" \h </w:instrText>
          </w:r>
          <w:r>
            <w:fldChar w:fldCharType="separate"/>
          </w:r>
          <w:r>
            <w:rPr>
              <w:color w:val="000000"/>
            </w:rPr>
            <w:t>a. Identifying the Problem and Setting the System Context- Applying Systems Thinking and the Rich Picture</w:t>
          </w:r>
          <w:r>
            <w:rPr>
              <w:color w:val="000000"/>
            </w:rPr>
            <w:tab/>
          </w:r>
          <w:r>
            <w:rPr>
              <w:color w:val="000000"/>
            </w:rPr>
            <w:fldChar w:fldCharType="end"/>
          </w:r>
          <w:r>
            <w:fldChar w:fldCharType="begin"/>
          </w:r>
          <w:r>
            <w:instrText xml:space="preserve"> PAGEREF _uq1uaddrrs34 \h </w:instrText>
          </w:r>
          <w:r>
            <w:fldChar w:fldCharType="separate"/>
          </w:r>
          <w:r>
            <w:t>4</w:t>
          </w:r>
          <w:r>
            <w:fldChar w:fldCharType="end"/>
          </w:r>
        </w:p>
        <w:p w14:paraId="7835E06B">
          <w:pPr>
            <w:widowControl w:val="0"/>
            <w:tabs>
              <w:tab w:val="right" w:leader="dot" w:pos="9360"/>
            </w:tabs>
            <w:spacing w:before="60" w:line="240" w:lineRule="auto"/>
            <w:ind w:left="720"/>
            <w:jc w:val="left"/>
            <w:rPr>
              <w:color w:val="000000"/>
            </w:rPr>
          </w:pPr>
          <w:r>
            <w:fldChar w:fldCharType="begin"/>
          </w:r>
          <w:r>
            <w:instrText xml:space="preserve"> HYPERLINK \l "_uetomyhcu4jy" \h </w:instrText>
          </w:r>
          <w:r>
            <w:fldChar w:fldCharType="separate"/>
          </w:r>
          <w:r>
            <w:rPr>
              <w:color w:val="000000"/>
            </w:rPr>
            <w:t>Problem Definition</w:t>
          </w:r>
          <w:r>
            <w:rPr>
              <w:color w:val="000000"/>
            </w:rPr>
            <w:tab/>
          </w:r>
          <w:r>
            <w:rPr>
              <w:color w:val="000000"/>
            </w:rPr>
            <w:fldChar w:fldCharType="end"/>
          </w:r>
          <w:r>
            <w:fldChar w:fldCharType="begin"/>
          </w:r>
          <w:r>
            <w:instrText xml:space="preserve"> PAGEREF _uetomyhcu4jy \h </w:instrText>
          </w:r>
          <w:r>
            <w:fldChar w:fldCharType="separate"/>
          </w:r>
          <w:r>
            <w:t>4</w:t>
          </w:r>
          <w:r>
            <w:fldChar w:fldCharType="end"/>
          </w:r>
        </w:p>
        <w:p w14:paraId="45EF5EA9">
          <w:pPr>
            <w:widowControl w:val="0"/>
            <w:tabs>
              <w:tab w:val="right" w:leader="dot" w:pos="9360"/>
            </w:tabs>
            <w:spacing w:before="60" w:line="240" w:lineRule="auto"/>
            <w:ind w:left="720"/>
            <w:jc w:val="left"/>
            <w:rPr>
              <w:color w:val="000000"/>
            </w:rPr>
          </w:pPr>
          <w:r>
            <w:fldChar w:fldCharType="begin"/>
          </w:r>
          <w:r>
            <w:instrText xml:space="preserve"> HYPERLINK \l "_bmi6w9ydi46s" \h </w:instrText>
          </w:r>
          <w:r>
            <w:fldChar w:fldCharType="separate"/>
          </w:r>
          <w:r>
            <w:rPr>
              <w:color w:val="000000"/>
            </w:rPr>
            <w:t>National and International System Context</w:t>
          </w:r>
          <w:r>
            <w:rPr>
              <w:color w:val="000000"/>
            </w:rPr>
            <w:tab/>
          </w:r>
          <w:r>
            <w:rPr>
              <w:color w:val="000000"/>
            </w:rPr>
            <w:fldChar w:fldCharType="end"/>
          </w:r>
          <w:r>
            <w:fldChar w:fldCharType="begin"/>
          </w:r>
          <w:r>
            <w:instrText xml:space="preserve"> PAGEREF _bmi6w9ydi46s \h </w:instrText>
          </w:r>
          <w:r>
            <w:fldChar w:fldCharType="separate"/>
          </w:r>
          <w:r>
            <w:t>5</w:t>
          </w:r>
          <w:r>
            <w:fldChar w:fldCharType="end"/>
          </w:r>
        </w:p>
        <w:p w14:paraId="0B0F418E">
          <w:pPr>
            <w:widowControl w:val="0"/>
            <w:tabs>
              <w:tab w:val="right" w:leader="dot" w:pos="9360"/>
            </w:tabs>
            <w:spacing w:before="60" w:line="240" w:lineRule="auto"/>
            <w:ind w:left="720"/>
            <w:jc w:val="left"/>
            <w:rPr>
              <w:color w:val="000000"/>
            </w:rPr>
          </w:pPr>
          <w:r>
            <w:fldChar w:fldCharType="begin"/>
          </w:r>
          <w:r>
            <w:instrText xml:space="preserve"> HYPERLINK \l "_3h3ih052agqh" \h </w:instrText>
          </w:r>
          <w:r>
            <w:fldChar w:fldCharType="separate"/>
          </w:r>
          <w:r>
            <w:rPr>
              <w:color w:val="000000"/>
            </w:rPr>
            <w:t>System Weaknesses and Governance Analysis</w:t>
          </w:r>
          <w:r>
            <w:rPr>
              <w:color w:val="000000"/>
            </w:rPr>
            <w:tab/>
          </w:r>
          <w:r>
            <w:rPr>
              <w:color w:val="000000"/>
            </w:rPr>
            <w:fldChar w:fldCharType="end"/>
          </w:r>
          <w:r>
            <w:fldChar w:fldCharType="begin"/>
          </w:r>
          <w:r>
            <w:instrText xml:space="preserve"> PAGEREF _3h3ih052agqh \h </w:instrText>
          </w:r>
          <w:r>
            <w:fldChar w:fldCharType="separate"/>
          </w:r>
          <w:r>
            <w:t>6</w:t>
          </w:r>
          <w:r>
            <w:fldChar w:fldCharType="end"/>
          </w:r>
        </w:p>
        <w:p w14:paraId="635294FD">
          <w:pPr>
            <w:widowControl w:val="0"/>
            <w:tabs>
              <w:tab w:val="right" w:leader="dot" w:pos="9360"/>
            </w:tabs>
            <w:spacing w:before="60" w:line="240" w:lineRule="auto"/>
            <w:ind w:left="720"/>
            <w:jc w:val="left"/>
            <w:rPr>
              <w:color w:val="000000"/>
            </w:rPr>
          </w:pPr>
          <w:r>
            <w:fldChar w:fldCharType="begin"/>
          </w:r>
          <w:r>
            <w:instrText xml:space="preserve"> HYPERLINK \l "_fvhcmuq7kxgx" \h </w:instrText>
          </w:r>
          <w:r>
            <w:fldChar w:fldCharType="separate"/>
          </w:r>
          <w:r>
            <w:rPr>
              <w:color w:val="000000"/>
            </w:rPr>
            <w:t>Applying Systems Thinking Through the Rich Picture</w:t>
          </w:r>
          <w:r>
            <w:rPr>
              <w:color w:val="000000"/>
            </w:rPr>
            <w:tab/>
          </w:r>
          <w:r>
            <w:rPr>
              <w:color w:val="000000"/>
            </w:rPr>
            <w:fldChar w:fldCharType="end"/>
          </w:r>
          <w:r>
            <w:fldChar w:fldCharType="begin"/>
          </w:r>
          <w:r>
            <w:instrText xml:space="preserve"> PAGEREF _fvhcmuq7kxgx \h </w:instrText>
          </w:r>
          <w:r>
            <w:fldChar w:fldCharType="separate"/>
          </w:r>
          <w:r>
            <w:t>8</w:t>
          </w:r>
          <w:r>
            <w:fldChar w:fldCharType="end"/>
          </w:r>
        </w:p>
        <w:p w14:paraId="722A94C9">
          <w:pPr>
            <w:widowControl w:val="0"/>
            <w:tabs>
              <w:tab w:val="right" w:leader="dot" w:pos="9360"/>
            </w:tabs>
            <w:spacing w:before="60" w:line="240" w:lineRule="auto"/>
            <w:ind w:left="360"/>
            <w:jc w:val="left"/>
            <w:rPr>
              <w:color w:val="000000"/>
            </w:rPr>
          </w:pPr>
          <w:r>
            <w:fldChar w:fldCharType="begin"/>
          </w:r>
          <w:r>
            <w:instrText xml:space="preserve"> HYPERLINK \l "_ftlnep5ye1n" \h </w:instrText>
          </w:r>
          <w:r>
            <w:fldChar w:fldCharType="separate"/>
          </w:r>
          <w:r>
            <w:rPr>
              <w:color w:val="000000"/>
            </w:rPr>
            <w:t>b. Centralisation or Decentralisation within the Case Study</w:t>
          </w:r>
          <w:r>
            <w:rPr>
              <w:color w:val="000000"/>
            </w:rPr>
            <w:tab/>
          </w:r>
          <w:r>
            <w:rPr>
              <w:color w:val="000000"/>
            </w:rPr>
            <w:fldChar w:fldCharType="end"/>
          </w:r>
          <w:r>
            <w:fldChar w:fldCharType="begin"/>
          </w:r>
          <w:r>
            <w:instrText xml:space="preserve"> PAGEREF _ftlnep5ye1n \h </w:instrText>
          </w:r>
          <w:r>
            <w:fldChar w:fldCharType="separate"/>
          </w:r>
          <w:r>
            <w:t>8</w:t>
          </w:r>
          <w:r>
            <w:fldChar w:fldCharType="end"/>
          </w:r>
        </w:p>
        <w:p w14:paraId="669ACBEB">
          <w:pPr>
            <w:widowControl w:val="0"/>
            <w:tabs>
              <w:tab w:val="right" w:leader="dot" w:pos="9360"/>
            </w:tabs>
            <w:spacing w:before="60" w:line="240" w:lineRule="auto"/>
            <w:ind w:left="720"/>
            <w:jc w:val="left"/>
            <w:rPr>
              <w:color w:val="000000"/>
            </w:rPr>
          </w:pPr>
          <w:r>
            <w:fldChar w:fldCharType="begin"/>
          </w:r>
          <w:r>
            <w:instrText xml:space="preserve"> HYPERLINK \l "_njatuh1phuig" \h </w:instrText>
          </w:r>
          <w:r>
            <w:fldChar w:fldCharType="separate"/>
          </w:r>
          <w:r>
            <w:rPr>
              <w:color w:val="000000"/>
            </w:rPr>
            <w:t>Centralised System Analysis</w:t>
          </w:r>
          <w:r>
            <w:rPr>
              <w:color w:val="000000"/>
            </w:rPr>
            <w:tab/>
          </w:r>
          <w:r>
            <w:rPr>
              <w:color w:val="000000"/>
            </w:rPr>
            <w:fldChar w:fldCharType="end"/>
          </w:r>
          <w:r>
            <w:fldChar w:fldCharType="begin"/>
          </w:r>
          <w:r>
            <w:instrText xml:space="preserve"> PAGEREF _njatuh1phuig \h </w:instrText>
          </w:r>
          <w:r>
            <w:fldChar w:fldCharType="separate"/>
          </w:r>
          <w:r>
            <w:t>8</w:t>
          </w:r>
          <w:r>
            <w:fldChar w:fldCharType="end"/>
          </w:r>
        </w:p>
        <w:p w14:paraId="5B8DDB99">
          <w:pPr>
            <w:widowControl w:val="0"/>
            <w:tabs>
              <w:tab w:val="right" w:leader="dot" w:pos="9360"/>
            </w:tabs>
            <w:spacing w:before="60" w:line="240" w:lineRule="auto"/>
            <w:ind w:left="720"/>
            <w:jc w:val="left"/>
            <w:rPr>
              <w:color w:val="000000"/>
            </w:rPr>
          </w:pPr>
          <w:r>
            <w:fldChar w:fldCharType="begin"/>
          </w:r>
          <w:r>
            <w:instrText xml:space="preserve"> HYPERLINK \l "_tidvp7i1f3ai" \h </w:instrText>
          </w:r>
          <w:r>
            <w:fldChar w:fldCharType="separate"/>
          </w:r>
          <w:r>
            <w:rPr>
              <w:color w:val="000000"/>
            </w:rPr>
            <w:t>Critical Analysis: Advantages and Disadvantages of Centralisation</w:t>
          </w:r>
          <w:r>
            <w:rPr>
              <w:color w:val="000000"/>
            </w:rPr>
            <w:tab/>
          </w:r>
          <w:r>
            <w:rPr>
              <w:color w:val="000000"/>
            </w:rPr>
            <w:fldChar w:fldCharType="end"/>
          </w:r>
          <w:r>
            <w:fldChar w:fldCharType="begin"/>
          </w:r>
          <w:r>
            <w:instrText xml:space="preserve"> PAGEREF _tidvp7i1f3ai \h </w:instrText>
          </w:r>
          <w:r>
            <w:fldChar w:fldCharType="separate"/>
          </w:r>
          <w:r>
            <w:t>10</w:t>
          </w:r>
          <w:r>
            <w:fldChar w:fldCharType="end"/>
          </w:r>
        </w:p>
        <w:p w14:paraId="6C2E65A1">
          <w:pPr>
            <w:widowControl w:val="0"/>
            <w:tabs>
              <w:tab w:val="right" w:leader="dot" w:pos="9360"/>
            </w:tabs>
            <w:spacing w:before="60" w:line="240" w:lineRule="auto"/>
            <w:ind w:left="720"/>
            <w:jc w:val="left"/>
            <w:rPr>
              <w:color w:val="000000"/>
            </w:rPr>
          </w:pPr>
          <w:r>
            <w:fldChar w:fldCharType="begin"/>
          </w:r>
          <w:r>
            <w:instrText xml:space="preserve"> HYPERLINK \l "_idxtgtvcqcnd" \h </w:instrText>
          </w:r>
          <w:r>
            <w:fldChar w:fldCharType="separate"/>
          </w:r>
          <w:r>
            <w:rPr>
              <w:color w:val="000000"/>
            </w:rPr>
            <w:t>Brief Description of Decentralisation issue</w:t>
          </w:r>
          <w:r>
            <w:rPr>
              <w:color w:val="000000"/>
            </w:rPr>
            <w:tab/>
          </w:r>
          <w:r>
            <w:rPr>
              <w:color w:val="000000"/>
            </w:rPr>
            <w:fldChar w:fldCharType="end"/>
          </w:r>
          <w:r>
            <w:fldChar w:fldCharType="begin"/>
          </w:r>
          <w:r>
            <w:instrText xml:space="preserve"> PAGEREF _idxtgtvcqcnd \h </w:instrText>
          </w:r>
          <w:r>
            <w:fldChar w:fldCharType="separate"/>
          </w:r>
          <w:r>
            <w:t>11</w:t>
          </w:r>
          <w:r>
            <w:fldChar w:fldCharType="end"/>
          </w:r>
        </w:p>
        <w:p w14:paraId="4AFDC4A7">
          <w:pPr>
            <w:widowControl w:val="0"/>
            <w:tabs>
              <w:tab w:val="right" w:leader="dot" w:pos="9360"/>
            </w:tabs>
            <w:spacing w:before="60" w:line="240" w:lineRule="auto"/>
            <w:ind w:left="360"/>
            <w:jc w:val="left"/>
            <w:rPr>
              <w:color w:val="000000"/>
            </w:rPr>
          </w:pPr>
          <w:r>
            <w:fldChar w:fldCharType="begin"/>
          </w:r>
          <w:r>
            <w:instrText xml:space="preserve"> HYPERLINK \l "_si2tq2frpsxs" \h </w:instrText>
          </w:r>
          <w:r>
            <w:fldChar w:fldCharType="separate"/>
          </w:r>
          <w:r>
            <w:rPr>
              <w:color w:val="000000"/>
            </w:rPr>
            <w:t>c. Leadership Theories and Application to the Case Study</w:t>
          </w:r>
          <w:r>
            <w:rPr>
              <w:color w:val="000000"/>
            </w:rPr>
            <w:tab/>
          </w:r>
          <w:r>
            <w:rPr>
              <w:color w:val="000000"/>
            </w:rPr>
            <w:fldChar w:fldCharType="end"/>
          </w:r>
          <w:r>
            <w:fldChar w:fldCharType="begin"/>
          </w:r>
          <w:r>
            <w:instrText xml:space="preserve"> PAGEREF _si2tq2frpsxs \h </w:instrText>
          </w:r>
          <w:r>
            <w:fldChar w:fldCharType="separate"/>
          </w:r>
          <w:r>
            <w:t>12</w:t>
          </w:r>
          <w:r>
            <w:fldChar w:fldCharType="end"/>
          </w:r>
        </w:p>
        <w:p w14:paraId="046E1B8E">
          <w:pPr>
            <w:widowControl w:val="0"/>
            <w:tabs>
              <w:tab w:val="right" w:leader="dot" w:pos="9360"/>
            </w:tabs>
            <w:spacing w:before="60" w:line="240" w:lineRule="auto"/>
            <w:ind w:left="720"/>
            <w:jc w:val="left"/>
            <w:rPr>
              <w:color w:val="000000"/>
            </w:rPr>
          </w:pPr>
          <w:r>
            <w:fldChar w:fldCharType="begin"/>
          </w:r>
          <w:r>
            <w:instrText xml:space="preserve"> HYPERLINK \l "_cv9dud45q15f" \h </w:instrText>
          </w:r>
          <w:r>
            <w:fldChar w:fldCharType="separate"/>
          </w:r>
          <w:r>
            <w:rPr>
              <w:color w:val="000000"/>
            </w:rPr>
            <w:t>Critical analysis of Behavioural Leadership Theory</w:t>
          </w:r>
          <w:r>
            <w:rPr>
              <w:color w:val="000000"/>
            </w:rPr>
            <w:tab/>
          </w:r>
          <w:r>
            <w:rPr>
              <w:color w:val="000000"/>
            </w:rPr>
            <w:fldChar w:fldCharType="end"/>
          </w:r>
          <w:r>
            <w:fldChar w:fldCharType="begin"/>
          </w:r>
          <w:r>
            <w:instrText xml:space="preserve"> PAGEREF _cv9dud45q15f \h </w:instrText>
          </w:r>
          <w:r>
            <w:fldChar w:fldCharType="separate"/>
          </w:r>
          <w:r>
            <w:t>12</w:t>
          </w:r>
          <w:r>
            <w:fldChar w:fldCharType="end"/>
          </w:r>
        </w:p>
        <w:p w14:paraId="0F23C4BF">
          <w:pPr>
            <w:widowControl w:val="0"/>
            <w:tabs>
              <w:tab w:val="right" w:leader="dot" w:pos="9360"/>
            </w:tabs>
            <w:spacing w:before="60" w:line="240" w:lineRule="auto"/>
            <w:ind w:left="720"/>
            <w:jc w:val="left"/>
            <w:rPr>
              <w:color w:val="000000"/>
            </w:rPr>
          </w:pPr>
          <w:r>
            <w:fldChar w:fldCharType="begin"/>
          </w:r>
          <w:r>
            <w:instrText xml:space="preserve"> HYPERLINK \l "_vosjbwg2jjm9" \h </w:instrText>
          </w:r>
          <w:r>
            <w:fldChar w:fldCharType="separate"/>
          </w:r>
          <w:r>
            <w:rPr>
              <w:color w:val="000000"/>
            </w:rPr>
            <w:t>Situational (Contingency) Leadership Theory</w:t>
          </w:r>
          <w:r>
            <w:rPr>
              <w:color w:val="000000"/>
            </w:rPr>
            <w:tab/>
          </w:r>
          <w:r>
            <w:rPr>
              <w:color w:val="000000"/>
            </w:rPr>
            <w:fldChar w:fldCharType="end"/>
          </w:r>
          <w:r>
            <w:fldChar w:fldCharType="begin"/>
          </w:r>
          <w:r>
            <w:instrText xml:space="preserve"> PAGEREF _vosjbwg2jjm9 \h </w:instrText>
          </w:r>
          <w:r>
            <w:fldChar w:fldCharType="separate"/>
          </w:r>
          <w:r>
            <w:t>13</w:t>
          </w:r>
          <w:r>
            <w:fldChar w:fldCharType="end"/>
          </w:r>
        </w:p>
        <w:p w14:paraId="6A3F82AA">
          <w:pPr>
            <w:widowControl w:val="0"/>
            <w:tabs>
              <w:tab w:val="right" w:leader="dot" w:pos="9360"/>
            </w:tabs>
            <w:spacing w:before="60" w:line="240" w:lineRule="auto"/>
            <w:ind w:left="720"/>
            <w:jc w:val="left"/>
            <w:rPr>
              <w:color w:val="000000"/>
            </w:rPr>
          </w:pPr>
          <w:r>
            <w:fldChar w:fldCharType="begin"/>
          </w:r>
          <w:r>
            <w:instrText xml:space="preserve"> HYPERLINK \l "_3i1a25gfth7" \h </w:instrText>
          </w:r>
          <w:r>
            <w:fldChar w:fldCharType="separate"/>
          </w:r>
          <w:r>
            <w:rPr>
              <w:color w:val="000000"/>
            </w:rPr>
            <w:t>Trait Leadership Theory</w:t>
          </w:r>
          <w:r>
            <w:rPr>
              <w:color w:val="000000"/>
            </w:rPr>
            <w:tab/>
          </w:r>
          <w:r>
            <w:rPr>
              <w:color w:val="000000"/>
            </w:rPr>
            <w:fldChar w:fldCharType="end"/>
          </w:r>
          <w:r>
            <w:fldChar w:fldCharType="begin"/>
          </w:r>
          <w:r>
            <w:instrText xml:space="preserve"> PAGEREF _3i1a25gfth7 \h </w:instrText>
          </w:r>
          <w:r>
            <w:fldChar w:fldCharType="separate"/>
          </w:r>
          <w:r>
            <w:t>14</w:t>
          </w:r>
          <w:r>
            <w:fldChar w:fldCharType="end"/>
          </w:r>
        </w:p>
        <w:p w14:paraId="2184A534">
          <w:pPr>
            <w:widowControl w:val="0"/>
            <w:tabs>
              <w:tab w:val="right" w:leader="dot" w:pos="9360"/>
            </w:tabs>
            <w:spacing w:before="60" w:line="240" w:lineRule="auto"/>
            <w:ind w:left="360"/>
            <w:jc w:val="left"/>
            <w:rPr>
              <w:color w:val="000000"/>
            </w:rPr>
          </w:pPr>
          <w:r>
            <w:fldChar w:fldCharType="begin"/>
          </w:r>
          <w:r>
            <w:instrText xml:space="preserve"> HYPERLINK \l "_hrkqzi5zfpvi" \h </w:instrText>
          </w:r>
          <w:r>
            <w:fldChar w:fldCharType="separate"/>
          </w:r>
          <w:r>
            <w:rPr>
              <w:color w:val="000000"/>
            </w:rPr>
            <w:t>d. Improvement, and Lessons Learned</w:t>
          </w:r>
          <w:r>
            <w:rPr>
              <w:color w:val="000000"/>
            </w:rPr>
            <w:tab/>
          </w:r>
          <w:r>
            <w:rPr>
              <w:color w:val="000000"/>
            </w:rPr>
            <w:fldChar w:fldCharType="end"/>
          </w:r>
          <w:r>
            <w:fldChar w:fldCharType="begin"/>
          </w:r>
          <w:r>
            <w:instrText xml:space="preserve"> PAGEREF _hrkqzi5zfpvi \h </w:instrText>
          </w:r>
          <w:r>
            <w:fldChar w:fldCharType="separate"/>
          </w:r>
          <w:r>
            <w:t>15</w:t>
          </w:r>
          <w:r>
            <w:fldChar w:fldCharType="end"/>
          </w:r>
        </w:p>
        <w:p w14:paraId="78C26F83">
          <w:pPr>
            <w:widowControl w:val="0"/>
            <w:tabs>
              <w:tab w:val="right" w:leader="dot" w:pos="9360"/>
            </w:tabs>
            <w:spacing w:before="60" w:line="240" w:lineRule="auto"/>
            <w:ind w:left="720"/>
            <w:jc w:val="left"/>
            <w:rPr>
              <w:color w:val="000000"/>
            </w:rPr>
          </w:pPr>
          <w:r>
            <w:fldChar w:fldCharType="begin"/>
          </w:r>
          <w:r>
            <w:instrText xml:space="preserve"> HYPERLINK \l "_k2qwl8cdbvow" \h </w:instrText>
          </w:r>
          <w:r>
            <w:fldChar w:fldCharType="separate"/>
          </w:r>
          <w:r>
            <w:rPr>
              <w:color w:val="000000"/>
            </w:rPr>
            <w:t>Leadership and Governance Critique</w:t>
          </w:r>
          <w:r>
            <w:rPr>
              <w:color w:val="000000"/>
            </w:rPr>
            <w:tab/>
          </w:r>
          <w:r>
            <w:rPr>
              <w:color w:val="000000"/>
            </w:rPr>
            <w:fldChar w:fldCharType="end"/>
          </w:r>
          <w:r>
            <w:fldChar w:fldCharType="begin"/>
          </w:r>
          <w:r>
            <w:instrText xml:space="preserve"> PAGEREF _k2qwl8cdbvow \h </w:instrText>
          </w:r>
          <w:r>
            <w:fldChar w:fldCharType="separate"/>
          </w:r>
          <w:r>
            <w:t>15</w:t>
          </w:r>
          <w:r>
            <w:fldChar w:fldCharType="end"/>
          </w:r>
        </w:p>
        <w:p w14:paraId="563CFA90">
          <w:pPr>
            <w:widowControl w:val="0"/>
            <w:tabs>
              <w:tab w:val="right" w:leader="dot" w:pos="9360"/>
            </w:tabs>
            <w:spacing w:before="60" w:line="240" w:lineRule="auto"/>
            <w:ind w:left="720"/>
            <w:jc w:val="left"/>
            <w:rPr>
              <w:color w:val="000000"/>
            </w:rPr>
          </w:pPr>
          <w:r>
            <w:fldChar w:fldCharType="begin"/>
          </w:r>
          <w:r>
            <w:instrText xml:space="preserve"> HYPERLINK \l "_vjwtj11yxjun" \h </w:instrText>
          </w:r>
          <w:r>
            <w:fldChar w:fldCharType="separate"/>
          </w:r>
          <w:r>
            <w:rPr>
              <w:color w:val="000000"/>
            </w:rPr>
            <w:t>Missed Opportunities</w:t>
          </w:r>
          <w:r>
            <w:rPr>
              <w:color w:val="000000"/>
            </w:rPr>
            <w:tab/>
          </w:r>
          <w:r>
            <w:rPr>
              <w:color w:val="000000"/>
            </w:rPr>
            <w:fldChar w:fldCharType="end"/>
          </w:r>
          <w:r>
            <w:fldChar w:fldCharType="begin"/>
          </w:r>
          <w:r>
            <w:instrText xml:space="preserve"> PAGEREF _vjwtj11yxjun \h </w:instrText>
          </w:r>
          <w:r>
            <w:fldChar w:fldCharType="separate"/>
          </w:r>
          <w:r>
            <w:t>16</w:t>
          </w:r>
          <w:r>
            <w:fldChar w:fldCharType="end"/>
          </w:r>
        </w:p>
        <w:p w14:paraId="7C653775">
          <w:pPr>
            <w:widowControl w:val="0"/>
            <w:tabs>
              <w:tab w:val="right" w:leader="dot" w:pos="9360"/>
            </w:tabs>
            <w:spacing w:before="60" w:line="240" w:lineRule="auto"/>
            <w:ind w:left="720"/>
            <w:jc w:val="left"/>
            <w:rPr>
              <w:color w:val="000000"/>
            </w:rPr>
          </w:pPr>
          <w:r>
            <w:fldChar w:fldCharType="begin"/>
          </w:r>
          <w:r>
            <w:instrText xml:space="preserve"> HYPERLINK \l "_d1q0wabugbwc" \h </w:instrText>
          </w:r>
          <w:r>
            <w:fldChar w:fldCharType="separate"/>
          </w:r>
          <w:r>
            <w:rPr>
              <w:color w:val="000000"/>
            </w:rPr>
            <w:t>Evidence-Based Problems and Improvement Strategies</w:t>
          </w:r>
          <w:r>
            <w:rPr>
              <w:color w:val="000000"/>
            </w:rPr>
            <w:tab/>
          </w:r>
          <w:r>
            <w:rPr>
              <w:color w:val="000000"/>
            </w:rPr>
            <w:fldChar w:fldCharType="end"/>
          </w:r>
          <w:r>
            <w:fldChar w:fldCharType="begin"/>
          </w:r>
          <w:r>
            <w:instrText xml:space="preserve"> PAGEREF _d1q0wabugbwc \h </w:instrText>
          </w:r>
          <w:r>
            <w:fldChar w:fldCharType="separate"/>
          </w:r>
          <w:r>
            <w:t>16</w:t>
          </w:r>
          <w:r>
            <w:fldChar w:fldCharType="end"/>
          </w:r>
        </w:p>
        <w:p w14:paraId="520D78D7">
          <w:pPr>
            <w:widowControl w:val="0"/>
            <w:tabs>
              <w:tab w:val="right" w:leader="dot" w:pos="9360"/>
            </w:tabs>
            <w:spacing w:before="60" w:line="240" w:lineRule="auto"/>
            <w:ind w:left="720"/>
            <w:jc w:val="left"/>
            <w:rPr>
              <w:color w:val="000000"/>
            </w:rPr>
          </w:pPr>
          <w:r>
            <w:fldChar w:fldCharType="begin"/>
          </w:r>
          <w:r>
            <w:instrText xml:space="preserve"> HYPERLINK \l "_hm5ye73jeqsz" \h </w:instrText>
          </w:r>
          <w:r>
            <w:fldChar w:fldCharType="separate"/>
          </w:r>
          <w:r>
            <w:rPr>
              <w:color w:val="000000"/>
            </w:rPr>
            <w:t>Critical Evaluation of Improvement Strategies</w:t>
          </w:r>
          <w:r>
            <w:rPr>
              <w:color w:val="000000"/>
            </w:rPr>
            <w:tab/>
          </w:r>
          <w:r>
            <w:rPr>
              <w:color w:val="000000"/>
            </w:rPr>
            <w:fldChar w:fldCharType="end"/>
          </w:r>
          <w:r>
            <w:fldChar w:fldCharType="begin"/>
          </w:r>
          <w:r>
            <w:instrText xml:space="preserve"> PAGEREF _hm5ye73jeqsz \h </w:instrText>
          </w:r>
          <w:r>
            <w:fldChar w:fldCharType="separate"/>
          </w:r>
          <w:r>
            <w:t>17</w:t>
          </w:r>
          <w:r>
            <w:fldChar w:fldCharType="end"/>
          </w:r>
        </w:p>
        <w:p w14:paraId="69E1BB2D">
          <w:pPr>
            <w:widowControl w:val="0"/>
            <w:tabs>
              <w:tab w:val="right" w:leader="dot" w:pos="9360"/>
            </w:tabs>
            <w:spacing w:before="60" w:line="240" w:lineRule="auto"/>
            <w:ind w:left="720"/>
            <w:jc w:val="left"/>
            <w:rPr>
              <w:color w:val="000000"/>
            </w:rPr>
          </w:pPr>
          <w:r>
            <w:fldChar w:fldCharType="begin"/>
          </w:r>
          <w:r>
            <w:instrText xml:space="preserve"> HYPERLINK \l "_tlfaz74nwtu2" \h </w:instrText>
          </w:r>
          <w:r>
            <w:fldChar w:fldCharType="separate"/>
          </w:r>
          <w:r>
            <w:rPr>
              <w:color w:val="000000"/>
            </w:rPr>
            <w:t>Lessons Learned for Healthcare Organisations</w:t>
          </w:r>
          <w:r>
            <w:rPr>
              <w:color w:val="000000"/>
            </w:rPr>
            <w:tab/>
          </w:r>
          <w:r>
            <w:rPr>
              <w:color w:val="000000"/>
            </w:rPr>
            <w:fldChar w:fldCharType="end"/>
          </w:r>
          <w:r>
            <w:fldChar w:fldCharType="begin"/>
          </w:r>
          <w:r>
            <w:instrText xml:space="preserve"> PAGEREF _tlfaz74nwtu2 \h </w:instrText>
          </w:r>
          <w:r>
            <w:fldChar w:fldCharType="separate"/>
          </w:r>
          <w:r>
            <w:t>17</w:t>
          </w:r>
          <w:r>
            <w:fldChar w:fldCharType="end"/>
          </w:r>
        </w:p>
        <w:p w14:paraId="13D69CD8">
          <w:pPr>
            <w:widowControl w:val="0"/>
            <w:tabs>
              <w:tab w:val="right" w:leader="dot" w:pos="9360"/>
            </w:tabs>
            <w:spacing w:before="60" w:line="240" w:lineRule="auto"/>
            <w:ind w:left="720"/>
            <w:jc w:val="left"/>
            <w:rPr>
              <w:color w:val="000000"/>
            </w:rPr>
          </w:pPr>
          <w:r>
            <w:fldChar w:fldCharType="begin"/>
          </w:r>
          <w:r>
            <w:instrText xml:space="preserve"> HYPERLINK \l "_rhnx1gtts1jv" \h </w:instrText>
          </w:r>
          <w:r>
            <w:fldChar w:fldCharType="separate"/>
          </w:r>
          <w:r>
            <w:rPr>
              <w:color w:val="000000"/>
            </w:rPr>
            <w:t>Interaction Between System Structure, Leadership and Feedback</w:t>
          </w:r>
          <w:r>
            <w:rPr>
              <w:color w:val="000000"/>
            </w:rPr>
            <w:tab/>
          </w:r>
          <w:r>
            <w:rPr>
              <w:color w:val="000000"/>
            </w:rPr>
            <w:fldChar w:fldCharType="end"/>
          </w:r>
          <w:r>
            <w:fldChar w:fldCharType="begin"/>
          </w:r>
          <w:r>
            <w:instrText xml:space="preserve"> PAGEREF _rhnx1gtts1jv \h </w:instrText>
          </w:r>
          <w:r>
            <w:fldChar w:fldCharType="separate"/>
          </w:r>
          <w:r>
            <w:t>18</w:t>
          </w:r>
          <w:r>
            <w:fldChar w:fldCharType="end"/>
          </w:r>
        </w:p>
        <w:p w14:paraId="2B4BC8BC">
          <w:pPr>
            <w:widowControl w:val="0"/>
            <w:tabs>
              <w:tab w:val="right" w:leader="dot" w:pos="9360"/>
            </w:tabs>
            <w:spacing w:before="60" w:line="240" w:lineRule="auto"/>
            <w:jc w:val="left"/>
            <w:rPr>
              <w:color w:val="000000"/>
            </w:rPr>
          </w:pPr>
          <w:r>
            <w:fldChar w:fldCharType="begin"/>
          </w:r>
          <w:r>
            <w:instrText xml:space="preserve"> HYPERLINK \l "_cabnul1iscsl" \h </w:instrText>
          </w:r>
          <w:r>
            <w:fldChar w:fldCharType="separate"/>
          </w:r>
          <w:r>
            <w:rPr>
              <w:color w:val="000000"/>
            </w:rPr>
            <w:t>Recommendation</w:t>
          </w:r>
          <w:r>
            <w:rPr>
              <w:color w:val="000000"/>
            </w:rPr>
            <w:tab/>
          </w:r>
          <w:r>
            <w:rPr>
              <w:color w:val="000000"/>
            </w:rPr>
            <w:fldChar w:fldCharType="end"/>
          </w:r>
          <w:r>
            <w:fldChar w:fldCharType="begin"/>
          </w:r>
          <w:r>
            <w:instrText xml:space="preserve"> PAGEREF _cabnul1iscsl \h </w:instrText>
          </w:r>
          <w:r>
            <w:fldChar w:fldCharType="separate"/>
          </w:r>
          <w:r>
            <w:t>19</w:t>
          </w:r>
          <w:r>
            <w:fldChar w:fldCharType="end"/>
          </w:r>
        </w:p>
        <w:p w14:paraId="1560ABF7">
          <w:pPr>
            <w:widowControl w:val="0"/>
            <w:tabs>
              <w:tab w:val="right" w:leader="dot" w:pos="9360"/>
            </w:tabs>
            <w:spacing w:before="60" w:line="240" w:lineRule="auto"/>
            <w:jc w:val="left"/>
            <w:rPr>
              <w:color w:val="000000"/>
            </w:rPr>
          </w:pPr>
          <w:r>
            <w:fldChar w:fldCharType="begin"/>
          </w:r>
          <w:r>
            <w:instrText xml:space="preserve"> HYPERLINK \l "_2wec567fimxt" \h </w:instrText>
          </w:r>
          <w:r>
            <w:fldChar w:fldCharType="separate"/>
          </w:r>
          <w:r>
            <w:rPr>
              <w:color w:val="000000"/>
            </w:rPr>
            <w:t>Conclusion</w:t>
          </w:r>
          <w:r>
            <w:rPr>
              <w:color w:val="000000"/>
            </w:rPr>
            <w:tab/>
          </w:r>
          <w:r>
            <w:rPr>
              <w:color w:val="000000"/>
            </w:rPr>
            <w:fldChar w:fldCharType="end"/>
          </w:r>
          <w:r>
            <w:fldChar w:fldCharType="begin"/>
          </w:r>
          <w:r>
            <w:instrText xml:space="preserve"> PAGEREF _2wec567fimxt \h </w:instrText>
          </w:r>
          <w:r>
            <w:fldChar w:fldCharType="separate"/>
          </w:r>
          <w:r>
            <w:t>21</w:t>
          </w:r>
          <w:r>
            <w:fldChar w:fldCharType="end"/>
          </w:r>
        </w:p>
        <w:p w14:paraId="38B1EA23">
          <w:pPr>
            <w:widowControl w:val="0"/>
            <w:tabs>
              <w:tab w:val="right" w:leader="dot" w:pos="9360"/>
            </w:tabs>
            <w:spacing w:before="60" w:line="240" w:lineRule="auto"/>
            <w:jc w:val="left"/>
            <w:rPr>
              <w:color w:val="000000"/>
            </w:rPr>
          </w:pPr>
          <w:r>
            <w:fldChar w:fldCharType="begin"/>
          </w:r>
          <w:r>
            <w:instrText xml:space="preserve"> HYPERLINK \l "_onsz0sbus3rs" \h </w:instrText>
          </w:r>
          <w:r>
            <w:fldChar w:fldCharType="separate"/>
          </w:r>
          <w:r>
            <w:rPr>
              <w:color w:val="000000"/>
            </w:rPr>
            <w:t>Reference List</w:t>
          </w:r>
          <w:r>
            <w:rPr>
              <w:color w:val="000000"/>
            </w:rPr>
            <w:tab/>
          </w:r>
          <w:r>
            <w:rPr>
              <w:color w:val="000000"/>
            </w:rPr>
            <w:fldChar w:fldCharType="end"/>
          </w:r>
          <w:r>
            <w:fldChar w:fldCharType="begin"/>
          </w:r>
          <w:r>
            <w:instrText xml:space="preserve"> PAGEREF _onsz0sbus3rs \h </w:instrText>
          </w:r>
          <w:r>
            <w:fldChar w:fldCharType="separate"/>
          </w:r>
          <w:r>
            <w:t>23</w:t>
          </w:r>
          <w:r>
            <w:fldChar w:fldCharType="end"/>
          </w:r>
          <w:r>
            <w:fldChar w:fldCharType="end"/>
          </w:r>
        </w:p>
      </w:sdtContent>
    </w:sdt>
    <w:p w14:paraId="1C701E87">
      <w:pPr>
        <w:jc w:val="center"/>
      </w:pPr>
      <w:r>
        <w:br w:type="page"/>
      </w:r>
    </w:p>
    <w:p w14:paraId="144FE468">
      <w:pPr>
        <w:pStyle w:val="2"/>
        <w:rPr>
          <w:rFonts w:ascii="Arial" w:hAnsi="Arial" w:eastAsia="Arial" w:cs="Arial"/>
        </w:rPr>
      </w:pPr>
      <w:bookmarkStart w:id="0" w:name="_kczmwez0belf" w:colFirst="0" w:colLast="0"/>
      <w:bookmarkEnd w:id="0"/>
      <w:r>
        <w:rPr>
          <w:rFonts w:ascii="Arial" w:hAnsi="Arial" w:eastAsia="Arial" w:cs="Arial"/>
        </w:rPr>
        <w:t>Introduction</w:t>
      </w:r>
    </w:p>
    <w:p w14:paraId="57FA2892">
      <w:pPr>
        <w:rPr>
          <w:rFonts w:ascii="Arial" w:hAnsi="Arial" w:eastAsia="Arial" w:cs="Arial"/>
        </w:rPr>
      </w:pPr>
      <w:r>
        <w:rPr>
          <w:rFonts w:ascii="Arial" w:hAnsi="Arial" w:eastAsia="Arial" w:cs="Arial"/>
        </w:rPr>
        <w:t xml:space="preserve">Effective healthcare leadership is needed to solve complex patient safety and quality problems in healthcare systems (Falade </w:t>
      </w:r>
      <w:r>
        <w:rPr>
          <w:rFonts w:ascii="Arial" w:hAnsi="Arial" w:eastAsia="Arial" w:cs="Arial"/>
          <w:i/>
          <w:iCs/>
        </w:rPr>
        <w:t xml:space="preserve">et al., </w:t>
      </w:r>
      <w:r>
        <w:rPr>
          <w:rFonts w:ascii="Arial" w:hAnsi="Arial" w:eastAsia="Arial" w:cs="Arial"/>
        </w:rPr>
        <w:t xml:space="preserve">2024). Len's case is an actual case of a misdosed unintentional overdose of morphine that occurred due to dispensing, prescribing and administration issues. Rather than blaming individuals, the HSSIB investigation took a systems-based methodology, focusing on the cultural interactions between practitioners, patients, systems and procedures, technology and environment. Leadership is about influencing people and multi-disciplinary groups by communicating, collaborating and making evidence-based decisions to reach the shared healthcare objectives (Liang </w:t>
      </w:r>
      <w:r>
        <w:rPr>
          <w:rFonts w:ascii="Arial" w:hAnsi="Arial" w:eastAsia="Arial" w:cs="Arial"/>
          <w:i/>
          <w:iCs/>
        </w:rPr>
        <w:t xml:space="preserve">et al., </w:t>
      </w:r>
      <w:r>
        <w:rPr>
          <w:rFonts w:ascii="Arial" w:hAnsi="Arial" w:eastAsia="Arial" w:cs="Arial"/>
        </w:rPr>
        <w:t>2025). In healthcare organisations, a decentralised system allows greater health professionals' autonomy, local responsiveness and problem solving, while a centralised system enables standardisation, accountability and governance consistency. Innovation, regulatory compliance, and adaptive decisions in changing circumstances are served by transformational, transactional, and situational leadership, respectively (Su, 2024). Adopting adequate leadership regimes is critical when facing crises that require concerted multi-disciplinary responses. The number of patient safety incident reports submitted to NHS England in 2024/25 was around 2.7 million, highlighting the ongoing significance of leadership and organisation in driving up patient safety.</w:t>
      </w:r>
    </w:p>
    <w:p w14:paraId="32F34B1F">
      <w:pPr>
        <w:rPr>
          <w:rFonts w:ascii="Arial" w:hAnsi="Arial" w:eastAsia="Arial" w:cs="Arial"/>
        </w:rPr>
      </w:pPr>
      <w:r>
        <w:rPr>
          <w:rFonts w:ascii="Arial" w:hAnsi="Arial" w:eastAsia="Arial" w:cs="Arial"/>
        </w:rPr>
        <w:t xml:space="preserve">Len's case helps to reinforce the fact that patients who are vulnerable can suffer in ways that could have been prevented if the patient, the communication system, the governance system and the medication system did not all work together. With remote consultations, fragmented communication, and misunderstood medication instructions all presenting further risks during the period of COVID-19, there was a need for adaptive and patient-centred leadership. Safety culture, better multidisciplinary coordination and organisational resilience during complex clinical situations are strengthened by effective leadership (Ali </w:t>
      </w:r>
      <w:r>
        <w:rPr>
          <w:rFonts w:ascii="Arial" w:hAnsi="Arial" w:eastAsia="Arial" w:cs="Arial"/>
          <w:i/>
          <w:iCs/>
        </w:rPr>
        <w:t xml:space="preserve">et al., </w:t>
      </w:r>
      <w:r>
        <w:rPr>
          <w:rFonts w:ascii="Arial" w:hAnsi="Arial" w:eastAsia="Arial" w:cs="Arial"/>
        </w:rPr>
        <w:t>2024). In addition, primary care carries out around 97% of all patient contact in the NHS, and between 20,000 and 30,000 significant avoidable harm incidents occur every year (NHS Dorset, 2024). Which is making the need for effective leadership throughout healthcare services (NHS) even more pertinent. By applying systems thinking, governance, leadership theory and an organisational improvement lens, critical analysis of Len's case is carried out. It examines the way that centralised and decentralised systems impacted patient safety, communication, accountability and decision-making along the care pathway. The report includes evidence-based recommendations that outline how good practice in leadership and governance ensures patient safety, organisational learning and ongoing quality improvement after serious medication-related incidents.</w:t>
      </w:r>
    </w:p>
    <w:p w14:paraId="3A95B52F">
      <w:pPr>
        <w:pStyle w:val="2"/>
        <w:rPr>
          <w:rFonts w:ascii="Arial" w:hAnsi="Arial" w:eastAsia="Arial" w:cs="Arial"/>
        </w:rPr>
      </w:pPr>
      <w:bookmarkStart w:id="1" w:name="_mg973p2c4mfp" w:colFirst="0" w:colLast="0"/>
      <w:bookmarkEnd w:id="1"/>
      <w:r>
        <w:rPr>
          <w:rFonts w:ascii="Arial" w:hAnsi="Arial" w:eastAsia="Arial" w:cs="Arial"/>
        </w:rPr>
        <w:t>Main Body and Analysis</w:t>
      </w:r>
    </w:p>
    <w:p w14:paraId="1C54AC82">
      <w:pPr>
        <w:pStyle w:val="3"/>
        <w:rPr>
          <w:rFonts w:ascii="Arial" w:hAnsi="Arial" w:eastAsia="Arial" w:cs="Arial"/>
        </w:rPr>
      </w:pPr>
      <w:bookmarkStart w:id="2" w:name="_uq1uaddrrs34" w:colFirst="0" w:colLast="0"/>
      <w:bookmarkEnd w:id="2"/>
      <w:r>
        <w:rPr>
          <w:rFonts w:ascii="Arial" w:hAnsi="Arial" w:eastAsia="Arial" w:cs="Arial"/>
        </w:rPr>
        <w:t>a. Identifying the Problem and Setting the System Context- Applying Systems Thinking and the Rich Picture</w:t>
      </w:r>
    </w:p>
    <w:p w14:paraId="776AC84C">
      <w:pPr>
        <w:pStyle w:val="4"/>
        <w:rPr>
          <w:rFonts w:ascii="Arial" w:hAnsi="Arial" w:eastAsia="Arial" w:cs="Arial"/>
        </w:rPr>
      </w:pPr>
      <w:bookmarkStart w:id="3" w:name="_uetomyhcu4jy" w:colFirst="0" w:colLast="0"/>
      <w:bookmarkEnd w:id="3"/>
      <w:r>
        <w:rPr>
          <w:rFonts w:ascii="Arial" w:hAnsi="Arial" w:eastAsia="Arial" w:cs="Arial"/>
        </w:rPr>
        <w:t>Problem Definition</w:t>
      </w:r>
    </w:p>
    <w:p w14:paraId="5692F9FA">
      <w:pPr>
        <w:rPr>
          <w:rFonts w:ascii="Arial" w:hAnsi="Arial" w:eastAsia="Arial" w:cs="Arial"/>
        </w:rPr>
      </w:pPr>
      <w:r>
        <w:rPr>
          <w:rFonts w:ascii="Arial" w:hAnsi="Arial" w:eastAsia="Arial" w:cs="Arial"/>
        </w:rPr>
        <w:t xml:space="preserve">Len's case illustrates a significant medication error, an accidental overdose of morphine sulphate oral solution. The overdose was due to inaccurate directions for medication administration in the community setting (Hssib.org.uk, 2022). Significantly, HSSIB detected interacting system failures rather than finger-pointing at individual acts of negligence. The dosage of the prescribed morphine was based on the national clinical guidelines about Len's age and kidney function. </w:t>
      </w:r>
    </w:p>
    <w:p w14:paraId="5F8CDB16">
      <w:pPr>
        <w:jc w:val="center"/>
        <w:rPr>
          <w:rFonts w:ascii="Arial" w:hAnsi="Arial" w:eastAsia="Arial" w:cs="Arial"/>
        </w:rPr>
      </w:pPr>
      <w:r>
        <w:rPr>
          <w:rFonts w:ascii="Arial" w:hAnsi="Arial" w:eastAsia="Arial" w:cs="Arial"/>
          <w:lang w:val="en-IN"/>
        </w:rPr>
        <w:drawing>
          <wp:inline distT="114300" distB="114300" distL="114300" distR="114300">
            <wp:extent cx="2495550" cy="136017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9"/>
                    <a:srcRect/>
                    <a:stretch>
                      <a:fillRect/>
                    </a:stretch>
                  </pic:blipFill>
                  <pic:spPr>
                    <a:xfrm>
                      <a:off x="0" y="0"/>
                      <a:ext cx="2495550" cy="1360190"/>
                    </a:xfrm>
                    <a:prstGeom prst="rect">
                      <a:avLst/>
                    </a:prstGeom>
                    <a:ln w="12700">
                      <a:solidFill>
                        <a:srgbClr val="000000"/>
                      </a:solidFill>
                      <a:prstDash val="solid"/>
                    </a:ln>
                  </pic:spPr>
                </pic:pic>
              </a:graphicData>
            </a:graphic>
          </wp:inline>
        </w:drawing>
      </w:r>
      <w:r>
        <w:rPr>
          <w:rFonts w:ascii="Arial" w:hAnsi="Arial" w:eastAsia="Arial" w:cs="Arial"/>
          <w:lang w:val="en-IN"/>
        </w:rPr>
        <w:drawing>
          <wp:inline distT="114300" distB="114300" distL="114300" distR="114300">
            <wp:extent cx="2562860" cy="1363345"/>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0"/>
                    <a:srcRect/>
                    <a:stretch>
                      <a:fillRect/>
                    </a:stretch>
                  </pic:blipFill>
                  <pic:spPr>
                    <a:xfrm>
                      <a:off x="0" y="0"/>
                      <a:ext cx="2562912" cy="1363600"/>
                    </a:xfrm>
                    <a:prstGeom prst="rect">
                      <a:avLst/>
                    </a:prstGeom>
                    <a:ln w="12700">
                      <a:solidFill>
                        <a:srgbClr val="000000"/>
                      </a:solidFill>
                      <a:prstDash val="solid"/>
                    </a:ln>
                  </pic:spPr>
                </pic:pic>
              </a:graphicData>
            </a:graphic>
          </wp:inline>
        </w:drawing>
      </w:r>
    </w:p>
    <w:p w14:paraId="39BDD114">
      <w:pPr>
        <w:jc w:val="center"/>
        <w:rPr>
          <w:rFonts w:ascii="Arial" w:hAnsi="Arial" w:eastAsia="Arial" w:cs="Arial"/>
          <w:b/>
          <w:bCs/>
        </w:rPr>
      </w:pPr>
      <w:r>
        <w:rPr>
          <w:rFonts w:ascii="Arial" w:hAnsi="Arial" w:eastAsia="Arial" w:cs="Arial"/>
          <w:b/>
          <w:bCs/>
        </w:rPr>
        <w:t>Figure 1: Morphine sulphate liquid bottle packaging and labelling and dispensing label on the outer box</w:t>
      </w:r>
    </w:p>
    <w:p w14:paraId="420AD04C">
      <w:pPr>
        <w:jc w:val="center"/>
        <w:rPr>
          <w:rFonts w:ascii="Arial" w:hAnsi="Arial" w:eastAsia="Arial" w:cs="Arial"/>
        </w:rPr>
      </w:pPr>
      <w:r>
        <w:rPr>
          <w:rFonts w:ascii="Arial" w:hAnsi="Arial" w:eastAsia="Arial" w:cs="Arial"/>
        </w:rPr>
        <w:t>(Source: Hssib.org.uk, 2022)</w:t>
      </w:r>
    </w:p>
    <w:p w14:paraId="33E5B9E5">
      <w:pPr>
        <w:rPr>
          <w:rFonts w:ascii="Arial" w:hAnsi="Arial" w:eastAsia="Arial" w:cs="Arial"/>
        </w:rPr>
      </w:pPr>
      <w:r>
        <w:rPr>
          <w:rFonts w:ascii="Arial" w:hAnsi="Arial" w:eastAsia="Arial" w:cs="Arial"/>
        </w:rPr>
        <w:t xml:space="preserve">However, non-administration of the drug occurred due to lack of attention to prescribed directions that were placed on the exteriors of the medication bags. Len understood strength information from manufacturers to be dosage instructions given. Therefore, three overdoses of morphine may have played a part in the worsening of respiratory function as well as pneumonia and the gradual development of neurological illness. HSSIB found that poor medication packaging, communication, human factors, and organisational system factors acted together to impact on adverse outcomes (Hssib.org.uk, 2022). Hence, systems thinking offers a wider framework in which to </w:t>
      </w:r>
      <w:bookmarkStart w:id="26" w:name="_GoBack"/>
      <w:bookmarkEnd w:id="26"/>
      <w:r>
        <w:rPr>
          <w:rFonts w:ascii="Arial" w:hAnsi="Arial" w:eastAsia="Arial" w:cs="Arial"/>
        </w:rPr>
        <w:t xml:space="preserve">recognise complex failures of interconnected organisations in the context of medication safety. There is still a significant global concern around medication-related harm that needs collective leadership, governance and organisational improvements. According to the World Health Organisation, worldwide there are roughly US$42 billion annually in health care costs attributed to medication errors (Naseralallah </w:t>
      </w:r>
      <w:r>
        <w:rPr>
          <w:rFonts w:ascii="Arial" w:hAnsi="Arial" w:eastAsia="Arial" w:cs="Arial"/>
          <w:i/>
          <w:iCs/>
        </w:rPr>
        <w:t xml:space="preserve">et al., </w:t>
      </w:r>
      <w:r>
        <w:rPr>
          <w:rFonts w:ascii="Arial" w:hAnsi="Arial" w:eastAsia="Arial" w:cs="Arial"/>
        </w:rPr>
        <w:t>2023). In addition, unsafe medication practices continue to be one of the major avoidable contributors to patient harms preventable deaths worldwide (World Health Organization, 2024a). The findings highlight the safety of medications as more than individual episodes of clinical error but also healthcare system performance.</w:t>
      </w:r>
    </w:p>
    <w:p w14:paraId="0F194835">
      <w:pPr>
        <w:pStyle w:val="4"/>
        <w:rPr>
          <w:rFonts w:ascii="Arial" w:hAnsi="Arial" w:eastAsia="Arial" w:cs="Arial"/>
        </w:rPr>
      </w:pPr>
      <w:bookmarkStart w:id="4" w:name="_bmi6w9ydi46s" w:colFirst="0" w:colLast="0"/>
      <w:bookmarkEnd w:id="4"/>
      <w:r>
        <w:rPr>
          <w:rFonts w:ascii="Arial" w:hAnsi="Arial" w:eastAsia="Arial" w:cs="Arial"/>
        </w:rPr>
        <w:t>National and International System Context</w:t>
      </w:r>
    </w:p>
    <w:p w14:paraId="57F3CDB4">
      <w:pPr>
        <w:rPr>
          <w:rFonts w:ascii="Arial" w:hAnsi="Arial" w:eastAsia="Arial" w:cs="Arial"/>
        </w:rPr>
      </w:pPr>
      <w:r>
        <w:rPr>
          <w:rFonts w:ascii="Arial" w:hAnsi="Arial" w:eastAsia="Arial" w:cs="Arial"/>
        </w:rPr>
        <w:t xml:space="preserve">Ongoing global quality improvement projects in healthcare have not been able to put an end to medication safety issues, as found in data from different countries around the world. Drug-related morbidity (DRM) is a common and potentially devastating event for millions of people in all health care settings each year (World Health Organization, 2024b). Medication errors have a disproportionate impact on older adults whose physiological resilience is on the decline, and who suffer from multimorbidity and polypharmacy. Xie </w:t>
      </w:r>
      <w:r>
        <w:rPr>
          <w:rFonts w:ascii="Arial" w:hAnsi="Arial" w:eastAsia="Arial" w:cs="Arial"/>
          <w:i/>
          <w:iCs/>
        </w:rPr>
        <w:t xml:space="preserve">et al. </w:t>
      </w:r>
      <w:r>
        <w:rPr>
          <w:rFonts w:ascii="Arial" w:hAnsi="Arial" w:eastAsia="Arial" w:cs="Arial"/>
        </w:rPr>
        <w:t xml:space="preserve">(2023) analyses also concluded that medication safety as an emerging issue across countries within the population of older citizens. The number of patient safety incidents reported was estimated to be 2.7 million (Gens-Barberà </w:t>
      </w:r>
      <w:r>
        <w:rPr>
          <w:rFonts w:ascii="Arial" w:hAnsi="Arial" w:eastAsia="Arial" w:cs="Arial"/>
          <w:i/>
          <w:iCs/>
        </w:rPr>
        <w:t xml:space="preserve">et al., </w:t>
      </w:r>
      <w:r>
        <w:rPr>
          <w:rFonts w:ascii="Arial" w:hAnsi="Arial" w:eastAsia="Arial" w:cs="Arial"/>
        </w:rPr>
        <w:t>2021). One of the most prominent areas where there were repeated medication incidents to be investigated and continually improved through organisational activity was where the medication was administered and was a target of improve as part of organisational activity. Moreover, more than 3 million deaths occur per year that can be prevented every year through systematic improvements to patient safety via patient safety programmes (WHO, 2023). This research shows that using a leadership model, safety interventions have a positive effect on health care systems in both organisational and patient outcomes. Resilient healthcare systems also rely on continual organisational learning, not blame, as the Institute for Healthcare Improvement (IHI) notes. As such, Len's experience mirrors the internationally recognised issues of drug safety which need to be led by inter-organisational collaboration between multiple healthcare organisations.</w:t>
      </w:r>
    </w:p>
    <w:p w14:paraId="3F2751ED">
      <w:pPr>
        <w:pStyle w:val="4"/>
        <w:rPr>
          <w:rFonts w:ascii="Arial" w:hAnsi="Arial" w:eastAsia="Arial" w:cs="Arial"/>
        </w:rPr>
      </w:pPr>
      <w:bookmarkStart w:id="5" w:name="_3h3ih052agqh" w:colFirst="0" w:colLast="0"/>
      <w:bookmarkEnd w:id="5"/>
      <w:r>
        <w:rPr>
          <w:rFonts w:ascii="Arial" w:hAnsi="Arial" w:eastAsia="Arial" w:cs="Arial"/>
        </w:rPr>
        <w:t>System Weaknesses and Governance Analysis</w:t>
      </w:r>
    </w:p>
    <w:p w14:paraId="627EBB46">
      <w:pPr>
        <w:jc w:val="center"/>
        <w:rPr>
          <w:rFonts w:ascii="Arial" w:hAnsi="Arial" w:eastAsia="Arial" w:cs="Arial"/>
        </w:rPr>
      </w:pPr>
      <w:r>
        <w:rPr>
          <w:rFonts w:ascii="Arial" w:hAnsi="Arial" w:eastAsia="Arial" w:cs="Arial"/>
          <w:lang w:val="en-IN"/>
        </w:rPr>
        <w:drawing>
          <wp:inline distT="114300" distB="114300" distL="114300" distR="114300">
            <wp:extent cx="5943600" cy="595376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referRelativeResize="0"/>
                  </pic:nvPicPr>
                  <pic:blipFill>
                    <a:blip r:embed="rId11"/>
                    <a:srcRect/>
                    <a:stretch>
                      <a:fillRect/>
                    </a:stretch>
                  </pic:blipFill>
                  <pic:spPr>
                    <a:xfrm>
                      <a:off x="0" y="0"/>
                      <a:ext cx="5943600" cy="5954055"/>
                    </a:xfrm>
                    <a:prstGeom prst="rect">
                      <a:avLst/>
                    </a:prstGeom>
                    <a:ln w="12700">
                      <a:solidFill>
                        <a:srgbClr val="000000"/>
                      </a:solidFill>
                      <a:prstDash val="solid"/>
                    </a:ln>
                  </pic:spPr>
                </pic:pic>
              </a:graphicData>
            </a:graphic>
          </wp:inline>
        </w:drawing>
      </w:r>
    </w:p>
    <w:p w14:paraId="32E365E4">
      <w:pPr>
        <w:jc w:val="center"/>
        <w:rPr>
          <w:rFonts w:ascii="Arial" w:hAnsi="Arial" w:eastAsia="Arial" w:cs="Arial"/>
          <w:b/>
          <w:bCs/>
        </w:rPr>
      </w:pPr>
      <w:r>
        <w:rPr>
          <w:rFonts w:ascii="Arial" w:hAnsi="Arial" w:eastAsia="Arial" w:cs="Arial"/>
          <w:b/>
          <w:bCs/>
        </w:rPr>
        <w:t>Figure 2: Key Systems Thinking Concepts</w:t>
      </w:r>
    </w:p>
    <w:p w14:paraId="58C8A029">
      <w:pPr>
        <w:jc w:val="center"/>
        <w:rPr>
          <w:rFonts w:ascii="Arial" w:hAnsi="Arial" w:eastAsia="Arial" w:cs="Arial"/>
        </w:rPr>
      </w:pPr>
      <w:r>
        <w:rPr>
          <w:rFonts w:ascii="Arial" w:hAnsi="Arial" w:eastAsia="Arial" w:cs="Arial"/>
        </w:rPr>
        <w:t>(Source: Week 2 Lecture notes)</w:t>
      </w:r>
    </w:p>
    <w:p w14:paraId="23B537E9">
      <w:pPr>
        <w:rPr>
          <w:rFonts w:ascii="Arial" w:hAnsi="Arial" w:eastAsia="Arial" w:cs="Arial"/>
        </w:rPr>
      </w:pPr>
      <w:r>
        <w:rPr>
          <w:rFonts w:ascii="Arial" w:hAnsi="Arial" w:eastAsia="Arial" w:cs="Arial"/>
        </w:rPr>
        <w:t xml:space="preserve">Systems thinking acknowledges that as well as individual “mistakes”, bad things happen within and between systems as a result of these working together (Davis </w:t>
      </w:r>
      <w:r>
        <w:rPr>
          <w:rFonts w:ascii="Arial" w:hAnsi="Arial" w:eastAsia="Arial" w:cs="Arial"/>
          <w:i/>
          <w:iCs/>
        </w:rPr>
        <w:t xml:space="preserve">et al., </w:t>
      </w:r>
      <w:r>
        <w:rPr>
          <w:rFonts w:ascii="Arial" w:hAnsi="Arial" w:eastAsia="Arial" w:cs="Arial"/>
        </w:rPr>
        <w:t xml:space="preserve">2023). The communication mistakes in prescribing, dispensing, counselling and administration processes were responsible for Len's overdose. Dispensing was in accordance with government regulations, but dosage instructions were not sufficiently prominent during use. Strength information about the manufacturer overshadowed personalised instructions for dispensing attached externally on medication (Penati, 2024). However, human factors exacerbated organisational risk about age, lack of dexterity, hearing loss and memory loss. The conditions/circumstances of the patients led to a greater need for effective communication and for medicines counselling being provided fully across care pathways, including packaging. Local governance had a direct impact on dispensing practices, pharmacist communication, labelling of medication and responsibilities for patient education. Institutionalisation of standards, capabilities of the workforce, professional oversight and service coordination mechanisms were influenced by regional governance (Martineau </w:t>
      </w:r>
      <w:r>
        <w:rPr>
          <w:rFonts w:ascii="Arial" w:hAnsi="Arial" w:eastAsia="Arial" w:cs="Arial"/>
          <w:i/>
          <w:iCs/>
        </w:rPr>
        <w:t xml:space="preserve">et al., </w:t>
      </w:r>
      <w:r>
        <w:rPr>
          <w:rFonts w:ascii="Arial" w:hAnsi="Arial" w:eastAsia="Arial" w:cs="Arial"/>
        </w:rPr>
        <w:t>2022). National governance set medicines legislation, packaging rules for medicines by the MHRA, guidelines for medicines prescribing by NICE and expectations from clinical governance. Therefore, leadership was no longer limited to professional practice but had to be shared across organisational boundaries. NHS England (2024) published the latest trends in workforce pressures on service capacity, patient safety and organisational resilience in 2024/25. Communication breakdowns, workload pressures, delayed reviews and preventable medication-related incidents (PMRIs) are all associated with workforce shortfalls. The interweaving organisational pressures illustrate the need for good governance, leadership and salutary performance between the parts of the system in health care.</w:t>
      </w:r>
    </w:p>
    <w:p w14:paraId="7A2EB883">
      <w:pPr>
        <w:pStyle w:val="4"/>
        <w:rPr>
          <w:rFonts w:ascii="Arial" w:hAnsi="Arial" w:eastAsia="Arial" w:cs="Arial"/>
        </w:rPr>
      </w:pPr>
      <w:bookmarkStart w:id="6" w:name="_fvhcmuq7kxgx" w:colFirst="0" w:colLast="0"/>
      <w:bookmarkEnd w:id="6"/>
      <w:r>
        <w:rPr>
          <w:rFonts w:ascii="Arial" w:hAnsi="Arial" w:eastAsia="Arial" w:cs="Arial"/>
        </w:rPr>
        <w:t>Applying Systems Thinking Through the Rich Picture</w:t>
      </w:r>
    </w:p>
    <w:p w14:paraId="6D6975BE">
      <w:pPr>
        <w:jc w:val="center"/>
        <w:rPr>
          <w:rFonts w:ascii="Arial" w:hAnsi="Arial" w:eastAsia="Arial" w:cs="Arial"/>
        </w:rPr>
      </w:pPr>
      <w:r>
        <w:rPr>
          <w:rFonts w:ascii="Arial" w:hAnsi="Arial" w:eastAsia="Arial" w:cs="Arial"/>
          <w:lang w:val="en-IN"/>
        </w:rPr>
        <w:drawing>
          <wp:inline distT="114300" distB="114300" distL="114300" distR="114300">
            <wp:extent cx="5943600" cy="38735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12"/>
                    <a:srcRect/>
                    <a:stretch>
                      <a:fillRect/>
                    </a:stretch>
                  </pic:blipFill>
                  <pic:spPr>
                    <a:xfrm>
                      <a:off x="0" y="0"/>
                      <a:ext cx="5943600" cy="3873500"/>
                    </a:xfrm>
                    <a:prstGeom prst="rect">
                      <a:avLst/>
                    </a:prstGeom>
                    <a:ln w="12700">
                      <a:solidFill>
                        <a:srgbClr val="000000"/>
                      </a:solidFill>
                      <a:prstDash val="solid"/>
                    </a:ln>
                  </pic:spPr>
                </pic:pic>
              </a:graphicData>
            </a:graphic>
          </wp:inline>
        </w:drawing>
      </w:r>
    </w:p>
    <w:p w14:paraId="01D6F97B">
      <w:pPr>
        <w:jc w:val="center"/>
        <w:rPr>
          <w:rFonts w:ascii="Arial" w:hAnsi="Arial" w:eastAsia="Arial" w:cs="Arial"/>
          <w:b/>
          <w:bCs/>
        </w:rPr>
      </w:pPr>
      <w:r>
        <w:rPr>
          <w:rFonts w:ascii="Arial" w:hAnsi="Arial" w:eastAsia="Arial" w:cs="Arial"/>
          <w:b/>
          <w:bCs/>
        </w:rPr>
        <w:t>Figure 3: Medication Safety Rich Picture</w:t>
      </w:r>
    </w:p>
    <w:p w14:paraId="2F2D961D">
      <w:pPr>
        <w:jc w:val="center"/>
        <w:rPr>
          <w:rFonts w:ascii="Arial" w:hAnsi="Arial" w:eastAsia="Arial" w:cs="Arial"/>
        </w:rPr>
      </w:pPr>
      <w:r>
        <w:rPr>
          <w:rFonts w:ascii="Arial" w:hAnsi="Arial" w:eastAsia="Arial" w:cs="Arial"/>
        </w:rPr>
        <w:t>(Source: Self-Developed)</w:t>
      </w:r>
    </w:p>
    <w:p w14:paraId="02E49362">
      <w:pPr>
        <w:rPr>
          <w:rFonts w:ascii="Arial" w:hAnsi="Arial" w:eastAsia="Arial" w:cs="Arial"/>
        </w:rPr>
      </w:pPr>
      <w:r>
        <w:rPr>
          <w:rFonts w:ascii="Arial" w:hAnsi="Arial" w:eastAsia="Arial" w:cs="Arial"/>
        </w:rPr>
        <w:t>The Rich Picture helps to capture the complex interactions that led to Len's morphine overdose by consolidating the elements of people, clinical processes, system factors, governance, consequences and organisational learning. It shows, with focus groups, the involvement of HSSIB, the GP, the hospital staff, the pharmacist and their engagement with external factors, notably NHS England, NICE, MHRA and COVID-19. Identifies the impact of poor communication, labelling, human factors and organisational issues in the clinical journey from GP review to medicine administration that contributed to the overdose. This is a reminder of the importance of ongoing education, medication safety and healthcare system governance and control to avoid further collisions in the future.</w:t>
      </w:r>
    </w:p>
    <w:p w14:paraId="15F6CD9A">
      <w:pPr>
        <w:pStyle w:val="3"/>
        <w:rPr>
          <w:rFonts w:ascii="Arial" w:hAnsi="Arial" w:eastAsia="Arial" w:cs="Arial"/>
        </w:rPr>
      </w:pPr>
      <w:bookmarkStart w:id="7" w:name="_ftlnep5ye1n" w:colFirst="0" w:colLast="0"/>
      <w:bookmarkEnd w:id="7"/>
      <w:r>
        <w:rPr>
          <w:rFonts w:ascii="Arial" w:hAnsi="Arial" w:eastAsia="Arial" w:cs="Arial"/>
        </w:rPr>
        <w:t>b. Centralisation or Decentralisation within the Case Study</w:t>
      </w:r>
    </w:p>
    <w:p w14:paraId="383A4CDD">
      <w:pPr>
        <w:pStyle w:val="4"/>
        <w:keepNext w:val="0"/>
        <w:keepLines w:val="0"/>
        <w:spacing w:before="280" w:after="80"/>
        <w:rPr>
          <w:rFonts w:ascii="Arial" w:hAnsi="Arial" w:eastAsia="Arial" w:cs="Arial"/>
          <w:sz w:val="26"/>
          <w:szCs w:val="26"/>
        </w:rPr>
      </w:pPr>
      <w:bookmarkStart w:id="8" w:name="_njatuh1phuig" w:colFirst="0" w:colLast="0"/>
      <w:bookmarkEnd w:id="8"/>
      <w:r>
        <w:rPr>
          <w:rFonts w:ascii="Arial" w:hAnsi="Arial" w:eastAsia="Arial" w:cs="Arial"/>
        </w:rPr>
        <w:t>Centralised System Analysi</w:t>
      </w:r>
      <w:r>
        <w:rPr>
          <w:rFonts w:ascii="Arial" w:hAnsi="Arial" w:eastAsia="Arial" w:cs="Arial"/>
          <w:sz w:val="26"/>
          <w:szCs w:val="26"/>
        </w:rPr>
        <w:t>s</w:t>
      </w:r>
    </w:p>
    <w:p w14:paraId="2FA38271">
      <w:pPr>
        <w:rPr>
          <w:rFonts w:ascii="Arial" w:hAnsi="Arial" w:eastAsia="Arial" w:cs="Arial"/>
        </w:rPr>
      </w:pPr>
      <w:r>
        <w:rPr>
          <w:rFonts w:ascii="Arial" w:hAnsi="Arial" w:eastAsia="Arial" w:cs="Arial"/>
        </w:rPr>
        <w:t xml:space="preserve">According to the case study, Len's case primarily reflected a centralised organisational structure. According to Turato, Whiteoak and Oprescu, (2024), a centralised organisational structure is stated as a structure where decision-making is concentrated within top professionals and hierarchies. As per the case study, the health care professionals and organisations are particularly responsible for the clinical decisions, while patients and family members had limited authority to make clinical decisions. The investigators found that the section of education, prescribing decisions, and other hospital management followed the nationally standardised protocols like the “Medicines and Healthcare products Regulatory Agency”, “the British National Formulary” (BNF) and NICE. </w:t>
      </w:r>
    </w:p>
    <w:p w14:paraId="2ECFFFD2">
      <w:pPr>
        <w:jc w:val="center"/>
        <w:rPr>
          <w:rFonts w:ascii="Arial" w:hAnsi="Arial" w:eastAsia="Arial" w:cs="Arial"/>
        </w:rPr>
      </w:pPr>
      <w:r>
        <w:rPr>
          <w:rFonts w:ascii="Arial" w:hAnsi="Arial" w:eastAsia="Arial" w:cs="Arial"/>
          <w:lang w:val="en-IN"/>
        </w:rPr>
        <w:drawing>
          <wp:inline distT="114300" distB="114300" distL="114300" distR="114300">
            <wp:extent cx="5943600" cy="27432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13"/>
                    <a:srcRect/>
                    <a:stretch>
                      <a:fillRect/>
                    </a:stretch>
                  </pic:blipFill>
                  <pic:spPr>
                    <a:xfrm>
                      <a:off x="0" y="0"/>
                      <a:ext cx="5943600" cy="2743200"/>
                    </a:xfrm>
                    <a:prstGeom prst="rect">
                      <a:avLst/>
                    </a:prstGeom>
                    <a:ln w="12700">
                      <a:solidFill>
                        <a:srgbClr val="000000"/>
                      </a:solidFill>
                      <a:prstDash val="solid"/>
                    </a:ln>
                  </pic:spPr>
                </pic:pic>
              </a:graphicData>
            </a:graphic>
          </wp:inline>
        </w:drawing>
      </w:r>
    </w:p>
    <w:p w14:paraId="7C95DBCD">
      <w:pPr>
        <w:jc w:val="center"/>
        <w:rPr>
          <w:rFonts w:ascii="Arial" w:hAnsi="Arial" w:eastAsia="Arial" w:cs="Arial"/>
          <w:b/>
          <w:bCs/>
        </w:rPr>
      </w:pPr>
      <w:r>
        <w:rPr>
          <w:rFonts w:ascii="Arial" w:hAnsi="Arial" w:eastAsia="Arial" w:cs="Arial"/>
          <w:b/>
          <w:bCs/>
        </w:rPr>
        <w:t>Figure 4: Lens’ care details</w:t>
      </w:r>
    </w:p>
    <w:p w14:paraId="1C1E3060">
      <w:pPr>
        <w:jc w:val="center"/>
        <w:rPr>
          <w:rFonts w:ascii="Arial" w:hAnsi="Arial" w:eastAsia="Arial" w:cs="Arial"/>
        </w:rPr>
      </w:pPr>
      <w:r>
        <w:rPr>
          <w:rFonts w:ascii="Arial" w:hAnsi="Arial" w:eastAsia="Arial" w:cs="Arial"/>
        </w:rPr>
        <w:t>(Source: Hssib.org.uk, 2022)</w:t>
      </w:r>
    </w:p>
    <w:p w14:paraId="4D3291BD">
      <w:pPr>
        <w:rPr>
          <w:rFonts w:ascii="Arial" w:hAnsi="Arial" w:eastAsia="Arial" w:cs="Arial"/>
        </w:rPr>
      </w:pPr>
      <w:r>
        <w:rPr>
          <w:rFonts w:ascii="Arial" w:hAnsi="Arial" w:eastAsia="Arial" w:cs="Arial"/>
        </w:rPr>
        <w:t xml:space="preserve">The centralised aspect of the decision-making is clearly evident from the care pathways of Len. For example, the GP decided on pain management alone after the failure of ibuprofen and paracetamol. The GP then prescribed morphine sulphate oral solution at an initial dose of 1.25-2.5 ml every four hours (Hssib.org.uk, 2022). On the other hand, the decision-making is also centralised within the pharmacy and hospital, which has created a major issue. The community pharmacy followed the prescription and placed a dispensed label containing the dosage instruction. The pharmacy did not consider additional labelling as Len is 89 years old. A decentralised decision-making approach would have ensured that the pharmacy followed a personalised instruction based on the patient’s need. </w:t>
      </w:r>
    </w:p>
    <w:p w14:paraId="280DE8B6">
      <w:pPr>
        <w:rPr>
          <w:rFonts w:ascii="Arial" w:hAnsi="Arial" w:eastAsia="Arial" w:cs="Arial"/>
        </w:rPr>
      </w:pPr>
      <w:r>
        <w:rPr>
          <w:rFonts w:ascii="Arial" w:hAnsi="Arial" w:eastAsia="Arial" w:cs="Arial"/>
        </w:rPr>
        <w:t xml:space="preserve">The centralisation was further demonstrated as the organisation strictly relied on national regulatory frameworks. The manufacturers, pharmacies, and hospitals all followed the guidelines. Len was prescribed 1.25-2.5 ml every four hours, but the patient mistakenly took 5ml on three occasions (Hssib.org.uk, 2022). It was difficult, as evidenced on the oral syringe, to measure 1.25 ml, which ensures there is a lack of person-centred decision-making (Ho, Chung and Chiang, 2023).    </w:t>
      </w:r>
    </w:p>
    <w:p w14:paraId="38A55AEB">
      <w:pPr>
        <w:pStyle w:val="4"/>
        <w:spacing w:before="280" w:after="80"/>
        <w:rPr>
          <w:rFonts w:ascii="Arial" w:hAnsi="Arial" w:eastAsia="Arial" w:cs="Arial"/>
        </w:rPr>
      </w:pPr>
      <w:bookmarkStart w:id="9" w:name="_tidvp7i1f3ai" w:colFirst="0" w:colLast="0"/>
      <w:bookmarkEnd w:id="9"/>
      <w:r>
        <w:rPr>
          <w:rFonts w:ascii="Arial" w:hAnsi="Arial" w:eastAsia="Arial" w:cs="Arial"/>
        </w:rPr>
        <w:t>Critical Analysis: Advantages and Disadvantages of Centralisation</w:t>
      </w:r>
    </w:p>
    <w:p w14:paraId="3A9DCA2E">
      <w:pPr>
        <w:rPr>
          <w:rFonts w:ascii="Arial" w:hAnsi="Arial" w:eastAsia="Arial" w:cs="Arial"/>
          <w:b/>
          <w:bCs/>
          <w:i/>
          <w:iCs/>
        </w:rPr>
      </w:pPr>
      <w:r>
        <w:rPr>
          <w:rFonts w:ascii="Arial" w:hAnsi="Arial" w:eastAsia="Arial" w:cs="Arial"/>
          <w:b/>
          <w:bCs/>
          <w:i/>
          <w:iCs/>
          <w:u w:val="single"/>
        </w:rPr>
        <w:t>Advantages</w:t>
      </w:r>
      <w:r>
        <w:rPr>
          <w:rFonts w:ascii="Arial" w:hAnsi="Arial" w:eastAsia="Arial" w:cs="Arial"/>
          <w:b/>
          <w:bCs/>
          <w:i/>
          <w:iCs/>
        </w:rPr>
        <w:t xml:space="preserve"> </w:t>
      </w:r>
    </w:p>
    <w:p w14:paraId="52621443">
      <w:pPr>
        <w:rPr>
          <w:rFonts w:ascii="Arial" w:hAnsi="Arial" w:eastAsia="Arial" w:cs="Arial"/>
        </w:rPr>
      </w:pPr>
      <w:r>
        <w:rPr>
          <w:rFonts w:ascii="Arial" w:hAnsi="Arial" w:eastAsia="Arial" w:cs="Arial"/>
        </w:rPr>
        <w:t>The centralised system provided the following advantages during the treatment of Len.</w:t>
      </w:r>
    </w:p>
    <w:p w14:paraId="17B0281B">
      <w:pPr>
        <w:numPr>
          <w:ilvl w:val="0"/>
          <w:numId w:val="1"/>
        </w:numPr>
        <w:rPr>
          <w:rFonts w:ascii="Arial" w:hAnsi="Arial" w:eastAsia="Arial" w:cs="Arial"/>
        </w:rPr>
      </w:pPr>
      <w:r>
        <w:rPr>
          <w:rFonts w:ascii="Arial" w:hAnsi="Arial" w:eastAsia="Arial" w:cs="Arial"/>
        </w:rPr>
        <w:t xml:space="preserve">Centralisation maintained consistency in clinical decision-making as the GP followed the nationally recognised pain management guidance. The GP moved progressed go next stage when previous therapy failed. This highlights the effectiveness of evidence-based prescription standards rather than judgements (Naz, 2025). Standardisation reduced unnecessary conflict between practitioners and improved patient safety. </w:t>
      </w:r>
    </w:p>
    <w:p w14:paraId="5BFF5E83">
      <w:pPr>
        <w:numPr>
          <w:ilvl w:val="0"/>
          <w:numId w:val="1"/>
        </w:numPr>
        <w:rPr>
          <w:rFonts w:ascii="Arial" w:hAnsi="Arial" w:eastAsia="Arial" w:cs="Arial"/>
        </w:rPr>
      </w:pPr>
      <w:r>
        <w:rPr>
          <w:rFonts w:ascii="Arial" w:hAnsi="Arial" w:eastAsia="Arial" w:cs="Arial"/>
        </w:rPr>
        <w:t xml:space="preserve">According to the case study, the centralisation process strengthened accountability as clinical decisions can be traced directly to the professionals and national policies. The investigation found that GP’s clinical decision was appropriate and centralised governance made sure that the officials acted according to the accepted standards. </w:t>
      </w:r>
    </w:p>
    <w:p w14:paraId="6ED9A519">
      <w:pPr>
        <w:numPr>
          <w:ilvl w:val="0"/>
          <w:numId w:val="1"/>
        </w:numPr>
        <w:rPr>
          <w:rFonts w:ascii="Arial" w:hAnsi="Arial" w:eastAsia="Arial" w:cs="Arial"/>
        </w:rPr>
      </w:pPr>
      <w:r>
        <w:rPr>
          <w:rFonts w:ascii="Arial" w:hAnsi="Arial" w:eastAsia="Arial" w:cs="Arial"/>
        </w:rPr>
        <w:t xml:space="preserve">The crisis management of the hospital also showed the importance of centralisation. Len went through a systematic assessment based on centralised guidance, including blood tests, chest X-ray, ECG, and others (Hssib.org.uk, 2022). This followed the opioid toxicity guidelines to give a coordinated response. </w:t>
      </w:r>
    </w:p>
    <w:p w14:paraId="2E9FA44C">
      <w:pPr>
        <w:rPr>
          <w:rFonts w:ascii="Arial" w:hAnsi="Arial" w:eastAsia="Arial" w:cs="Arial"/>
        </w:rPr>
      </w:pPr>
      <w:r>
        <w:rPr>
          <w:rFonts w:ascii="Arial" w:hAnsi="Arial" w:eastAsia="Arial" w:cs="Arial"/>
          <w:b/>
          <w:bCs/>
          <w:i/>
          <w:iCs/>
        </w:rPr>
        <w:t xml:space="preserve">Disadvantages </w:t>
      </w:r>
      <w:r>
        <w:rPr>
          <w:rFonts w:ascii="Arial" w:hAnsi="Arial" w:eastAsia="Arial" w:cs="Arial"/>
        </w:rPr>
        <w:t xml:space="preserve">  </w:t>
      </w:r>
    </w:p>
    <w:p w14:paraId="3D6EC6F5">
      <w:pPr>
        <w:rPr>
          <w:rFonts w:ascii="Arial" w:hAnsi="Arial" w:eastAsia="Arial" w:cs="Arial"/>
        </w:rPr>
      </w:pPr>
      <w:r>
        <w:rPr>
          <w:rFonts w:ascii="Arial" w:hAnsi="Arial" w:eastAsia="Arial" w:cs="Arial"/>
        </w:rPr>
        <w:t>However, the centralised structure created significant issues in crisis management and decision-making, according to the case study of Len.</w:t>
      </w:r>
    </w:p>
    <w:p w14:paraId="5DD38C8E">
      <w:pPr>
        <w:numPr>
          <w:ilvl w:val="0"/>
          <w:numId w:val="2"/>
        </w:numPr>
        <w:rPr>
          <w:rFonts w:ascii="Arial" w:hAnsi="Arial" w:eastAsia="Arial" w:cs="Arial"/>
        </w:rPr>
      </w:pPr>
      <w:r>
        <w:rPr>
          <w:rFonts w:ascii="Arial" w:hAnsi="Arial" w:eastAsia="Arial" w:cs="Arial"/>
        </w:rPr>
        <w:t xml:space="preserve">The centralised structure mainly hindered crisis management because decision-making remained with the professional system only. The prescription did follow the centralised labelling process and displayed 5 ml and Len interpreted it as their required dose. This highlights that the centralised labelling process failed the legal requirements, as the label itself was the issue for Len. </w:t>
      </w:r>
    </w:p>
    <w:p w14:paraId="17C3FE7A">
      <w:pPr>
        <w:numPr>
          <w:ilvl w:val="0"/>
          <w:numId w:val="2"/>
        </w:numPr>
        <w:rPr>
          <w:rFonts w:ascii="Arial" w:hAnsi="Arial" w:eastAsia="Arial" w:cs="Arial"/>
        </w:rPr>
      </w:pPr>
      <w:r>
        <w:rPr>
          <w:rFonts w:ascii="Arial" w:hAnsi="Arial" w:eastAsia="Arial" w:cs="Arial"/>
        </w:rPr>
        <w:t xml:space="preserve">Centralisation reduces decision-making flexibility within an organisation or structure (Syafri and Fkun, 2024). The pharmacy failed to provide patient-specific adjustments to communicate clearly that Len needs to take a 1.25 ml dose. This highlights the centralised failure to identify any opportunities for making a professional judgment.  </w:t>
      </w:r>
    </w:p>
    <w:p w14:paraId="55064E75">
      <w:pPr>
        <w:numPr>
          <w:ilvl w:val="0"/>
          <w:numId w:val="2"/>
        </w:numPr>
        <w:rPr>
          <w:rFonts w:ascii="Arial" w:hAnsi="Arial" w:eastAsia="Arial" w:cs="Arial"/>
        </w:rPr>
      </w:pPr>
      <w:r>
        <w:rPr>
          <w:rFonts w:ascii="Arial" w:hAnsi="Arial" w:eastAsia="Arial" w:cs="Arial"/>
        </w:rPr>
        <w:t>From the perspective of crisis management, accountability was weak despite the chain of events that could have been traced back. There are multiple organisations that approved Len’s process, and all often followed the national standards. The investigation also could not provide any proof regarding the pharmacy or GP. There was no Yellow Card Adverse drug care report as well, which should have been completed (Hssib.org.uk, 2022).</w:t>
      </w:r>
    </w:p>
    <w:p w14:paraId="6DFCCAEC">
      <w:pPr>
        <w:rPr>
          <w:rFonts w:ascii="Arial" w:hAnsi="Arial" w:eastAsia="Arial" w:cs="Arial"/>
        </w:rPr>
      </w:pPr>
      <w:r>
        <w:rPr>
          <w:rFonts w:ascii="Arial" w:hAnsi="Arial" w:eastAsia="Arial" w:cs="Arial"/>
        </w:rPr>
        <w:t xml:space="preserve">This shows decentralisation ensures regulatory compliance and consistency, but it needs person-centred communication and adaptable medication practices.  </w:t>
      </w:r>
    </w:p>
    <w:p w14:paraId="1601B992">
      <w:pPr>
        <w:pStyle w:val="4"/>
        <w:spacing w:before="280" w:after="80"/>
        <w:rPr>
          <w:rFonts w:ascii="Arial" w:hAnsi="Arial" w:eastAsia="Arial" w:cs="Arial"/>
        </w:rPr>
      </w:pPr>
      <w:bookmarkStart w:id="10" w:name="_idxtgtvcqcnd" w:colFirst="0" w:colLast="0"/>
      <w:bookmarkEnd w:id="10"/>
      <w:r>
        <w:rPr>
          <w:rFonts w:ascii="Arial" w:hAnsi="Arial" w:eastAsia="Arial" w:cs="Arial"/>
        </w:rPr>
        <w:t xml:space="preserve">Brief Description of Decentralisation issue </w:t>
      </w:r>
    </w:p>
    <w:p w14:paraId="5B38D6DA">
      <w:pPr>
        <w:rPr>
          <w:rFonts w:ascii="Arial" w:hAnsi="Arial" w:eastAsia="Arial" w:cs="Arial"/>
        </w:rPr>
      </w:pPr>
      <w:r>
        <w:rPr>
          <w:rFonts w:ascii="Arial" w:hAnsi="Arial" w:eastAsia="Arial" w:cs="Arial"/>
        </w:rPr>
        <w:t xml:space="preserve">Despite Len’s care occurring within a nationally regulated NHS framework, the frontline clinical workers showed decentralised decision-making, which needs to be addressed. The individual healthcare professionals showed autonomy when assessing the condition of Len. For example, they independently selected the personalised morphine dose appropriate for the patient’s age. The clinicians in the hospital also independently interpreted the changing respiratory condition of Len and provided appropriate treatment, </w:t>
      </w:r>
    </w:p>
    <w:p w14:paraId="2E97479B">
      <w:pPr>
        <w:rPr>
          <w:rFonts w:ascii="Arial" w:hAnsi="Arial" w:eastAsia="Arial" w:cs="Arial"/>
        </w:rPr>
      </w:pPr>
      <w:r>
        <w:rPr>
          <w:rFonts w:ascii="Arial" w:hAnsi="Arial" w:eastAsia="Arial" w:cs="Arial"/>
        </w:rPr>
        <w:t xml:space="preserve">The decentralised clinical authority supports patient-centred care as stated by the paper (Pilnick, 2023). This means decisions were tailor-made based on the condition and needs rather than following rigid protocols only. However, decentralisation increased communication variability and medication safety practices.  The investigation by HSSIb was unable to determine the counselling practice by the pharmacy because the pharmacy did not participate in the investigation process. This limits the accountability process. Similarly, there is uncertainty regarding safety advice provided during the time of medication prescription. This clearly states that the decentralisation principle enhances clinical flexibility through individual professional judgement. However, it is important to have consistent communication and robust governance processes to ensure the safety of patients.  </w:t>
      </w:r>
    </w:p>
    <w:p w14:paraId="7CA2DA0D">
      <w:pPr>
        <w:rPr>
          <w:rFonts w:ascii="Arial" w:hAnsi="Arial" w:eastAsia="Arial" w:cs="Arial"/>
        </w:rPr>
      </w:pPr>
      <w:r>
        <w:rPr>
          <w:rFonts w:ascii="Arial" w:hAnsi="Arial" w:eastAsia="Arial" w:cs="Arial"/>
        </w:rPr>
        <w:t xml:space="preserve">This highlights that the case study issue is a combination of both centralisation and decentralisation issues. </w:t>
      </w:r>
    </w:p>
    <w:p w14:paraId="0E940F46">
      <w:pPr>
        <w:pStyle w:val="3"/>
        <w:rPr>
          <w:rFonts w:ascii="Arial" w:hAnsi="Arial" w:eastAsia="Arial" w:cs="Arial"/>
        </w:rPr>
      </w:pPr>
      <w:bookmarkStart w:id="11" w:name="_si2tq2frpsxs" w:colFirst="0" w:colLast="0"/>
      <w:bookmarkEnd w:id="11"/>
      <w:r>
        <w:rPr>
          <w:rFonts w:ascii="Arial" w:hAnsi="Arial" w:eastAsia="Arial" w:cs="Arial"/>
        </w:rPr>
        <w:t>c. Leadership Theories and Application to the Case Study</w:t>
      </w:r>
    </w:p>
    <w:p w14:paraId="611AAF25">
      <w:pPr>
        <w:pStyle w:val="4"/>
        <w:spacing w:before="280" w:after="80"/>
        <w:rPr>
          <w:rFonts w:ascii="Arial" w:hAnsi="Arial" w:eastAsia="Arial" w:cs="Arial"/>
        </w:rPr>
      </w:pPr>
      <w:bookmarkStart w:id="12" w:name="_cv9dud45q15f" w:colFirst="0" w:colLast="0"/>
      <w:bookmarkEnd w:id="12"/>
      <w:r>
        <w:rPr>
          <w:rFonts w:ascii="Arial" w:hAnsi="Arial" w:eastAsia="Arial" w:cs="Arial"/>
        </w:rPr>
        <w:t>Critical analysis of Behavioural Leadership Theory</w:t>
      </w:r>
    </w:p>
    <w:p w14:paraId="57BDF98E">
      <w:pPr>
        <w:jc w:val="center"/>
        <w:rPr>
          <w:rFonts w:ascii="Arial" w:hAnsi="Arial" w:eastAsia="Arial" w:cs="Arial"/>
        </w:rPr>
      </w:pPr>
      <w:r>
        <w:rPr>
          <w:rFonts w:ascii="Arial" w:hAnsi="Arial" w:eastAsia="Arial" w:cs="Arial"/>
          <w:lang w:val="en-IN"/>
        </w:rPr>
        <w:drawing>
          <wp:inline distT="114300" distB="114300" distL="114300" distR="114300">
            <wp:extent cx="3381375" cy="36576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4"/>
                    <a:srcRect/>
                    <a:stretch>
                      <a:fillRect/>
                    </a:stretch>
                  </pic:blipFill>
                  <pic:spPr>
                    <a:xfrm>
                      <a:off x="0" y="0"/>
                      <a:ext cx="3381375" cy="3657600"/>
                    </a:xfrm>
                    <a:prstGeom prst="rect">
                      <a:avLst/>
                    </a:prstGeom>
                    <a:ln w="12700">
                      <a:solidFill>
                        <a:srgbClr val="000000"/>
                      </a:solidFill>
                      <a:prstDash val="solid"/>
                    </a:ln>
                  </pic:spPr>
                </pic:pic>
              </a:graphicData>
            </a:graphic>
          </wp:inline>
        </w:drawing>
      </w:r>
    </w:p>
    <w:p w14:paraId="2E1B91A2">
      <w:pPr>
        <w:jc w:val="center"/>
        <w:rPr>
          <w:rFonts w:ascii="Arial" w:hAnsi="Arial" w:eastAsia="Arial" w:cs="Arial"/>
          <w:b/>
          <w:bCs/>
        </w:rPr>
      </w:pPr>
      <w:r>
        <w:rPr>
          <w:rFonts w:ascii="Arial" w:hAnsi="Arial" w:eastAsia="Arial" w:cs="Arial"/>
          <w:b/>
          <w:bCs/>
        </w:rPr>
        <w:t>Figure 5: Behavioural Task vs People-oriented Theory</w:t>
      </w:r>
    </w:p>
    <w:p w14:paraId="72AEAD8B">
      <w:pPr>
        <w:jc w:val="center"/>
        <w:rPr>
          <w:rFonts w:ascii="Arial" w:hAnsi="Arial" w:eastAsia="Arial" w:cs="Arial"/>
        </w:rPr>
      </w:pPr>
      <w:r>
        <w:rPr>
          <w:rFonts w:ascii="Arial" w:hAnsi="Arial" w:eastAsia="Arial" w:cs="Arial"/>
        </w:rPr>
        <w:t>(Source: Week 5: Lecture notes)</w:t>
      </w:r>
    </w:p>
    <w:p w14:paraId="3244A874">
      <w:pPr>
        <w:rPr>
          <w:rFonts w:ascii="Arial" w:hAnsi="Arial" w:eastAsia="Arial" w:cs="Arial"/>
        </w:rPr>
      </w:pPr>
      <w:r>
        <w:rPr>
          <w:rFonts w:ascii="Arial" w:hAnsi="Arial" w:eastAsia="Arial" w:cs="Arial"/>
        </w:rPr>
        <w:t xml:space="preserve">As per behavioural leadership theory, effective leadership depends on what the leaders do rather than who they are (Week 5: Lecture notes). It highlights two complementary leadership dimensions, which are task-oriented and people-oriented. The task-oriented dimension focuses on goals and structures work accordingly. On the other hand, people leadership likes to build relationships and encourage collaboration (Ali and Siddiqui, 2023).  </w:t>
      </w:r>
    </w:p>
    <w:p w14:paraId="0EFF46D5">
      <w:pPr>
        <w:rPr>
          <w:rFonts w:ascii="Arial" w:hAnsi="Arial" w:eastAsia="Arial" w:cs="Arial"/>
          <w:b/>
          <w:bCs/>
          <w:i/>
          <w:iCs/>
        </w:rPr>
      </w:pPr>
      <w:r>
        <w:rPr>
          <w:rFonts w:ascii="Arial" w:hAnsi="Arial" w:eastAsia="Arial" w:cs="Arial"/>
          <w:b/>
          <w:bCs/>
          <w:i/>
          <w:iCs/>
        </w:rPr>
        <w:t xml:space="preserve">Applying to the case study and Evidence </w:t>
      </w:r>
    </w:p>
    <w:p w14:paraId="724D00F0">
      <w:pPr>
        <w:rPr>
          <w:rFonts w:ascii="Arial" w:hAnsi="Arial" w:eastAsia="Arial" w:cs="Arial"/>
        </w:rPr>
      </w:pPr>
      <w:r>
        <w:rPr>
          <w:rFonts w:ascii="Arial" w:hAnsi="Arial" w:eastAsia="Arial" w:cs="Arial"/>
        </w:rPr>
        <w:t>According to the behavioural leadership dimension, the behaviour pathway for Len’s case predominantly reflected task-based behavioural leadership. The stakeholders, like GP and pharmacy, followed the approved guidelines and structure for Len's treatment. GP’s initial low-dose prescription was right, which showed strong operational leadership focused on governance. However, behavioural theory also shows balancing the people-oriented leadership part that was less evident in the case of Len’s. The GP or pharmacist did not try to build a relationship or try to understand whether Len or his wife understood the dose of the prescription.</w:t>
      </w:r>
    </w:p>
    <w:p w14:paraId="0F29F3CC">
      <w:pPr>
        <w:rPr>
          <w:rFonts w:ascii="Arial" w:hAnsi="Arial" w:eastAsia="Arial" w:cs="Arial"/>
        </w:rPr>
      </w:pPr>
      <w:r>
        <w:rPr>
          <w:rFonts w:ascii="Arial" w:hAnsi="Arial" w:eastAsia="Arial" w:cs="Arial"/>
        </w:rPr>
        <w:t xml:space="preserve">Thus, it can be concluded that the leadership effectiveness was partially appropriate as leaders only showed task orientation and lacked the people dimensions that were very much crucial for Len. </w:t>
      </w:r>
    </w:p>
    <w:p w14:paraId="577A8F48">
      <w:pPr>
        <w:rPr>
          <w:rFonts w:ascii="Arial" w:hAnsi="Arial" w:eastAsia="Arial" w:cs="Arial"/>
        </w:rPr>
      </w:pPr>
      <w:r>
        <w:rPr>
          <w:rFonts w:ascii="Arial" w:hAnsi="Arial" w:eastAsia="Arial" w:cs="Arial"/>
        </w:rPr>
        <w:t xml:space="preserve">According to Tate </w:t>
      </w:r>
      <w:r>
        <w:rPr>
          <w:rFonts w:ascii="Arial" w:hAnsi="Arial" w:eastAsia="Arial" w:cs="Arial"/>
          <w:i/>
          <w:iCs/>
        </w:rPr>
        <w:t xml:space="preserve">et al. </w:t>
      </w:r>
      <w:r>
        <w:rPr>
          <w:rFonts w:ascii="Arial" w:hAnsi="Arial" w:eastAsia="Arial" w:cs="Arial"/>
        </w:rPr>
        <w:t xml:space="preserve">(2023), in the healthcare facility, balancing task and relationship-focused leadership is essential. The leadership behaviour improves patient safety and creates a strong safety culture. Len’s care workers showed insufficient people-oriented behavior like lack of communication and a patient safety approach. On the other hand, Huang </w:t>
      </w:r>
      <w:r>
        <w:rPr>
          <w:rFonts w:ascii="Arial" w:hAnsi="Arial" w:eastAsia="Arial" w:cs="Arial"/>
          <w:i/>
          <w:iCs/>
        </w:rPr>
        <w:t xml:space="preserve">et al. </w:t>
      </w:r>
      <w:r>
        <w:rPr>
          <w:rFonts w:ascii="Arial" w:hAnsi="Arial" w:eastAsia="Arial" w:cs="Arial"/>
        </w:rPr>
        <w:t xml:space="preserve">(2024), during the early 21st century, 1 in 10 patients faced medication-related harms. However, patient safety through relationship building has significantly mitigated this issue over the years. The case of Lens against increased the medication-related issues to the forefront.   </w:t>
      </w:r>
    </w:p>
    <w:p w14:paraId="13D7A383">
      <w:pPr>
        <w:pStyle w:val="4"/>
        <w:spacing w:before="280" w:after="80"/>
        <w:rPr>
          <w:rFonts w:ascii="Arial" w:hAnsi="Arial" w:eastAsia="Arial" w:cs="Arial"/>
        </w:rPr>
      </w:pPr>
      <w:bookmarkStart w:id="13" w:name="_vosjbwg2jjm9" w:colFirst="0" w:colLast="0"/>
      <w:bookmarkEnd w:id="13"/>
      <w:r>
        <w:rPr>
          <w:rFonts w:ascii="Arial" w:hAnsi="Arial" w:eastAsia="Arial" w:cs="Arial"/>
        </w:rPr>
        <w:t>Situational (Contingency) Leadership Theory</w:t>
      </w:r>
    </w:p>
    <w:p w14:paraId="52A890B6">
      <w:pPr>
        <w:rPr>
          <w:rFonts w:ascii="Arial" w:hAnsi="Arial" w:eastAsia="Arial" w:cs="Arial"/>
        </w:rPr>
      </w:pPr>
      <w:r>
        <w:rPr>
          <w:rFonts w:ascii="Arial" w:hAnsi="Arial" w:eastAsia="Arial" w:cs="Arial"/>
        </w:rPr>
        <w:t xml:space="preserve">According to the situational or contingency leadership theory, the leader needs to adopt a style based on situational need (Jia, 2025). Contrary to behavioural theory, it focuses on the situation and people only. In the healthcare environment, this theory is particularly important due to the complex situations. </w:t>
      </w:r>
    </w:p>
    <w:p w14:paraId="27C471D5">
      <w:pPr>
        <w:rPr>
          <w:rFonts w:ascii="Arial" w:hAnsi="Arial" w:eastAsia="Arial" w:cs="Arial"/>
          <w:b/>
          <w:bCs/>
          <w:i/>
          <w:iCs/>
        </w:rPr>
      </w:pPr>
      <w:r>
        <w:rPr>
          <w:rFonts w:ascii="Arial" w:hAnsi="Arial" w:eastAsia="Arial" w:cs="Arial"/>
          <w:b/>
          <w:bCs/>
          <w:i/>
          <w:iCs/>
        </w:rPr>
        <w:t>Application and Critical Analysis</w:t>
      </w:r>
    </w:p>
    <w:p w14:paraId="364FB872">
      <w:pPr>
        <w:rPr>
          <w:rFonts w:ascii="Arial" w:hAnsi="Arial" w:eastAsia="Arial" w:cs="Arial"/>
        </w:rPr>
      </w:pPr>
      <w:r>
        <w:rPr>
          <w:rFonts w:ascii="Arial" w:hAnsi="Arial" w:eastAsia="Arial" w:cs="Arial"/>
        </w:rPr>
        <w:t xml:space="preserve">Len’s case shows both effective and ineffective use of situational leadership style. For example, during the initial stages, the GP appropriately assessed the situation and reduced the dose of morphine to 1.25 to 2.5 ml due to his advanced age and conditions. This shows clinical judgement shown by the doctor rather than using a standard dose. Similarly, when Len was admitted to the hospital, the doctors changed treatment strategy according to the need. However, the leadership style became reactive rather than proactive. The healthcare professionals only altered medication after the initial overdose. The GP and leader in the pharmacy could not read the situation to communicate about the dose to Len and his wife. The leaders should have recognised that the standard medication would not be effective due to Len’s and his wife’s condition.  </w:t>
      </w:r>
    </w:p>
    <w:p w14:paraId="2B63AC81">
      <w:pPr>
        <w:rPr>
          <w:rFonts w:ascii="Arial" w:hAnsi="Arial" w:eastAsia="Arial" w:cs="Arial"/>
        </w:rPr>
      </w:pPr>
      <w:r>
        <w:rPr>
          <w:rFonts w:ascii="Arial" w:hAnsi="Arial" w:eastAsia="Arial" w:cs="Arial"/>
        </w:rPr>
        <w:t xml:space="preserve">According to Ghallab and Sallam, (2026), situational leadership in healthcare has a statistically significant impact on crisis management and service quality. The authors found situational leadership has “standardised regression coefficients” of 0.52 and 0.61 with service quality and crisis management. This indicates a strong positive influence for the leadership style. This indicates that if healthcare workers used an appropriate situational leadership style, then the issues with Len would have been avoided early. Further, it could have been used effectively during crisis management as well. This is why system learning and proactive risk management are essential. </w:t>
      </w:r>
    </w:p>
    <w:p w14:paraId="29DDA875">
      <w:pPr>
        <w:pStyle w:val="4"/>
        <w:spacing w:before="280" w:after="80"/>
        <w:rPr>
          <w:rFonts w:ascii="Arial" w:hAnsi="Arial" w:eastAsia="Arial" w:cs="Arial"/>
        </w:rPr>
      </w:pPr>
      <w:bookmarkStart w:id="14" w:name="_3i1a25gfth7" w:colFirst="0" w:colLast="0"/>
      <w:bookmarkEnd w:id="14"/>
      <w:r>
        <w:rPr>
          <w:rFonts w:ascii="Arial" w:hAnsi="Arial" w:eastAsia="Arial" w:cs="Arial"/>
        </w:rPr>
        <w:t>Trait Leadership Theory</w:t>
      </w:r>
    </w:p>
    <w:p w14:paraId="379450F1">
      <w:pPr>
        <w:rPr>
          <w:rFonts w:ascii="Arial" w:hAnsi="Arial" w:eastAsia="Arial" w:cs="Arial"/>
        </w:rPr>
      </w:pPr>
      <w:r>
        <w:rPr>
          <w:rFonts w:ascii="Arial" w:hAnsi="Arial" w:eastAsia="Arial" w:cs="Arial"/>
        </w:rPr>
        <w:t xml:space="preserve">According to Peters, (2023), trait leadership theory states that the effectiveness of leadership is induced by personal characteristics and qualities shown by leaders. Trait leaders show consistent traits of integrity, sound judgment and emotional stability. They also show communication skills and emotional intelligence based on the situation. </w:t>
      </w:r>
    </w:p>
    <w:p w14:paraId="4FF20F7B">
      <w:pPr>
        <w:rPr>
          <w:rFonts w:ascii="Arial" w:hAnsi="Arial" w:eastAsia="Arial" w:cs="Arial"/>
          <w:b/>
          <w:bCs/>
          <w:i/>
          <w:iCs/>
        </w:rPr>
      </w:pPr>
      <w:r>
        <w:rPr>
          <w:rFonts w:ascii="Arial" w:hAnsi="Arial" w:eastAsia="Arial" w:cs="Arial"/>
          <w:b/>
          <w:bCs/>
          <w:i/>
          <w:iCs/>
        </w:rPr>
        <w:t>Application and Critical Analysis</w:t>
      </w:r>
    </w:p>
    <w:p w14:paraId="1448CB09">
      <w:pPr>
        <w:rPr>
          <w:rFonts w:ascii="Arial" w:hAnsi="Arial" w:eastAsia="Arial" w:cs="Arial"/>
        </w:rPr>
      </w:pPr>
      <w:r>
        <w:rPr>
          <w:rFonts w:ascii="Arial" w:hAnsi="Arial" w:eastAsia="Arial" w:cs="Arial"/>
        </w:rPr>
        <w:t xml:space="preserve">During Len’s care, various positive leadership traits were shown. The GP showed sound professional judgement by recognising the appropriate morphine dose to control Len's pain. The hospital clinicians also showed clinical competence and decisiveness as well. They identified the toxicity and pneumonia and initiated the emergency treatment. These actions showed strong clinical knowledge and traits by the clinical leadership. However, trait leadership is beyond clinical or technical work, but its emphasis on interpersonal qualities. According to Len’s medication journey, interpersonal skills were shown less. There was a lack of communication or relationship to understand whether Len or his wife understood the doses or not. Greater empathy could have been shown based on the communication need.  </w:t>
      </w:r>
    </w:p>
    <w:p w14:paraId="47A1DA95">
      <w:pPr>
        <w:rPr>
          <w:rFonts w:ascii="Arial" w:hAnsi="Arial" w:eastAsia="Arial" w:cs="Arial"/>
        </w:rPr>
      </w:pPr>
      <w:r>
        <w:rPr>
          <w:rFonts w:ascii="Arial" w:hAnsi="Arial" w:eastAsia="Arial" w:cs="Arial"/>
        </w:rPr>
        <w:t xml:space="preserve">According to the paper by Ahmed </w:t>
      </w:r>
      <w:r>
        <w:rPr>
          <w:rFonts w:ascii="Arial" w:hAnsi="Arial" w:eastAsia="Arial" w:cs="Arial"/>
          <w:i/>
          <w:iCs/>
        </w:rPr>
        <w:t xml:space="preserve">et al. </w:t>
      </w:r>
      <w:r>
        <w:rPr>
          <w:rFonts w:ascii="Arial" w:hAnsi="Arial" w:eastAsia="Arial" w:cs="Arial"/>
        </w:rPr>
        <w:t xml:space="preserve">(2024), if healthcare leaders show integrity, compassion, and open communication, then it improves the patient experience. Throughout Len’s journey, there is a lack of open communication and empathy, which resulted in the overdose. Trait leadership thus highlights that Len's case did not go well because of poor communication or lack of professional knowledge. The incident shows a lack of interpersonal skills by leadership, including communication, patient-centredness, and empathy. </w:t>
      </w:r>
    </w:p>
    <w:p w14:paraId="274B5674">
      <w:pPr>
        <w:rPr>
          <w:rFonts w:ascii="Arial" w:hAnsi="Arial" w:eastAsia="Arial" w:cs="Arial"/>
        </w:rPr>
      </w:pPr>
      <w:r>
        <w:rPr>
          <w:rFonts w:ascii="Arial" w:hAnsi="Arial" w:eastAsia="Arial" w:cs="Arial"/>
        </w:rPr>
        <w:t xml:space="preserve">The overall leadership analysis clearly showed there is a lack of consideration of people-centredness, which is crucial in the clinical workplace. It is essential that leaders show compassion throughout a patient’s care journey. The combination of governance and leadership issues was clearly responsible for Len’s medication overdoses.   </w:t>
      </w:r>
    </w:p>
    <w:p w14:paraId="10406F31">
      <w:pPr>
        <w:pStyle w:val="3"/>
        <w:rPr>
          <w:rFonts w:ascii="Arial" w:hAnsi="Arial" w:eastAsia="Arial" w:cs="Arial"/>
        </w:rPr>
      </w:pPr>
      <w:bookmarkStart w:id="15" w:name="_hrkqzi5zfpvi" w:colFirst="0" w:colLast="0"/>
      <w:bookmarkEnd w:id="15"/>
      <w:r>
        <w:rPr>
          <w:rFonts w:ascii="Arial" w:hAnsi="Arial" w:eastAsia="Arial" w:cs="Arial"/>
        </w:rPr>
        <w:t>d. Improvement, and Lessons Learned</w:t>
      </w:r>
    </w:p>
    <w:p w14:paraId="12F6767B">
      <w:pPr>
        <w:pStyle w:val="4"/>
        <w:rPr>
          <w:rFonts w:ascii="Arial" w:hAnsi="Arial" w:eastAsia="Arial" w:cs="Arial"/>
        </w:rPr>
      </w:pPr>
      <w:bookmarkStart w:id="16" w:name="_k2qwl8cdbvow" w:colFirst="0" w:colLast="0"/>
      <w:bookmarkEnd w:id="16"/>
      <w:r>
        <w:rPr>
          <w:rFonts w:ascii="Arial" w:hAnsi="Arial" w:eastAsia="Arial" w:cs="Arial"/>
        </w:rPr>
        <w:t>Leadership and Governance Critique</w:t>
      </w:r>
    </w:p>
    <w:p w14:paraId="142C11B2">
      <w:pPr>
        <w:rPr>
          <w:rFonts w:ascii="Arial" w:hAnsi="Arial" w:eastAsia="Arial" w:cs="Arial"/>
        </w:rPr>
      </w:pPr>
      <w:r>
        <w:rPr>
          <w:rFonts w:ascii="Arial" w:hAnsi="Arial" w:eastAsia="Arial" w:cs="Arial"/>
        </w:rPr>
        <w:t xml:space="preserve">Transitioning from the patient safety incident in Len's case to the complexities of the human factors, organisational processes, communication, and leadership failures that led to it shows that patient safety incidents are more complicated than simply a clinical error. National groups, such as NHS England, NICE and the Medicines and Healthcare products Regulatory Agency (MHRA), gave evidence-based prescribing guidelines and standards for the safety of medicines (Reece, 2026). Despite the GP prescribing an appropriate low dose and the pharmacist giving the right medicine, insufficient time for medication counselling and poor patient understanding resulted in Len misinterpreting the manufacturer dose as the prescribed dose. The incident was further caused by poor accountability practices throughout health organisations. Gens-Barberà </w:t>
      </w:r>
      <w:r>
        <w:rPr>
          <w:rFonts w:ascii="Arial" w:hAnsi="Arial" w:eastAsia="Arial" w:cs="Arial"/>
          <w:i/>
          <w:iCs/>
        </w:rPr>
        <w:t xml:space="preserve">et al. </w:t>
      </w:r>
      <w:r>
        <w:rPr>
          <w:rFonts w:ascii="Arial" w:hAnsi="Arial" w:eastAsia="Arial" w:cs="Arial"/>
        </w:rPr>
        <w:t>(2021) stated the trends for 2024/25 were about 2.7 million patient safety incidents reported, emphasising the need for further demonstration of leadership, governance and system-wide learning to ensure safer medicine uptake.</w:t>
      </w:r>
    </w:p>
    <w:p w14:paraId="79AF984D">
      <w:pPr>
        <w:pStyle w:val="4"/>
        <w:rPr>
          <w:rFonts w:ascii="Arial" w:hAnsi="Arial" w:eastAsia="Arial" w:cs="Arial"/>
        </w:rPr>
      </w:pPr>
      <w:bookmarkStart w:id="17" w:name="_vjwtj11yxjun" w:colFirst="0" w:colLast="0"/>
      <w:bookmarkEnd w:id="17"/>
      <w:r>
        <w:rPr>
          <w:rFonts w:ascii="Arial" w:hAnsi="Arial" w:eastAsia="Arial" w:cs="Arial"/>
        </w:rPr>
        <w:t>Missed Opportunities</w:t>
      </w:r>
    </w:p>
    <w:p w14:paraId="6072BC7B">
      <w:pPr>
        <w:numPr>
          <w:ilvl w:val="0"/>
          <w:numId w:val="3"/>
        </w:numPr>
        <w:rPr>
          <w:rFonts w:ascii="Arial" w:hAnsi="Arial" w:eastAsia="Arial" w:cs="Arial"/>
        </w:rPr>
      </w:pPr>
      <w:r>
        <w:rPr>
          <w:rFonts w:ascii="Arial" w:hAnsi="Arial" w:eastAsia="Arial" w:cs="Arial"/>
        </w:rPr>
        <w:t>Patient understanding was not verified by the Teach-Back method, and counselling about medication was not customised for Len's age, hearing loss or decreased dexterity.</w:t>
      </w:r>
    </w:p>
    <w:p w14:paraId="2CB593ED">
      <w:pPr>
        <w:numPr>
          <w:ilvl w:val="0"/>
          <w:numId w:val="3"/>
        </w:numPr>
        <w:rPr>
          <w:rFonts w:ascii="Arial" w:hAnsi="Arial" w:eastAsia="Arial" w:cs="Arial"/>
        </w:rPr>
      </w:pPr>
      <w:r>
        <w:rPr>
          <w:rFonts w:ascii="Arial" w:hAnsi="Arial" w:eastAsia="Arial" w:cs="Arial"/>
        </w:rPr>
        <w:t>Warning labels could be presented more clearly, collaborative electronic communication between healthcare providers, early reporting of issues by the MHRA regarding the packaging, and multidisciplinary reviews of medications may have prevented the incident of overdose and improved proactive risk management.</w:t>
      </w:r>
    </w:p>
    <w:p w14:paraId="4CF8AB63">
      <w:pPr>
        <w:pStyle w:val="4"/>
        <w:rPr>
          <w:rFonts w:ascii="Arial" w:hAnsi="Arial" w:eastAsia="Arial" w:cs="Arial"/>
        </w:rPr>
      </w:pPr>
      <w:bookmarkStart w:id="18" w:name="_d1q0wabugbwc" w:colFirst="0" w:colLast="0"/>
      <w:bookmarkEnd w:id="18"/>
      <w:r>
        <w:rPr>
          <w:rFonts w:ascii="Arial" w:hAnsi="Arial" w:eastAsia="Arial" w:cs="Arial"/>
        </w:rPr>
        <w:t>Evidence-Based Problems and Improvement Strategies</w:t>
      </w:r>
    </w:p>
    <w:tbl>
      <w:tblPr>
        <w:tblStyle w:val="14"/>
        <w:tblW w:w="925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4580"/>
        <w:gridCol w:w="4670"/>
      </w:tblGrid>
      <w:tr w14:paraId="5E0DBF2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15" w:hRule="atLeast"/>
        </w:trPr>
        <w:tc>
          <w:tcPr>
            <w:tcW w:w="4580" w:type="dxa"/>
            <w:tcBorders>
              <w:top w:val="single" w:color="000000" w:sz="8" w:space="0"/>
              <w:left w:val="single" w:color="000000" w:sz="8" w:space="0"/>
              <w:bottom w:val="single" w:color="000000" w:sz="8" w:space="0"/>
              <w:right w:val="single" w:color="000000" w:sz="8" w:space="0"/>
            </w:tcBorders>
            <w:shd w:val="clear" w:color="auto" w:fill="B7B7B7"/>
            <w:tcMar>
              <w:top w:w="100" w:type="dxa"/>
              <w:left w:w="100" w:type="dxa"/>
              <w:bottom w:w="100" w:type="dxa"/>
              <w:right w:w="100" w:type="dxa"/>
            </w:tcMar>
          </w:tcPr>
          <w:p w14:paraId="7AD3C8F5">
            <w:pPr>
              <w:jc w:val="center"/>
              <w:rPr>
                <w:rFonts w:ascii="Arial" w:hAnsi="Arial" w:eastAsia="Arial" w:cs="Arial"/>
              </w:rPr>
            </w:pPr>
            <w:r>
              <w:rPr>
                <w:rFonts w:ascii="Arial" w:hAnsi="Arial" w:eastAsia="Arial" w:cs="Arial"/>
                <w:b/>
                <w:bCs/>
              </w:rPr>
              <w:t>Problem and Supporting Evidence</w:t>
            </w:r>
          </w:p>
        </w:tc>
        <w:tc>
          <w:tcPr>
            <w:tcW w:w="4670" w:type="dxa"/>
            <w:tcBorders>
              <w:top w:val="single" w:color="000000" w:sz="8" w:space="0"/>
              <w:left w:val="single" w:color="000000" w:sz="8" w:space="0"/>
              <w:bottom w:val="single" w:color="000000" w:sz="8" w:space="0"/>
              <w:right w:val="single" w:color="000000" w:sz="8" w:space="0"/>
            </w:tcBorders>
            <w:shd w:val="clear" w:color="auto" w:fill="B7B7B7"/>
            <w:tcMar>
              <w:top w:w="100" w:type="dxa"/>
              <w:left w:w="100" w:type="dxa"/>
              <w:bottom w:w="100" w:type="dxa"/>
              <w:right w:w="100" w:type="dxa"/>
            </w:tcMar>
          </w:tcPr>
          <w:p w14:paraId="29D15099">
            <w:pPr>
              <w:jc w:val="center"/>
              <w:rPr>
                <w:rFonts w:ascii="Arial" w:hAnsi="Arial" w:eastAsia="Arial" w:cs="Arial"/>
              </w:rPr>
            </w:pPr>
            <w:r>
              <w:rPr>
                <w:rFonts w:ascii="Arial" w:hAnsi="Arial" w:eastAsia="Arial" w:cs="Arial"/>
                <w:b/>
                <w:bCs/>
              </w:rPr>
              <w:t>Evidence-Based Improvement Strategy</w:t>
            </w:r>
          </w:p>
        </w:tc>
      </w:tr>
      <w:tr w14:paraId="6E2D4F0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640" w:hRule="atLeast"/>
        </w:trPr>
        <w:tc>
          <w:tcPr>
            <w:tcW w:w="45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6AC5CF">
            <w:pPr>
              <w:rPr>
                <w:rFonts w:ascii="Arial" w:hAnsi="Arial" w:eastAsia="Arial" w:cs="Arial"/>
              </w:rPr>
            </w:pPr>
            <w:r>
              <w:rPr>
                <w:rFonts w:ascii="Arial" w:hAnsi="Arial" w:eastAsia="Arial" w:cs="Arial"/>
              </w:rPr>
              <w:t>Overdosing due to medication labelling: In the case of HSSIB, Len took the manufacturer's medication strength for the prescribed dosage, which was a direct contributor to the overdose.</w:t>
            </w:r>
          </w:p>
        </w:tc>
        <w:tc>
          <w:tcPr>
            <w:tcW w:w="46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336819">
            <w:pPr>
              <w:rPr>
                <w:rFonts w:ascii="Arial" w:hAnsi="Arial" w:eastAsia="Arial" w:cs="Arial"/>
              </w:rPr>
            </w:pPr>
            <w:r>
              <w:rPr>
                <w:rFonts w:ascii="Arial" w:hAnsi="Arial" w:eastAsia="Arial" w:cs="Arial"/>
              </w:rPr>
              <w:t>Improved medication packaging through human factors design, such as improved dosage instructions, larger font, colour differences and enhanced MHRA labelling guidelines.</w:t>
            </w:r>
          </w:p>
        </w:tc>
      </w:tr>
      <w:tr w14:paraId="4F107F9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925" w:hRule="atLeast"/>
        </w:trPr>
        <w:tc>
          <w:tcPr>
            <w:tcW w:w="45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3D0E50">
            <w:pPr>
              <w:rPr>
                <w:rFonts w:ascii="Arial" w:hAnsi="Arial" w:eastAsia="Arial" w:cs="Arial"/>
              </w:rPr>
            </w:pPr>
            <w:r>
              <w:rPr>
                <w:rFonts w:ascii="Arial" w:hAnsi="Arial" w:eastAsia="Arial" w:cs="Arial"/>
              </w:rPr>
              <w:t xml:space="preserve">Lack of communication and patient vulnerability: Naseralallah </w:t>
            </w:r>
            <w:r>
              <w:rPr>
                <w:rFonts w:ascii="Arial" w:hAnsi="Arial" w:eastAsia="Arial" w:cs="Arial"/>
                <w:i/>
                <w:iCs/>
              </w:rPr>
              <w:t xml:space="preserve">et al. </w:t>
            </w:r>
            <w:r>
              <w:rPr>
                <w:rFonts w:ascii="Arial" w:hAnsi="Arial" w:eastAsia="Arial" w:cs="Arial"/>
              </w:rPr>
              <w:t>(2023) estimate that medication errors cost US$42 billion a year, and older adults are especially exposed because of multimorbidity and/or polypharmacy.</w:t>
            </w:r>
          </w:p>
        </w:tc>
        <w:tc>
          <w:tcPr>
            <w:tcW w:w="46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5B0660">
            <w:pPr>
              <w:rPr>
                <w:rFonts w:ascii="Arial" w:hAnsi="Arial" w:eastAsia="Arial" w:cs="Arial"/>
              </w:rPr>
            </w:pPr>
            <w:r>
              <w:rPr>
                <w:rFonts w:ascii="Arial" w:hAnsi="Arial" w:eastAsia="Arial" w:cs="Arial"/>
              </w:rPr>
              <w:t>Establish counselling through Teach-back, medication review by a pharmacist, brief &amp; easy verbal drug instructions, and pharmacist-led risk assessments for high-risk older people.</w:t>
            </w:r>
          </w:p>
        </w:tc>
      </w:tr>
      <w:tr w14:paraId="55DEB1B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210" w:hRule="atLeast"/>
        </w:trPr>
        <w:tc>
          <w:tcPr>
            <w:tcW w:w="45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6FCBC12">
            <w:pPr>
              <w:rPr>
                <w:rFonts w:ascii="Arial" w:hAnsi="Arial" w:eastAsia="Arial" w:cs="Arial"/>
              </w:rPr>
            </w:pPr>
            <w:r>
              <w:rPr>
                <w:rFonts w:ascii="Arial" w:hAnsi="Arial" w:eastAsia="Arial" w:cs="Arial"/>
              </w:rPr>
              <w:t xml:space="preserve">Limited governance and learning: Gens-Barberà </w:t>
            </w:r>
            <w:r>
              <w:rPr>
                <w:rFonts w:ascii="Arial" w:hAnsi="Arial" w:eastAsia="Arial" w:cs="Arial"/>
                <w:i/>
                <w:iCs/>
              </w:rPr>
              <w:t xml:space="preserve">et al. </w:t>
            </w:r>
            <w:r>
              <w:rPr>
                <w:rFonts w:ascii="Arial" w:hAnsi="Arial" w:eastAsia="Arial" w:cs="Arial"/>
              </w:rPr>
              <w:t>(2021) revealed the number of patient safety incidents in 2024-25 was 2.7 million, with primary care accounting for approximately 90% of NHS patient contacts, requiring improved communication and ongoing learning opportunities.</w:t>
            </w:r>
          </w:p>
        </w:tc>
        <w:tc>
          <w:tcPr>
            <w:tcW w:w="46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8C7D90D">
            <w:pPr>
              <w:rPr>
                <w:rFonts w:ascii="Arial" w:hAnsi="Arial" w:eastAsia="Arial" w:cs="Arial"/>
              </w:rPr>
            </w:pPr>
            <w:r>
              <w:rPr>
                <w:rFonts w:ascii="Arial" w:hAnsi="Arial" w:eastAsia="Arial" w:cs="Arial"/>
              </w:rPr>
              <w:t>Introduce integrated electronic medication records, multidisciplinary communication, digital incident reporting, robust governance reviews, workforce support and transformational leadership to enhance accountability, patient-centred service and sustained performance improvement.</w:t>
            </w:r>
          </w:p>
        </w:tc>
      </w:tr>
    </w:tbl>
    <w:p w14:paraId="5B55C70C">
      <w:pPr>
        <w:jc w:val="center"/>
        <w:rPr>
          <w:rFonts w:ascii="Arial" w:hAnsi="Arial" w:eastAsia="Arial" w:cs="Arial"/>
          <w:b/>
          <w:bCs/>
        </w:rPr>
      </w:pPr>
      <w:r>
        <w:rPr>
          <w:rFonts w:ascii="Arial" w:hAnsi="Arial" w:eastAsia="Arial" w:cs="Arial"/>
          <w:b/>
          <w:bCs/>
        </w:rPr>
        <w:t>Table 1: Problems, Evidence and Improvement Strategies</w:t>
      </w:r>
    </w:p>
    <w:p w14:paraId="04C20F53">
      <w:pPr>
        <w:jc w:val="center"/>
        <w:rPr>
          <w:rFonts w:ascii="Arial" w:hAnsi="Arial" w:eastAsia="Arial" w:cs="Arial"/>
        </w:rPr>
      </w:pPr>
      <w:r>
        <w:rPr>
          <w:rFonts w:ascii="Arial" w:hAnsi="Arial" w:eastAsia="Arial" w:cs="Arial"/>
        </w:rPr>
        <w:t>(Source: Self-Developed)</w:t>
      </w:r>
    </w:p>
    <w:p w14:paraId="23D28F36">
      <w:pPr>
        <w:pStyle w:val="4"/>
        <w:rPr>
          <w:rFonts w:ascii="Arial" w:hAnsi="Arial" w:eastAsia="Arial" w:cs="Arial"/>
        </w:rPr>
      </w:pPr>
      <w:bookmarkStart w:id="19" w:name="_hm5ye73jeqsz" w:colFirst="0" w:colLast="0"/>
      <w:bookmarkEnd w:id="19"/>
      <w:r>
        <w:rPr>
          <w:rFonts w:ascii="Arial" w:hAnsi="Arial" w:eastAsia="Arial" w:cs="Arial"/>
        </w:rPr>
        <w:t>Critical Evaluation of Improvement Strategies</w:t>
      </w:r>
    </w:p>
    <w:p w14:paraId="5FCCDCF6">
      <w:pPr>
        <w:rPr>
          <w:rFonts w:ascii="Arial" w:hAnsi="Arial" w:eastAsia="Arial" w:cs="Arial"/>
        </w:rPr>
      </w:pPr>
      <w:r>
        <w:rPr>
          <w:rFonts w:ascii="Arial" w:hAnsi="Arial" w:eastAsia="Arial" w:cs="Arial"/>
        </w:rPr>
        <w:t xml:space="preserve">To ensure the safety of medicines, working together with service redesign at an organisation and leadership level is more important than fixing individual processes. Medication labelling could be adapted to reflect human factors to enhance clarity and minimise medication administration errors, especially among vulnerable older adults (Ghassab-Abdollahi </w:t>
      </w:r>
      <w:r>
        <w:rPr>
          <w:rFonts w:ascii="Arial" w:hAnsi="Arial" w:eastAsia="Arial" w:cs="Arial"/>
          <w:i/>
          <w:iCs/>
        </w:rPr>
        <w:t xml:space="preserve">et al., </w:t>
      </w:r>
      <w:r>
        <w:rPr>
          <w:rFonts w:ascii="Arial" w:hAnsi="Arial" w:eastAsia="Arial" w:cs="Arial"/>
        </w:rPr>
        <w:t xml:space="preserve">2024). Using the Teach-Back approach, a patient informational method relies on the ability of healthcare providers to confirm patient understanding and gain insights before the person is hurt. Digital incident reporting systems also enable the organisation to learn from the incidents that are reported; being able to report incidents promptly, analyse trends and share nationally via the HSSIB and NHS England are all useful in moving towards organisational learning. Leadership development should be a blend of behavioural, situational and transformational leadership to build communication, adaptability and teamwork (Pigola </w:t>
      </w:r>
      <w:r>
        <w:rPr>
          <w:rFonts w:ascii="Arial" w:hAnsi="Arial" w:eastAsia="Arial" w:cs="Arial"/>
          <w:i/>
          <w:iCs/>
        </w:rPr>
        <w:t xml:space="preserve">et al., </w:t>
      </w:r>
      <w:r>
        <w:rPr>
          <w:rFonts w:ascii="Arial" w:hAnsi="Arial" w:eastAsia="Arial" w:cs="Arial"/>
        </w:rPr>
        <w:t>2024). These evidence-based improvements, combined, help to create a better safety culture, which drives accountability and enables ongoing quality improvement within healthcare organisations.</w:t>
      </w:r>
    </w:p>
    <w:p w14:paraId="5145BB1C">
      <w:pPr>
        <w:pStyle w:val="4"/>
        <w:rPr>
          <w:rFonts w:ascii="Arial" w:hAnsi="Arial" w:eastAsia="Arial" w:cs="Arial"/>
        </w:rPr>
      </w:pPr>
      <w:bookmarkStart w:id="20" w:name="_tlfaz74nwtu2" w:colFirst="0" w:colLast="0"/>
      <w:bookmarkEnd w:id="20"/>
      <w:r>
        <w:rPr>
          <w:rFonts w:ascii="Arial" w:hAnsi="Arial" w:eastAsia="Arial" w:cs="Arial"/>
        </w:rPr>
        <w:t>Lessons Learned for Healthcare Organisations</w:t>
      </w:r>
    </w:p>
    <w:p w14:paraId="7B27F0AB">
      <w:pPr>
        <w:rPr>
          <w:rFonts w:ascii="Arial" w:hAnsi="Arial" w:eastAsia="Arial" w:cs="Arial"/>
        </w:rPr>
      </w:pPr>
      <w:r>
        <w:rPr>
          <w:rFonts w:ascii="Arial" w:hAnsi="Arial" w:eastAsia="Arial" w:cs="Arial"/>
        </w:rPr>
        <w:t>There are a number of lessons to be learned from Len's case for healthcare organisations.</w:t>
      </w:r>
    </w:p>
    <w:p w14:paraId="4648C59C">
      <w:pPr>
        <w:numPr>
          <w:ilvl w:val="0"/>
          <w:numId w:val="4"/>
        </w:numPr>
        <w:rPr>
          <w:rFonts w:ascii="Arial" w:hAnsi="Arial" w:eastAsia="Arial" w:cs="Arial"/>
        </w:rPr>
      </w:pPr>
      <w:r>
        <w:rPr>
          <w:rFonts w:ascii="Arial" w:hAnsi="Arial" w:eastAsia="Arial" w:cs="Arial"/>
        </w:rPr>
        <w:t>It is important that patient safety is achieved by integrated leadership, good governance, effective communication and a robust organisational safety culture, not through singling out individuals for blame.</w:t>
      </w:r>
    </w:p>
    <w:p w14:paraId="70D1C451">
      <w:pPr>
        <w:numPr>
          <w:ilvl w:val="0"/>
          <w:numId w:val="4"/>
        </w:numPr>
        <w:rPr>
          <w:rFonts w:ascii="Arial" w:hAnsi="Arial" w:eastAsia="Arial" w:cs="Arial"/>
        </w:rPr>
      </w:pPr>
      <w:r>
        <w:rPr>
          <w:rFonts w:ascii="Arial" w:hAnsi="Arial" w:eastAsia="Arial" w:cs="Arial"/>
        </w:rPr>
        <w:t>The need for person-centred care for the more vulnerable users of services should be matched with National standards and local flexibility.</w:t>
      </w:r>
    </w:p>
    <w:p w14:paraId="3A653EAD">
      <w:pPr>
        <w:numPr>
          <w:ilvl w:val="0"/>
          <w:numId w:val="4"/>
        </w:numPr>
        <w:rPr>
          <w:rFonts w:ascii="Arial" w:hAnsi="Arial" w:eastAsia="Arial" w:cs="Arial"/>
        </w:rPr>
      </w:pPr>
      <w:r>
        <w:rPr>
          <w:rFonts w:ascii="Arial" w:hAnsi="Arial" w:eastAsia="Arial" w:cs="Arial"/>
        </w:rPr>
        <w:t>To increase accountability, build resilience, and minimise avoidable medication harm, human-centred medication design, multidisciplinary cooperation, continuous reporting and organisational learning are crucial.</w:t>
      </w:r>
    </w:p>
    <w:p w14:paraId="59225839">
      <w:pPr>
        <w:pStyle w:val="4"/>
        <w:rPr>
          <w:rFonts w:ascii="Arial" w:hAnsi="Arial" w:eastAsia="Arial" w:cs="Arial"/>
        </w:rPr>
      </w:pPr>
      <w:bookmarkStart w:id="21" w:name="_rhnx1gtts1jv" w:colFirst="0" w:colLast="0"/>
      <w:bookmarkEnd w:id="21"/>
      <w:r>
        <w:rPr>
          <w:rFonts w:ascii="Arial" w:hAnsi="Arial" w:eastAsia="Arial" w:cs="Arial"/>
        </w:rPr>
        <w:t>Interaction Between System Structure, Leadership and Feedback</w:t>
      </w:r>
    </w:p>
    <w:p w14:paraId="159F79B2">
      <w:pPr>
        <w:numPr>
          <w:ilvl w:val="0"/>
          <w:numId w:val="5"/>
        </w:numPr>
      </w:pPr>
      <w:r>
        <w:rPr>
          <w:rFonts w:ascii="Arial" w:hAnsi="Arial" w:eastAsia="Arial" w:cs="Arial"/>
          <w:b/>
          <w:bCs/>
          <w:i/>
          <w:iCs/>
        </w:rPr>
        <w:t xml:space="preserve">System Structure and Leadership: </w:t>
      </w:r>
      <w:r>
        <w:rPr>
          <w:rFonts w:ascii="Arial" w:hAnsi="Arial" w:eastAsia="Arial" w:cs="Arial"/>
        </w:rPr>
        <w:t>The organisational structure and leadership were found to play a role in patient safety within Len's case. Communication standards and regulation (NICE and MHRA) were subject to centralised control, which meant no option to tailor communication for a vulnerable older patient. Decentralised clinical practice, on the other hand, showed the importance of professional judgement but resulted in inconsistencies in counselling and communication between the different courses of care.</w:t>
      </w:r>
    </w:p>
    <w:p w14:paraId="220C663A">
      <w:pPr>
        <w:numPr>
          <w:ilvl w:val="0"/>
          <w:numId w:val="5"/>
        </w:numPr>
      </w:pPr>
      <w:r>
        <w:rPr>
          <w:rFonts w:ascii="Arial" w:hAnsi="Arial" w:eastAsia="Arial" w:cs="Arial"/>
          <w:b/>
          <w:bCs/>
          <w:i/>
          <w:iCs/>
        </w:rPr>
        <w:t xml:space="preserve">Organisational Feedback and Lessons: </w:t>
      </w:r>
      <w:r>
        <w:rPr>
          <w:rFonts w:ascii="Arial" w:hAnsi="Arial" w:eastAsia="Arial" w:cs="Arial"/>
        </w:rPr>
        <w:t>With an investigation that looked at the incident from a system perspective, rather than an individual one, the HSSIB investigation became an opportunity for organisational learning. It made recommendations to ensure the safety of medicines, governance and regulatory oversight. It highlights the importance of ongoing feedback, evidence-based improvements and effective leadership to promote a culture of patient safety and improve accountability throughout healthcare organisations.</w:t>
      </w:r>
    </w:p>
    <w:p w14:paraId="50BA7A43">
      <w:pPr>
        <w:rPr>
          <w:rFonts w:ascii="Arial" w:hAnsi="Arial" w:eastAsia="Arial" w:cs="Arial"/>
        </w:rPr>
      </w:pPr>
      <w:r>
        <w:rPr>
          <w:rFonts w:ascii="Arial" w:hAnsi="Arial" w:eastAsia="Arial" w:cs="Arial"/>
        </w:rPr>
        <w:t>Len's case illustrates that to improve medication safety with sustainability, a coordinated multi-faceted approach to change is needed rather than a focus on isolated procedural interventions. Systems thinking helps to emphasise the need for a combination of human factors, teamwork and ongoing organisational learning to meet patient safety goals and expectations within the practice. The findings of these HSSIB investigations, along with those of NHS patient safety data, suggest a strong and proactive sense of leadership, better governance arrangements and better establishing the patient's point of view can help prevent harm. The NHS can build its organisations' resilience, enhance medicines use security results, and greatly boost a focus on quality improvement that will safeguard vulnerable patients and enable safer services, by promoting shared accountability for clinical practice, evidence-based decision making and continuous monitoring throughout the healthcare ecosystem.</w:t>
      </w:r>
    </w:p>
    <w:p w14:paraId="1CF14937">
      <w:pPr>
        <w:pStyle w:val="2"/>
        <w:rPr>
          <w:rFonts w:ascii="Arial" w:hAnsi="Arial" w:eastAsia="Arial" w:cs="Arial"/>
        </w:rPr>
      </w:pPr>
      <w:bookmarkStart w:id="22" w:name="_cabnul1iscsl" w:colFirst="0" w:colLast="0"/>
      <w:bookmarkEnd w:id="22"/>
      <w:r>
        <w:rPr>
          <w:rFonts w:ascii="Arial" w:hAnsi="Arial" w:eastAsia="Arial" w:cs="Arial"/>
        </w:rPr>
        <w:t>Recommendation</w:t>
      </w:r>
    </w:p>
    <w:p w14:paraId="6F927388">
      <w:pPr>
        <w:rPr>
          <w:rFonts w:ascii="Arial" w:hAnsi="Arial" w:eastAsia="Arial" w:cs="Arial"/>
        </w:rPr>
      </w:pPr>
      <w:r>
        <w:rPr>
          <w:rFonts w:ascii="Arial" w:hAnsi="Arial" w:eastAsia="Arial" w:cs="Arial"/>
        </w:rPr>
        <w:t>Based on the findings from Len's case, the following recommendations aim to strengthen leadership, governance, communication and medication safety across NHS primary and secondary care organisations.</w:t>
      </w:r>
    </w:p>
    <w:p w14:paraId="60671D38">
      <w:pPr>
        <w:rPr>
          <w:rFonts w:ascii="Arial" w:hAnsi="Arial" w:eastAsia="Arial" w:cs="Arial"/>
          <w:b/>
          <w:bCs/>
          <w:i/>
          <w:iCs/>
        </w:rPr>
      </w:pPr>
      <w:r>
        <w:rPr>
          <w:rFonts w:ascii="Arial" w:hAnsi="Arial" w:eastAsia="Arial" w:cs="Arial"/>
          <w:b/>
          <w:bCs/>
          <w:i/>
          <w:iCs/>
        </w:rPr>
        <w:t>Recommendation 1. Adopt Transformational and Situational Leadership</w:t>
      </w:r>
    </w:p>
    <w:p w14:paraId="6ED8CE13">
      <w:pPr>
        <w:rPr>
          <w:rFonts w:ascii="Arial" w:hAnsi="Arial" w:eastAsia="Arial" w:cs="Arial"/>
        </w:rPr>
      </w:pPr>
      <w:r>
        <w:rPr>
          <w:rFonts w:ascii="Arial" w:hAnsi="Arial" w:eastAsia="Arial" w:cs="Arial"/>
        </w:rPr>
        <w:t xml:space="preserve">The integration of transformational and situational aspects of leadership will facilitate healthcare organisations in enhancing patient safety. A culture of collaboration and continuous learning and patient-centredness, supported by transformational leadership, will be fostered, and adaptability in how communication and decision-making are led in accordance with patient needs will be enabled by situational leadership. Leaders should ensure that a personalised counselling procedure is used when members of staff are providing counselling to vulnerable patients, including older adults, rather than using a standardised procedure. Alanazi </w:t>
      </w:r>
      <w:r>
        <w:rPr>
          <w:rFonts w:ascii="Arial" w:hAnsi="Arial" w:eastAsia="Arial" w:cs="Arial"/>
          <w:i/>
          <w:iCs/>
        </w:rPr>
        <w:t xml:space="preserve">et al. </w:t>
      </w:r>
      <w:r>
        <w:rPr>
          <w:rFonts w:ascii="Arial" w:hAnsi="Arial" w:eastAsia="Arial" w:cs="Arial"/>
        </w:rPr>
        <w:t>(2025) indicate that adaptive leadership enhances teamwork, safety culture, and organisational resilience during times of complexity and multiple crises.</w:t>
      </w:r>
    </w:p>
    <w:p w14:paraId="0E669BDA">
      <w:pPr>
        <w:rPr>
          <w:rFonts w:ascii="Arial" w:hAnsi="Arial" w:eastAsia="Arial" w:cs="Arial"/>
          <w:b/>
          <w:bCs/>
          <w:i/>
          <w:iCs/>
        </w:rPr>
      </w:pPr>
      <w:r>
        <w:rPr>
          <w:rFonts w:ascii="Arial" w:hAnsi="Arial" w:eastAsia="Arial" w:cs="Arial"/>
          <w:b/>
          <w:bCs/>
          <w:i/>
          <w:iCs/>
        </w:rPr>
        <w:t>Recommendation 2. Enhance Governance and Medication Security.</w:t>
      </w:r>
    </w:p>
    <w:p w14:paraId="1175B1B8">
      <w:pPr>
        <w:rPr>
          <w:rFonts w:ascii="Arial" w:hAnsi="Arial" w:eastAsia="Arial" w:cs="Arial"/>
        </w:rPr>
      </w:pPr>
      <w:r>
        <w:rPr>
          <w:rFonts w:ascii="Arial" w:hAnsi="Arial" w:eastAsia="Arial" w:cs="Arial"/>
        </w:rPr>
        <w:t>Governance should take steps beyond compliance to proactive risk management. Mandatory and regular medicine safety audits and pharmacist-led risk assessments for high-risk medicines within NHS organisations. Packaging and labelling of medicines should be based on human factors principles that help reduce administration errors. Additionally, HSSIB recommendations need to be tracked consistently and incorporated into local government structures of clinical governance to ensure that they are implemented and held to account.</w:t>
      </w:r>
    </w:p>
    <w:p w14:paraId="6B2FAA2C">
      <w:pPr>
        <w:rPr>
          <w:rFonts w:ascii="Arial" w:hAnsi="Arial" w:eastAsia="Arial" w:cs="Arial"/>
          <w:b/>
          <w:bCs/>
          <w:i/>
          <w:iCs/>
        </w:rPr>
      </w:pPr>
      <w:r>
        <w:rPr>
          <w:rFonts w:ascii="Arial" w:hAnsi="Arial" w:eastAsia="Arial" w:cs="Arial"/>
          <w:b/>
          <w:bCs/>
          <w:i/>
          <w:iCs/>
        </w:rPr>
        <w:t>Recommendation 3. Enhance Communication and System Integration</w:t>
      </w:r>
    </w:p>
    <w:p w14:paraId="1EA03B05">
      <w:pPr>
        <w:rPr>
          <w:rFonts w:ascii="Arial" w:hAnsi="Arial" w:eastAsia="Arial" w:cs="Arial"/>
        </w:rPr>
      </w:pPr>
      <w:r>
        <w:rPr>
          <w:rFonts w:ascii="Arial" w:hAnsi="Arial" w:eastAsia="Arial" w:cs="Arial"/>
        </w:rPr>
        <w:t xml:space="preserve">Healthcare organisations need to improve multidisciplinary communication by ensuring providers have integrated electronic medication records shared between GPs, community pharmacy and hospital. Patients receiving high-risk medicines should routinely use standardised communication tools, like Teach-Back, and be provided with checklists for counselling on medications (O’Mahony </w:t>
      </w:r>
      <w:r>
        <w:rPr>
          <w:rFonts w:ascii="Arial" w:hAnsi="Arial" w:eastAsia="Arial" w:cs="Arial"/>
          <w:i/>
          <w:iCs/>
        </w:rPr>
        <w:t xml:space="preserve">et al., </w:t>
      </w:r>
      <w:r>
        <w:rPr>
          <w:rFonts w:ascii="Arial" w:hAnsi="Arial" w:eastAsia="Arial" w:cs="Arial"/>
        </w:rPr>
        <w:t>2023). Improved sharing of information will lead to better continuity of care, fewer information breakdowns and safer handoffs between health care settings.</w:t>
      </w:r>
    </w:p>
    <w:p w14:paraId="0404EAFD">
      <w:pPr>
        <w:rPr>
          <w:rFonts w:ascii="Arial" w:hAnsi="Arial" w:eastAsia="Arial" w:cs="Arial"/>
          <w:b/>
          <w:bCs/>
          <w:i/>
          <w:iCs/>
        </w:rPr>
      </w:pPr>
      <w:r>
        <w:rPr>
          <w:rFonts w:ascii="Arial" w:hAnsi="Arial" w:eastAsia="Arial" w:cs="Arial"/>
          <w:b/>
          <w:bCs/>
          <w:i/>
          <w:iCs/>
        </w:rPr>
        <w:t>Recommendation 4. Increase Technical and Allocative efficiency</w:t>
      </w:r>
    </w:p>
    <w:p w14:paraId="4BB799EA">
      <w:pPr>
        <w:rPr>
          <w:rFonts w:ascii="Arial" w:hAnsi="Arial" w:eastAsia="Arial" w:cs="Arial"/>
        </w:rPr>
      </w:pPr>
      <w:r>
        <w:rPr>
          <w:rFonts w:ascii="Arial" w:hAnsi="Arial" w:eastAsia="Arial" w:cs="Arial"/>
        </w:rPr>
        <w:t>The use of healthcare resources ought to be determined based on the risk of the patient to enhance both allocative and technical efficiency. Pharmacist-led medication reviews and more counselling are required for older people, patients with multiple long-term health conditions and patients taking high-risk medicines. Digital prescribing systems, EDCTs and electronic incident reporting should be enhanced to limit repetition, avoid medication errors and optimise resource use. These interventions help standardise care at a lower risk of harm and optimise resource utilisation.</w:t>
      </w:r>
    </w:p>
    <w:p w14:paraId="5D989413">
      <w:pPr>
        <w:rPr>
          <w:rFonts w:ascii="Arial" w:hAnsi="Arial" w:eastAsia="Arial" w:cs="Arial"/>
          <w:b/>
          <w:bCs/>
          <w:i/>
          <w:iCs/>
        </w:rPr>
      </w:pPr>
      <w:r>
        <w:rPr>
          <w:rFonts w:ascii="Arial" w:hAnsi="Arial" w:eastAsia="Arial" w:cs="Arial"/>
          <w:b/>
          <w:bCs/>
          <w:i/>
          <w:iCs/>
        </w:rPr>
        <w:t>Recommendation 5. Enhance Continuous Learning, Stakeholder Engagement and Co-production</w:t>
      </w:r>
    </w:p>
    <w:p w14:paraId="41759696">
      <w:pPr>
        <w:rPr>
          <w:rFonts w:ascii="Arial" w:hAnsi="Arial" w:eastAsia="Arial" w:cs="Arial"/>
        </w:rPr>
      </w:pPr>
      <w:r>
        <w:rPr>
          <w:rFonts w:ascii="Arial" w:hAnsi="Arial" w:eastAsia="Arial" w:cs="Arial"/>
        </w:rPr>
        <w:t>Using education and learning through the analysis of medication incidents, multidisciplinary medication safety reviews or sharing lessons learned from other healthcare organisations to create a culture of continuous learning within healthcare organisations. Co-producing approaches to active involvement of patients and carers in the design of the medication information, safety measures and programmes for quality improvement. More stakeholder engagement will lead to greater understanding by patients, increase patient trust and ensure that healthcare services better meet vulnerable populations' needs (Pellegrini and Lovati, 2025).</w:t>
      </w:r>
    </w:p>
    <w:p w14:paraId="571ED1BB">
      <w:pPr>
        <w:rPr>
          <w:rFonts w:ascii="Arial" w:hAnsi="Arial" w:eastAsia="Arial" w:cs="Arial"/>
          <w:b/>
          <w:bCs/>
          <w:i/>
          <w:iCs/>
        </w:rPr>
      </w:pPr>
      <w:r>
        <w:rPr>
          <w:rFonts w:ascii="Arial" w:hAnsi="Arial" w:eastAsia="Arial" w:cs="Arial"/>
          <w:b/>
          <w:bCs/>
          <w:i/>
          <w:iCs/>
        </w:rPr>
        <w:t>Recommendation 6. Monitor Performance Through Evidence-Based Quality Improvement</w:t>
      </w:r>
    </w:p>
    <w:p w14:paraId="5460D996">
      <w:pPr>
        <w:rPr>
          <w:rFonts w:ascii="Arial" w:hAnsi="Arial" w:eastAsia="Arial" w:cs="Arial"/>
        </w:rPr>
      </w:pPr>
      <w:r>
        <w:rPr>
          <w:rFonts w:ascii="Arial" w:hAnsi="Arial" w:eastAsia="Arial" w:cs="Arial"/>
        </w:rPr>
        <w:t xml:space="preserve">Methods of continuous improvement should be guided by regular assessment and measurable performance indicators. Medication incident rates, patient understanding, medication incident reporting compliance, medication counselling completion and HSSIB recommendations implementation in NHS organisations should be monitored. Adopting these data, leadership teams should judge efforts to improve, fit in evaluations of the performance of organisations and detect new risks that come up. Focusing on embedding evidence-informed decision-making in governance systems will boost accountability, enhance medication safety, and enable sustainable quality improvements beyond individual healthcare organisations. </w:t>
      </w:r>
    </w:p>
    <w:p w14:paraId="2288237D">
      <w:pPr>
        <w:pStyle w:val="2"/>
        <w:rPr>
          <w:rFonts w:ascii="Arial" w:hAnsi="Arial" w:eastAsia="Arial" w:cs="Arial"/>
        </w:rPr>
      </w:pPr>
      <w:bookmarkStart w:id="23" w:name="_2wec567fimxt" w:colFirst="0" w:colLast="0"/>
      <w:bookmarkEnd w:id="23"/>
      <w:r>
        <w:rPr>
          <w:rFonts w:ascii="Arial" w:hAnsi="Arial" w:eastAsia="Arial" w:cs="Arial"/>
        </w:rPr>
        <w:t>Conclusion</w:t>
      </w:r>
    </w:p>
    <w:p w14:paraId="5BC63DA3">
      <w:pPr>
        <w:rPr>
          <w:rFonts w:ascii="Arial" w:hAnsi="Arial" w:eastAsia="Arial" w:cs="Arial"/>
        </w:rPr>
      </w:pPr>
      <w:r>
        <w:rPr>
          <w:rFonts w:ascii="Arial" w:hAnsi="Arial" w:eastAsia="Arial" w:cs="Arial"/>
        </w:rPr>
        <w:t>Len's case shows that serious medication safety incidents do not typically follow a single, clinical cause but occur as a result of the interaction of leadership, governance, communication, organisational processes, and human factors. The systems thinking tool revealed the multiple failures along the medication pathway, which were identified as prescribing, dispensing, counselling and administration of medicines, as they led to the cul-de-sac effect of the overdose of morphine. The analysis identified that the mix of confusing medication labelling, a lack of effective communication, patient-centred counselling and organisational coordination also played a role in the harm. The Rich Picture also provided another example of how various aspects of patient, healthcare professional, regulatory, and organisational systems can impact medication safety.</w:t>
      </w:r>
    </w:p>
    <w:p w14:paraId="5F377E24">
      <w:pPr>
        <w:rPr>
          <w:rFonts w:ascii="Arial" w:hAnsi="Arial" w:eastAsia="Arial" w:cs="Arial"/>
        </w:rPr>
      </w:pPr>
      <w:r>
        <w:rPr>
          <w:rFonts w:ascii="Arial" w:hAnsi="Arial" w:eastAsia="Arial" w:cs="Arial"/>
        </w:rPr>
        <w:t>Assessment of the centralised and decentralised healthcare structures revealed that centralisation can increase standardisation of the healthcare system, ensure regulatory compliance and provide accountability, but can also limit flexibility to provide care for specific patient needs. Peer-to-peer (decentralisation) is beneficial to professional autonomy and personalised clinical decision-making, but demands strong governance and good communication to reduce the risk of variation in practice. Behavioural, situational and trait leadership theories were applied and found that while the appropriate clinical decisions were being made, patient understanding and the risks of harm were limited by ineffective people-centred leadership, proactive communication and adaptable decision making.</w:t>
      </w:r>
    </w:p>
    <w:p w14:paraId="623DA14F">
      <w:pPr>
        <w:rPr>
          <w:rFonts w:ascii="Arial" w:hAnsi="Arial" w:eastAsia="Arial" w:cs="Arial"/>
        </w:rPr>
      </w:pPr>
      <w:r>
        <w:rPr>
          <w:rFonts w:ascii="Arial" w:hAnsi="Arial" w:eastAsia="Arial" w:cs="Arial"/>
        </w:rPr>
        <w:t>Effective leaders, effective governance and 'systems thinking' are essential to creating better patient safety and resilience in organisations, the report states. Transformational and situational leadership, integrated communication systems, human-centred medication design, pharmacist-led medicine reviews and continual organisational learning are evidence-based recommendations that offer practical approaches to reducing medication-related harm. Routine practice can make it easier to embed continuous quality improvement, work in multidisciplinary teams, and patient-centred governance, which will strengthen NHS organisations' accountability, improve medication safety, and help establish a sustainable culture of learning that will lead to better healthcare quality and improve vulnerable patient safety.</w:t>
      </w:r>
      <w:bookmarkStart w:id="24" w:name="_ipvym8qzh681" w:colFirst="0" w:colLast="0"/>
      <w:bookmarkEnd w:id="24"/>
      <w:r>
        <w:br w:type="page"/>
      </w:r>
    </w:p>
    <w:p w14:paraId="71624211">
      <w:pPr>
        <w:pStyle w:val="2"/>
        <w:rPr>
          <w:rFonts w:ascii="Arial" w:hAnsi="Arial" w:eastAsia="Arial" w:cs="Arial"/>
        </w:rPr>
      </w:pPr>
      <w:bookmarkStart w:id="25" w:name="_onsz0sbus3rs" w:colFirst="0" w:colLast="0"/>
      <w:bookmarkEnd w:id="25"/>
      <w:r>
        <w:rPr>
          <w:rFonts w:ascii="Arial" w:hAnsi="Arial" w:eastAsia="Arial" w:cs="Arial"/>
        </w:rPr>
        <w:t>Reference List</w:t>
      </w:r>
    </w:p>
    <w:p w14:paraId="618D755E">
      <w:pPr>
        <w:spacing w:after="240"/>
        <w:rPr>
          <w:rFonts w:ascii="Arial" w:hAnsi="Arial" w:eastAsia="Arial" w:cs="Arial"/>
        </w:rPr>
      </w:pPr>
      <w:r>
        <w:rPr>
          <w:rFonts w:ascii="Arial" w:hAnsi="Arial" w:eastAsia="Arial" w:cs="Arial"/>
          <w:color w:val="222222"/>
        </w:rPr>
        <w:t xml:space="preserve">Ahmed, Z., Ellahham, S., Soomro, M., Shams, S. and Latif, K., 2024. Exploring the impact of compassion and leadership on patient safety and quality in healthcare systems: a narrative review. </w:t>
      </w:r>
      <w:r>
        <w:rPr>
          <w:rFonts w:ascii="Arial" w:hAnsi="Arial" w:eastAsia="Arial" w:cs="Arial"/>
          <w:i/>
          <w:iCs/>
          <w:color w:val="222222"/>
        </w:rPr>
        <w:t>BMJ open quality</w:t>
      </w:r>
      <w:r>
        <w:rPr>
          <w:rFonts w:ascii="Arial" w:hAnsi="Arial" w:eastAsia="Arial" w:cs="Arial"/>
          <w:color w:val="222222"/>
        </w:rPr>
        <w:t xml:space="preserve">, </w:t>
      </w:r>
      <w:r>
        <w:rPr>
          <w:rFonts w:ascii="Arial" w:hAnsi="Arial" w:eastAsia="Arial" w:cs="Arial"/>
          <w:i/>
          <w:iCs/>
          <w:color w:val="222222"/>
        </w:rPr>
        <w:t>13</w:t>
      </w:r>
      <w:r>
        <w:rPr>
          <w:rFonts w:ascii="Arial" w:hAnsi="Arial" w:eastAsia="Arial" w:cs="Arial"/>
          <w:color w:val="222222"/>
        </w:rPr>
        <w:t>(Suppl 2).</w:t>
      </w:r>
      <w:r>
        <w:rPr>
          <w:rFonts w:ascii="Arial" w:hAnsi="Arial" w:eastAsia="Arial" w:cs="Arial"/>
        </w:rPr>
        <w:t xml:space="preserve">  </w:t>
      </w:r>
      <w:r>
        <w:fldChar w:fldCharType="begin"/>
      </w:r>
      <w:r>
        <w:instrText xml:space="preserve"> HYPERLINK "https://bmjopenquality.bmj.com/content/bmjqir/13/Suppl_2/e002651.full.pdf?trk=public_post_comment-text" \h </w:instrText>
      </w:r>
      <w:r>
        <w:fldChar w:fldCharType="separate"/>
      </w:r>
      <w:r>
        <w:rPr>
          <w:rFonts w:ascii="Arial" w:hAnsi="Arial" w:eastAsia="Arial" w:cs="Arial"/>
          <w:color w:val="1155CC"/>
          <w:u w:val="single"/>
        </w:rPr>
        <w:t>https://bmjopenquality.bmj.com/content/bmjqir/13/Suppl_2/e002651.full.pdf?trk=public_post_comment-text</w:t>
      </w:r>
      <w:r>
        <w:rPr>
          <w:rFonts w:ascii="Arial" w:hAnsi="Arial" w:eastAsia="Arial" w:cs="Arial"/>
          <w:color w:val="1155CC"/>
          <w:u w:val="single"/>
        </w:rPr>
        <w:fldChar w:fldCharType="end"/>
      </w:r>
      <w:r>
        <w:rPr>
          <w:rFonts w:ascii="Arial" w:hAnsi="Arial" w:eastAsia="Arial" w:cs="Arial"/>
        </w:rPr>
        <w:t xml:space="preserve"> </w:t>
      </w:r>
    </w:p>
    <w:p w14:paraId="0ADC8645">
      <w:pPr>
        <w:spacing w:after="240"/>
        <w:rPr>
          <w:rFonts w:ascii="Arial" w:hAnsi="Arial" w:eastAsia="Arial" w:cs="Arial"/>
        </w:rPr>
      </w:pPr>
      <w:r>
        <w:rPr>
          <w:rFonts w:ascii="Arial" w:hAnsi="Arial" w:eastAsia="Arial" w:cs="Arial"/>
          <w:color w:val="222222"/>
        </w:rPr>
        <w:t xml:space="preserve">Alanazi, A.F., Rabi, M., Al-Kheetan, M.J. and Alkherret, A.J., 2025. Enhancing safety and crisis management through adaptive leadership in complex construction engineering projects. </w:t>
      </w:r>
      <w:r>
        <w:rPr>
          <w:rFonts w:ascii="Arial" w:hAnsi="Arial" w:eastAsia="Arial" w:cs="Arial"/>
          <w:i/>
          <w:iCs/>
          <w:color w:val="222222"/>
        </w:rPr>
        <w:t>Safety</w:t>
      </w:r>
      <w:r>
        <w:rPr>
          <w:rFonts w:ascii="Arial" w:hAnsi="Arial" w:eastAsia="Arial" w:cs="Arial"/>
          <w:color w:val="222222"/>
        </w:rPr>
        <w:t xml:space="preserve">, </w:t>
      </w:r>
      <w:r>
        <w:rPr>
          <w:rFonts w:ascii="Arial" w:hAnsi="Arial" w:eastAsia="Arial" w:cs="Arial"/>
          <w:i/>
          <w:iCs/>
          <w:color w:val="222222"/>
        </w:rPr>
        <w:t>11</w:t>
      </w:r>
      <w:r>
        <w:rPr>
          <w:rFonts w:ascii="Arial" w:hAnsi="Arial" w:eastAsia="Arial" w:cs="Arial"/>
          <w:color w:val="222222"/>
        </w:rPr>
        <w:t>(3), p.85.</w:t>
      </w:r>
      <w:r>
        <w:rPr>
          <w:rFonts w:ascii="Arial" w:hAnsi="Arial" w:eastAsia="Arial" w:cs="Arial"/>
        </w:rPr>
        <w:t xml:space="preserve"> </w:t>
      </w:r>
      <w:r>
        <w:fldChar w:fldCharType="begin"/>
      </w:r>
      <w:r>
        <w:instrText xml:space="preserve"> HYPERLINK "https://www.mdpi.com/2313-576X/11/3/85" \h </w:instrText>
      </w:r>
      <w:r>
        <w:fldChar w:fldCharType="separate"/>
      </w:r>
      <w:r>
        <w:rPr>
          <w:rFonts w:ascii="Arial" w:hAnsi="Arial" w:eastAsia="Arial" w:cs="Arial"/>
          <w:color w:val="1155CC"/>
          <w:u w:val="single"/>
        </w:rPr>
        <w:t>https://www.mdpi.com/2313-576X/11/3/85</w:t>
      </w:r>
      <w:r>
        <w:rPr>
          <w:rFonts w:ascii="Arial" w:hAnsi="Arial" w:eastAsia="Arial" w:cs="Arial"/>
          <w:color w:val="1155CC"/>
          <w:u w:val="single"/>
        </w:rPr>
        <w:fldChar w:fldCharType="end"/>
      </w:r>
    </w:p>
    <w:p w14:paraId="4917C6DA">
      <w:pPr>
        <w:spacing w:after="240"/>
        <w:rPr>
          <w:rFonts w:ascii="Arial" w:hAnsi="Arial" w:eastAsia="Arial" w:cs="Arial"/>
        </w:rPr>
      </w:pPr>
      <w:r>
        <w:rPr>
          <w:rFonts w:ascii="Arial" w:hAnsi="Arial" w:eastAsia="Arial" w:cs="Arial"/>
          <w:color w:val="222222"/>
        </w:rPr>
        <w:t xml:space="preserve">Ali, A. and Siddiqui, D.A., 2023. How relation-oriented, task-oriented and objective-oriented leadership affect employee performance during the pandemic: the mediatory role of individual job autonomy, and work tension, as well as team cohesiveness, teamwork tension, complemented by digital maturity. </w:t>
      </w:r>
      <w:r>
        <w:rPr>
          <w:rFonts w:ascii="Arial" w:hAnsi="Arial" w:eastAsia="Arial" w:cs="Arial"/>
          <w:i/>
          <w:iCs/>
          <w:color w:val="222222"/>
        </w:rPr>
        <w:t>Task-Oriented and Objective-Oriented Leadership Affect Employee Performance During the Pandemic: The Mediatory Role of Individual Job Autonomy, and Work Tension, as Well as Team Cohesiveness, Teamwork Tension, Complemented by Digital Maturity (April 28, 2023)</w:t>
      </w:r>
      <w:r>
        <w:rPr>
          <w:rFonts w:ascii="Arial" w:hAnsi="Arial" w:eastAsia="Arial" w:cs="Arial"/>
          <w:color w:val="222222"/>
        </w:rPr>
        <w:t>.</w:t>
      </w:r>
      <w:r>
        <w:rPr>
          <w:rFonts w:ascii="Arial" w:hAnsi="Arial" w:eastAsia="Arial" w:cs="Arial"/>
        </w:rPr>
        <w:t xml:space="preserve">  </w:t>
      </w:r>
      <w:r>
        <w:fldChar w:fldCharType="begin"/>
      </w:r>
      <w:r>
        <w:instrText xml:space="preserve"> HYPERLINK "https://papers.ssrn.com/sol3/Delivery.cfm?abstractid=4432166" \h </w:instrText>
      </w:r>
      <w:r>
        <w:fldChar w:fldCharType="separate"/>
      </w:r>
      <w:r>
        <w:rPr>
          <w:rFonts w:ascii="Arial" w:hAnsi="Arial" w:eastAsia="Arial" w:cs="Arial"/>
          <w:color w:val="1155CC"/>
          <w:u w:val="single"/>
        </w:rPr>
        <w:t>https://papers.ssrn.com/sol3/Delivery.cfm?abstractid=4432166</w:t>
      </w:r>
      <w:r>
        <w:rPr>
          <w:rFonts w:ascii="Arial" w:hAnsi="Arial" w:eastAsia="Arial" w:cs="Arial"/>
          <w:color w:val="1155CC"/>
          <w:u w:val="single"/>
        </w:rPr>
        <w:fldChar w:fldCharType="end"/>
      </w:r>
      <w:r>
        <w:rPr>
          <w:rFonts w:ascii="Arial" w:hAnsi="Arial" w:eastAsia="Arial" w:cs="Arial"/>
        </w:rPr>
        <w:t xml:space="preserve"> </w:t>
      </w:r>
    </w:p>
    <w:p w14:paraId="30348578">
      <w:pPr>
        <w:spacing w:after="240"/>
        <w:rPr>
          <w:rFonts w:ascii="Arial" w:hAnsi="Arial" w:eastAsia="Arial" w:cs="Arial"/>
        </w:rPr>
      </w:pPr>
      <w:r>
        <w:rPr>
          <w:rFonts w:ascii="Arial" w:hAnsi="Arial" w:eastAsia="Arial" w:cs="Arial"/>
          <w:color w:val="222222"/>
        </w:rPr>
        <w:t xml:space="preserve">Ali, H.M., Ranse, J., Roiko, A. and Desha, C., 2024. Developing a healthcare transformational leadership competency framework for disaster resilience and risk management. </w:t>
      </w:r>
      <w:r>
        <w:rPr>
          <w:rFonts w:ascii="Arial" w:hAnsi="Arial" w:eastAsia="Arial" w:cs="Arial"/>
          <w:i/>
          <w:iCs/>
          <w:color w:val="222222"/>
        </w:rPr>
        <w:t>International Journal of Disaster Risk Reduction</w:t>
      </w:r>
      <w:r>
        <w:rPr>
          <w:rFonts w:ascii="Arial" w:hAnsi="Arial" w:eastAsia="Arial" w:cs="Arial"/>
          <w:color w:val="222222"/>
        </w:rPr>
        <w:t xml:space="preserve">, </w:t>
      </w:r>
      <w:r>
        <w:rPr>
          <w:rFonts w:ascii="Arial" w:hAnsi="Arial" w:eastAsia="Arial" w:cs="Arial"/>
          <w:i/>
          <w:iCs/>
          <w:color w:val="222222"/>
        </w:rPr>
        <w:t>113</w:t>
      </w:r>
      <w:r>
        <w:rPr>
          <w:rFonts w:ascii="Arial" w:hAnsi="Arial" w:eastAsia="Arial" w:cs="Arial"/>
          <w:color w:val="222222"/>
        </w:rPr>
        <w:t>, p.104898.</w:t>
      </w:r>
      <w:r>
        <w:rPr>
          <w:rFonts w:ascii="Arial" w:hAnsi="Arial" w:eastAsia="Arial" w:cs="Arial"/>
        </w:rPr>
        <w:t xml:space="preserve"> </w:t>
      </w:r>
      <w:r>
        <w:fldChar w:fldCharType="begin"/>
      </w:r>
      <w:r>
        <w:instrText xml:space="preserve"> HYPERLINK "https://www.sciencedirect.com/science/article/pii/S2212420924006605" \h </w:instrText>
      </w:r>
      <w:r>
        <w:fldChar w:fldCharType="separate"/>
      </w:r>
      <w:r>
        <w:rPr>
          <w:rFonts w:ascii="Arial" w:hAnsi="Arial" w:eastAsia="Arial" w:cs="Arial"/>
          <w:color w:val="1155CC"/>
          <w:u w:val="single"/>
        </w:rPr>
        <w:t>https://www.sciencedirect.com/science/article/pii/S2212420924006605</w:t>
      </w:r>
      <w:r>
        <w:rPr>
          <w:rFonts w:ascii="Arial" w:hAnsi="Arial" w:eastAsia="Arial" w:cs="Arial"/>
          <w:color w:val="1155CC"/>
          <w:u w:val="single"/>
        </w:rPr>
        <w:fldChar w:fldCharType="end"/>
      </w:r>
    </w:p>
    <w:p w14:paraId="69F11220">
      <w:pPr>
        <w:spacing w:after="240"/>
        <w:rPr>
          <w:rFonts w:ascii="Arial" w:hAnsi="Arial" w:eastAsia="Arial" w:cs="Arial"/>
        </w:rPr>
      </w:pPr>
      <w:r>
        <w:rPr>
          <w:rFonts w:ascii="Arial" w:hAnsi="Arial" w:eastAsia="Arial" w:cs="Arial"/>
          <w:color w:val="222222"/>
        </w:rPr>
        <w:t xml:space="preserve">Davis, K.A., Grote, D., Mahmoudi, H., Perry, L., Ghaffarzadegan, N., Grohs, J., Hosseinichimeh, N., Knight, D.B. and Triantis, K., 2023. Comparing self-report assessments and scenario-based assessments of systems thinking competence. </w:t>
      </w:r>
      <w:r>
        <w:rPr>
          <w:rFonts w:ascii="Arial" w:hAnsi="Arial" w:eastAsia="Arial" w:cs="Arial"/>
          <w:i/>
          <w:iCs/>
          <w:color w:val="222222"/>
        </w:rPr>
        <w:t>Journal of science education and technology</w:t>
      </w:r>
      <w:r>
        <w:rPr>
          <w:rFonts w:ascii="Arial" w:hAnsi="Arial" w:eastAsia="Arial" w:cs="Arial"/>
          <w:color w:val="222222"/>
        </w:rPr>
        <w:t xml:space="preserve">, </w:t>
      </w:r>
      <w:r>
        <w:rPr>
          <w:rFonts w:ascii="Arial" w:hAnsi="Arial" w:eastAsia="Arial" w:cs="Arial"/>
          <w:i/>
          <w:iCs/>
          <w:color w:val="222222"/>
        </w:rPr>
        <w:t>32</w:t>
      </w:r>
      <w:r>
        <w:rPr>
          <w:rFonts w:ascii="Arial" w:hAnsi="Arial" w:eastAsia="Arial" w:cs="Arial"/>
          <w:color w:val="222222"/>
        </w:rPr>
        <w:t>(6), pp.793-813.</w:t>
      </w:r>
      <w:r>
        <w:rPr>
          <w:rFonts w:ascii="Arial" w:hAnsi="Arial" w:eastAsia="Arial" w:cs="Arial"/>
        </w:rPr>
        <w:t xml:space="preserve"> </w:t>
      </w:r>
      <w:r>
        <w:fldChar w:fldCharType="begin"/>
      </w:r>
      <w:r>
        <w:instrText xml:space="preserve"> HYPERLINK "https://link.springer.com/content/pdf/10.1007/s10956-023-10027-2.pdf" \h </w:instrText>
      </w:r>
      <w:r>
        <w:fldChar w:fldCharType="separate"/>
      </w:r>
      <w:r>
        <w:rPr>
          <w:rFonts w:ascii="Arial" w:hAnsi="Arial" w:eastAsia="Arial" w:cs="Arial"/>
          <w:color w:val="1155CC"/>
          <w:u w:val="single"/>
        </w:rPr>
        <w:t>https://link.springer.com/content/pdf/10.1007/s10956-023-10027-2.pdf</w:t>
      </w:r>
      <w:r>
        <w:rPr>
          <w:rFonts w:ascii="Arial" w:hAnsi="Arial" w:eastAsia="Arial" w:cs="Arial"/>
          <w:color w:val="1155CC"/>
          <w:u w:val="single"/>
        </w:rPr>
        <w:fldChar w:fldCharType="end"/>
      </w:r>
    </w:p>
    <w:p w14:paraId="6051450B">
      <w:pPr>
        <w:spacing w:after="240"/>
        <w:rPr>
          <w:rFonts w:ascii="Arial" w:hAnsi="Arial" w:eastAsia="Arial" w:cs="Arial"/>
        </w:rPr>
      </w:pPr>
      <w:r>
        <w:rPr>
          <w:rFonts w:ascii="Arial" w:hAnsi="Arial" w:eastAsia="Arial" w:cs="Arial"/>
          <w:color w:val="222222"/>
        </w:rPr>
        <w:t xml:space="preserve">Falade, I.M., Gyampoh, G.K.S., Akpamgbo, E.O., Chika, O.C., Obodo, O.R., Okobi, O.E., Aguguo, J.C. and Chukwu, V.U., 2024. A comprehensive review of effective patient safety and quality improvement programs in healthcare facilities. </w:t>
      </w:r>
      <w:r>
        <w:rPr>
          <w:rFonts w:ascii="Arial" w:hAnsi="Arial" w:eastAsia="Arial" w:cs="Arial"/>
          <w:i/>
          <w:iCs/>
          <w:color w:val="222222"/>
        </w:rPr>
        <w:t>Medical Research Archives</w:t>
      </w:r>
      <w:r>
        <w:rPr>
          <w:rFonts w:ascii="Arial" w:hAnsi="Arial" w:eastAsia="Arial" w:cs="Arial"/>
          <w:color w:val="222222"/>
        </w:rPr>
        <w:t xml:space="preserve">, </w:t>
      </w:r>
      <w:r>
        <w:rPr>
          <w:rFonts w:ascii="Arial" w:hAnsi="Arial" w:eastAsia="Arial" w:cs="Arial"/>
          <w:i/>
          <w:iCs/>
          <w:color w:val="222222"/>
        </w:rPr>
        <w:t>12</w:t>
      </w:r>
      <w:r>
        <w:rPr>
          <w:rFonts w:ascii="Arial" w:hAnsi="Arial" w:eastAsia="Arial" w:cs="Arial"/>
          <w:color w:val="222222"/>
        </w:rPr>
        <w:t>(7).</w:t>
      </w:r>
      <w:r>
        <w:rPr>
          <w:rFonts w:ascii="Arial" w:hAnsi="Arial" w:eastAsia="Arial" w:cs="Arial"/>
        </w:rPr>
        <w:t xml:space="preserve"> </w:t>
      </w:r>
      <w:r>
        <w:fldChar w:fldCharType="begin"/>
      </w:r>
      <w:r>
        <w:instrText xml:space="preserve"> HYPERLINK "https://www.researchgate.net/profile/Gideon-Gyampoh/publication/382821234_A_Comprehensive_Review_of_Effective_Patient_Safety_and_Quality_Improvement_Programs_in_Healthcare_Facilities/links/66c686a597265406eaa0606d/A-Comprehensive-Review-of-Effective-Patient-Safety-and-Quality-Improvement-Programs-in-Healthcare-Facilities.pdf" \h </w:instrText>
      </w:r>
      <w:r>
        <w:fldChar w:fldCharType="separate"/>
      </w:r>
      <w:r>
        <w:rPr>
          <w:rFonts w:ascii="Arial" w:hAnsi="Arial" w:eastAsia="Arial" w:cs="Arial"/>
          <w:color w:val="1155CC"/>
          <w:u w:val="single"/>
        </w:rPr>
        <w:t>https://www.researchgate.net/profile/Gideon-Gyampoh/publication/382821234_A_Comprehensive_Review_of_Effective_Patient_Safety_and_Quality_Improvement_Programs_in_Healthcare_Facilities/links/66c686a597265406eaa0606d/A-Comprehensive-Review-of-Effective-Patient-Safety-and-Quality-Improvement-Programs-in-Healthcare-Facilities.pdf</w:t>
      </w:r>
      <w:r>
        <w:rPr>
          <w:rFonts w:ascii="Arial" w:hAnsi="Arial" w:eastAsia="Arial" w:cs="Arial"/>
          <w:color w:val="1155CC"/>
          <w:u w:val="single"/>
        </w:rPr>
        <w:fldChar w:fldCharType="end"/>
      </w:r>
    </w:p>
    <w:p w14:paraId="28D294A8">
      <w:pPr>
        <w:spacing w:after="240"/>
        <w:rPr>
          <w:rFonts w:ascii="Arial" w:hAnsi="Arial" w:eastAsia="Arial" w:cs="Arial"/>
        </w:rPr>
      </w:pPr>
      <w:r>
        <w:rPr>
          <w:rFonts w:ascii="Arial" w:hAnsi="Arial" w:eastAsia="Arial" w:cs="Arial"/>
          <w:color w:val="222222"/>
        </w:rPr>
        <w:t xml:space="preserve">Gens-Barberà, M., Hernández-Vidal, N., Vidal-Esteve, E., Mengíbar-García, Y., Hospital-Guardiola, I., Oya-Girona, E.M., Bejarano-Romero, F., Castro-Muniain, C., Satue-Gracia, E.M., Rey-Renones, C. and Martin-Lujan, F.M., 2021. Analysis of patient safety incidents in primary care reported in an electronic registry application. </w:t>
      </w:r>
      <w:r>
        <w:rPr>
          <w:rFonts w:ascii="Arial" w:hAnsi="Arial" w:eastAsia="Arial" w:cs="Arial"/>
          <w:i/>
          <w:iCs/>
          <w:color w:val="222222"/>
        </w:rPr>
        <w:t>International Journal of Environmental Research and Public Health</w:t>
      </w:r>
      <w:r>
        <w:rPr>
          <w:rFonts w:ascii="Arial" w:hAnsi="Arial" w:eastAsia="Arial" w:cs="Arial"/>
          <w:color w:val="222222"/>
        </w:rPr>
        <w:t xml:space="preserve">, </w:t>
      </w:r>
      <w:r>
        <w:rPr>
          <w:rFonts w:ascii="Arial" w:hAnsi="Arial" w:eastAsia="Arial" w:cs="Arial"/>
          <w:i/>
          <w:iCs/>
          <w:color w:val="222222"/>
        </w:rPr>
        <w:t>18</w:t>
      </w:r>
      <w:r>
        <w:rPr>
          <w:rFonts w:ascii="Arial" w:hAnsi="Arial" w:eastAsia="Arial" w:cs="Arial"/>
          <w:color w:val="222222"/>
        </w:rPr>
        <w:t>(17), p.8941.</w:t>
      </w:r>
      <w:r>
        <w:rPr>
          <w:rFonts w:ascii="Arial" w:hAnsi="Arial" w:eastAsia="Arial" w:cs="Arial"/>
        </w:rPr>
        <w:t xml:space="preserve"> </w:t>
      </w:r>
      <w:r>
        <w:fldChar w:fldCharType="begin"/>
      </w:r>
      <w:r>
        <w:instrText xml:space="preserve"> HYPERLINK "https://www.mdpi.com/1660-4601/18/17/8941" \h </w:instrText>
      </w:r>
      <w:r>
        <w:fldChar w:fldCharType="separate"/>
      </w:r>
      <w:r>
        <w:rPr>
          <w:rFonts w:ascii="Arial" w:hAnsi="Arial" w:eastAsia="Arial" w:cs="Arial"/>
          <w:color w:val="1155CC"/>
          <w:u w:val="single"/>
        </w:rPr>
        <w:t>https://www.mdpi.com/1660-4601/18/17/8941</w:t>
      </w:r>
      <w:r>
        <w:rPr>
          <w:rFonts w:ascii="Arial" w:hAnsi="Arial" w:eastAsia="Arial" w:cs="Arial"/>
          <w:color w:val="1155CC"/>
          <w:u w:val="single"/>
        </w:rPr>
        <w:fldChar w:fldCharType="end"/>
      </w:r>
    </w:p>
    <w:p w14:paraId="319DCCD2">
      <w:pPr>
        <w:spacing w:after="240"/>
        <w:rPr>
          <w:rFonts w:ascii="Arial" w:hAnsi="Arial" w:eastAsia="Arial" w:cs="Arial"/>
        </w:rPr>
      </w:pPr>
      <w:r>
        <w:rPr>
          <w:rFonts w:ascii="Arial" w:hAnsi="Arial" w:eastAsia="Arial" w:cs="Arial"/>
          <w:color w:val="222222"/>
        </w:rPr>
        <w:t xml:space="preserve">Ghallab, A. and Sallam, F., 2026. The Effect of Situational Leadership on Healthcare Service Quality Through Crisis Management and Resources Availability: The Moderating Role of Leader Experience. </w:t>
      </w:r>
      <w:r>
        <w:rPr>
          <w:rFonts w:ascii="Arial" w:hAnsi="Arial" w:eastAsia="Arial" w:cs="Arial"/>
          <w:i/>
          <w:iCs/>
          <w:color w:val="222222"/>
        </w:rPr>
        <w:t>Risk Management and Healthcare Policy</w:t>
      </w:r>
      <w:r>
        <w:rPr>
          <w:rFonts w:ascii="Arial" w:hAnsi="Arial" w:eastAsia="Arial" w:cs="Arial"/>
          <w:color w:val="222222"/>
        </w:rPr>
        <w:t>, p.589078.</w:t>
      </w:r>
      <w:r>
        <w:rPr>
          <w:rFonts w:ascii="Arial" w:hAnsi="Arial" w:eastAsia="Arial" w:cs="Arial"/>
        </w:rPr>
        <w:t xml:space="preserve">  </w:t>
      </w:r>
      <w:r>
        <w:fldChar w:fldCharType="begin"/>
      </w:r>
      <w:r>
        <w:instrText xml:space="preserve"> HYPERLINK "https://www.tandfonline.com/doi/pdf/10.2147/RMHP.S589078" \h </w:instrText>
      </w:r>
      <w:r>
        <w:fldChar w:fldCharType="separate"/>
      </w:r>
      <w:r>
        <w:rPr>
          <w:rFonts w:ascii="Arial" w:hAnsi="Arial" w:eastAsia="Arial" w:cs="Arial"/>
          <w:color w:val="1155CC"/>
          <w:u w:val="single"/>
        </w:rPr>
        <w:t>https://www.tandfonline.com/doi/pdf/10.2147/RMHP.S589078</w:t>
      </w:r>
      <w:r>
        <w:rPr>
          <w:rFonts w:ascii="Arial" w:hAnsi="Arial" w:eastAsia="Arial" w:cs="Arial"/>
          <w:color w:val="1155CC"/>
          <w:u w:val="single"/>
        </w:rPr>
        <w:fldChar w:fldCharType="end"/>
      </w:r>
      <w:r>
        <w:rPr>
          <w:rFonts w:ascii="Arial" w:hAnsi="Arial" w:eastAsia="Arial" w:cs="Arial"/>
        </w:rPr>
        <w:t xml:space="preserve"> </w:t>
      </w:r>
    </w:p>
    <w:p w14:paraId="0DC75B53">
      <w:pPr>
        <w:spacing w:after="240"/>
        <w:rPr>
          <w:rFonts w:ascii="Arial" w:hAnsi="Arial" w:eastAsia="Arial" w:cs="Arial"/>
        </w:rPr>
      </w:pPr>
      <w:r>
        <w:rPr>
          <w:rFonts w:ascii="Arial" w:hAnsi="Arial" w:eastAsia="Arial" w:cs="Arial"/>
          <w:color w:val="222222"/>
        </w:rPr>
        <w:t xml:space="preserve">Ghassab-Abdollahi, N., Ghorbani, Z., Kheirollahi, N., Nadrian, H. and Hashemiparast‬‬‬‬‬‬‬‬‬‬‬‬‬‬‬‬‬‬‬‬, M., 2024. Exploring the reasons for self-administration medication errors among illiterate and low-literate community-dwelling older adults with polypharmacy: a qualitative study. </w:t>
      </w:r>
      <w:r>
        <w:rPr>
          <w:rFonts w:ascii="Arial" w:hAnsi="Arial" w:eastAsia="Arial" w:cs="Arial"/>
          <w:i/>
          <w:iCs/>
          <w:color w:val="222222"/>
        </w:rPr>
        <w:t>BMC geriatrics</w:t>
      </w:r>
      <w:r>
        <w:rPr>
          <w:rFonts w:ascii="Arial" w:hAnsi="Arial" w:eastAsia="Arial" w:cs="Arial"/>
          <w:color w:val="222222"/>
        </w:rPr>
        <w:t xml:space="preserve">, </w:t>
      </w:r>
      <w:r>
        <w:rPr>
          <w:rFonts w:ascii="Arial" w:hAnsi="Arial" w:eastAsia="Arial" w:cs="Arial"/>
          <w:i/>
          <w:iCs/>
          <w:color w:val="222222"/>
        </w:rPr>
        <w:t>24</w:t>
      </w:r>
      <w:r>
        <w:rPr>
          <w:rFonts w:ascii="Arial" w:hAnsi="Arial" w:eastAsia="Arial" w:cs="Arial"/>
          <w:color w:val="222222"/>
        </w:rPr>
        <w:t>(1), p.1010.</w:t>
      </w:r>
      <w:r>
        <w:rPr>
          <w:rFonts w:ascii="Arial" w:hAnsi="Arial" w:eastAsia="Arial" w:cs="Arial"/>
        </w:rPr>
        <w:t xml:space="preserve"> </w:t>
      </w:r>
      <w:r>
        <w:fldChar w:fldCharType="begin"/>
      </w:r>
      <w:r>
        <w:instrText xml:space="preserve"> HYPERLINK "https://link.springer.com/content/pdf/10.1186/s12877-024-05595-w.pdf" \h </w:instrText>
      </w:r>
      <w:r>
        <w:fldChar w:fldCharType="separate"/>
      </w:r>
      <w:r>
        <w:rPr>
          <w:rFonts w:ascii="Arial" w:hAnsi="Arial" w:eastAsia="Arial" w:cs="Arial"/>
          <w:color w:val="1155CC"/>
          <w:u w:val="single"/>
        </w:rPr>
        <w:t>https://link.springer.com/content/pdf/10.1186/s12877-024-05595-w.pdf</w:t>
      </w:r>
      <w:r>
        <w:rPr>
          <w:rFonts w:ascii="Arial" w:hAnsi="Arial" w:eastAsia="Arial" w:cs="Arial"/>
          <w:color w:val="1155CC"/>
          <w:u w:val="single"/>
        </w:rPr>
        <w:fldChar w:fldCharType="end"/>
      </w:r>
    </w:p>
    <w:p w14:paraId="34073A1F">
      <w:pPr>
        <w:spacing w:after="240"/>
        <w:rPr>
          <w:rFonts w:ascii="Arial" w:hAnsi="Arial" w:eastAsia="Arial" w:cs="Arial"/>
        </w:rPr>
      </w:pPr>
      <w:r>
        <w:rPr>
          <w:rFonts w:ascii="Arial" w:hAnsi="Arial" w:eastAsia="Arial" w:cs="Arial"/>
          <w:color w:val="222222"/>
        </w:rPr>
        <w:t xml:space="preserve">Ho, K.H.M., Chung, V. and Chiang, L., 2023. Hermeneutic phenomenology, person-centred care, and loneliness. In </w:t>
      </w:r>
      <w:r>
        <w:rPr>
          <w:rFonts w:ascii="Arial" w:hAnsi="Arial" w:eastAsia="Arial" w:cs="Arial"/>
          <w:i/>
          <w:iCs/>
          <w:color w:val="222222"/>
        </w:rPr>
        <w:t>Routledge Handbook of Philosophy and Nursing</w:t>
      </w:r>
      <w:r>
        <w:rPr>
          <w:rFonts w:ascii="Arial" w:hAnsi="Arial" w:eastAsia="Arial" w:cs="Arial"/>
          <w:color w:val="222222"/>
        </w:rPr>
        <w:t xml:space="preserve"> (pp. 169-178). Routledge.</w:t>
      </w:r>
      <w:r>
        <w:rPr>
          <w:rFonts w:ascii="Arial" w:hAnsi="Arial" w:eastAsia="Arial" w:cs="Arial"/>
        </w:rPr>
        <w:t xml:space="preserve">  </w:t>
      </w:r>
      <w:r>
        <w:fldChar w:fldCharType="begin"/>
      </w:r>
      <w:r>
        <w:instrText xml:space="preserve"> HYPERLINK "http://assets.unprimdn.ac.id.s3.amazonaws.com/documents/library_books/62815/5e42473cc38ca5eb45eaf72203525369b58a168a.pdf" \l "page=186" \h </w:instrText>
      </w:r>
      <w:r>
        <w:fldChar w:fldCharType="separate"/>
      </w:r>
      <w:r>
        <w:rPr>
          <w:rFonts w:ascii="Arial" w:hAnsi="Arial" w:eastAsia="Arial" w:cs="Arial"/>
          <w:color w:val="1155CC"/>
          <w:u w:val="single"/>
        </w:rPr>
        <w:t>http://assets.unprimdn.ac.id.s3.amazonaws.com/documents/library_books/62815/5e42473cc38ca5eb45eaf72203525369b58a168a.pdf#page=186</w:t>
      </w:r>
      <w:r>
        <w:rPr>
          <w:rFonts w:ascii="Arial" w:hAnsi="Arial" w:eastAsia="Arial" w:cs="Arial"/>
          <w:color w:val="1155CC"/>
          <w:u w:val="single"/>
        </w:rPr>
        <w:fldChar w:fldCharType="end"/>
      </w:r>
      <w:r>
        <w:rPr>
          <w:rFonts w:ascii="Arial" w:hAnsi="Arial" w:eastAsia="Arial" w:cs="Arial"/>
        </w:rPr>
        <w:t xml:space="preserve">  </w:t>
      </w:r>
    </w:p>
    <w:p w14:paraId="144D8F3B">
      <w:pPr>
        <w:spacing w:after="240"/>
        <w:rPr>
          <w:rFonts w:ascii="Arial" w:hAnsi="Arial" w:eastAsia="Arial" w:cs="Arial"/>
        </w:rPr>
      </w:pPr>
      <w:r>
        <w:rPr>
          <w:rFonts w:ascii="Arial" w:hAnsi="Arial" w:eastAsia="Arial" w:cs="Arial"/>
        </w:rPr>
        <w:t xml:space="preserve">Hssib.org.uk (2022). </w:t>
      </w:r>
      <w:r>
        <w:rPr>
          <w:rFonts w:ascii="Arial" w:hAnsi="Arial" w:eastAsia="Arial" w:cs="Arial"/>
          <w:i/>
          <w:iCs/>
        </w:rPr>
        <w:t>Unintentional overdose of morphine sulfate oral solution</w:t>
      </w:r>
      <w:r>
        <w:rPr>
          <w:rFonts w:ascii="Arial" w:hAnsi="Arial" w:eastAsia="Arial" w:cs="Arial"/>
        </w:rPr>
        <w:t xml:space="preserve">. [online] Available at: </w:t>
      </w:r>
      <w:r>
        <w:fldChar w:fldCharType="begin"/>
      </w:r>
      <w:r>
        <w:instrText xml:space="preserve"> HYPERLINK "https://www.hssib.org.uk/patient-safety-investigations/unintentional-overdose-of-morphine-sulfate-oral-solution/investigation-report/" \h </w:instrText>
      </w:r>
      <w:r>
        <w:fldChar w:fldCharType="separate"/>
      </w:r>
      <w:r>
        <w:rPr>
          <w:rFonts w:ascii="Arial" w:hAnsi="Arial" w:eastAsia="Arial" w:cs="Arial"/>
          <w:color w:val="1155CC"/>
          <w:u w:val="single"/>
        </w:rPr>
        <w:t>https://www.hssib.org.uk/patient-safety-investigations/unintentional-overdose-of-morphine-sulfate-oral-solution/investigation-report/</w:t>
      </w:r>
      <w:r>
        <w:rPr>
          <w:rFonts w:ascii="Arial" w:hAnsi="Arial" w:eastAsia="Arial" w:cs="Arial"/>
          <w:color w:val="1155CC"/>
          <w:u w:val="single"/>
        </w:rPr>
        <w:fldChar w:fldCharType="end"/>
      </w:r>
      <w:r>
        <w:rPr>
          <w:rFonts w:ascii="Arial" w:hAnsi="Arial" w:eastAsia="Arial" w:cs="Arial"/>
        </w:rPr>
        <w:t xml:space="preserve">  </w:t>
      </w:r>
    </w:p>
    <w:p w14:paraId="7E7C8759">
      <w:pPr>
        <w:spacing w:after="240"/>
        <w:rPr>
          <w:rFonts w:ascii="Arial" w:hAnsi="Arial" w:eastAsia="Arial" w:cs="Arial"/>
        </w:rPr>
      </w:pPr>
      <w:r>
        <w:rPr>
          <w:rFonts w:ascii="Arial" w:hAnsi="Arial" w:eastAsia="Arial" w:cs="Arial"/>
          <w:color w:val="222222"/>
        </w:rPr>
        <w:t xml:space="preserve">Huang, C.H., Wu, H.H., Lee, Y.C. and Li, X., 2024. The critical role of leadership in patient safety culture: a mediation analysis of management influence on safety factors. </w:t>
      </w:r>
      <w:r>
        <w:rPr>
          <w:rFonts w:ascii="Arial" w:hAnsi="Arial" w:eastAsia="Arial" w:cs="Arial"/>
          <w:i/>
          <w:iCs/>
          <w:color w:val="222222"/>
        </w:rPr>
        <w:t>Risk management and healthcare policy</w:t>
      </w:r>
      <w:r>
        <w:rPr>
          <w:rFonts w:ascii="Arial" w:hAnsi="Arial" w:eastAsia="Arial" w:cs="Arial"/>
          <w:color w:val="222222"/>
        </w:rPr>
        <w:t>, pp.513-523.</w:t>
      </w:r>
      <w:r>
        <w:rPr>
          <w:rFonts w:ascii="Arial" w:hAnsi="Arial" w:eastAsia="Arial" w:cs="Arial"/>
        </w:rPr>
        <w:t xml:space="preserve">  </w:t>
      </w:r>
      <w:r>
        <w:fldChar w:fldCharType="begin"/>
      </w:r>
      <w:r>
        <w:instrText xml:space="preserve"> HYPERLINK "https://www.tandfonline.com/doi/pdf/10.2147/RMHP.S446651%4010.1080/tfocoll.2024.0.issue-Advancing_Patient" \h </w:instrText>
      </w:r>
      <w:r>
        <w:fldChar w:fldCharType="separate"/>
      </w:r>
      <w:r>
        <w:rPr>
          <w:rFonts w:ascii="Arial" w:hAnsi="Arial" w:eastAsia="Arial" w:cs="Arial"/>
          <w:color w:val="1155CC"/>
          <w:u w:val="single"/>
        </w:rPr>
        <w:t>https://www.tandfonline.com/doi/pdf/10.2147/RMHP.S446651%4010.1080/tfocoll.2024.0.issue-Advancing_Patient</w:t>
      </w:r>
      <w:r>
        <w:rPr>
          <w:rFonts w:ascii="Arial" w:hAnsi="Arial" w:eastAsia="Arial" w:cs="Arial"/>
          <w:color w:val="1155CC"/>
          <w:u w:val="single"/>
        </w:rPr>
        <w:fldChar w:fldCharType="end"/>
      </w:r>
      <w:r>
        <w:rPr>
          <w:rFonts w:ascii="Arial" w:hAnsi="Arial" w:eastAsia="Arial" w:cs="Arial"/>
        </w:rPr>
        <w:t xml:space="preserve"> </w:t>
      </w:r>
    </w:p>
    <w:p w14:paraId="0A615506">
      <w:pPr>
        <w:spacing w:after="240"/>
        <w:rPr>
          <w:rFonts w:ascii="Arial" w:hAnsi="Arial" w:eastAsia="Arial" w:cs="Arial"/>
        </w:rPr>
      </w:pPr>
      <w:r>
        <w:rPr>
          <w:rFonts w:ascii="Arial" w:hAnsi="Arial" w:eastAsia="Arial" w:cs="Arial"/>
          <w:color w:val="222222"/>
        </w:rPr>
        <w:t xml:space="preserve">Jia, H., 2025. Contingency theory and leadership style: The theoretical impact of environmental dynamics on management adaptability. </w:t>
      </w:r>
      <w:r>
        <w:rPr>
          <w:rFonts w:ascii="Arial" w:hAnsi="Arial" w:eastAsia="Arial" w:cs="Arial"/>
          <w:i/>
          <w:iCs/>
          <w:color w:val="222222"/>
        </w:rPr>
        <w:t>Global Media and Social Sciences Research Journal</w:t>
      </w:r>
      <w:r>
        <w:rPr>
          <w:rFonts w:ascii="Arial" w:hAnsi="Arial" w:eastAsia="Arial" w:cs="Arial"/>
          <w:color w:val="222222"/>
        </w:rPr>
        <w:t xml:space="preserve">, </w:t>
      </w:r>
      <w:r>
        <w:rPr>
          <w:rFonts w:ascii="Arial" w:hAnsi="Arial" w:eastAsia="Arial" w:cs="Arial"/>
          <w:i/>
          <w:iCs/>
          <w:color w:val="222222"/>
        </w:rPr>
        <w:t>6</w:t>
      </w:r>
      <w:r>
        <w:rPr>
          <w:rFonts w:ascii="Arial" w:hAnsi="Arial" w:eastAsia="Arial" w:cs="Arial"/>
          <w:color w:val="222222"/>
        </w:rPr>
        <w:t>(1), pp.201-206.</w:t>
      </w:r>
      <w:r>
        <w:rPr>
          <w:rFonts w:ascii="Arial" w:hAnsi="Arial" w:eastAsia="Arial" w:cs="Arial"/>
        </w:rPr>
        <w:t xml:space="preserve">  </w:t>
      </w:r>
      <w:r>
        <w:fldChar w:fldCharType="begin"/>
      </w:r>
      <w:r>
        <w:instrText xml:space="preserve"> HYPERLINK "https://gmssrj.com/index.php/main/article/download/83/220" \h </w:instrText>
      </w:r>
      <w:r>
        <w:fldChar w:fldCharType="separate"/>
      </w:r>
      <w:r>
        <w:rPr>
          <w:rFonts w:ascii="Arial" w:hAnsi="Arial" w:eastAsia="Arial" w:cs="Arial"/>
          <w:color w:val="1155CC"/>
          <w:u w:val="single"/>
        </w:rPr>
        <w:t>https://gmssrj.com/index.php/main/article/download/83/220</w:t>
      </w:r>
      <w:r>
        <w:rPr>
          <w:rFonts w:ascii="Arial" w:hAnsi="Arial" w:eastAsia="Arial" w:cs="Arial"/>
          <w:color w:val="1155CC"/>
          <w:u w:val="single"/>
        </w:rPr>
        <w:fldChar w:fldCharType="end"/>
      </w:r>
      <w:r>
        <w:rPr>
          <w:rFonts w:ascii="Arial" w:hAnsi="Arial" w:eastAsia="Arial" w:cs="Arial"/>
        </w:rPr>
        <w:t xml:space="preserve"> </w:t>
      </w:r>
    </w:p>
    <w:p w14:paraId="53078C0A">
      <w:pPr>
        <w:spacing w:after="240"/>
        <w:rPr>
          <w:rFonts w:ascii="Arial" w:hAnsi="Arial" w:eastAsia="Arial" w:cs="Arial"/>
        </w:rPr>
      </w:pPr>
      <w:r>
        <w:rPr>
          <w:rFonts w:ascii="Arial" w:hAnsi="Arial" w:eastAsia="Arial" w:cs="Arial"/>
          <w:color w:val="222222"/>
        </w:rPr>
        <w:t xml:space="preserve">Liang, Z., Montgomery, J., Dingelstad, C., Koschel, A. and Redford, M., 2025. Making Multidisciplinary Team-Based Care (MTBC) a Success in Primary Care: A Scoping Review Care: A Scoping Review. </w:t>
      </w:r>
      <w:r>
        <w:rPr>
          <w:rFonts w:ascii="Arial" w:hAnsi="Arial" w:eastAsia="Arial" w:cs="Arial"/>
          <w:i/>
          <w:iCs/>
          <w:color w:val="222222"/>
        </w:rPr>
        <w:t>Journal of healthcare leadership</w:t>
      </w:r>
      <w:r>
        <w:rPr>
          <w:rFonts w:ascii="Arial" w:hAnsi="Arial" w:eastAsia="Arial" w:cs="Arial"/>
          <w:color w:val="222222"/>
        </w:rPr>
        <w:t>, pp.681-695.</w:t>
      </w:r>
      <w:r>
        <w:rPr>
          <w:rFonts w:ascii="Arial" w:hAnsi="Arial" w:eastAsia="Arial" w:cs="Arial"/>
        </w:rPr>
        <w:t xml:space="preserve"> </w:t>
      </w:r>
      <w:r>
        <w:fldChar w:fldCharType="begin"/>
      </w:r>
      <w:r>
        <w:instrText xml:space="preserve"> HYPERLINK "https://www.tandfonline.com/doi/pdf/10.2147/JHL.S560629" \h </w:instrText>
      </w:r>
      <w:r>
        <w:fldChar w:fldCharType="separate"/>
      </w:r>
      <w:r>
        <w:rPr>
          <w:rFonts w:ascii="Arial" w:hAnsi="Arial" w:eastAsia="Arial" w:cs="Arial"/>
          <w:color w:val="1155CC"/>
          <w:u w:val="single"/>
        </w:rPr>
        <w:t>https://www.tandfonline.com/doi/pdf/10.2147/JHL.S560629</w:t>
      </w:r>
      <w:r>
        <w:rPr>
          <w:rFonts w:ascii="Arial" w:hAnsi="Arial" w:eastAsia="Arial" w:cs="Arial"/>
          <w:color w:val="1155CC"/>
          <w:u w:val="single"/>
        </w:rPr>
        <w:fldChar w:fldCharType="end"/>
      </w:r>
    </w:p>
    <w:p w14:paraId="639432B3">
      <w:pPr>
        <w:spacing w:after="240"/>
        <w:rPr>
          <w:rFonts w:ascii="Arial" w:hAnsi="Arial" w:eastAsia="Arial" w:cs="Arial"/>
        </w:rPr>
      </w:pPr>
      <w:r>
        <w:rPr>
          <w:rFonts w:ascii="Arial" w:hAnsi="Arial" w:eastAsia="Arial" w:cs="Arial"/>
          <w:color w:val="222222"/>
        </w:rPr>
        <w:t xml:space="preserve">Martineau, T., Ozano, K., Raven, J., Mansour, W., Bay, F., Nkhoma, D., Badr, E., Baral, S., Regmi, S. and Caffrey, M., 2022. Improving health workforce governance: the role of multi-stakeholder coordination mechanisms and human resources for health units in ministries of health. </w:t>
      </w:r>
      <w:r>
        <w:rPr>
          <w:rFonts w:ascii="Arial" w:hAnsi="Arial" w:eastAsia="Arial" w:cs="Arial"/>
          <w:i/>
          <w:iCs/>
          <w:color w:val="222222"/>
        </w:rPr>
        <w:t>Human Resources for Health</w:t>
      </w:r>
      <w:r>
        <w:rPr>
          <w:rFonts w:ascii="Arial" w:hAnsi="Arial" w:eastAsia="Arial" w:cs="Arial"/>
          <w:color w:val="222222"/>
        </w:rPr>
        <w:t xml:space="preserve">, </w:t>
      </w:r>
      <w:r>
        <w:rPr>
          <w:rFonts w:ascii="Arial" w:hAnsi="Arial" w:eastAsia="Arial" w:cs="Arial"/>
          <w:i/>
          <w:iCs/>
          <w:color w:val="222222"/>
        </w:rPr>
        <w:t>20</w:t>
      </w:r>
      <w:r>
        <w:rPr>
          <w:rFonts w:ascii="Arial" w:hAnsi="Arial" w:eastAsia="Arial" w:cs="Arial"/>
          <w:color w:val="222222"/>
        </w:rPr>
        <w:t>(1), p.47.</w:t>
      </w:r>
      <w:r>
        <w:rPr>
          <w:rFonts w:ascii="Arial" w:hAnsi="Arial" w:eastAsia="Arial" w:cs="Arial"/>
        </w:rPr>
        <w:t xml:space="preserve"> </w:t>
      </w:r>
      <w:r>
        <w:fldChar w:fldCharType="begin"/>
      </w:r>
      <w:r>
        <w:instrText xml:space="preserve"> HYPERLINK "https://link.springer.com/content/pdf/10.1186/s12960-022-00742-z.pdf" \h </w:instrText>
      </w:r>
      <w:r>
        <w:fldChar w:fldCharType="separate"/>
      </w:r>
      <w:r>
        <w:rPr>
          <w:rFonts w:ascii="Arial" w:hAnsi="Arial" w:eastAsia="Arial" w:cs="Arial"/>
          <w:color w:val="1155CC"/>
          <w:u w:val="single"/>
        </w:rPr>
        <w:t>https://link.springer.com/content/pdf/10.1186/s12960-022-00742-z.pdf</w:t>
      </w:r>
      <w:r>
        <w:rPr>
          <w:rFonts w:ascii="Arial" w:hAnsi="Arial" w:eastAsia="Arial" w:cs="Arial"/>
          <w:color w:val="1155CC"/>
          <w:u w:val="single"/>
        </w:rPr>
        <w:fldChar w:fldCharType="end"/>
      </w:r>
    </w:p>
    <w:p w14:paraId="4769D96A">
      <w:pPr>
        <w:spacing w:after="240"/>
        <w:rPr>
          <w:rFonts w:ascii="Arial" w:hAnsi="Arial" w:eastAsia="Arial" w:cs="Arial"/>
        </w:rPr>
      </w:pPr>
      <w:r>
        <w:rPr>
          <w:rFonts w:ascii="Arial" w:hAnsi="Arial" w:eastAsia="Arial" w:cs="Arial"/>
          <w:color w:val="222222"/>
        </w:rPr>
        <w:t xml:space="preserve">Naseralallah, L., Stewart, D., Price, M. and Paudyal, V., 2023. Prevalence, contributing factors, and interventions to reduce medication errors in outpatient and ambulatory settings: a systematic review. </w:t>
      </w:r>
      <w:r>
        <w:rPr>
          <w:rFonts w:ascii="Arial" w:hAnsi="Arial" w:eastAsia="Arial" w:cs="Arial"/>
          <w:i/>
          <w:iCs/>
          <w:color w:val="222222"/>
        </w:rPr>
        <w:t>International Journal of Clinical Pharmacy</w:t>
      </w:r>
      <w:r>
        <w:rPr>
          <w:rFonts w:ascii="Arial" w:hAnsi="Arial" w:eastAsia="Arial" w:cs="Arial"/>
          <w:color w:val="222222"/>
        </w:rPr>
        <w:t xml:space="preserve">, </w:t>
      </w:r>
      <w:r>
        <w:rPr>
          <w:rFonts w:ascii="Arial" w:hAnsi="Arial" w:eastAsia="Arial" w:cs="Arial"/>
          <w:i/>
          <w:iCs/>
          <w:color w:val="222222"/>
        </w:rPr>
        <w:t>45</w:t>
      </w:r>
      <w:r>
        <w:rPr>
          <w:rFonts w:ascii="Arial" w:hAnsi="Arial" w:eastAsia="Arial" w:cs="Arial"/>
          <w:color w:val="222222"/>
        </w:rPr>
        <w:t>(6), pp.1359-1377.</w:t>
      </w:r>
      <w:r>
        <w:rPr>
          <w:rFonts w:ascii="Arial" w:hAnsi="Arial" w:eastAsia="Arial" w:cs="Arial"/>
        </w:rPr>
        <w:t xml:space="preserve"> </w:t>
      </w:r>
      <w:r>
        <w:fldChar w:fldCharType="begin"/>
      </w:r>
      <w:r>
        <w:instrText xml:space="preserve"> HYPERLINK "https://link.springer.com/content/pdf/10.1007/s11096-023-01626-5.pdf" \h </w:instrText>
      </w:r>
      <w:r>
        <w:fldChar w:fldCharType="separate"/>
      </w:r>
      <w:r>
        <w:rPr>
          <w:rFonts w:ascii="Arial" w:hAnsi="Arial" w:eastAsia="Arial" w:cs="Arial"/>
          <w:color w:val="1155CC"/>
          <w:u w:val="single"/>
        </w:rPr>
        <w:t>https://link.springer.com/content/pdf/10.1007/s11096-023-01626-5.pdf</w:t>
      </w:r>
      <w:r>
        <w:rPr>
          <w:rFonts w:ascii="Arial" w:hAnsi="Arial" w:eastAsia="Arial" w:cs="Arial"/>
          <w:color w:val="1155CC"/>
          <w:u w:val="single"/>
        </w:rPr>
        <w:fldChar w:fldCharType="end"/>
      </w:r>
    </w:p>
    <w:p w14:paraId="42C68FEC">
      <w:pPr>
        <w:spacing w:after="240"/>
        <w:rPr>
          <w:rFonts w:ascii="Arial" w:hAnsi="Arial" w:eastAsia="Arial" w:cs="Arial"/>
        </w:rPr>
      </w:pPr>
      <w:r>
        <w:rPr>
          <w:rFonts w:ascii="Arial" w:hAnsi="Arial" w:eastAsia="Arial" w:cs="Arial"/>
          <w:color w:val="222222"/>
        </w:rPr>
        <w:t xml:space="preserve">Naz, Z., 2025. ‘Tick boxes are just tick boxes’: Problematising evidence-based teaching and exploring the space of the possible through a complexity lens. </w:t>
      </w:r>
      <w:r>
        <w:rPr>
          <w:rFonts w:ascii="Arial" w:hAnsi="Arial" w:eastAsia="Arial" w:cs="Arial"/>
          <w:i/>
          <w:iCs/>
          <w:color w:val="222222"/>
        </w:rPr>
        <w:t>Policy Futures in Education</w:t>
      </w:r>
      <w:r>
        <w:rPr>
          <w:rFonts w:ascii="Arial" w:hAnsi="Arial" w:eastAsia="Arial" w:cs="Arial"/>
          <w:color w:val="222222"/>
        </w:rPr>
        <w:t xml:space="preserve">, </w:t>
      </w:r>
      <w:r>
        <w:rPr>
          <w:rFonts w:ascii="Arial" w:hAnsi="Arial" w:eastAsia="Arial" w:cs="Arial"/>
          <w:i/>
          <w:iCs/>
          <w:color w:val="222222"/>
        </w:rPr>
        <w:t>23</w:t>
      </w:r>
      <w:r>
        <w:rPr>
          <w:rFonts w:ascii="Arial" w:hAnsi="Arial" w:eastAsia="Arial" w:cs="Arial"/>
          <w:color w:val="222222"/>
        </w:rPr>
        <w:t>(1), pp.127-143.</w:t>
      </w:r>
      <w:r>
        <w:rPr>
          <w:rFonts w:ascii="Arial" w:hAnsi="Arial" w:eastAsia="Arial" w:cs="Arial"/>
        </w:rPr>
        <w:t xml:space="preserve">  </w:t>
      </w:r>
      <w:r>
        <w:fldChar w:fldCharType="begin"/>
      </w:r>
      <w:r>
        <w:instrText xml:space="preserve"> HYPERLINK "https://scholar.google.com/scholar?output=instlink&amp;q=info:6Qjoht8T4MIJ:scholar.google.com/&amp;hl=en&amp;as_sdt=0,5&amp;as_ylo=2022&amp;scillfp=13246245296867697639&amp;oi=lle" \h </w:instrText>
      </w:r>
      <w:r>
        <w:fldChar w:fldCharType="separate"/>
      </w:r>
      <w:r>
        <w:rPr>
          <w:rFonts w:ascii="Arial" w:hAnsi="Arial" w:eastAsia="Arial" w:cs="Arial"/>
          <w:color w:val="1155CC"/>
          <w:u w:val="single"/>
        </w:rPr>
        <w:t>https://scholar.google.com/scholar?output=instlink&amp;q=info:6Qjoht8T4MIJ:scholar.google.com/&amp;hl=en&amp;as_sdt=0,5&amp;as_ylo=2022&amp;scillfp=13246245296867697639&amp;oi=lle</w:t>
      </w:r>
      <w:r>
        <w:rPr>
          <w:rFonts w:ascii="Arial" w:hAnsi="Arial" w:eastAsia="Arial" w:cs="Arial"/>
          <w:color w:val="1155CC"/>
          <w:u w:val="single"/>
        </w:rPr>
        <w:fldChar w:fldCharType="end"/>
      </w:r>
      <w:r>
        <w:rPr>
          <w:rFonts w:ascii="Arial" w:hAnsi="Arial" w:eastAsia="Arial" w:cs="Arial"/>
        </w:rPr>
        <w:t xml:space="preserve"> </w:t>
      </w:r>
    </w:p>
    <w:p w14:paraId="568C3776">
      <w:pPr>
        <w:spacing w:after="240"/>
        <w:rPr>
          <w:rFonts w:ascii="Arial" w:hAnsi="Arial" w:eastAsia="Arial" w:cs="Arial"/>
        </w:rPr>
      </w:pPr>
      <w:r>
        <w:rPr>
          <w:rFonts w:ascii="Arial" w:hAnsi="Arial" w:eastAsia="Arial" w:cs="Arial"/>
        </w:rPr>
        <w:t xml:space="preserve">NHS Dorset, 2024. The Primary Care Patient Safety Strategy Summary. </w:t>
      </w:r>
      <w:r>
        <w:fldChar w:fldCharType="begin"/>
      </w:r>
      <w:r>
        <w:instrText xml:space="preserve"> HYPERLINK "https://nhssomerset.nhs.uk/wp-content/uploads/sites/2/Primary-Care-Patient-Safety-Strategy-summary-v1-05.11.24.pdf" \h </w:instrText>
      </w:r>
      <w:r>
        <w:fldChar w:fldCharType="separate"/>
      </w:r>
      <w:r>
        <w:rPr>
          <w:rFonts w:ascii="Arial" w:hAnsi="Arial" w:eastAsia="Arial" w:cs="Arial"/>
          <w:color w:val="1155CC"/>
          <w:u w:val="single"/>
        </w:rPr>
        <w:t>https://nhssomerset.nhs.uk/wp-content/uploads/sites/2/Primary-Care-Patient-Safety-Strategy-summary-v1-05.11.24.pdf</w:t>
      </w:r>
      <w:r>
        <w:rPr>
          <w:rFonts w:ascii="Arial" w:hAnsi="Arial" w:eastAsia="Arial" w:cs="Arial"/>
          <w:color w:val="1155CC"/>
          <w:u w:val="single"/>
        </w:rPr>
        <w:fldChar w:fldCharType="end"/>
      </w:r>
    </w:p>
    <w:p w14:paraId="5C3884D4">
      <w:pPr>
        <w:spacing w:after="240"/>
        <w:rPr>
          <w:rFonts w:ascii="Arial" w:hAnsi="Arial" w:eastAsia="Arial" w:cs="Arial"/>
        </w:rPr>
      </w:pPr>
      <w:r>
        <w:rPr>
          <w:rFonts w:ascii="Arial" w:hAnsi="Arial" w:eastAsia="Arial" w:cs="Arial"/>
        </w:rPr>
        <w:t xml:space="preserve">NHS England 2024. 2024/25 priorities and operational planning guidance. </w:t>
      </w:r>
      <w:r>
        <w:fldChar w:fldCharType="begin"/>
      </w:r>
      <w:r>
        <w:instrText xml:space="preserve"> HYPERLINK "https://www.england.nhs.uk/long-read/2024-25-priorities-and-operational-planning-guidance/" \h </w:instrText>
      </w:r>
      <w:r>
        <w:fldChar w:fldCharType="separate"/>
      </w:r>
      <w:r>
        <w:rPr>
          <w:rFonts w:ascii="Arial" w:hAnsi="Arial" w:eastAsia="Arial" w:cs="Arial"/>
          <w:color w:val="1155CC"/>
          <w:u w:val="single"/>
        </w:rPr>
        <w:t>https://www.england.nhs.uk/long-read/2024-25-priorities-and-operational-planning-guidance/</w:t>
      </w:r>
      <w:r>
        <w:rPr>
          <w:rFonts w:ascii="Arial" w:hAnsi="Arial" w:eastAsia="Arial" w:cs="Arial"/>
          <w:color w:val="1155CC"/>
          <w:u w:val="single"/>
        </w:rPr>
        <w:fldChar w:fldCharType="end"/>
      </w:r>
    </w:p>
    <w:p w14:paraId="7F4CA67B">
      <w:pPr>
        <w:spacing w:after="240"/>
        <w:rPr>
          <w:rFonts w:ascii="Arial" w:hAnsi="Arial" w:eastAsia="Arial" w:cs="Arial"/>
        </w:rPr>
      </w:pPr>
      <w:r>
        <w:rPr>
          <w:rFonts w:ascii="Arial" w:hAnsi="Arial" w:eastAsia="Arial" w:cs="Arial"/>
          <w:color w:val="222222"/>
        </w:rPr>
        <w:t xml:space="preserve">O’Mahony, E., Kenny, J., Hayde, J. and Dalton, K., 2023. Development and evaluation of pharmacist-provided teach-back medication counselling at hospital discharge. </w:t>
      </w:r>
      <w:r>
        <w:rPr>
          <w:rFonts w:ascii="Arial" w:hAnsi="Arial" w:eastAsia="Arial" w:cs="Arial"/>
          <w:i/>
          <w:iCs/>
          <w:color w:val="222222"/>
        </w:rPr>
        <w:t>International Journal of Clinical Pharmacy</w:t>
      </w:r>
      <w:r>
        <w:rPr>
          <w:rFonts w:ascii="Arial" w:hAnsi="Arial" w:eastAsia="Arial" w:cs="Arial"/>
          <w:color w:val="222222"/>
        </w:rPr>
        <w:t xml:space="preserve">, </w:t>
      </w:r>
      <w:r>
        <w:rPr>
          <w:rFonts w:ascii="Arial" w:hAnsi="Arial" w:eastAsia="Arial" w:cs="Arial"/>
          <w:i/>
          <w:iCs/>
          <w:color w:val="222222"/>
        </w:rPr>
        <w:t>45</w:t>
      </w:r>
      <w:r>
        <w:rPr>
          <w:rFonts w:ascii="Arial" w:hAnsi="Arial" w:eastAsia="Arial" w:cs="Arial"/>
          <w:color w:val="222222"/>
        </w:rPr>
        <w:t>(3), pp.698-711.</w:t>
      </w:r>
      <w:r>
        <w:rPr>
          <w:rFonts w:ascii="Arial" w:hAnsi="Arial" w:eastAsia="Arial" w:cs="Arial"/>
        </w:rPr>
        <w:t xml:space="preserve"> </w:t>
      </w:r>
      <w:r>
        <w:fldChar w:fldCharType="begin"/>
      </w:r>
      <w:r>
        <w:instrText xml:space="preserve"> HYPERLINK "https://link.springer.com/content/pdf/10.1007/s11096-023-01558-0.pdf" \h </w:instrText>
      </w:r>
      <w:r>
        <w:fldChar w:fldCharType="separate"/>
      </w:r>
      <w:r>
        <w:rPr>
          <w:rFonts w:ascii="Arial" w:hAnsi="Arial" w:eastAsia="Arial" w:cs="Arial"/>
          <w:color w:val="1155CC"/>
          <w:u w:val="single"/>
        </w:rPr>
        <w:t>https://link.springer.com/content/pdf/10.1007/s11096-023-01558-0.pdf</w:t>
      </w:r>
      <w:r>
        <w:rPr>
          <w:rFonts w:ascii="Arial" w:hAnsi="Arial" w:eastAsia="Arial" w:cs="Arial"/>
          <w:color w:val="1155CC"/>
          <w:u w:val="single"/>
        </w:rPr>
        <w:fldChar w:fldCharType="end"/>
      </w:r>
    </w:p>
    <w:p w14:paraId="3A9BCB59">
      <w:pPr>
        <w:spacing w:after="240"/>
        <w:rPr>
          <w:rFonts w:ascii="Arial" w:hAnsi="Arial" w:eastAsia="Arial" w:cs="Arial"/>
        </w:rPr>
      </w:pPr>
      <w:r>
        <w:rPr>
          <w:rFonts w:ascii="Arial" w:hAnsi="Arial" w:eastAsia="Arial" w:cs="Arial"/>
          <w:color w:val="222222"/>
        </w:rPr>
        <w:t xml:space="preserve">Pellegrini, G. and Lovati, C., 2025. Stakeholders’ engagement for improved health outcomes: a research brief to design a tool for better communication and participation. </w:t>
      </w:r>
      <w:r>
        <w:rPr>
          <w:rFonts w:ascii="Arial" w:hAnsi="Arial" w:eastAsia="Arial" w:cs="Arial"/>
          <w:i/>
          <w:iCs/>
          <w:color w:val="222222"/>
        </w:rPr>
        <w:t>Frontiers in public health</w:t>
      </w:r>
      <w:r>
        <w:rPr>
          <w:rFonts w:ascii="Arial" w:hAnsi="Arial" w:eastAsia="Arial" w:cs="Arial"/>
          <w:color w:val="222222"/>
        </w:rPr>
        <w:t xml:space="preserve">, </w:t>
      </w:r>
      <w:r>
        <w:rPr>
          <w:rFonts w:ascii="Arial" w:hAnsi="Arial" w:eastAsia="Arial" w:cs="Arial"/>
          <w:i/>
          <w:iCs/>
          <w:color w:val="222222"/>
        </w:rPr>
        <w:t>13</w:t>
      </w:r>
      <w:r>
        <w:rPr>
          <w:rFonts w:ascii="Arial" w:hAnsi="Arial" w:eastAsia="Arial" w:cs="Arial"/>
          <w:color w:val="222222"/>
        </w:rPr>
        <w:t>, p.1536753.</w:t>
      </w:r>
      <w:r>
        <w:rPr>
          <w:rFonts w:ascii="Arial" w:hAnsi="Arial" w:eastAsia="Arial" w:cs="Arial"/>
        </w:rPr>
        <w:t xml:space="preserve"> </w:t>
      </w:r>
      <w:r>
        <w:fldChar w:fldCharType="begin"/>
      </w:r>
      <w:r>
        <w:instrText xml:space="preserve"> HYPERLINK "https://www.frontiersin.org/journals/public-health/articles/10.3389/fpubh.2025.1536753/pdf" \h </w:instrText>
      </w:r>
      <w:r>
        <w:fldChar w:fldCharType="separate"/>
      </w:r>
      <w:r>
        <w:rPr>
          <w:rFonts w:ascii="Arial" w:hAnsi="Arial" w:eastAsia="Arial" w:cs="Arial"/>
          <w:color w:val="1155CC"/>
          <w:u w:val="single"/>
        </w:rPr>
        <w:t>https://www.frontiersin.org/journals/public-health/articles/10.3389/fpubh.2025.1536753/pdf</w:t>
      </w:r>
      <w:r>
        <w:rPr>
          <w:rFonts w:ascii="Arial" w:hAnsi="Arial" w:eastAsia="Arial" w:cs="Arial"/>
          <w:color w:val="1155CC"/>
          <w:u w:val="single"/>
        </w:rPr>
        <w:fldChar w:fldCharType="end"/>
      </w:r>
    </w:p>
    <w:p w14:paraId="05D4E92E">
      <w:pPr>
        <w:spacing w:after="240"/>
        <w:rPr>
          <w:rFonts w:ascii="Arial" w:hAnsi="Arial" w:eastAsia="Arial" w:cs="Arial"/>
        </w:rPr>
      </w:pPr>
      <w:r>
        <w:rPr>
          <w:rFonts w:ascii="Arial" w:hAnsi="Arial" w:eastAsia="Arial" w:cs="Arial"/>
          <w:color w:val="222222"/>
        </w:rPr>
        <w:t xml:space="preserve">Penati, A.V., 2024. Compendium: Step Toward Design-Oriented Practices in the Pharma Industry in a Multidisciplinary Perspective. In </w:t>
      </w:r>
      <w:r>
        <w:rPr>
          <w:rFonts w:ascii="Arial" w:hAnsi="Arial" w:eastAsia="Arial" w:cs="Arial"/>
          <w:i/>
          <w:iCs/>
          <w:color w:val="222222"/>
        </w:rPr>
        <w:t>In-Home Medication: Integrating Multidisciplinary Perspectives in Design-Driven Pharma Practices</w:t>
      </w:r>
      <w:r>
        <w:rPr>
          <w:rFonts w:ascii="Arial" w:hAnsi="Arial" w:eastAsia="Arial" w:cs="Arial"/>
          <w:color w:val="222222"/>
        </w:rPr>
        <w:t xml:space="preserve"> (pp. 429-518). Cham: Springer Nature Switzerland.</w:t>
      </w:r>
      <w:r>
        <w:rPr>
          <w:rFonts w:ascii="Arial" w:hAnsi="Arial" w:eastAsia="Arial" w:cs="Arial"/>
        </w:rPr>
        <w:t xml:space="preserve"> </w:t>
      </w:r>
      <w:r>
        <w:fldChar w:fldCharType="begin"/>
      </w:r>
      <w:r>
        <w:instrText xml:space="preserve"> HYPERLINK "https://library.oapen.org/bitstream/handle/20.500.12657/96971/1/9783031532948.pdf" \l "page=423" \h </w:instrText>
      </w:r>
      <w:r>
        <w:fldChar w:fldCharType="separate"/>
      </w:r>
      <w:r>
        <w:rPr>
          <w:rFonts w:ascii="Arial" w:hAnsi="Arial" w:eastAsia="Arial" w:cs="Arial"/>
          <w:color w:val="1155CC"/>
          <w:u w:val="single"/>
        </w:rPr>
        <w:t>https://library.oapen.org/bitstream/handle/20.500.12657/96971/1/9783031532948.pdf#page=423</w:t>
      </w:r>
      <w:r>
        <w:rPr>
          <w:rFonts w:ascii="Arial" w:hAnsi="Arial" w:eastAsia="Arial" w:cs="Arial"/>
          <w:color w:val="1155CC"/>
          <w:u w:val="single"/>
        </w:rPr>
        <w:fldChar w:fldCharType="end"/>
      </w:r>
    </w:p>
    <w:p w14:paraId="54024700">
      <w:pPr>
        <w:spacing w:after="240"/>
        <w:rPr>
          <w:rFonts w:ascii="Arial" w:hAnsi="Arial" w:eastAsia="Arial" w:cs="Arial"/>
        </w:rPr>
      </w:pPr>
      <w:r>
        <w:rPr>
          <w:rFonts w:ascii="Arial" w:hAnsi="Arial" w:eastAsia="Arial" w:cs="Arial"/>
          <w:color w:val="222222"/>
        </w:rPr>
        <w:t xml:space="preserve">Peters, M.A., 2023. Who Leads, Who Follows? Critical Review of the Field of Leadership Studies: From the ‘Great Man’&amp; Trait Theory to Equity &amp; Diversity Leadership in the Biodigital Era. </w:t>
      </w:r>
      <w:r>
        <w:rPr>
          <w:rFonts w:ascii="Arial" w:hAnsi="Arial" w:eastAsia="Arial" w:cs="Arial"/>
          <w:i/>
          <w:iCs/>
          <w:color w:val="222222"/>
        </w:rPr>
        <w:t>Beijing International Review of Education</w:t>
      </w:r>
      <w:r>
        <w:rPr>
          <w:rFonts w:ascii="Arial" w:hAnsi="Arial" w:eastAsia="Arial" w:cs="Arial"/>
          <w:color w:val="222222"/>
        </w:rPr>
        <w:t xml:space="preserve">, </w:t>
      </w:r>
      <w:r>
        <w:rPr>
          <w:rFonts w:ascii="Arial" w:hAnsi="Arial" w:eastAsia="Arial" w:cs="Arial"/>
          <w:i/>
          <w:iCs/>
          <w:color w:val="222222"/>
        </w:rPr>
        <w:t>5</w:t>
      </w:r>
      <w:r>
        <w:rPr>
          <w:rFonts w:ascii="Arial" w:hAnsi="Arial" w:eastAsia="Arial" w:cs="Arial"/>
          <w:color w:val="222222"/>
        </w:rPr>
        <w:t>(1-2), pp.25-50.</w:t>
      </w:r>
      <w:r>
        <w:rPr>
          <w:rFonts w:ascii="Arial" w:hAnsi="Arial" w:eastAsia="Arial" w:cs="Arial"/>
        </w:rPr>
        <w:t xml:space="preserve">  </w:t>
      </w:r>
      <w:r>
        <w:fldChar w:fldCharType="begin"/>
      </w:r>
      <w:r>
        <w:instrText xml:space="preserve"> HYPERLINK "https://journals.sagepub.com/doi/pdf/10.1163/25902539-05010009" \h </w:instrText>
      </w:r>
      <w:r>
        <w:fldChar w:fldCharType="separate"/>
      </w:r>
      <w:r>
        <w:rPr>
          <w:rFonts w:ascii="Arial" w:hAnsi="Arial" w:eastAsia="Arial" w:cs="Arial"/>
          <w:color w:val="1155CC"/>
          <w:u w:val="single"/>
        </w:rPr>
        <w:t>https://journals.sagepub.com/doi/pdf/10.1163/25902539-05010009</w:t>
      </w:r>
      <w:r>
        <w:rPr>
          <w:rFonts w:ascii="Arial" w:hAnsi="Arial" w:eastAsia="Arial" w:cs="Arial"/>
          <w:color w:val="1155CC"/>
          <w:u w:val="single"/>
        </w:rPr>
        <w:fldChar w:fldCharType="end"/>
      </w:r>
      <w:r>
        <w:rPr>
          <w:rFonts w:ascii="Arial" w:hAnsi="Arial" w:eastAsia="Arial" w:cs="Arial"/>
        </w:rPr>
        <w:t xml:space="preserve"> </w:t>
      </w:r>
    </w:p>
    <w:p w14:paraId="766ABB2A">
      <w:pPr>
        <w:spacing w:after="240"/>
        <w:rPr>
          <w:rFonts w:ascii="Arial" w:hAnsi="Arial" w:eastAsia="Arial" w:cs="Arial"/>
        </w:rPr>
      </w:pPr>
      <w:r>
        <w:rPr>
          <w:rFonts w:ascii="Arial" w:hAnsi="Arial" w:eastAsia="Arial" w:cs="Arial"/>
          <w:color w:val="222222"/>
        </w:rPr>
        <w:t xml:space="preserve">Pigola, A., de Moraes, G.H.S.M., do Prado, N.B., Lucas, A.C., Sigahi, T.F.A.C. and Anholon, R., 2024. Transformational leadership addressing team performance: situational challenges in corporate settings. </w:t>
      </w:r>
      <w:r>
        <w:rPr>
          <w:rFonts w:ascii="Arial" w:hAnsi="Arial" w:eastAsia="Arial" w:cs="Arial"/>
          <w:i/>
          <w:iCs/>
          <w:color w:val="222222"/>
        </w:rPr>
        <w:t>Journal of Work-Applied Management</w:t>
      </w:r>
      <w:r>
        <w:rPr>
          <w:rFonts w:ascii="Arial" w:hAnsi="Arial" w:eastAsia="Arial" w:cs="Arial"/>
          <w:color w:val="222222"/>
        </w:rPr>
        <w:t>.</w:t>
      </w:r>
      <w:r>
        <w:rPr>
          <w:rFonts w:ascii="Arial" w:hAnsi="Arial" w:eastAsia="Arial" w:cs="Arial"/>
        </w:rPr>
        <w:t xml:space="preserve"> </w:t>
      </w:r>
      <w:r>
        <w:fldChar w:fldCharType="begin"/>
      </w:r>
      <w:r>
        <w:instrText xml:space="preserve"> HYPERLINK "https://www.emerald.com/jwam/article-pdf/doi/10.1108/JWAM-08-2024-0115/9774362/jwam-08-2024-0115.pdf" \h </w:instrText>
      </w:r>
      <w:r>
        <w:fldChar w:fldCharType="separate"/>
      </w:r>
      <w:r>
        <w:rPr>
          <w:rFonts w:ascii="Arial" w:hAnsi="Arial" w:eastAsia="Arial" w:cs="Arial"/>
          <w:color w:val="1155CC"/>
          <w:u w:val="single"/>
        </w:rPr>
        <w:t>https://www.emerald.com/jwam/article-pdf/doi/10.1108/JWAM-08-2024-0115/9774362/jwam-08-2024-0115.pdf</w:t>
      </w:r>
      <w:r>
        <w:rPr>
          <w:rFonts w:ascii="Arial" w:hAnsi="Arial" w:eastAsia="Arial" w:cs="Arial"/>
          <w:color w:val="1155CC"/>
          <w:u w:val="single"/>
        </w:rPr>
        <w:fldChar w:fldCharType="end"/>
      </w:r>
    </w:p>
    <w:p w14:paraId="779B373C">
      <w:pPr>
        <w:spacing w:after="240"/>
        <w:rPr>
          <w:rFonts w:ascii="Arial" w:hAnsi="Arial" w:eastAsia="Arial" w:cs="Arial"/>
        </w:rPr>
      </w:pPr>
      <w:r>
        <w:rPr>
          <w:rFonts w:ascii="Arial" w:hAnsi="Arial" w:eastAsia="Arial" w:cs="Arial"/>
          <w:color w:val="222222"/>
        </w:rPr>
        <w:t xml:space="preserve">Pilnick, A., 2023. Reconsidering patient‐centred care: Authority, expertise and abandonment. </w:t>
      </w:r>
      <w:r>
        <w:rPr>
          <w:rFonts w:ascii="Arial" w:hAnsi="Arial" w:eastAsia="Arial" w:cs="Arial"/>
          <w:i/>
          <w:iCs/>
          <w:color w:val="222222"/>
        </w:rPr>
        <w:t>Health Expectations</w:t>
      </w:r>
      <w:r>
        <w:rPr>
          <w:rFonts w:ascii="Arial" w:hAnsi="Arial" w:eastAsia="Arial" w:cs="Arial"/>
          <w:color w:val="222222"/>
        </w:rPr>
        <w:t xml:space="preserve">, </w:t>
      </w:r>
      <w:r>
        <w:rPr>
          <w:rFonts w:ascii="Arial" w:hAnsi="Arial" w:eastAsia="Arial" w:cs="Arial"/>
          <w:i/>
          <w:iCs/>
          <w:color w:val="222222"/>
        </w:rPr>
        <w:t>26</w:t>
      </w:r>
      <w:r>
        <w:rPr>
          <w:rFonts w:ascii="Arial" w:hAnsi="Arial" w:eastAsia="Arial" w:cs="Arial"/>
          <w:color w:val="222222"/>
        </w:rPr>
        <w:t>(5), pp.1785-1788.</w:t>
      </w:r>
      <w:r>
        <w:rPr>
          <w:rFonts w:ascii="Arial" w:hAnsi="Arial" w:eastAsia="Arial" w:cs="Arial"/>
        </w:rPr>
        <w:t xml:space="preserve">  </w:t>
      </w:r>
      <w:r>
        <w:fldChar w:fldCharType="begin"/>
      </w:r>
      <w:r>
        <w:instrText xml:space="preserve"> HYPERLINK "https://onlinelibrary.wiley.com/doi/pdf/10.1111/hex.13815" \h </w:instrText>
      </w:r>
      <w:r>
        <w:fldChar w:fldCharType="separate"/>
      </w:r>
      <w:r>
        <w:rPr>
          <w:rFonts w:ascii="Arial" w:hAnsi="Arial" w:eastAsia="Arial" w:cs="Arial"/>
          <w:color w:val="1155CC"/>
          <w:u w:val="single"/>
        </w:rPr>
        <w:t>https://onlinelibrary.wiley.com/doi/pdf/10.1111/hex.13815</w:t>
      </w:r>
      <w:r>
        <w:rPr>
          <w:rFonts w:ascii="Arial" w:hAnsi="Arial" w:eastAsia="Arial" w:cs="Arial"/>
          <w:color w:val="1155CC"/>
          <w:u w:val="single"/>
        </w:rPr>
        <w:fldChar w:fldCharType="end"/>
      </w:r>
      <w:r>
        <w:rPr>
          <w:rFonts w:ascii="Arial" w:hAnsi="Arial" w:eastAsia="Arial" w:cs="Arial"/>
        </w:rPr>
        <w:t xml:space="preserve"> </w:t>
      </w:r>
    </w:p>
    <w:p w14:paraId="18A2F81A">
      <w:pPr>
        <w:spacing w:after="240"/>
        <w:rPr>
          <w:rFonts w:ascii="Arial" w:hAnsi="Arial" w:eastAsia="Arial" w:cs="Arial"/>
        </w:rPr>
      </w:pPr>
      <w:r>
        <w:rPr>
          <w:rFonts w:ascii="Arial" w:hAnsi="Arial" w:eastAsia="Arial" w:cs="Arial"/>
          <w:color w:val="222222"/>
        </w:rPr>
        <w:t xml:space="preserve">Reece, S., 2026. Prescribing: making effective, appropriate, safe and cost-effective decisions. </w:t>
      </w:r>
      <w:r>
        <w:rPr>
          <w:rFonts w:ascii="Arial" w:hAnsi="Arial" w:eastAsia="Arial" w:cs="Arial"/>
          <w:i/>
          <w:iCs/>
          <w:color w:val="222222"/>
        </w:rPr>
        <w:t>Nursing Standard</w:t>
      </w:r>
      <w:r>
        <w:rPr>
          <w:rFonts w:ascii="Arial" w:hAnsi="Arial" w:eastAsia="Arial" w:cs="Arial"/>
          <w:color w:val="222222"/>
        </w:rPr>
        <w:t xml:space="preserve">, </w:t>
      </w:r>
      <w:r>
        <w:rPr>
          <w:rFonts w:ascii="Arial" w:hAnsi="Arial" w:eastAsia="Arial" w:cs="Arial"/>
          <w:i/>
          <w:iCs/>
          <w:color w:val="222222"/>
        </w:rPr>
        <w:t>41</w:t>
      </w:r>
      <w:r>
        <w:rPr>
          <w:rFonts w:ascii="Arial" w:hAnsi="Arial" w:eastAsia="Arial" w:cs="Arial"/>
          <w:color w:val="222222"/>
        </w:rPr>
        <w:t>(6), pp.38-43.</w:t>
      </w:r>
      <w:r>
        <w:rPr>
          <w:rFonts w:ascii="Arial" w:hAnsi="Arial" w:eastAsia="Arial" w:cs="Arial"/>
        </w:rPr>
        <w:t xml:space="preserve"> </w:t>
      </w:r>
      <w:r>
        <w:fldChar w:fldCharType="begin"/>
      </w:r>
      <w:r>
        <w:instrText xml:space="preserve"> HYPERLINK "https://ub-ir.bolton.ac.uk/esploro/fulltext/journalArticle/Prescribing-making-effective-appropriate-safe-and/9974529508841?repId=1212110230008841&amp;mId=1312532040008841&amp;institution=44UOBO_INST" \h </w:instrText>
      </w:r>
      <w:r>
        <w:fldChar w:fldCharType="separate"/>
      </w:r>
      <w:r>
        <w:rPr>
          <w:rFonts w:ascii="Arial" w:hAnsi="Arial" w:eastAsia="Arial" w:cs="Arial"/>
          <w:color w:val="1155CC"/>
          <w:u w:val="single"/>
        </w:rPr>
        <w:t>https://ub-ir.bolton.ac.uk/esploro/fulltext/journalArticle/Prescribing-making-effective-appropriate-safe-and/9974529508841?repId=1212110230008841&amp;mId=1312532040008841&amp;institution=44UOBO_INST</w:t>
      </w:r>
      <w:r>
        <w:rPr>
          <w:rFonts w:ascii="Arial" w:hAnsi="Arial" w:eastAsia="Arial" w:cs="Arial"/>
          <w:color w:val="1155CC"/>
          <w:u w:val="single"/>
        </w:rPr>
        <w:fldChar w:fldCharType="end"/>
      </w:r>
    </w:p>
    <w:p w14:paraId="3F14C84D">
      <w:pPr>
        <w:spacing w:after="240"/>
        <w:rPr>
          <w:rFonts w:ascii="Arial" w:hAnsi="Arial" w:eastAsia="Arial" w:cs="Arial"/>
        </w:rPr>
      </w:pPr>
      <w:r>
        <w:rPr>
          <w:rFonts w:ascii="Arial" w:hAnsi="Arial" w:eastAsia="Arial" w:cs="Arial"/>
          <w:color w:val="222222"/>
        </w:rPr>
        <w:t xml:space="preserve">Su, M., 2024. Adaptive leadership in times of crisis: Exploring situational responses and contingent factors at sub-national levels. </w:t>
      </w:r>
      <w:r>
        <w:rPr>
          <w:rFonts w:ascii="Arial" w:hAnsi="Arial" w:eastAsia="Arial" w:cs="Arial"/>
          <w:i/>
          <w:iCs/>
          <w:color w:val="222222"/>
        </w:rPr>
        <w:t>Journal of General Management</w:t>
      </w:r>
      <w:r>
        <w:rPr>
          <w:rFonts w:ascii="Arial" w:hAnsi="Arial" w:eastAsia="Arial" w:cs="Arial"/>
          <w:color w:val="222222"/>
        </w:rPr>
        <w:t>, p.03063070241250092.</w:t>
      </w:r>
      <w:r>
        <w:rPr>
          <w:rFonts w:ascii="Arial" w:hAnsi="Arial" w:eastAsia="Arial" w:cs="Arial"/>
        </w:rPr>
        <w:t xml:space="preserve"> </w:t>
      </w:r>
      <w:r>
        <w:fldChar w:fldCharType="begin"/>
      </w:r>
      <w:r>
        <w:instrText xml:space="preserve"> HYPERLINK "https://www.researchgate.net/profile/Minzi-Su/publication/380594334_Adaptive_leadership_in_times_of_crisis_Exploring_situational_responses_and_contingent_factors_at_sub-national_levels/links/6989fb23ca66ef6ab991848c/Adaptive-leadership-in-times-of-crisis-Exploring-situational-responses-and-contingent-factors-at-sub-national-levels.pdf" \h </w:instrText>
      </w:r>
      <w:r>
        <w:fldChar w:fldCharType="separate"/>
      </w:r>
      <w:r>
        <w:rPr>
          <w:rFonts w:ascii="Arial" w:hAnsi="Arial" w:eastAsia="Arial" w:cs="Arial"/>
          <w:color w:val="1155CC"/>
          <w:u w:val="single"/>
        </w:rPr>
        <w:t>https://www.researchgate.net/profile/Minzi-Su/publication/380594334_Adaptive_leadership_in_times_of_crisis_Exploring_situational_responses_and_contingent_factors_at_sub-national_levels/links/6989fb23ca66ef6ab991848c/Adaptive-leadership-in-times-of-crisis-Exploring-situational-responses-and-contingent-factors-at-sub-national-levels.pdf</w:t>
      </w:r>
      <w:r>
        <w:rPr>
          <w:rFonts w:ascii="Arial" w:hAnsi="Arial" w:eastAsia="Arial" w:cs="Arial"/>
          <w:color w:val="1155CC"/>
          <w:u w:val="single"/>
        </w:rPr>
        <w:fldChar w:fldCharType="end"/>
      </w:r>
    </w:p>
    <w:p w14:paraId="1B54F70F">
      <w:pPr>
        <w:spacing w:after="240"/>
        <w:rPr>
          <w:rFonts w:ascii="Arial" w:hAnsi="Arial" w:eastAsia="Arial" w:cs="Arial"/>
        </w:rPr>
      </w:pPr>
      <w:r>
        <w:rPr>
          <w:rFonts w:ascii="Arial" w:hAnsi="Arial" w:eastAsia="Arial" w:cs="Arial"/>
          <w:color w:val="222222"/>
        </w:rPr>
        <w:t xml:space="preserve">Syafri, M. and Fkun, E., 2024. The effect of organizational structure on ethical decision making. </w:t>
      </w:r>
      <w:r>
        <w:rPr>
          <w:rFonts w:ascii="Arial" w:hAnsi="Arial" w:eastAsia="Arial" w:cs="Arial"/>
          <w:i/>
          <w:iCs/>
          <w:color w:val="222222"/>
        </w:rPr>
        <w:t>Jurnal Stagflasi: Ekonomi, Manajemen dan Akuntansi</w:t>
      </w:r>
      <w:r>
        <w:rPr>
          <w:rFonts w:ascii="Arial" w:hAnsi="Arial" w:eastAsia="Arial" w:cs="Arial"/>
          <w:color w:val="222222"/>
        </w:rPr>
        <w:t xml:space="preserve">, </w:t>
      </w:r>
      <w:r>
        <w:rPr>
          <w:rFonts w:ascii="Arial" w:hAnsi="Arial" w:eastAsia="Arial" w:cs="Arial"/>
          <w:i/>
          <w:iCs/>
          <w:color w:val="222222"/>
        </w:rPr>
        <w:t>2</w:t>
      </w:r>
      <w:r>
        <w:rPr>
          <w:rFonts w:ascii="Arial" w:hAnsi="Arial" w:eastAsia="Arial" w:cs="Arial"/>
          <w:color w:val="222222"/>
        </w:rPr>
        <w:t>(01), pp.10-17.</w:t>
      </w:r>
      <w:r>
        <w:rPr>
          <w:rFonts w:ascii="Arial" w:hAnsi="Arial" w:eastAsia="Arial" w:cs="Arial"/>
        </w:rPr>
        <w:t xml:space="preserve">  </w:t>
      </w:r>
      <w:r>
        <w:fldChar w:fldCharType="begin"/>
      </w:r>
      <w:r>
        <w:instrText xml:space="preserve"> HYPERLINK "https://seaninstitute.or.id/bersinar/index.php/Stagflasi/article/download/91/83" \h </w:instrText>
      </w:r>
      <w:r>
        <w:fldChar w:fldCharType="separate"/>
      </w:r>
      <w:r>
        <w:rPr>
          <w:rFonts w:ascii="Arial" w:hAnsi="Arial" w:eastAsia="Arial" w:cs="Arial"/>
          <w:color w:val="1155CC"/>
          <w:u w:val="single"/>
        </w:rPr>
        <w:t>https://seaninstitute.or.id/bersinar/index.php/Stagflasi/article/download/91/83</w:t>
      </w:r>
      <w:r>
        <w:rPr>
          <w:rFonts w:ascii="Arial" w:hAnsi="Arial" w:eastAsia="Arial" w:cs="Arial"/>
          <w:color w:val="1155CC"/>
          <w:u w:val="single"/>
        </w:rPr>
        <w:fldChar w:fldCharType="end"/>
      </w:r>
      <w:r>
        <w:rPr>
          <w:rFonts w:ascii="Arial" w:hAnsi="Arial" w:eastAsia="Arial" w:cs="Arial"/>
        </w:rPr>
        <w:t xml:space="preserve"> </w:t>
      </w:r>
    </w:p>
    <w:p w14:paraId="2596C00F">
      <w:pPr>
        <w:spacing w:after="240"/>
        <w:rPr>
          <w:rFonts w:ascii="Arial" w:hAnsi="Arial" w:eastAsia="Arial" w:cs="Arial"/>
        </w:rPr>
      </w:pPr>
      <w:r>
        <w:rPr>
          <w:rFonts w:ascii="Arial" w:hAnsi="Arial" w:eastAsia="Arial" w:cs="Arial"/>
          <w:color w:val="222222"/>
        </w:rPr>
        <w:t xml:space="preserve">Tate, K., Penconek, T., Dias, B.M., Cummings, G.G. and Bernardes, A., 2023. Authentic leadership, organizational culture and the effects of hospital quality management practices on quality of care and patient satisfaction. </w:t>
      </w:r>
      <w:r>
        <w:rPr>
          <w:rFonts w:ascii="Arial" w:hAnsi="Arial" w:eastAsia="Arial" w:cs="Arial"/>
          <w:i/>
          <w:iCs/>
          <w:color w:val="222222"/>
        </w:rPr>
        <w:t>Journal of advanced nursing</w:t>
      </w:r>
      <w:r>
        <w:rPr>
          <w:rFonts w:ascii="Arial" w:hAnsi="Arial" w:eastAsia="Arial" w:cs="Arial"/>
          <w:color w:val="222222"/>
        </w:rPr>
        <w:t xml:space="preserve">, </w:t>
      </w:r>
      <w:r>
        <w:rPr>
          <w:rFonts w:ascii="Arial" w:hAnsi="Arial" w:eastAsia="Arial" w:cs="Arial"/>
          <w:i/>
          <w:iCs/>
          <w:color w:val="222222"/>
        </w:rPr>
        <w:t>79</w:t>
      </w:r>
      <w:r>
        <w:rPr>
          <w:rFonts w:ascii="Arial" w:hAnsi="Arial" w:eastAsia="Arial" w:cs="Arial"/>
          <w:color w:val="222222"/>
        </w:rPr>
        <w:t>(8), pp.3102-3114.</w:t>
      </w:r>
      <w:r>
        <w:rPr>
          <w:rFonts w:ascii="Arial" w:hAnsi="Arial" w:eastAsia="Arial" w:cs="Arial"/>
        </w:rPr>
        <w:t xml:space="preserve">  </w:t>
      </w:r>
      <w:r>
        <w:fldChar w:fldCharType="begin"/>
      </w:r>
      <w:r>
        <w:instrText xml:space="preserve"> HYPERLINK "https://onlinelibrary.wiley.com/doi/pdf/10.1111/jan.15663" \h </w:instrText>
      </w:r>
      <w:r>
        <w:fldChar w:fldCharType="separate"/>
      </w:r>
      <w:r>
        <w:rPr>
          <w:rFonts w:ascii="Arial" w:hAnsi="Arial" w:eastAsia="Arial" w:cs="Arial"/>
          <w:color w:val="1155CC"/>
          <w:u w:val="single"/>
        </w:rPr>
        <w:t>https://onlinelibrary.wiley.com/doi/pdf/10.1111/jan.15663</w:t>
      </w:r>
      <w:r>
        <w:rPr>
          <w:rFonts w:ascii="Arial" w:hAnsi="Arial" w:eastAsia="Arial" w:cs="Arial"/>
          <w:color w:val="1155CC"/>
          <w:u w:val="single"/>
        </w:rPr>
        <w:fldChar w:fldCharType="end"/>
      </w:r>
      <w:r>
        <w:rPr>
          <w:rFonts w:ascii="Arial" w:hAnsi="Arial" w:eastAsia="Arial" w:cs="Arial"/>
        </w:rPr>
        <w:t xml:space="preserve"> </w:t>
      </w:r>
    </w:p>
    <w:p w14:paraId="2352CF7A">
      <w:pPr>
        <w:spacing w:after="240"/>
        <w:rPr>
          <w:rFonts w:ascii="Arial" w:hAnsi="Arial" w:eastAsia="Arial" w:cs="Arial"/>
        </w:rPr>
      </w:pPr>
      <w:r>
        <w:rPr>
          <w:rFonts w:ascii="Arial" w:hAnsi="Arial" w:eastAsia="Arial" w:cs="Arial"/>
          <w:color w:val="222222"/>
        </w:rPr>
        <w:t xml:space="preserve">Turato, G., Whiteoak, J. and Oprescu, F., 2024. The insights of allied health professionals transitioning from a matrix structure to a centralized profession-based structure within a public hospital setting. </w:t>
      </w:r>
      <w:r>
        <w:rPr>
          <w:rFonts w:ascii="Arial" w:hAnsi="Arial" w:eastAsia="Arial" w:cs="Arial"/>
          <w:i/>
          <w:iCs/>
          <w:color w:val="222222"/>
        </w:rPr>
        <w:t>Journal of Organization Design</w:t>
      </w:r>
      <w:r>
        <w:rPr>
          <w:rFonts w:ascii="Arial" w:hAnsi="Arial" w:eastAsia="Arial" w:cs="Arial"/>
          <w:color w:val="222222"/>
        </w:rPr>
        <w:t xml:space="preserve">, </w:t>
      </w:r>
      <w:r>
        <w:rPr>
          <w:rFonts w:ascii="Arial" w:hAnsi="Arial" w:eastAsia="Arial" w:cs="Arial"/>
          <w:i/>
          <w:iCs/>
          <w:color w:val="222222"/>
        </w:rPr>
        <w:t>13</w:t>
      </w:r>
      <w:r>
        <w:rPr>
          <w:rFonts w:ascii="Arial" w:hAnsi="Arial" w:eastAsia="Arial" w:cs="Arial"/>
          <w:color w:val="222222"/>
        </w:rPr>
        <w:t>(4), pp.197-212.</w:t>
      </w:r>
      <w:r>
        <w:rPr>
          <w:rFonts w:ascii="Arial" w:hAnsi="Arial" w:eastAsia="Arial" w:cs="Arial"/>
        </w:rPr>
        <w:t xml:space="preserve">  </w:t>
      </w:r>
      <w:r>
        <w:fldChar w:fldCharType="begin"/>
      </w:r>
      <w:r>
        <w:instrText xml:space="preserve"> HYPERLINK "https://link.springer.com/content/pdf/10.1007/s41469-024-00178-w.pdf" \h </w:instrText>
      </w:r>
      <w:r>
        <w:fldChar w:fldCharType="separate"/>
      </w:r>
      <w:r>
        <w:rPr>
          <w:rFonts w:ascii="Arial" w:hAnsi="Arial" w:eastAsia="Arial" w:cs="Arial"/>
          <w:color w:val="1155CC"/>
          <w:u w:val="single"/>
        </w:rPr>
        <w:t>https://link.springer.com/content/pdf/10.1007/s41469-024-00178-w.pdf</w:t>
      </w:r>
      <w:r>
        <w:rPr>
          <w:rFonts w:ascii="Arial" w:hAnsi="Arial" w:eastAsia="Arial" w:cs="Arial"/>
          <w:color w:val="1155CC"/>
          <w:u w:val="single"/>
        </w:rPr>
        <w:fldChar w:fldCharType="end"/>
      </w:r>
      <w:r>
        <w:rPr>
          <w:rFonts w:ascii="Arial" w:hAnsi="Arial" w:eastAsia="Arial" w:cs="Arial"/>
        </w:rPr>
        <w:t xml:space="preserve"> </w:t>
      </w:r>
    </w:p>
    <w:p w14:paraId="3AEE2E7F">
      <w:pPr>
        <w:spacing w:after="240"/>
        <w:rPr>
          <w:rFonts w:ascii="Arial" w:hAnsi="Arial" w:eastAsia="Arial" w:cs="Arial"/>
        </w:rPr>
      </w:pPr>
      <w:r>
        <w:rPr>
          <w:rFonts w:ascii="Arial" w:hAnsi="Arial" w:eastAsia="Arial" w:cs="Arial"/>
        </w:rPr>
        <w:t xml:space="preserve">WHO, 2023.  Patient safety. </w:t>
      </w:r>
      <w:r>
        <w:fldChar w:fldCharType="begin"/>
      </w:r>
      <w:r>
        <w:instrText xml:space="preserve"> HYPERLINK "https://www.who.int/news-room/fact-sheets/detail/patient-safety" \h </w:instrText>
      </w:r>
      <w:r>
        <w:fldChar w:fldCharType="separate"/>
      </w:r>
      <w:r>
        <w:rPr>
          <w:rFonts w:ascii="Arial" w:hAnsi="Arial" w:eastAsia="Arial" w:cs="Arial"/>
          <w:color w:val="1155CC"/>
          <w:u w:val="single"/>
        </w:rPr>
        <w:t>https://www.who.int/news-room/fact-sheets/detail/patient-safety</w:t>
      </w:r>
      <w:r>
        <w:rPr>
          <w:rFonts w:ascii="Arial" w:hAnsi="Arial" w:eastAsia="Arial" w:cs="Arial"/>
          <w:color w:val="1155CC"/>
          <w:u w:val="single"/>
        </w:rPr>
        <w:fldChar w:fldCharType="end"/>
      </w:r>
    </w:p>
    <w:p w14:paraId="5E7A9A4C">
      <w:pPr>
        <w:spacing w:after="240"/>
        <w:rPr>
          <w:rFonts w:ascii="Arial" w:hAnsi="Arial" w:eastAsia="Arial" w:cs="Arial"/>
        </w:rPr>
      </w:pPr>
      <w:r>
        <w:rPr>
          <w:rFonts w:ascii="Arial" w:hAnsi="Arial" w:eastAsia="Arial" w:cs="Arial"/>
          <w:color w:val="222222"/>
        </w:rPr>
        <w:t xml:space="preserve">World Health Organization, 2024a. </w:t>
      </w:r>
      <w:r>
        <w:rPr>
          <w:rFonts w:ascii="Arial" w:hAnsi="Arial" w:eastAsia="Arial" w:cs="Arial"/>
          <w:i/>
          <w:iCs/>
          <w:color w:val="222222"/>
        </w:rPr>
        <w:t>Medication without harm: policy brief</w:t>
      </w:r>
      <w:r>
        <w:rPr>
          <w:rFonts w:ascii="Arial" w:hAnsi="Arial" w:eastAsia="Arial" w:cs="Arial"/>
          <w:color w:val="222222"/>
        </w:rPr>
        <w:t>. World Health Organization.</w:t>
      </w:r>
      <w:r>
        <w:rPr>
          <w:rFonts w:ascii="Arial" w:hAnsi="Arial" w:eastAsia="Arial" w:cs="Arial"/>
        </w:rPr>
        <w:t xml:space="preserve"> </w:t>
      </w:r>
      <w:r>
        <w:fldChar w:fldCharType="begin"/>
      </w:r>
      <w:r>
        <w:instrText xml:space="preserve"> HYPERLINK "https://iris.who.int/bitstreams/1eacccb6-838e-4787-bfd9-4bdeb4debfcf/download" \h </w:instrText>
      </w:r>
      <w:r>
        <w:fldChar w:fldCharType="separate"/>
      </w:r>
      <w:r>
        <w:rPr>
          <w:rFonts w:ascii="Arial" w:hAnsi="Arial" w:eastAsia="Arial" w:cs="Arial"/>
          <w:color w:val="1155CC"/>
          <w:u w:val="single"/>
        </w:rPr>
        <w:t>https://iris.who.int/bitstreams/1eacccb6-838e-4787-bfd9-4bdeb4debfcf/download</w:t>
      </w:r>
      <w:r>
        <w:rPr>
          <w:rFonts w:ascii="Arial" w:hAnsi="Arial" w:eastAsia="Arial" w:cs="Arial"/>
          <w:color w:val="1155CC"/>
          <w:u w:val="single"/>
        </w:rPr>
        <w:fldChar w:fldCharType="end"/>
      </w:r>
    </w:p>
    <w:p w14:paraId="207E3F7C">
      <w:pPr>
        <w:spacing w:after="240"/>
        <w:rPr>
          <w:rFonts w:ascii="Arial" w:hAnsi="Arial" w:eastAsia="Arial" w:cs="Arial"/>
        </w:rPr>
      </w:pPr>
      <w:r>
        <w:rPr>
          <w:rFonts w:ascii="Arial" w:hAnsi="Arial" w:eastAsia="Arial" w:cs="Arial"/>
          <w:color w:val="222222"/>
        </w:rPr>
        <w:t>World Health Organization, 2024b. Global burden of preventable medication-related harm in health care: a systematic review.</w:t>
      </w:r>
      <w:r>
        <w:rPr>
          <w:rFonts w:ascii="Arial" w:hAnsi="Arial" w:eastAsia="Arial" w:cs="Arial"/>
        </w:rPr>
        <w:t xml:space="preserve"> </w:t>
      </w:r>
      <w:r>
        <w:fldChar w:fldCharType="begin"/>
      </w:r>
      <w:r>
        <w:instrText xml:space="preserve"> HYPERLINK "https://iris.who.int/bitstreams/f208903d-b47d-4a8c-9fac-d8136c2bdbb6/download" \h </w:instrText>
      </w:r>
      <w:r>
        <w:fldChar w:fldCharType="separate"/>
      </w:r>
      <w:r>
        <w:rPr>
          <w:rFonts w:ascii="Arial" w:hAnsi="Arial" w:eastAsia="Arial" w:cs="Arial"/>
          <w:color w:val="1155CC"/>
          <w:u w:val="single"/>
        </w:rPr>
        <w:t>https://iris.who.int/bitstreams/f208903d-b47d-4a8c-9fac-d8136c2bdbb6/download</w:t>
      </w:r>
      <w:r>
        <w:rPr>
          <w:rFonts w:ascii="Arial" w:hAnsi="Arial" w:eastAsia="Arial" w:cs="Arial"/>
          <w:color w:val="1155CC"/>
          <w:u w:val="single"/>
        </w:rPr>
        <w:fldChar w:fldCharType="end"/>
      </w:r>
    </w:p>
    <w:p w14:paraId="265644C6">
      <w:pPr>
        <w:spacing w:after="240"/>
        <w:rPr>
          <w:rFonts w:ascii="Arial" w:hAnsi="Arial" w:eastAsia="Arial" w:cs="Arial"/>
        </w:rPr>
      </w:pPr>
      <w:r>
        <w:rPr>
          <w:rFonts w:ascii="Arial" w:hAnsi="Arial" w:eastAsia="Arial" w:cs="Arial"/>
          <w:color w:val="222222"/>
        </w:rPr>
        <w:t xml:space="preserve">Xie, C., Gu, Y., Wang, Y., Ni, F. and Li, Y., 2023. Research status and hotspots of medication safety in older adults: a bibliometric analysis. </w:t>
      </w:r>
      <w:r>
        <w:rPr>
          <w:rFonts w:ascii="Arial" w:hAnsi="Arial" w:eastAsia="Arial" w:cs="Arial"/>
          <w:i/>
          <w:iCs/>
          <w:color w:val="222222"/>
        </w:rPr>
        <w:t>Frontiers in Public Health</w:t>
      </w:r>
      <w:r>
        <w:rPr>
          <w:rFonts w:ascii="Arial" w:hAnsi="Arial" w:eastAsia="Arial" w:cs="Arial"/>
          <w:color w:val="222222"/>
        </w:rPr>
        <w:t xml:space="preserve">, </w:t>
      </w:r>
      <w:r>
        <w:rPr>
          <w:rFonts w:ascii="Arial" w:hAnsi="Arial" w:eastAsia="Arial" w:cs="Arial"/>
          <w:i/>
          <w:iCs/>
          <w:color w:val="222222"/>
        </w:rPr>
        <w:t>10</w:t>
      </w:r>
      <w:r>
        <w:rPr>
          <w:rFonts w:ascii="Arial" w:hAnsi="Arial" w:eastAsia="Arial" w:cs="Arial"/>
          <w:color w:val="222222"/>
        </w:rPr>
        <w:t>, p.967227.</w:t>
      </w:r>
      <w:r>
        <w:rPr>
          <w:rFonts w:ascii="Arial" w:hAnsi="Arial" w:eastAsia="Arial" w:cs="Arial"/>
        </w:rPr>
        <w:t xml:space="preserve"> </w:t>
      </w:r>
      <w:r>
        <w:fldChar w:fldCharType="begin"/>
      </w:r>
      <w:r>
        <w:instrText xml:space="preserve"> HYPERLINK "https://www.frontiersin.org/journals/public-health/articles/10.3389/fpubh.2022.967227/pdf" \h </w:instrText>
      </w:r>
      <w:r>
        <w:fldChar w:fldCharType="separate"/>
      </w:r>
      <w:r>
        <w:rPr>
          <w:rFonts w:ascii="Arial" w:hAnsi="Arial" w:eastAsia="Arial" w:cs="Arial"/>
          <w:color w:val="1155CC"/>
          <w:u w:val="single"/>
        </w:rPr>
        <w:t>https://www.frontiersin.org/journals/public-health/articles/10.3389/fpubh.2022.967227/pdf</w:t>
      </w:r>
      <w:r>
        <w:rPr>
          <w:rFonts w:ascii="Arial" w:hAnsi="Arial" w:eastAsia="Arial" w:cs="Arial"/>
          <w:color w:val="1155CC"/>
          <w:u w:val="single"/>
        </w:rPr>
        <w:fldChar w:fldCharType="end"/>
      </w:r>
    </w:p>
    <w:p w14:paraId="569939C5">
      <w:pPr>
        <w:rPr>
          <w:rFonts w:ascii="Arial" w:hAnsi="Arial" w:eastAsia="Arial" w:cs="Arial"/>
        </w:rPr>
      </w:pPr>
    </w:p>
    <w:sectPr>
      <w:footerReference r:id="rId5"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6098988E-9F67-40C4-9A02-6F8C29C237FE}"/>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37AEE2F5-A0D2-4A89-92DF-CC4F2DC7CFAB}"/>
  </w:font>
  <w:font w:name="Wingdings">
    <w:panose1 w:val="05000000000000000000"/>
    <w:charset w:val="02"/>
    <w:family w:val="auto"/>
    <w:pitch w:val="default"/>
    <w:sig w:usb0="00000000" w:usb1="00000000" w:usb2="00000000" w:usb3="00000000" w:csb0="80000000" w:csb1="00000000"/>
    <w:embedRegular r:id="rId3" w:fontKey="{A877A5EA-7CC0-4618-A8FB-7F390E8C2ECD}"/>
  </w:font>
  <w:font w:name="Calibri">
    <w:panose1 w:val="020F0502020204030204"/>
    <w:charset w:val="00"/>
    <w:family w:val="swiss"/>
    <w:pitch w:val="default"/>
    <w:sig w:usb0="E4002EFF" w:usb1="C200247B" w:usb2="00000009" w:usb3="00000000" w:csb0="200001FF" w:csb1="00000000"/>
    <w:embedRegular r:id="rId4" w:fontKey="{FD4621B4-3814-4701-9D41-2B27FD8C7E7F}"/>
  </w:font>
  <w:font w:name="等线">
    <w:altName w:val="Microsoft YaHei"/>
    <w:panose1 w:val="00000000000000000000"/>
    <w:charset w:val="86"/>
    <w:family w:val="auto"/>
    <w:pitch w:val="default"/>
    <w:sig w:usb0="00000000" w:usb1="00000000" w:usb2="00000000" w:usb3="00000000" w:csb0="00000000" w:csb1="00000000"/>
  </w:font>
  <w:font w:name="MS PGothic">
    <w:panose1 w:val="020B0600070205080204"/>
    <w:charset w:val="80"/>
    <w:family w:val="auto"/>
    <w:pitch w:val="default"/>
    <w:sig w:usb0="E00002FF" w:usb1="6AC7FDFB" w:usb2="08000012" w:usb3="00000000" w:csb0="4002009F" w:csb1="DFD7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F852F4D">
    <w:pPr>
      <w:jc w:val="right"/>
      <w:rPr>
        <w:sz w:val="20"/>
        <w:szCs w:val="20"/>
      </w:rPr>
    </w:pPr>
    <w:r>
      <w:rPr>
        <w:sz w:val="20"/>
        <w:szCs w:val="20"/>
      </w:rPr>
      <w:fldChar w:fldCharType="begin"/>
    </w:r>
    <w:r>
      <w:rPr>
        <w:sz w:val="20"/>
        <w:szCs w:val="20"/>
      </w:rPr>
      <w:instrText xml:space="preserve">PAGE</w:instrText>
    </w:r>
    <w:r>
      <w:rPr>
        <w:sz w:val="20"/>
        <w:szCs w:val="20"/>
      </w:rPr>
      <w:fldChar w:fldCharType="separate"/>
    </w:r>
    <w:r>
      <w:rPr>
        <w:sz w:val="20"/>
        <w:szCs w:val="20"/>
      </w:rPr>
      <w:t>23</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4A5A7E"/>
    <w:multiLevelType w:val="multilevel"/>
    <w:tmpl w:val="074A5A7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7EB740F"/>
    <w:multiLevelType w:val="multilevel"/>
    <w:tmpl w:val="07EB740F"/>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2">
    <w:nsid w:val="21255188"/>
    <w:multiLevelType w:val="multilevel"/>
    <w:tmpl w:val="2125518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46A029FF"/>
    <w:multiLevelType w:val="multilevel"/>
    <w:tmpl w:val="46A029FF"/>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4">
    <w:nsid w:val="761B4702"/>
    <w:multiLevelType w:val="multilevel"/>
    <w:tmpl w:val="761B470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4"/>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6521"/>
    <w:rsid w:val="00114077"/>
    <w:rsid w:val="0012075C"/>
    <w:rsid w:val="00264C5C"/>
    <w:rsid w:val="003A2CA0"/>
    <w:rsid w:val="003F6DE6"/>
    <w:rsid w:val="005C5A1F"/>
    <w:rsid w:val="00796521"/>
    <w:rsid w:val="00A4087B"/>
    <w:rsid w:val="00A865EB"/>
    <w:rsid w:val="00DF19B3"/>
    <w:rsid w:val="15A85596"/>
    <w:rsid w:val="7BCE1AD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IN" w:bidi="ar-SA"/>
    </w:rPr>
  </w:style>
  <w:style w:type="paragraph" w:styleId="2">
    <w:name w:val="heading 1"/>
    <w:basedOn w:val="1"/>
    <w:next w:val="1"/>
    <w:qFormat/>
    <w:uiPriority w:val="0"/>
    <w:pPr>
      <w:keepNext/>
      <w:keepLines/>
      <w:spacing w:before="200"/>
      <w:jc w:val="left"/>
      <w:outlineLvl w:val="0"/>
    </w:pPr>
    <w:rPr>
      <w:b/>
      <w:bCs/>
      <w:sz w:val="28"/>
      <w:szCs w:val="28"/>
    </w:rPr>
  </w:style>
  <w:style w:type="paragraph" w:styleId="3">
    <w:name w:val="heading 2"/>
    <w:basedOn w:val="1"/>
    <w:next w:val="1"/>
    <w:qFormat/>
    <w:uiPriority w:val="0"/>
    <w:pPr>
      <w:keepNext/>
      <w:keepLines/>
      <w:outlineLvl w:val="1"/>
    </w:pPr>
    <w:rPr>
      <w:b/>
      <w:bCs/>
      <w:sz w:val="26"/>
      <w:szCs w:val="26"/>
    </w:rPr>
  </w:style>
  <w:style w:type="paragraph" w:styleId="4">
    <w:name w:val="heading 3"/>
    <w:basedOn w:val="1"/>
    <w:next w:val="1"/>
    <w:qFormat/>
    <w:uiPriority w:val="0"/>
    <w:pPr>
      <w:keepNext/>
      <w:keepLines/>
      <w:outlineLvl w:val="2"/>
    </w:pPr>
    <w:rPr>
      <w:b/>
      <w:bCs/>
    </w:rPr>
  </w:style>
  <w:style w:type="paragraph" w:styleId="5">
    <w:name w:val="heading 4"/>
    <w:basedOn w:val="1"/>
    <w:next w:val="1"/>
    <w:qFormat/>
    <w:uiPriority w:val="0"/>
    <w:pPr>
      <w:keepNext/>
      <w:keepLines/>
      <w:jc w:val="left"/>
      <w:outlineLvl w:val="3"/>
    </w:pPr>
    <w:rPr>
      <w:b/>
      <w:bCs/>
      <w:i/>
      <w:iCs/>
    </w:rPr>
  </w:style>
  <w:style w:type="paragraph" w:styleId="6">
    <w:name w:val="heading 5"/>
    <w:basedOn w:val="1"/>
    <w:next w:val="1"/>
    <w:qFormat/>
    <w:uiPriority w:val="0"/>
    <w:pPr>
      <w:keepNext/>
      <w:keepLines/>
      <w:jc w:val="center"/>
      <w:outlineLvl w:val="4"/>
    </w:pPr>
    <w:rPr>
      <w:b/>
      <w:bCs/>
    </w:rPr>
  </w:style>
  <w:style w:type="paragraph" w:styleId="7">
    <w:name w:val="heading 6"/>
    <w:basedOn w:val="1"/>
    <w:next w:val="1"/>
    <w:qFormat/>
    <w:uiPriority w:val="0"/>
    <w:pPr>
      <w:keepNext/>
      <w:keepLines/>
      <w:jc w:val="center"/>
      <w:outlineLvl w:val="5"/>
    </w:pPr>
    <w:rPr>
      <w:b/>
      <w:bCs/>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header"/>
    <w:basedOn w:val="1"/>
    <w:link w:val="15"/>
    <w:qFormat/>
    <w:uiPriority w:val="0"/>
    <w:pPr>
      <w:tabs>
        <w:tab w:val="center" w:pos="4153"/>
        <w:tab w:val="right" w:pos="8306"/>
      </w:tabs>
      <w:spacing w:line="240" w:lineRule="auto"/>
      <w:jc w:val="left"/>
    </w:pPr>
    <w:rPr>
      <w:sz w:val="20"/>
      <w:szCs w:val="20"/>
      <w:lang w:val="en-GB" w:eastAsia="en-GB"/>
    </w:rPr>
  </w:style>
  <w:style w:type="paragraph" w:styleId="11">
    <w:name w:val="Subtitle"/>
    <w:basedOn w:val="1"/>
    <w:next w:val="1"/>
    <w:qFormat/>
    <w:uiPriority w:val="0"/>
    <w:pPr>
      <w:keepNext/>
      <w:keepLines/>
      <w:spacing w:after="320"/>
    </w:pPr>
    <w:rPr>
      <w:rFonts w:ascii="Arial" w:hAnsi="Arial" w:eastAsia="Arial" w:cs="Arial"/>
      <w:color w:val="666666"/>
      <w:sz w:val="30"/>
      <w:szCs w:val="30"/>
    </w:rPr>
  </w:style>
  <w:style w:type="paragraph" w:styleId="12">
    <w:name w:val="Title"/>
    <w:basedOn w:val="1"/>
    <w:next w:val="1"/>
    <w:uiPriority w:val="0"/>
    <w:pPr>
      <w:keepNext/>
      <w:keepLines/>
      <w:spacing w:after="60"/>
      <w:jc w:val="center"/>
    </w:pPr>
    <w:rPr>
      <w:b/>
      <w:bCs/>
      <w:sz w:val="32"/>
      <w:szCs w:val="32"/>
    </w:rPr>
  </w:style>
  <w:style w:type="table" w:customStyle="1" w:styleId="13">
    <w:name w:val="TableNormal"/>
    <w:qFormat/>
    <w:uiPriority w:val="0"/>
    <w:tblPr>
      <w:tblCellMar>
        <w:top w:w="100" w:type="dxa"/>
        <w:left w:w="100" w:type="dxa"/>
        <w:bottom w:w="100" w:type="dxa"/>
        <w:right w:w="100" w:type="dxa"/>
      </w:tblCellMar>
    </w:tblPr>
  </w:style>
  <w:style w:type="table" w:customStyle="1" w:styleId="14">
    <w:name w:val="_Style 12"/>
    <w:basedOn w:val="13"/>
    <w:qFormat/>
    <w:uiPriority w:val="0"/>
  </w:style>
  <w:style w:type="character" w:customStyle="1" w:styleId="15">
    <w:name w:val="Header Char"/>
    <w:basedOn w:val="8"/>
    <w:link w:val="10"/>
    <w:qFormat/>
    <w:uiPriority w:val="0"/>
    <w:rPr>
      <w:sz w:val="20"/>
      <w:szCs w:val="20"/>
      <w:lang w:val="en-GB" w:eastAsia="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28</Pages>
  <Words>6158</Words>
  <Characters>42702</Characters>
  <Lines>823</Lines>
  <Paragraphs>246</Paragraphs>
  <TotalTime>1520</TotalTime>
  <ScaleCrop>false</ScaleCrop>
  <LinksUpToDate>false</LinksUpToDate>
  <CharactersWithSpaces>48790</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2026-08-06T14:21:00Z</dcterms:created>
  <dc:creator>bi85nr</dc:creator>
  <cp:lastModifiedBy>bi85nr</cp:lastModifiedBy>
  <dcterms:modified xsi:type="dcterms:W3CDTF">2026-08-10T14:55:38Z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eyJoZGlkIjoiYWExMDI5MDc1Y2JiYWQzMTNjNzk4NjdjMjBjNjVjMTQifQ==</vt:lpwstr>
  </property>
  <property fmtid="{D5CDD505-2E9C-101B-9397-08002B2CF9AE}" pid="3" name="KSOProductBuildVer">
    <vt:lpwstr>1033-12.1.0.28032</vt:lpwstr>
  </property>
  <property fmtid="{D5CDD505-2E9C-101B-9397-08002B2CF9AE}" pid="4" name="ICV">
    <vt:lpwstr>6A18F8F3B5234C579E402225CFB0610C_13</vt:lpwstr>
  </property>
</Properties>
</file>