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D71B4A" w14:textId="461CDF10" w:rsidR="004F2930" w:rsidRPr="00333F5A" w:rsidRDefault="004F2930" w:rsidP="00333F5A">
      <w:pPr>
        <w:spacing w:line="360" w:lineRule="auto"/>
        <w:rPr>
          <w:rFonts w:ascii="Arial" w:hAnsi="Arial" w:cs="Arial"/>
          <w:bCs/>
          <w:sz w:val="28"/>
          <w:szCs w:val="28"/>
        </w:rPr>
      </w:pPr>
      <w:r w:rsidRPr="00A8077C">
        <w:rPr>
          <w:rFonts w:ascii="Arial" w:hAnsi="Arial" w:cs="Arial"/>
          <w:bCs/>
          <w:sz w:val="28"/>
          <w:szCs w:val="28"/>
        </w:rPr>
        <w:t xml:space="preserve">Good afternoon, my name is Linsey Smith. Over the past 3 weeks I have been taking part in the John Muir Award. The John Muir Award is an UK environmental award created </w:t>
      </w:r>
      <w:r w:rsidR="004307B8">
        <w:rPr>
          <w:rFonts w:ascii="Arial" w:hAnsi="Arial" w:cs="Arial"/>
          <w:bCs/>
          <w:sz w:val="28"/>
          <w:szCs w:val="28"/>
        </w:rPr>
        <w:t>to celebrate the environmental achievements of</w:t>
      </w:r>
      <w:r w:rsidRPr="00A8077C">
        <w:rPr>
          <w:rFonts w:ascii="Arial" w:hAnsi="Arial" w:cs="Arial"/>
          <w:bCs/>
          <w:sz w:val="28"/>
          <w:szCs w:val="28"/>
        </w:rPr>
        <w:t xml:space="preserve"> the Scottish born American naturist John Muir.</w:t>
      </w:r>
      <w:r w:rsidRPr="00333F5A">
        <w:rPr>
          <w:rFonts w:ascii="Arial" w:hAnsi="Arial" w:cs="Arial"/>
          <w:bCs/>
          <w:sz w:val="28"/>
          <w:szCs w:val="28"/>
        </w:rPr>
        <w:t xml:space="preserve"> </w:t>
      </w:r>
      <w:r w:rsidR="00B04720">
        <w:rPr>
          <w:rFonts w:ascii="Arial" w:hAnsi="Arial" w:cs="Arial"/>
          <w:bCs/>
          <w:sz w:val="28"/>
          <w:szCs w:val="28"/>
        </w:rPr>
        <w:t xml:space="preserve">The </w:t>
      </w:r>
      <w:r w:rsidRPr="00333F5A">
        <w:rPr>
          <w:rFonts w:ascii="Arial" w:hAnsi="Arial" w:cs="Arial"/>
          <w:bCs/>
          <w:sz w:val="28"/>
          <w:szCs w:val="28"/>
        </w:rPr>
        <w:t>award has been designed for individuals of all backgrounds to connect, enjoy and care for wild environments. The award has been set up with 4 purposes, to discover</w:t>
      </w:r>
      <w:r w:rsidR="00163D24">
        <w:rPr>
          <w:rFonts w:ascii="Arial" w:hAnsi="Arial" w:cs="Arial"/>
          <w:bCs/>
          <w:sz w:val="28"/>
          <w:szCs w:val="28"/>
        </w:rPr>
        <w:t>, e</w:t>
      </w:r>
      <w:r w:rsidRPr="00333F5A">
        <w:rPr>
          <w:rFonts w:ascii="Arial" w:hAnsi="Arial" w:cs="Arial"/>
          <w:bCs/>
          <w:sz w:val="28"/>
          <w:szCs w:val="28"/>
        </w:rPr>
        <w:t>xplore</w:t>
      </w:r>
      <w:r w:rsidR="00163D24">
        <w:rPr>
          <w:rFonts w:ascii="Arial" w:hAnsi="Arial" w:cs="Arial"/>
          <w:bCs/>
          <w:sz w:val="28"/>
          <w:szCs w:val="28"/>
        </w:rPr>
        <w:t>,</w:t>
      </w:r>
      <w:r w:rsidRPr="00333F5A">
        <w:rPr>
          <w:rFonts w:ascii="Arial" w:hAnsi="Arial" w:cs="Arial"/>
          <w:bCs/>
          <w:sz w:val="28"/>
          <w:szCs w:val="28"/>
        </w:rPr>
        <w:t xml:space="preserve"> to conserve and </w:t>
      </w:r>
      <w:r w:rsidR="00163D24">
        <w:rPr>
          <w:rFonts w:ascii="Arial" w:hAnsi="Arial" w:cs="Arial"/>
          <w:bCs/>
          <w:sz w:val="28"/>
          <w:szCs w:val="28"/>
        </w:rPr>
        <w:t>lastly</w:t>
      </w:r>
      <w:r w:rsidRPr="00333F5A">
        <w:rPr>
          <w:rFonts w:ascii="Arial" w:hAnsi="Arial" w:cs="Arial"/>
          <w:bCs/>
          <w:sz w:val="28"/>
          <w:szCs w:val="28"/>
        </w:rPr>
        <w:t xml:space="preserve"> to share your experience</w:t>
      </w:r>
      <w:r w:rsidR="00D0123F">
        <w:rPr>
          <w:rFonts w:ascii="Arial" w:hAnsi="Arial" w:cs="Arial"/>
          <w:bCs/>
          <w:sz w:val="28"/>
          <w:szCs w:val="28"/>
        </w:rPr>
        <w:t xml:space="preserve"> about a wild place</w:t>
      </w:r>
      <w:r w:rsidRPr="00333F5A">
        <w:rPr>
          <w:rFonts w:ascii="Arial" w:hAnsi="Arial" w:cs="Arial"/>
          <w:bCs/>
          <w:sz w:val="28"/>
          <w:szCs w:val="28"/>
        </w:rPr>
        <w:t>. Today I will share my experience with you.</w:t>
      </w:r>
    </w:p>
    <w:p w14:paraId="513EB23C" w14:textId="65F37B39" w:rsidR="004F2930" w:rsidRPr="00333F5A" w:rsidRDefault="004F2930" w:rsidP="00333F5A">
      <w:pPr>
        <w:spacing w:line="360" w:lineRule="auto"/>
        <w:rPr>
          <w:rFonts w:ascii="Arial" w:hAnsi="Arial" w:cs="Arial"/>
          <w:bCs/>
          <w:sz w:val="28"/>
          <w:szCs w:val="28"/>
        </w:rPr>
      </w:pPr>
      <w:r w:rsidRPr="00333F5A">
        <w:rPr>
          <w:rFonts w:ascii="Arial" w:hAnsi="Arial" w:cs="Arial"/>
          <w:bCs/>
          <w:sz w:val="28"/>
          <w:szCs w:val="28"/>
        </w:rPr>
        <w:t xml:space="preserve">Previously one of the largest opencast mines in Europe, and now </w:t>
      </w:r>
      <w:r w:rsidR="00E11B13">
        <w:rPr>
          <w:rFonts w:ascii="Arial" w:hAnsi="Arial" w:cs="Arial"/>
          <w:bCs/>
          <w:sz w:val="28"/>
          <w:szCs w:val="28"/>
        </w:rPr>
        <w:t>one of the 3</w:t>
      </w:r>
      <w:r w:rsidRPr="00333F5A">
        <w:rPr>
          <w:rFonts w:ascii="Arial" w:hAnsi="Arial" w:cs="Arial"/>
          <w:bCs/>
          <w:sz w:val="28"/>
          <w:szCs w:val="28"/>
        </w:rPr>
        <w:t xml:space="preserve"> </w:t>
      </w:r>
      <w:r w:rsidR="00087D88" w:rsidRPr="00333F5A">
        <w:rPr>
          <w:rFonts w:ascii="Arial" w:hAnsi="Arial" w:cs="Arial"/>
          <w:bCs/>
          <w:sz w:val="28"/>
          <w:szCs w:val="28"/>
        </w:rPr>
        <w:t>racecourses</w:t>
      </w:r>
      <w:r w:rsidR="00E11B13">
        <w:rPr>
          <w:rFonts w:ascii="Arial" w:hAnsi="Arial" w:cs="Arial"/>
          <w:bCs/>
          <w:sz w:val="28"/>
          <w:szCs w:val="28"/>
        </w:rPr>
        <w:t xml:space="preserve"> in Wales</w:t>
      </w:r>
      <w:r w:rsidRPr="00333F5A">
        <w:rPr>
          <w:rFonts w:ascii="Arial" w:hAnsi="Arial" w:cs="Arial"/>
          <w:bCs/>
          <w:sz w:val="28"/>
          <w:szCs w:val="28"/>
        </w:rPr>
        <w:t xml:space="preserve">, Ffos Las has had numerous changes over the last 50 years. </w:t>
      </w:r>
      <w:r w:rsidR="00087D88">
        <w:rPr>
          <w:rFonts w:ascii="Arial" w:hAnsi="Arial" w:cs="Arial"/>
          <w:bCs/>
          <w:sz w:val="28"/>
          <w:szCs w:val="28"/>
        </w:rPr>
        <w:t>Located within this are,</w:t>
      </w:r>
      <w:r w:rsidRPr="00333F5A">
        <w:rPr>
          <w:rFonts w:ascii="Arial" w:hAnsi="Arial" w:cs="Arial"/>
          <w:bCs/>
          <w:sz w:val="28"/>
          <w:szCs w:val="28"/>
        </w:rPr>
        <w:t xml:space="preserve"> I chose to discover is my back garden. Over the past few years </w:t>
      </w:r>
      <w:r w:rsidR="00CC1675">
        <w:rPr>
          <w:rFonts w:ascii="Arial" w:hAnsi="Arial" w:cs="Arial"/>
          <w:bCs/>
          <w:sz w:val="28"/>
          <w:szCs w:val="28"/>
        </w:rPr>
        <w:t>my garden</w:t>
      </w:r>
      <w:r w:rsidRPr="00333F5A">
        <w:rPr>
          <w:rFonts w:ascii="Arial" w:hAnsi="Arial" w:cs="Arial"/>
          <w:bCs/>
          <w:sz w:val="28"/>
          <w:szCs w:val="28"/>
        </w:rPr>
        <w:t xml:space="preserve"> has been a sanctuary, due to covid. This area is a place, which we as a family can relax and enjoy each other’s company in a busy world. It is tranquil and enables a sensory experience, due to its colours, aromas and the sound of bird song.</w:t>
      </w:r>
    </w:p>
    <w:p w14:paraId="6D488528" w14:textId="2C2B0D7C" w:rsidR="004F2930" w:rsidRPr="00333F5A" w:rsidRDefault="004F2930" w:rsidP="00333F5A">
      <w:pPr>
        <w:spacing w:line="360" w:lineRule="auto"/>
        <w:rPr>
          <w:rFonts w:ascii="Arial" w:hAnsi="Arial" w:cs="Arial"/>
          <w:bCs/>
          <w:sz w:val="28"/>
          <w:szCs w:val="28"/>
        </w:rPr>
      </w:pPr>
      <w:r w:rsidRPr="00333F5A">
        <w:rPr>
          <w:rFonts w:ascii="Arial" w:hAnsi="Arial" w:cs="Arial"/>
          <w:bCs/>
          <w:sz w:val="28"/>
          <w:szCs w:val="28"/>
        </w:rPr>
        <w:t>On exploring this area further, I became aware of the vast array of biodiversity, that ranged from numerous insect</w:t>
      </w:r>
      <w:r w:rsidR="00F970EF">
        <w:rPr>
          <w:rFonts w:ascii="Arial" w:hAnsi="Arial" w:cs="Arial"/>
          <w:bCs/>
          <w:sz w:val="28"/>
          <w:szCs w:val="28"/>
        </w:rPr>
        <w:t>s</w:t>
      </w:r>
      <w:r w:rsidRPr="00333F5A">
        <w:rPr>
          <w:rFonts w:ascii="Arial" w:hAnsi="Arial" w:cs="Arial"/>
          <w:bCs/>
          <w:sz w:val="28"/>
          <w:szCs w:val="28"/>
        </w:rPr>
        <w:t>, birds, mammals, amphibians, reptiles, flowers and shrubs. This range of life expanded from ants, flies, magpies, black birds and the usual cats and dogs to buzzards, red kites, toads, lizards and bats. At every stage of the day, different bird sounds c</w:t>
      </w:r>
      <w:r w:rsidR="004358E3">
        <w:rPr>
          <w:rFonts w:ascii="Arial" w:hAnsi="Arial" w:cs="Arial"/>
          <w:bCs/>
          <w:sz w:val="28"/>
          <w:szCs w:val="28"/>
        </w:rPr>
        <w:t>an</w:t>
      </w:r>
      <w:r w:rsidRPr="00333F5A">
        <w:rPr>
          <w:rFonts w:ascii="Arial" w:hAnsi="Arial" w:cs="Arial"/>
          <w:bCs/>
          <w:sz w:val="28"/>
          <w:szCs w:val="28"/>
        </w:rPr>
        <w:t xml:space="preserve"> be heard, from the dawn and dusk chorus of the black bird, robin and song thrush to the midday song of the sky lark high in the sky. Throughout this explorational experience, it came to my attention that there has been a reduction in both bee and butterfly activity within my garden this year. </w:t>
      </w:r>
    </w:p>
    <w:p w14:paraId="122935D0" w14:textId="2DE218C7" w:rsidR="004F2930" w:rsidRPr="00333F5A" w:rsidRDefault="004F2930" w:rsidP="00333F5A">
      <w:pPr>
        <w:spacing w:line="360" w:lineRule="auto"/>
        <w:rPr>
          <w:rFonts w:ascii="Arial" w:hAnsi="Arial" w:cs="Arial"/>
          <w:bCs/>
          <w:sz w:val="28"/>
          <w:szCs w:val="28"/>
        </w:rPr>
      </w:pPr>
      <w:r w:rsidRPr="00333F5A">
        <w:rPr>
          <w:rFonts w:ascii="Arial" w:hAnsi="Arial" w:cs="Arial"/>
          <w:bCs/>
          <w:sz w:val="28"/>
          <w:szCs w:val="28"/>
        </w:rPr>
        <w:lastRenderedPageBreak/>
        <w:t>As my conservation action I have taken it upon myself to try and overcome this issue. Although previously I have ensured that there is a high number of both bee and butterfly friendly plants such as lavender, and sweet peas within the garden, I recognised that the waterlogged area at the rear fence line was a bare and barren area</w:t>
      </w:r>
      <w:r w:rsidR="00994EED">
        <w:rPr>
          <w:rFonts w:ascii="Arial" w:hAnsi="Arial" w:cs="Arial"/>
          <w:bCs/>
          <w:sz w:val="28"/>
          <w:szCs w:val="28"/>
        </w:rPr>
        <w:t xml:space="preserve"> covered in gravel</w:t>
      </w:r>
      <w:r w:rsidRPr="00333F5A">
        <w:rPr>
          <w:rFonts w:ascii="Arial" w:hAnsi="Arial" w:cs="Arial"/>
          <w:bCs/>
          <w:sz w:val="28"/>
          <w:szCs w:val="28"/>
        </w:rPr>
        <w:t xml:space="preserve">. </w:t>
      </w:r>
    </w:p>
    <w:p w14:paraId="1744DA04" w14:textId="77777777" w:rsidR="003360B2" w:rsidRPr="003360B2" w:rsidRDefault="003360B2" w:rsidP="003360B2">
      <w:pPr>
        <w:spacing w:line="360" w:lineRule="auto"/>
        <w:rPr>
          <w:rFonts w:ascii="Arial" w:hAnsi="Arial" w:cs="Arial"/>
          <w:sz w:val="28"/>
          <w:szCs w:val="28"/>
        </w:rPr>
      </w:pPr>
      <w:r w:rsidRPr="003360B2">
        <w:rPr>
          <w:rFonts w:ascii="Arial" w:hAnsi="Arial" w:cs="Arial"/>
          <w:sz w:val="28"/>
          <w:szCs w:val="28"/>
        </w:rPr>
        <w:t xml:space="preserve">To rectify this issue, my husband and I decided to create 2 vertical gardens and an insect hotel. Within this process, sustainability was our focus, by utilising reclaimed items from neighbours and repurposing others. We created 2 structures, one made of the pallet secured in place with 2 fence posts and another attached to the garden fence, comprising of 2 re-used fence posts, wooden bed slats and 3 pre-used plastic troughs. After ensuring both were structurally stable, we continued to wood stain the structures with environmentally friendly wood stain. On completion, we attached the weed membrane to the interior of the pallet and proceeded to plant both structures with insect friendly flowers and herbs. </w:t>
      </w:r>
    </w:p>
    <w:p w14:paraId="476C9BA0" w14:textId="77777777" w:rsidR="003360B2" w:rsidRPr="003360B2" w:rsidRDefault="003360B2" w:rsidP="003360B2">
      <w:pPr>
        <w:spacing w:line="360" w:lineRule="auto"/>
        <w:rPr>
          <w:rFonts w:ascii="Arial" w:hAnsi="Arial" w:cs="Arial"/>
          <w:sz w:val="28"/>
          <w:szCs w:val="28"/>
        </w:rPr>
      </w:pPr>
      <w:r w:rsidRPr="003360B2">
        <w:rPr>
          <w:rFonts w:ascii="Arial" w:hAnsi="Arial" w:cs="Arial"/>
          <w:sz w:val="28"/>
          <w:szCs w:val="28"/>
        </w:rPr>
        <w:t>The insect hotel was however a purchased build your own kit. On completion, it came to my attention that although this product was intended for environmental purposes, it contained a vast amount of single-use plastic bags to hold the individual components. Although they were recyclable, these items could have been easily replaced with cardboard alternatives.</w:t>
      </w:r>
    </w:p>
    <w:p w14:paraId="2C9B309A" w14:textId="77777777" w:rsidR="004F2930" w:rsidRPr="00333F5A" w:rsidRDefault="004F2930" w:rsidP="00333F5A">
      <w:pPr>
        <w:spacing w:line="360" w:lineRule="auto"/>
        <w:rPr>
          <w:rFonts w:ascii="Arial" w:hAnsi="Arial" w:cs="Arial"/>
          <w:bCs/>
          <w:sz w:val="28"/>
          <w:szCs w:val="28"/>
        </w:rPr>
      </w:pPr>
      <w:r w:rsidRPr="00333F5A">
        <w:rPr>
          <w:rFonts w:ascii="Arial" w:hAnsi="Arial" w:cs="Arial"/>
          <w:bCs/>
          <w:sz w:val="28"/>
          <w:szCs w:val="28"/>
        </w:rPr>
        <w:t xml:space="preserve">I have shared this experience in practice with my husband, </w:t>
      </w:r>
      <w:r w:rsidR="004E162C">
        <w:rPr>
          <w:rFonts w:ascii="Arial" w:hAnsi="Arial" w:cs="Arial"/>
          <w:bCs/>
          <w:sz w:val="28"/>
          <w:szCs w:val="28"/>
        </w:rPr>
        <w:t xml:space="preserve">and verbally with our daughters </w:t>
      </w:r>
      <w:r w:rsidRPr="00333F5A">
        <w:rPr>
          <w:rFonts w:ascii="Arial" w:hAnsi="Arial" w:cs="Arial"/>
          <w:bCs/>
          <w:sz w:val="28"/>
          <w:szCs w:val="28"/>
        </w:rPr>
        <w:t>and other family members. I have additionally shared photographs of the finished product to my neighbours.</w:t>
      </w:r>
    </w:p>
    <w:p w14:paraId="58A457DD" w14:textId="77777777" w:rsidR="00B84EC9" w:rsidRPr="00333F5A" w:rsidRDefault="004F2930" w:rsidP="00333F5A">
      <w:pPr>
        <w:spacing w:line="360" w:lineRule="auto"/>
        <w:rPr>
          <w:rFonts w:ascii="Arial" w:hAnsi="Arial" w:cs="Arial"/>
          <w:bCs/>
          <w:sz w:val="28"/>
          <w:szCs w:val="28"/>
        </w:rPr>
      </w:pPr>
      <w:r w:rsidRPr="00333F5A">
        <w:rPr>
          <w:rFonts w:ascii="Arial" w:hAnsi="Arial" w:cs="Arial"/>
          <w:bCs/>
          <w:sz w:val="28"/>
          <w:szCs w:val="28"/>
        </w:rPr>
        <w:t xml:space="preserve">Although I have a hands-on approach to sustainability, and environmental issues, I still believe that </w:t>
      </w:r>
      <w:r w:rsidR="003360B2" w:rsidRPr="003360B2">
        <w:rPr>
          <w:rFonts w:ascii="Arial" w:hAnsi="Arial" w:cs="Arial"/>
          <w:bCs/>
          <w:sz w:val="28"/>
          <w:szCs w:val="28"/>
        </w:rPr>
        <w:t>as a family we can do more.</w:t>
      </w:r>
      <w:r w:rsidRPr="00333F5A">
        <w:rPr>
          <w:rFonts w:ascii="Arial" w:hAnsi="Arial" w:cs="Arial"/>
          <w:bCs/>
          <w:sz w:val="28"/>
          <w:szCs w:val="28"/>
        </w:rPr>
        <w:t xml:space="preserve"> </w:t>
      </w:r>
      <w:r w:rsidRPr="00333F5A">
        <w:rPr>
          <w:rFonts w:ascii="Arial" w:hAnsi="Arial" w:cs="Arial"/>
          <w:bCs/>
          <w:sz w:val="28"/>
          <w:szCs w:val="28"/>
        </w:rPr>
        <w:lastRenderedPageBreak/>
        <w:t xml:space="preserve">Living in Wales has caused us as a family to be less efficient where water conservation is concerned. Having previously living in Cyprus and having person experience of water shortages and the effects of wildfires due to drought, I should use this experience wisely. </w:t>
      </w:r>
      <w:r w:rsidR="001D5B5F" w:rsidRPr="00333F5A">
        <w:rPr>
          <w:rFonts w:ascii="Arial" w:hAnsi="Arial" w:cs="Arial"/>
          <w:bCs/>
          <w:sz w:val="28"/>
          <w:szCs w:val="28"/>
        </w:rPr>
        <w:t>As</w:t>
      </w:r>
      <w:r w:rsidRPr="00333F5A">
        <w:rPr>
          <w:rFonts w:ascii="Arial" w:hAnsi="Arial" w:cs="Arial"/>
          <w:bCs/>
          <w:sz w:val="28"/>
          <w:szCs w:val="28"/>
        </w:rPr>
        <w:t xml:space="preserve"> our next conservational task, we are going to prepare the area for water conservation, with the introduction of a water butt.</w:t>
      </w:r>
    </w:p>
    <w:p w14:paraId="716C9717" w14:textId="3136C54F" w:rsidR="008037CD" w:rsidRPr="008037CD" w:rsidRDefault="004D131E" w:rsidP="00333F5A">
      <w:pPr>
        <w:spacing w:line="360" w:lineRule="auto"/>
        <w:rPr>
          <w:rFonts w:ascii="Arial" w:hAnsi="Arial" w:cs="Arial"/>
          <w:sz w:val="28"/>
          <w:szCs w:val="28"/>
        </w:rPr>
      </w:pPr>
      <w:r w:rsidRPr="00333F5A">
        <w:rPr>
          <w:rFonts w:ascii="Arial" w:hAnsi="Arial" w:cs="Arial"/>
          <w:sz w:val="28"/>
          <w:szCs w:val="28"/>
        </w:rPr>
        <w:br w:type="page"/>
      </w:r>
      <w:r w:rsidR="00333F5A" w:rsidRPr="00333F5A">
        <w:rPr>
          <w:rFonts w:ascii="Arial" w:hAnsi="Arial" w:cs="Arial"/>
          <w:sz w:val="28"/>
          <w:szCs w:val="28"/>
        </w:rPr>
        <w:lastRenderedPageBreak/>
        <w:t xml:space="preserve">This is the end of my reflection, </w:t>
      </w:r>
      <w:r w:rsidR="008037CD" w:rsidRPr="008037CD">
        <w:rPr>
          <w:rFonts w:ascii="Arial" w:hAnsi="Arial" w:cs="Arial"/>
          <w:sz w:val="28"/>
          <w:szCs w:val="28"/>
        </w:rPr>
        <w:t>I will now move onto my critical evaluation, by discussing how environmental experiences, such as the John Muir Award (JMA) can support Education for Sustainable Development and Global Citizenship (ESDGC), the United Nations Sustainable Development Goals (SDGs) and the role of the practitioner</w:t>
      </w:r>
      <w:r w:rsidR="008F594A">
        <w:rPr>
          <w:rFonts w:ascii="Arial" w:hAnsi="Arial" w:cs="Arial"/>
          <w:sz w:val="28"/>
          <w:szCs w:val="28"/>
        </w:rPr>
        <w:t xml:space="preserve"> within the Early Years</w:t>
      </w:r>
      <w:r w:rsidR="008037CD" w:rsidRPr="008037CD">
        <w:rPr>
          <w:rFonts w:ascii="Arial" w:hAnsi="Arial" w:cs="Arial"/>
          <w:sz w:val="28"/>
          <w:szCs w:val="28"/>
        </w:rPr>
        <w:t>.</w:t>
      </w:r>
    </w:p>
    <w:p w14:paraId="6DED35BA" w14:textId="7BC7B8E7" w:rsidR="008037CD" w:rsidRPr="008037CD" w:rsidRDefault="008037CD" w:rsidP="00333F5A">
      <w:pPr>
        <w:spacing w:line="360" w:lineRule="auto"/>
        <w:rPr>
          <w:rFonts w:ascii="Arial" w:hAnsi="Arial" w:cs="Arial"/>
          <w:sz w:val="28"/>
          <w:szCs w:val="28"/>
        </w:rPr>
      </w:pPr>
      <w:r w:rsidRPr="008037CD">
        <w:rPr>
          <w:rFonts w:ascii="Arial" w:hAnsi="Arial" w:cs="Arial"/>
          <w:sz w:val="28"/>
          <w:szCs w:val="28"/>
          <w:highlight w:val="yellow"/>
        </w:rPr>
        <w:t>Tinney And Hurst (2017)</w:t>
      </w:r>
      <w:r w:rsidRPr="008037CD">
        <w:rPr>
          <w:rFonts w:ascii="Arial" w:hAnsi="Arial" w:cs="Arial"/>
          <w:sz w:val="28"/>
          <w:szCs w:val="28"/>
        </w:rPr>
        <w:t xml:space="preserve"> state that nature related moments, during outdoor experiences, have beneficial outcomes on </w:t>
      </w:r>
      <w:r w:rsidR="00961073" w:rsidRPr="008037CD">
        <w:rPr>
          <w:rFonts w:ascii="Arial" w:hAnsi="Arial" w:cs="Arial"/>
          <w:sz w:val="28"/>
          <w:szCs w:val="28"/>
        </w:rPr>
        <w:t>many</w:t>
      </w:r>
      <w:r w:rsidRPr="008037CD">
        <w:rPr>
          <w:rFonts w:ascii="Arial" w:hAnsi="Arial" w:cs="Arial"/>
          <w:sz w:val="28"/>
          <w:szCs w:val="28"/>
        </w:rPr>
        <w:t xml:space="preserve"> aspects of a child’s development. Stating, that nature-based learning provides practitioners with opportunities to develop a child’s e</w:t>
      </w:r>
      <w:r w:rsidR="00B24D95">
        <w:rPr>
          <w:rFonts w:ascii="Arial" w:hAnsi="Arial" w:cs="Arial"/>
          <w:sz w:val="28"/>
          <w:szCs w:val="28"/>
        </w:rPr>
        <w:t>co-</w:t>
      </w:r>
      <w:r w:rsidRPr="008037CD">
        <w:rPr>
          <w:rFonts w:ascii="Arial" w:hAnsi="Arial" w:cs="Arial"/>
          <w:sz w:val="28"/>
          <w:szCs w:val="28"/>
        </w:rPr>
        <w:t xml:space="preserve">literacy and social- emotional development. </w:t>
      </w:r>
    </w:p>
    <w:p w14:paraId="403321D2" w14:textId="48648401" w:rsidR="008037CD" w:rsidRPr="008037CD" w:rsidRDefault="008037CD" w:rsidP="00333F5A">
      <w:pPr>
        <w:spacing w:line="360" w:lineRule="auto"/>
        <w:rPr>
          <w:rFonts w:ascii="Arial" w:hAnsi="Arial" w:cs="Arial"/>
          <w:sz w:val="28"/>
          <w:szCs w:val="28"/>
        </w:rPr>
      </w:pPr>
      <w:r w:rsidRPr="008037CD">
        <w:rPr>
          <w:rFonts w:ascii="Arial" w:hAnsi="Arial" w:cs="Arial"/>
          <w:sz w:val="28"/>
          <w:szCs w:val="28"/>
        </w:rPr>
        <w:t>Before continuing it is essential that clari</w:t>
      </w:r>
      <w:r w:rsidR="00091F57">
        <w:rPr>
          <w:rFonts w:ascii="Arial" w:hAnsi="Arial" w:cs="Arial"/>
          <w:sz w:val="28"/>
          <w:szCs w:val="28"/>
        </w:rPr>
        <w:t>ty</w:t>
      </w:r>
      <w:r w:rsidRPr="008037CD">
        <w:rPr>
          <w:rFonts w:ascii="Arial" w:hAnsi="Arial" w:cs="Arial"/>
          <w:sz w:val="28"/>
          <w:szCs w:val="28"/>
        </w:rPr>
        <w:t xml:space="preserve"> is made on the definitions of both Sustainability and Global Citizenship. </w:t>
      </w:r>
    </w:p>
    <w:p w14:paraId="04A55BDF" w14:textId="1D4D9E1A" w:rsidR="008037CD" w:rsidRPr="008037CD" w:rsidRDefault="008037CD" w:rsidP="00333F5A">
      <w:pPr>
        <w:spacing w:line="360" w:lineRule="auto"/>
        <w:rPr>
          <w:rFonts w:ascii="Arial" w:hAnsi="Arial" w:cs="Arial"/>
          <w:sz w:val="28"/>
          <w:szCs w:val="28"/>
        </w:rPr>
      </w:pPr>
      <w:r w:rsidRPr="008037CD">
        <w:rPr>
          <w:rFonts w:ascii="Arial" w:hAnsi="Arial" w:cs="Arial"/>
          <w:sz w:val="28"/>
          <w:szCs w:val="28"/>
          <w:highlight w:val="yellow"/>
        </w:rPr>
        <w:t>Greenpeace UK, (2023),</w:t>
      </w:r>
      <w:r w:rsidRPr="008037CD">
        <w:rPr>
          <w:rFonts w:ascii="Arial" w:hAnsi="Arial" w:cs="Arial"/>
          <w:sz w:val="28"/>
          <w:szCs w:val="28"/>
        </w:rPr>
        <w:t xml:space="preserve"> explains that sustainability is the ability to support or maintain a continuous process over time, by ensuring that Economical, Environmental and Social Sustainability are supported equally. When nurtured, individuals can meet their present needs, without compromising the needs of future generations. However, </w:t>
      </w:r>
      <w:r w:rsidRPr="008037CD">
        <w:rPr>
          <w:rFonts w:ascii="Arial" w:hAnsi="Arial" w:cs="Arial"/>
          <w:sz w:val="28"/>
          <w:szCs w:val="28"/>
          <w:highlight w:val="yellow"/>
        </w:rPr>
        <w:t>Keeling and Lehman (2018)</w:t>
      </w:r>
      <w:r w:rsidRPr="008037CD">
        <w:rPr>
          <w:rFonts w:ascii="Arial" w:hAnsi="Arial" w:cs="Arial"/>
          <w:sz w:val="28"/>
          <w:szCs w:val="28"/>
        </w:rPr>
        <w:t xml:space="preserve"> believe that due to the Anthropocentric behaviour of some countries, their immediate economic needs outweigh environmental concerns</w:t>
      </w:r>
      <w:r w:rsidR="00CE6895">
        <w:rPr>
          <w:rFonts w:ascii="Arial" w:hAnsi="Arial" w:cs="Arial"/>
          <w:sz w:val="28"/>
          <w:szCs w:val="28"/>
        </w:rPr>
        <w:t xml:space="preserve"> </w:t>
      </w:r>
      <w:r w:rsidR="00F97382" w:rsidRPr="00F97382">
        <w:rPr>
          <w:rFonts w:ascii="Arial" w:hAnsi="Arial" w:cs="Arial"/>
          <w:sz w:val="28"/>
          <w:szCs w:val="28"/>
          <w:highlight w:val="yellow"/>
        </w:rPr>
        <w:t>(Cocks &amp; Simpson, 2015)</w:t>
      </w:r>
      <w:r w:rsidRPr="008037CD">
        <w:rPr>
          <w:rFonts w:ascii="Arial" w:hAnsi="Arial" w:cs="Arial"/>
          <w:sz w:val="28"/>
          <w:szCs w:val="28"/>
          <w:highlight w:val="yellow"/>
        </w:rPr>
        <w:t>.</w:t>
      </w:r>
      <w:r w:rsidRPr="008037CD">
        <w:rPr>
          <w:rFonts w:ascii="Arial" w:hAnsi="Arial" w:cs="Arial"/>
          <w:sz w:val="28"/>
          <w:szCs w:val="28"/>
        </w:rPr>
        <w:t xml:space="preserve"> Although not addressed directly, Bronfenbrenner’s Ecological Systems Theory, supports this behaviour, by prioritising the needs of human beings over that of the needs for sustainability </w:t>
      </w:r>
      <w:r w:rsidRPr="008037CD">
        <w:rPr>
          <w:rFonts w:ascii="Arial" w:hAnsi="Arial" w:cs="Arial"/>
          <w:sz w:val="28"/>
          <w:szCs w:val="28"/>
          <w:highlight w:val="yellow"/>
        </w:rPr>
        <w:t>(Elliot &amp; Davies, 2020).</w:t>
      </w:r>
      <w:r w:rsidRPr="008037CD">
        <w:rPr>
          <w:rFonts w:ascii="Arial" w:hAnsi="Arial" w:cs="Arial"/>
          <w:sz w:val="28"/>
          <w:szCs w:val="28"/>
        </w:rPr>
        <w:t xml:space="preserve"> </w:t>
      </w:r>
    </w:p>
    <w:p w14:paraId="56C220AC" w14:textId="77DFDE9D" w:rsidR="008037CD" w:rsidRPr="008037CD" w:rsidRDefault="008037CD" w:rsidP="00333F5A">
      <w:pPr>
        <w:spacing w:line="360" w:lineRule="auto"/>
        <w:rPr>
          <w:rFonts w:ascii="Arial" w:hAnsi="Arial" w:cs="Arial"/>
          <w:bCs/>
          <w:sz w:val="28"/>
          <w:szCs w:val="28"/>
        </w:rPr>
      </w:pPr>
      <w:r w:rsidRPr="008037CD">
        <w:rPr>
          <w:rFonts w:ascii="Arial" w:hAnsi="Arial" w:cs="Arial"/>
          <w:sz w:val="28"/>
          <w:szCs w:val="28"/>
          <w:highlight w:val="yellow"/>
        </w:rPr>
        <w:t>Purvis et al (2018)</w:t>
      </w:r>
      <w:r w:rsidRPr="008037CD">
        <w:rPr>
          <w:rFonts w:ascii="Arial" w:hAnsi="Arial" w:cs="Arial"/>
          <w:sz w:val="28"/>
          <w:szCs w:val="28"/>
        </w:rPr>
        <w:t xml:space="preserve"> discusses sustainability as a three-legged stool concept, stating that Economical, Environmental and Social Sustainability, are interconnected and that to attain a stable system, all </w:t>
      </w:r>
      <w:r w:rsidRPr="008037CD">
        <w:rPr>
          <w:rFonts w:ascii="Arial" w:hAnsi="Arial" w:cs="Arial"/>
          <w:sz w:val="28"/>
          <w:szCs w:val="28"/>
        </w:rPr>
        <w:lastRenderedPageBreak/>
        <w:t xml:space="preserve">three must be balanced, as each leg is essential. </w:t>
      </w:r>
      <w:r w:rsidRPr="008037CD">
        <w:rPr>
          <w:rFonts w:ascii="Arial" w:hAnsi="Arial" w:cs="Arial"/>
          <w:sz w:val="28"/>
          <w:szCs w:val="28"/>
          <w:highlight w:val="yellow"/>
        </w:rPr>
        <w:t>Tinney, (2020),</w:t>
      </w:r>
      <w:r w:rsidRPr="008037CD">
        <w:rPr>
          <w:rFonts w:ascii="Arial" w:hAnsi="Arial" w:cs="Arial"/>
          <w:sz w:val="28"/>
          <w:szCs w:val="28"/>
        </w:rPr>
        <w:t xml:space="preserve"> </w:t>
      </w:r>
      <w:r w:rsidRPr="008037CD">
        <w:rPr>
          <w:rFonts w:ascii="Arial" w:hAnsi="Arial" w:cs="Arial"/>
          <w:bCs/>
          <w:sz w:val="28"/>
          <w:szCs w:val="28"/>
        </w:rPr>
        <w:t>explains this by stating that when there is an imbalance, the weakness caused can compromise the system, making it unstable.</w:t>
      </w:r>
    </w:p>
    <w:p w14:paraId="706C5C32" w14:textId="31CA0B9D" w:rsidR="008037CD" w:rsidRPr="008037CD" w:rsidRDefault="008037CD" w:rsidP="00333F5A">
      <w:pPr>
        <w:spacing w:line="360" w:lineRule="auto"/>
        <w:rPr>
          <w:rFonts w:ascii="Arial" w:hAnsi="Arial" w:cs="Arial"/>
          <w:bCs/>
          <w:sz w:val="28"/>
          <w:szCs w:val="28"/>
        </w:rPr>
      </w:pPr>
      <w:r w:rsidRPr="008037CD">
        <w:rPr>
          <w:rFonts w:ascii="Arial" w:hAnsi="Arial" w:cs="Arial"/>
          <w:bCs/>
          <w:sz w:val="28"/>
          <w:szCs w:val="28"/>
          <w:highlight w:val="yellow"/>
        </w:rPr>
        <w:t>Oxfam GB (2024)</w:t>
      </w:r>
      <w:r w:rsidRPr="008037CD">
        <w:rPr>
          <w:rFonts w:ascii="Arial" w:hAnsi="Arial" w:cs="Arial"/>
          <w:bCs/>
          <w:sz w:val="28"/>
          <w:szCs w:val="28"/>
        </w:rPr>
        <w:t xml:space="preserve"> explains that as Global citizens, it is our responsibility to uphold human rights, to be compassionate informed individuals, who understand global issues and take positive actions that promote a real-world impact. </w:t>
      </w:r>
      <w:r w:rsidRPr="008037CD">
        <w:rPr>
          <w:rFonts w:ascii="Arial" w:hAnsi="Arial" w:cs="Arial"/>
          <w:bCs/>
          <w:sz w:val="28"/>
          <w:szCs w:val="28"/>
          <w:highlight w:val="yellow"/>
        </w:rPr>
        <w:t>UNICEF (20</w:t>
      </w:r>
      <w:r w:rsidR="00564B6F">
        <w:rPr>
          <w:rFonts w:ascii="Arial" w:hAnsi="Arial" w:cs="Arial"/>
          <w:bCs/>
          <w:sz w:val="28"/>
          <w:szCs w:val="28"/>
          <w:highlight w:val="yellow"/>
        </w:rPr>
        <w:t>19</w:t>
      </w:r>
      <w:r w:rsidRPr="008037CD">
        <w:rPr>
          <w:rFonts w:ascii="Arial" w:hAnsi="Arial" w:cs="Arial"/>
          <w:bCs/>
          <w:sz w:val="28"/>
          <w:szCs w:val="28"/>
          <w:highlight w:val="yellow"/>
        </w:rPr>
        <w:t>)</w:t>
      </w:r>
      <w:r w:rsidRPr="008037CD">
        <w:rPr>
          <w:rFonts w:ascii="Arial" w:hAnsi="Arial" w:cs="Arial"/>
          <w:bCs/>
          <w:sz w:val="28"/>
          <w:szCs w:val="28"/>
        </w:rPr>
        <w:t xml:space="preserve"> states that global citizenship, enables UNCRC articles 3, 6 and 12 to be achieved, by ensuring that every child has a voice in all decisions which affect their best interest and development.</w:t>
      </w:r>
    </w:p>
    <w:p w14:paraId="0819D1B8" w14:textId="1D411237" w:rsidR="008037CD" w:rsidRPr="008037CD" w:rsidRDefault="008037CD" w:rsidP="00333F5A">
      <w:pPr>
        <w:spacing w:line="360" w:lineRule="auto"/>
        <w:rPr>
          <w:rFonts w:ascii="Arial" w:hAnsi="Arial" w:cs="Arial"/>
          <w:bCs/>
          <w:sz w:val="28"/>
          <w:szCs w:val="28"/>
        </w:rPr>
      </w:pPr>
      <w:r w:rsidRPr="008037CD">
        <w:rPr>
          <w:rFonts w:ascii="Arial" w:hAnsi="Arial" w:cs="Arial"/>
          <w:bCs/>
          <w:sz w:val="28"/>
          <w:szCs w:val="28"/>
        </w:rPr>
        <w:t xml:space="preserve">Due to this interconnection, the United Nations recognised a need to establish an international blueprint for sustainability. They proceeded to set out the SDGs to address global challenges within the three areas of sustainability and create a fair, just and impartial world by 2030 </w:t>
      </w:r>
      <w:r w:rsidRPr="008037CD">
        <w:rPr>
          <w:rFonts w:ascii="Arial" w:hAnsi="Arial" w:cs="Arial"/>
          <w:bCs/>
          <w:sz w:val="28"/>
          <w:szCs w:val="28"/>
          <w:highlight w:val="yellow"/>
        </w:rPr>
        <w:t>(UN</w:t>
      </w:r>
      <w:r w:rsidR="009965B4">
        <w:rPr>
          <w:rFonts w:ascii="Arial" w:hAnsi="Arial" w:cs="Arial"/>
          <w:bCs/>
          <w:sz w:val="28"/>
          <w:szCs w:val="28"/>
          <w:highlight w:val="yellow"/>
        </w:rPr>
        <w:t>ESCO</w:t>
      </w:r>
      <w:r w:rsidRPr="008037CD">
        <w:rPr>
          <w:rFonts w:ascii="Arial" w:hAnsi="Arial" w:cs="Arial"/>
          <w:bCs/>
          <w:sz w:val="28"/>
          <w:szCs w:val="28"/>
          <w:highlight w:val="yellow"/>
        </w:rPr>
        <w:t>, 202</w:t>
      </w:r>
      <w:r w:rsidR="009965B4">
        <w:rPr>
          <w:rFonts w:ascii="Arial" w:hAnsi="Arial" w:cs="Arial"/>
          <w:bCs/>
          <w:sz w:val="28"/>
          <w:szCs w:val="28"/>
          <w:highlight w:val="yellow"/>
        </w:rPr>
        <w:t>4</w:t>
      </w:r>
      <w:r w:rsidRPr="008037CD">
        <w:rPr>
          <w:rFonts w:ascii="Arial" w:hAnsi="Arial" w:cs="Arial"/>
          <w:bCs/>
          <w:sz w:val="28"/>
          <w:szCs w:val="28"/>
          <w:highlight w:val="yellow"/>
        </w:rPr>
        <w:t>)</w:t>
      </w:r>
      <w:r w:rsidR="00B24D95">
        <w:rPr>
          <w:rFonts w:ascii="Arial" w:hAnsi="Arial" w:cs="Arial"/>
          <w:bCs/>
          <w:sz w:val="28"/>
          <w:szCs w:val="28"/>
        </w:rPr>
        <w:t>.</w:t>
      </w:r>
      <w:r w:rsidRPr="008037CD">
        <w:rPr>
          <w:rFonts w:ascii="Arial" w:hAnsi="Arial" w:cs="Arial"/>
          <w:bCs/>
          <w:sz w:val="28"/>
          <w:szCs w:val="28"/>
        </w:rPr>
        <w:t xml:space="preserve"> These 17 goals became a global framework, impacting both local and global aspect, to achieve sustainability</w:t>
      </w:r>
      <w:r w:rsidR="008E69F4">
        <w:rPr>
          <w:rFonts w:ascii="Arial" w:hAnsi="Arial" w:cs="Arial"/>
          <w:bCs/>
          <w:sz w:val="28"/>
          <w:szCs w:val="28"/>
        </w:rPr>
        <w:t xml:space="preserve">, therefore the </w:t>
      </w:r>
      <w:r w:rsidR="008E69F4" w:rsidRPr="00B21FE3">
        <w:rPr>
          <w:rFonts w:ascii="Arial" w:hAnsi="Arial" w:cs="Arial"/>
          <w:bCs/>
          <w:sz w:val="28"/>
          <w:szCs w:val="28"/>
          <w:highlight w:val="yellow"/>
        </w:rPr>
        <w:t>Welsh Govern</w:t>
      </w:r>
      <w:r w:rsidR="00C85767" w:rsidRPr="00B21FE3">
        <w:rPr>
          <w:rFonts w:ascii="Arial" w:hAnsi="Arial" w:cs="Arial"/>
          <w:bCs/>
          <w:sz w:val="28"/>
          <w:szCs w:val="28"/>
          <w:highlight w:val="yellow"/>
        </w:rPr>
        <w:t>ment (2008b)</w:t>
      </w:r>
      <w:r w:rsidR="00C85767">
        <w:rPr>
          <w:rFonts w:ascii="Arial" w:hAnsi="Arial" w:cs="Arial"/>
          <w:bCs/>
          <w:sz w:val="28"/>
          <w:szCs w:val="28"/>
        </w:rPr>
        <w:t xml:space="preserve"> </w:t>
      </w:r>
      <w:r w:rsidRPr="008037CD">
        <w:rPr>
          <w:rFonts w:ascii="Arial" w:hAnsi="Arial" w:cs="Arial"/>
          <w:bCs/>
          <w:sz w:val="28"/>
          <w:szCs w:val="28"/>
        </w:rPr>
        <w:t xml:space="preserve">encompassed </w:t>
      </w:r>
      <w:r w:rsidR="00C85767">
        <w:rPr>
          <w:rFonts w:ascii="Arial" w:hAnsi="Arial" w:cs="Arial"/>
          <w:bCs/>
          <w:sz w:val="28"/>
          <w:szCs w:val="28"/>
        </w:rPr>
        <w:t xml:space="preserve">them </w:t>
      </w:r>
      <w:r w:rsidRPr="008037CD">
        <w:rPr>
          <w:rFonts w:ascii="Arial" w:hAnsi="Arial" w:cs="Arial"/>
          <w:bCs/>
          <w:sz w:val="28"/>
          <w:szCs w:val="28"/>
        </w:rPr>
        <w:t>within the ESDGC</w:t>
      </w:r>
      <w:r w:rsidR="00C85767">
        <w:rPr>
          <w:rFonts w:ascii="Arial" w:hAnsi="Arial" w:cs="Arial"/>
          <w:bCs/>
          <w:sz w:val="28"/>
          <w:szCs w:val="28"/>
        </w:rPr>
        <w:t xml:space="preserve">. </w:t>
      </w:r>
      <w:r w:rsidRPr="008037CD">
        <w:rPr>
          <w:rFonts w:ascii="Arial" w:hAnsi="Arial" w:cs="Arial"/>
          <w:bCs/>
          <w:sz w:val="28"/>
          <w:szCs w:val="28"/>
        </w:rPr>
        <w:t>Although the SDGs are necessary, some however are unachievable by 2030, due to the vastness of the situation. These include Goal’s 1 and 2 for zero poverty and hunger, however</w:t>
      </w:r>
      <w:r w:rsidR="00B21FE3">
        <w:rPr>
          <w:rFonts w:ascii="Arial" w:hAnsi="Arial" w:cs="Arial"/>
          <w:bCs/>
          <w:sz w:val="28"/>
          <w:szCs w:val="28"/>
        </w:rPr>
        <w:t>,</w:t>
      </w:r>
      <w:r w:rsidRPr="008037CD">
        <w:rPr>
          <w:rFonts w:ascii="Arial" w:hAnsi="Arial" w:cs="Arial"/>
          <w:bCs/>
          <w:sz w:val="28"/>
          <w:szCs w:val="28"/>
        </w:rPr>
        <w:t xml:space="preserve"> when equipped with international dedicated and decisive action, these challenges can be overcome </w:t>
      </w:r>
      <w:r w:rsidRPr="008037CD">
        <w:rPr>
          <w:rFonts w:ascii="Arial" w:hAnsi="Arial" w:cs="Arial"/>
          <w:bCs/>
          <w:sz w:val="28"/>
          <w:szCs w:val="28"/>
          <w:highlight w:val="yellow"/>
        </w:rPr>
        <w:t>(Murphy &amp; Waters-Davies, 2022).</w:t>
      </w:r>
    </w:p>
    <w:p w14:paraId="618F3484" w14:textId="0FBF3D45" w:rsidR="008037CD" w:rsidRPr="008037CD" w:rsidRDefault="008037CD" w:rsidP="00333F5A">
      <w:pPr>
        <w:spacing w:line="360" w:lineRule="auto"/>
        <w:rPr>
          <w:rFonts w:ascii="Arial" w:hAnsi="Arial" w:cs="Arial"/>
          <w:bCs/>
          <w:sz w:val="28"/>
          <w:szCs w:val="28"/>
        </w:rPr>
      </w:pPr>
      <w:r w:rsidRPr="008037CD">
        <w:rPr>
          <w:rFonts w:ascii="Arial" w:hAnsi="Arial" w:cs="Arial"/>
          <w:bCs/>
          <w:sz w:val="28"/>
          <w:szCs w:val="28"/>
        </w:rPr>
        <w:t>Due to Wales being at the forefront of Sustainable Practice, attributing to Wales’s</w:t>
      </w:r>
      <w:r w:rsidR="00B21FE3">
        <w:rPr>
          <w:rFonts w:ascii="Arial" w:hAnsi="Arial" w:cs="Arial"/>
          <w:bCs/>
          <w:sz w:val="28"/>
          <w:szCs w:val="28"/>
        </w:rPr>
        <w:t>,</w:t>
      </w:r>
      <w:r w:rsidRPr="008037CD">
        <w:rPr>
          <w:rFonts w:ascii="Arial" w:hAnsi="Arial" w:cs="Arial"/>
          <w:bCs/>
          <w:sz w:val="28"/>
          <w:szCs w:val="28"/>
        </w:rPr>
        <w:t xml:space="preserve"> One Wales: One Planet scheme </w:t>
      </w:r>
      <w:r w:rsidRPr="008037CD">
        <w:rPr>
          <w:rFonts w:ascii="Arial" w:hAnsi="Arial" w:cs="Arial"/>
          <w:bCs/>
          <w:sz w:val="28"/>
          <w:szCs w:val="28"/>
          <w:highlight w:val="yellow"/>
        </w:rPr>
        <w:t>(Welsh Gov, 2008a)</w:t>
      </w:r>
      <w:r w:rsidRPr="008037CD">
        <w:rPr>
          <w:rFonts w:ascii="Arial" w:hAnsi="Arial" w:cs="Arial"/>
          <w:bCs/>
          <w:sz w:val="28"/>
          <w:szCs w:val="28"/>
        </w:rPr>
        <w:t xml:space="preserve"> the Welsh government recognised the importance of ESDGC and made it compulsory for every educational setting</w:t>
      </w:r>
      <w:r w:rsidR="00B21FE3">
        <w:rPr>
          <w:rFonts w:ascii="Arial" w:hAnsi="Arial" w:cs="Arial"/>
          <w:bCs/>
          <w:sz w:val="28"/>
          <w:szCs w:val="28"/>
        </w:rPr>
        <w:t xml:space="preserve">, stated </w:t>
      </w:r>
      <w:r w:rsidRPr="008037CD">
        <w:rPr>
          <w:rFonts w:ascii="Arial" w:hAnsi="Arial" w:cs="Arial"/>
          <w:bCs/>
          <w:sz w:val="28"/>
          <w:szCs w:val="28"/>
        </w:rPr>
        <w:t xml:space="preserve">within the </w:t>
      </w:r>
      <w:r w:rsidRPr="008037CD">
        <w:rPr>
          <w:rFonts w:ascii="Arial" w:hAnsi="Arial" w:cs="Arial"/>
          <w:bCs/>
          <w:sz w:val="28"/>
          <w:szCs w:val="28"/>
          <w:highlight w:val="yellow"/>
        </w:rPr>
        <w:t>Well-being of Future Generations Act (2015)</w:t>
      </w:r>
      <w:r w:rsidR="009965B4">
        <w:rPr>
          <w:rFonts w:ascii="Arial" w:hAnsi="Arial" w:cs="Arial"/>
          <w:bCs/>
          <w:sz w:val="28"/>
          <w:szCs w:val="28"/>
        </w:rPr>
        <w:t xml:space="preserve">, </w:t>
      </w:r>
      <w:r w:rsidR="009965B4" w:rsidRPr="00AD257F">
        <w:rPr>
          <w:rFonts w:ascii="Arial" w:hAnsi="Arial" w:cs="Arial"/>
          <w:bCs/>
          <w:sz w:val="28"/>
          <w:szCs w:val="28"/>
          <w:highlight w:val="yellow"/>
        </w:rPr>
        <w:t>Environmental</w:t>
      </w:r>
      <w:r w:rsidR="00AD257F" w:rsidRPr="00AD257F">
        <w:rPr>
          <w:rFonts w:ascii="Arial" w:hAnsi="Arial" w:cs="Arial"/>
          <w:bCs/>
          <w:sz w:val="28"/>
          <w:szCs w:val="28"/>
          <w:highlight w:val="yellow"/>
        </w:rPr>
        <w:t xml:space="preserve"> (Wales) Act 2016</w:t>
      </w:r>
      <w:r w:rsidRPr="008037CD">
        <w:rPr>
          <w:rFonts w:ascii="Arial" w:hAnsi="Arial" w:cs="Arial"/>
          <w:bCs/>
          <w:sz w:val="28"/>
          <w:szCs w:val="28"/>
        </w:rPr>
        <w:t xml:space="preserve"> and the Curriculum for Wales </w:t>
      </w:r>
      <w:r w:rsidRPr="008037CD">
        <w:rPr>
          <w:rFonts w:ascii="Arial" w:hAnsi="Arial" w:cs="Arial"/>
          <w:bCs/>
          <w:sz w:val="28"/>
          <w:szCs w:val="28"/>
          <w:highlight w:val="yellow"/>
        </w:rPr>
        <w:t>(Welsh Gov 2022 &amp; 2024).</w:t>
      </w:r>
      <w:r w:rsidRPr="008037CD">
        <w:rPr>
          <w:rFonts w:ascii="Arial" w:hAnsi="Arial" w:cs="Arial"/>
          <w:bCs/>
          <w:sz w:val="28"/>
          <w:szCs w:val="28"/>
        </w:rPr>
        <w:t xml:space="preserve"> </w:t>
      </w:r>
    </w:p>
    <w:p w14:paraId="4DDEA064" w14:textId="4922C4ED" w:rsidR="008037CD" w:rsidRPr="008037CD" w:rsidRDefault="008037CD" w:rsidP="00333F5A">
      <w:pPr>
        <w:spacing w:line="360" w:lineRule="auto"/>
        <w:rPr>
          <w:rFonts w:ascii="Arial" w:hAnsi="Arial" w:cs="Arial"/>
          <w:bCs/>
          <w:sz w:val="28"/>
          <w:szCs w:val="28"/>
        </w:rPr>
      </w:pPr>
      <w:r w:rsidRPr="008037CD">
        <w:rPr>
          <w:rFonts w:ascii="Arial" w:hAnsi="Arial" w:cs="Arial"/>
          <w:bCs/>
          <w:sz w:val="28"/>
          <w:szCs w:val="28"/>
          <w:highlight w:val="yellow"/>
        </w:rPr>
        <w:lastRenderedPageBreak/>
        <w:t>(Tinney, 2023)</w:t>
      </w:r>
      <w:r w:rsidRPr="008037CD">
        <w:rPr>
          <w:rFonts w:ascii="Arial" w:hAnsi="Arial" w:cs="Arial"/>
          <w:bCs/>
          <w:sz w:val="28"/>
          <w:szCs w:val="28"/>
        </w:rPr>
        <w:t xml:space="preserve"> </w:t>
      </w:r>
      <w:r w:rsidR="00F0036E">
        <w:rPr>
          <w:rFonts w:ascii="Arial" w:hAnsi="Arial" w:cs="Arial"/>
          <w:bCs/>
          <w:sz w:val="28"/>
          <w:szCs w:val="28"/>
        </w:rPr>
        <w:t>explains that</w:t>
      </w:r>
      <w:r w:rsidRPr="008037CD">
        <w:rPr>
          <w:rFonts w:ascii="Arial" w:hAnsi="Arial" w:cs="Arial"/>
          <w:bCs/>
          <w:sz w:val="28"/>
          <w:szCs w:val="28"/>
        </w:rPr>
        <w:t xml:space="preserve"> ESDGC prepare children to become responsible global citizens. Integrating the three aspects of sustainability and the awareness, critical thinking and action required, to become a responsible global citizen, within an interconnected world. As described by </w:t>
      </w:r>
      <w:r w:rsidRPr="008037CD">
        <w:rPr>
          <w:rFonts w:ascii="Arial" w:hAnsi="Arial" w:cs="Arial"/>
          <w:bCs/>
          <w:sz w:val="28"/>
          <w:szCs w:val="28"/>
          <w:highlight w:val="yellow"/>
        </w:rPr>
        <w:t>Symons (1996)</w:t>
      </w:r>
      <w:r w:rsidRPr="008037CD">
        <w:rPr>
          <w:rFonts w:ascii="Arial" w:hAnsi="Arial" w:cs="Arial"/>
          <w:bCs/>
          <w:sz w:val="28"/>
          <w:szCs w:val="28"/>
        </w:rPr>
        <w:t xml:space="preserve"> the ESDGC enables children to feel a sense of self-worth</w:t>
      </w:r>
      <w:r w:rsidR="00B44E75">
        <w:rPr>
          <w:rFonts w:ascii="Arial" w:hAnsi="Arial" w:cs="Arial"/>
          <w:bCs/>
          <w:sz w:val="28"/>
          <w:szCs w:val="28"/>
        </w:rPr>
        <w:t>, confidence</w:t>
      </w:r>
      <w:r w:rsidRPr="008037CD">
        <w:rPr>
          <w:rFonts w:ascii="Arial" w:hAnsi="Arial" w:cs="Arial"/>
          <w:bCs/>
          <w:sz w:val="28"/>
          <w:szCs w:val="28"/>
        </w:rPr>
        <w:t xml:space="preserve"> and involvement</w:t>
      </w:r>
      <w:r w:rsidR="00C45D93">
        <w:rPr>
          <w:rFonts w:ascii="Arial" w:hAnsi="Arial" w:cs="Arial"/>
          <w:bCs/>
          <w:sz w:val="28"/>
          <w:szCs w:val="28"/>
        </w:rPr>
        <w:t xml:space="preserve">. </w:t>
      </w:r>
      <w:r w:rsidRPr="008037CD">
        <w:rPr>
          <w:rFonts w:ascii="Arial" w:hAnsi="Arial" w:cs="Arial"/>
          <w:bCs/>
          <w:sz w:val="28"/>
          <w:szCs w:val="28"/>
        </w:rPr>
        <w:t>It has been designed to encourage a sense of empathy and responsibility towards human beings, non-human and planetary needs</w:t>
      </w:r>
      <w:r w:rsidR="00C45D93">
        <w:rPr>
          <w:rFonts w:ascii="Arial" w:hAnsi="Arial" w:cs="Arial"/>
          <w:bCs/>
          <w:sz w:val="28"/>
          <w:szCs w:val="28"/>
        </w:rPr>
        <w:t xml:space="preserve"> </w:t>
      </w:r>
      <w:r w:rsidR="00C45D93" w:rsidRPr="00B44E75">
        <w:rPr>
          <w:rFonts w:ascii="Arial" w:hAnsi="Arial" w:cs="Arial"/>
          <w:bCs/>
          <w:sz w:val="28"/>
          <w:szCs w:val="28"/>
          <w:highlight w:val="yellow"/>
        </w:rPr>
        <w:t>(Dyment et al., 2013)</w:t>
      </w:r>
      <w:r w:rsidR="00C45D93" w:rsidRPr="008037CD">
        <w:rPr>
          <w:rFonts w:ascii="Arial" w:hAnsi="Arial" w:cs="Arial"/>
          <w:bCs/>
          <w:sz w:val="28"/>
          <w:szCs w:val="28"/>
          <w:highlight w:val="yellow"/>
        </w:rPr>
        <w:t>.</w:t>
      </w:r>
      <w:r w:rsidR="00C45D93" w:rsidRPr="008037CD">
        <w:rPr>
          <w:rFonts w:ascii="Arial" w:hAnsi="Arial" w:cs="Arial"/>
          <w:bCs/>
          <w:sz w:val="28"/>
          <w:szCs w:val="28"/>
        </w:rPr>
        <w:t xml:space="preserve"> </w:t>
      </w:r>
      <w:r w:rsidR="00972A5D">
        <w:rPr>
          <w:rFonts w:ascii="Arial" w:hAnsi="Arial" w:cs="Arial"/>
          <w:bCs/>
          <w:sz w:val="28"/>
          <w:szCs w:val="28"/>
        </w:rPr>
        <w:t xml:space="preserve"> </w:t>
      </w:r>
    </w:p>
    <w:p w14:paraId="70BC0081" w14:textId="66C7B082" w:rsidR="008037CD" w:rsidRPr="008037CD" w:rsidRDefault="008037CD" w:rsidP="00333F5A">
      <w:pPr>
        <w:spacing w:line="360" w:lineRule="auto"/>
        <w:rPr>
          <w:rFonts w:ascii="Arial" w:hAnsi="Arial" w:cs="Arial"/>
          <w:bCs/>
          <w:sz w:val="28"/>
          <w:szCs w:val="28"/>
        </w:rPr>
      </w:pPr>
      <w:r w:rsidRPr="008037CD">
        <w:rPr>
          <w:rFonts w:ascii="Arial" w:hAnsi="Arial" w:cs="Arial"/>
          <w:bCs/>
          <w:sz w:val="28"/>
          <w:szCs w:val="28"/>
        </w:rPr>
        <w:t>Alternatively known as Early Childhood Education for Sustainability and Early Childhood Education for Global Citizenship</w:t>
      </w:r>
      <w:r w:rsidR="00363287">
        <w:rPr>
          <w:rFonts w:ascii="Arial" w:hAnsi="Arial" w:cs="Arial"/>
          <w:bCs/>
          <w:sz w:val="28"/>
          <w:szCs w:val="28"/>
        </w:rPr>
        <w:t xml:space="preserve">, </w:t>
      </w:r>
      <w:r w:rsidRPr="008037CD">
        <w:rPr>
          <w:rFonts w:ascii="Arial" w:hAnsi="Arial" w:cs="Arial"/>
          <w:bCs/>
          <w:sz w:val="28"/>
          <w:szCs w:val="28"/>
        </w:rPr>
        <w:t>the ESDGC has combined both</w:t>
      </w:r>
      <w:r w:rsidR="001D5B5F">
        <w:rPr>
          <w:rFonts w:ascii="Arial" w:hAnsi="Arial" w:cs="Arial"/>
          <w:bCs/>
          <w:sz w:val="28"/>
          <w:szCs w:val="28"/>
        </w:rPr>
        <w:t xml:space="preserve">, </w:t>
      </w:r>
      <w:r w:rsidRPr="008037CD">
        <w:rPr>
          <w:rFonts w:ascii="Arial" w:hAnsi="Arial" w:cs="Arial"/>
          <w:bCs/>
          <w:sz w:val="28"/>
          <w:szCs w:val="28"/>
        </w:rPr>
        <w:t xml:space="preserve">due to their interconnection </w:t>
      </w:r>
      <w:r w:rsidRPr="008037CD">
        <w:rPr>
          <w:rFonts w:ascii="Arial" w:hAnsi="Arial" w:cs="Arial"/>
          <w:bCs/>
          <w:sz w:val="28"/>
          <w:szCs w:val="28"/>
          <w:highlight w:val="yellow"/>
        </w:rPr>
        <w:t>(Tinney &amp; Merriman, 2018</w:t>
      </w:r>
      <w:bookmarkStart w:id="0" w:name="_Hlk170993873"/>
      <w:r w:rsidRPr="008037CD">
        <w:rPr>
          <w:rFonts w:ascii="Arial" w:hAnsi="Arial" w:cs="Arial"/>
          <w:bCs/>
          <w:sz w:val="28"/>
          <w:szCs w:val="28"/>
          <w:highlight w:val="yellow"/>
        </w:rPr>
        <w:t>., and Hedefalk et al., 2014)</w:t>
      </w:r>
      <w:bookmarkEnd w:id="0"/>
      <w:r w:rsidRPr="008037CD">
        <w:rPr>
          <w:rFonts w:ascii="Arial" w:hAnsi="Arial" w:cs="Arial"/>
          <w:bCs/>
          <w:sz w:val="28"/>
          <w:szCs w:val="28"/>
          <w:highlight w:val="yellow"/>
        </w:rPr>
        <w:t>.</w:t>
      </w:r>
    </w:p>
    <w:p w14:paraId="776C4F71" w14:textId="06E48877" w:rsidR="008037CD" w:rsidRPr="008037CD" w:rsidRDefault="008037CD" w:rsidP="00333F5A">
      <w:pPr>
        <w:spacing w:line="360" w:lineRule="auto"/>
        <w:rPr>
          <w:rFonts w:ascii="Arial" w:hAnsi="Arial" w:cs="Arial"/>
          <w:bCs/>
          <w:sz w:val="28"/>
          <w:szCs w:val="28"/>
        </w:rPr>
      </w:pPr>
      <w:r w:rsidRPr="008037CD">
        <w:rPr>
          <w:rFonts w:ascii="Arial" w:hAnsi="Arial" w:cs="Arial"/>
          <w:bCs/>
          <w:sz w:val="28"/>
          <w:szCs w:val="28"/>
          <w:highlight w:val="yellow"/>
        </w:rPr>
        <w:t>Tinney &amp; Hurst, (2017)</w:t>
      </w:r>
      <w:r w:rsidRPr="008037CD">
        <w:rPr>
          <w:rFonts w:ascii="Arial" w:hAnsi="Arial" w:cs="Arial"/>
          <w:bCs/>
          <w:sz w:val="28"/>
          <w:szCs w:val="28"/>
        </w:rPr>
        <w:t xml:space="preserve"> states, that prior to the rollout of the new Curriculum, practitioners encountered difficulties in incorporating ESDGC as a subject, due to the previous curriculum’s inflexibility and time constraints. However, the exclusion of ESDGC within the curriculum could also be associated with the Biophobia and significant life experiences of practitioners, in addition to the lack of resources, due to funding issues or space (</w:t>
      </w:r>
      <w:r w:rsidRPr="008037CD">
        <w:rPr>
          <w:rFonts w:ascii="Arial" w:hAnsi="Arial" w:cs="Arial"/>
          <w:bCs/>
          <w:sz w:val="28"/>
          <w:szCs w:val="28"/>
          <w:highlight w:val="yellow"/>
        </w:rPr>
        <w:t>D’Amore &amp; Chawla, 2020).</w:t>
      </w:r>
      <w:r w:rsidRPr="008037CD">
        <w:rPr>
          <w:rFonts w:ascii="Arial" w:hAnsi="Arial" w:cs="Arial"/>
          <w:bCs/>
          <w:sz w:val="28"/>
          <w:szCs w:val="28"/>
        </w:rPr>
        <w:t xml:space="preserve"> </w:t>
      </w:r>
    </w:p>
    <w:p w14:paraId="1130A88D" w14:textId="7FC00F2F" w:rsidR="008037CD" w:rsidRPr="008037CD" w:rsidRDefault="008037CD" w:rsidP="00333F5A">
      <w:pPr>
        <w:spacing w:line="360" w:lineRule="auto"/>
        <w:rPr>
          <w:rFonts w:ascii="Arial" w:hAnsi="Arial" w:cs="Arial"/>
          <w:bCs/>
          <w:sz w:val="28"/>
          <w:szCs w:val="28"/>
        </w:rPr>
      </w:pPr>
      <w:r w:rsidRPr="008037CD">
        <w:rPr>
          <w:rFonts w:ascii="Arial" w:hAnsi="Arial" w:cs="Arial"/>
          <w:bCs/>
          <w:sz w:val="28"/>
          <w:szCs w:val="28"/>
        </w:rPr>
        <w:t xml:space="preserve">However, </w:t>
      </w:r>
      <w:r w:rsidRPr="008037CD">
        <w:rPr>
          <w:rFonts w:ascii="Arial" w:hAnsi="Arial" w:cs="Arial"/>
          <w:bCs/>
          <w:sz w:val="28"/>
          <w:szCs w:val="28"/>
          <w:highlight w:val="yellow"/>
        </w:rPr>
        <w:t>Tinney, (2023)</w:t>
      </w:r>
      <w:r w:rsidRPr="008037CD">
        <w:rPr>
          <w:rFonts w:ascii="Arial" w:hAnsi="Arial" w:cs="Arial"/>
          <w:bCs/>
          <w:sz w:val="28"/>
          <w:szCs w:val="28"/>
        </w:rPr>
        <w:t xml:space="preserve"> states that ESDGC should not be classed as an additional subject but belongs in everyday life and practice. Due to ESDGC’s flexibility and that of the new curriculum, there is now the ability for it to be incorporated in a cross-curricula manner, therefore elevating time constraints </w:t>
      </w:r>
      <w:r w:rsidRPr="008037CD">
        <w:rPr>
          <w:rFonts w:ascii="Arial" w:hAnsi="Arial" w:cs="Arial"/>
          <w:bCs/>
          <w:sz w:val="28"/>
          <w:szCs w:val="28"/>
          <w:highlight w:val="yellow"/>
        </w:rPr>
        <w:t>(Welsh Gov, 2020</w:t>
      </w:r>
      <w:r w:rsidR="00CA2F6B">
        <w:rPr>
          <w:rFonts w:ascii="Arial" w:hAnsi="Arial" w:cs="Arial"/>
          <w:bCs/>
          <w:sz w:val="28"/>
          <w:szCs w:val="28"/>
          <w:highlight w:val="yellow"/>
        </w:rPr>
        <w:t>., and Strafford</w:t>
      </w:r>
      <w:r w:rsidR="009A6B2B">
        <w:rPr>
          <w:rFonts w:ascii="Arial" w:hAnsi="Arial" w:cs="Arial"/>
          <w:bCs/>
          <w:sz w:val="28"/>
          <w:szCs w:val="28"/>
          <w:highlight w:val="yellow"/>
        </w:rPr>
        <w:t>-Smith, 2016</w:t>
      </w:r>
      <w:r w:rsidRPr="008037CD">
        <w:rPr>
          <w:rFonts w:ascii="Arial" w:hAnsi="Arial" w:cs="Arial"/>
          <w:bCs/>
          <w:sz w:val="28"/>
          <w:szCs w:val="28"/>
          <w:highlight w:val="yellow"/>
        </w:rPr>
        <w:t>).</w:t>
      </w:r>
      <w:r w:rsidRPr="008037CD">
        <w:rPr>
          <w:rFonts w:ascii="Arial" w:hAnsi="Arial" w:cs="Arial"/>
          <w:bCs/>
          <w:sz w:val="28"/>
          <w:szCs w:val="28"/>
        </w:rPr>
        <w:t xml:space="preserve"> </w:t>
      </w:r>
    </w:p>
    <w:p w14:paraId="12BEDE80" w14:textId="0C6A848D" w:rsidR="008037CD" w:rsidRPr="008037CD" w:rsidRDefault="008037CD" w:rsidP="00333F5A">
      <w:pPr>
        <w:spacing w:line="360" w:lineRule="auto"/>
        <w:rPr>
          <w:rFonts w:ascii="Arial" w:hAnsi="Arial" w:cs="Arial"/>
          <w:bCs/>
          <w:sz w:val="28"/>
          <w:szCs w:val="28"/>
        </w:rPr>
      </w:pPr>
      <w:r w:rsidRPr="008037CD">
        <w:rPr>
          <w:rFonts w:ascii="Arial" w:hAnsi="Arial" w:cs="Arial"/>
          <w:bCs/>
          <w:sz w:val="28"/>
          <w:szCs w:val="28"/>
          <w:highlight w:val="yellow"/>
        </w:rPr>
        <w:t>ESTYN, (2014)</w:t>
      </w:r>
      <w:r w:rsidRPr="008037CD">
        <w:rPr>
          <w:rFonts w:ascii="Arial" w:hAnsi="Arial" w:cs="Arial"/>
          <w:bCs/>
          <w:sz w:val="28"/>
          <w:szCs w:val="28"/>
        </w:rPr>
        <w:t xml:space="preserve"> believes that the inclusion of ESDGC within the curriculum is essential, to overcome global issues and to contribute to a </w:t>
      </w:r>
      <w:r w:rsidRPr="008037CD">
        <w:rPr>
          <w:rFonts w:ascii="Arial" w:hAnsi="Arial" w:cs="Arial"/>
          <w:bCs/>
          <w:sz w:val="28"/>
          <w:szCs w:val="28"/>
        </w:rPr>
        <w:lastRenderedPageBreak/>
        <w:t xml:space="preserve">sustainable world for future generations. In addition, ESDGC enables settings to achieve both UNCRC article 29 and SDG 4, where all children will be provided with an education to promote a better understanding of the needs of the world for current and future generations </w:t>
      </w:r>
      <w:r w:rsidRPr="008037CD">
        <w:rPr>
          <w:rFonts w:ascii="Arial" w:hAnsi="Arial" w:cs="Arial"/>
          <w:bCs/>
          <w:sz w:val="28"/>
          <w:szCs w:val="28"/>
          <w:highlight w:val="yellow"/>
        </w:rPr>
        <w:t>(Welsh Gov, 2008b).</w:t>
      </w:r>
      <w:r w:rsidRPr="008037CD">
        <w:rPr>
          <w:rFonts w:ascii="Arial" w:hAnsi="Arial" w:cs="Arial"/>
          <w:bCs/>
          <w:sz w:val="28"/>
          <w:szCs w:val="28"/>
        </w:rPr>
        <w:t xml:space="preserve"> Although this is paramount within Wales, it is however difficult for other countries to achieve, due to inequalities </w:t>
      </w:r>
      <w:r w:rsidRPr="008037CD">
        <w:rPr>
          <w:rFonts w:ascii="Arial" w:hAnsi="Arial" w:cs="Arial"/>
          <w:bCs/>
          <w:sz w:val="28"/>
          <w:szCs w:val="28"/>
          <w:highlight w:val="yellow"/>
        </w:rPr>
        <w:t>(</w:t>
      </w:r>
      <w:r w:rsidR="00D45ACD">
        <w:rPr>
          <w:rFonts w:ascii="Arial" w:hAnsi="Arial" w:cs="Arial"/>
          <w:bCs/>
          <w:sz w:val="28"/>
          <w:szCs w:val="28"/>
          <w:highlight w:val="yellow"/>
        </w:rPr>
        <w:t>Gill</w:t>
      </w:r>
      <w:r w:rsidR="004409C6">
        <w:rPr>
          <w:rFonts w:ascii="Arial" w:hAnsi="Arial" w:cs="Arial"/>
          <w:bCs/>
          <w:sz w:val="28"/>
          <w:szCs w:val="28"/>
          <w:highlight w:val="yellow"/>
        </w:rPr>
        <w:t>, 2021</w:t>
      </w:r>
      <w:r w:rsidRPr="008037CD">
        <w:rPr>
          <w:rFonts w:ascii="Arial" w:hAnsi="Arial" w:cs="Arial"/>
          <w:bCs/>
          <w:sz w:val="28"/>
          <w:szCs w:val="28"/>
          <w:highlight w:val="yellow"/>
        </w:rPr>
        <w:t>).</w:t>
      </w:r>
    </w:p>
    <w:p w14:paraId="3F6A8D99" w14:textId="448CBC50" w:rsidR="008037CD" w:rsidRPr="008037CD" w:rsidRDefault="008037CD" w:rsidP="00333F5A">
      <w:pPr>
        <w:spacing w:line="360" w:lineRule="auto"/>
        <w:rPr>
          <w:rFonts w:ascii="Arial" w:hAnsi="Arial" w:cs="Arial"/>
          <w:bCs/>
          <w:sz w:val="28"/>
          <w:szCs w:val="28"/>
        </w:rPr>
      </w:pPr>
      <w:r w:rsidRPr="008037CD">
        <w:rPr>
          <w:rFonts w:ascii="Arial" w:hAnsi="Arial" w:cs="Arial"/>
          <w:bCs/>
          <w:sz w:val="28"/>
          <w:szCs w:val="28"/>
        </w:rPr>
        <w:t>The JMA encourages individuals to focus on natural and wild places. It provides a hands-on, project-based learning approach, in which individuals gain real-world experiences</w:t>
      </w:r>
      <w:r w:rsidR="002521CC">
        <w:rPr>
          <w:rFonts w:ascii="Arial" w:hAnsi="Arial" w:cs="Arial"/>
          <w:bCs/>
          <w:sz w:val="28"/>
          <w:szCs w:val="28"/>
        </w:rPr>
        <w:t xml:space="preserve"> (</w:t>
      </w:r>
      <w:r w:rsidR="002521CC" w:rsidRPr="007264CE">
        <w:rPr>
          <w:rFonts w:ascii="Arial" w:hAnsi="Arial" w:cs="Arial"/>
          <w:bCs/>
          <w:sz w:val="28"/>
          <w:szCs w:val="28"/>
          <w:highlight w:val="yellow"/>
        </w:rPr>
        <w:t>John Muir Trust</w:t>
      </w:r>
      <w:r w:rsidR="007264CE" w:rsidRPr="007264CE">
        <w:rPr>
          <w:rFonts w:ascii="Arial" w:hAnsi="Arial" w:cs="Arial"/>
          <w:bCs/>
          <w:sz w:val="28"/>
          <w:szCs w:val="28"/>
          <w:highlight w:val="yellow"/>
        </w:rPr>
        <w:t>, 2019)</w:t>
      </w:r>
      <w:r w:rsidR="009A6B2B">
        <w:rPr>
          <w:rFonts w:ascii="Arial" w:hAnsi="Arial" w:cs="Arial"/>
          <w:bCs/>
          <w:sz w:val="28"/>
          <w:szCs w:val="28"/>
        </w:rPr>
        <w:t xml:space="preserve">. </w:t>
      </w:r>
    </w:p>
    <w:p w14:paraId="75C6E9CA" w14:textId="037E218F" w:rsidR="008037CD" w:rsidRPr="008037CD" w:rsidRDefault="008037CD" w:rsidP="00333F5A">
      <w:pPr>
        <w:spacing w:line="360" w:lineRule="auto"/>
        <w:rPr>
          <w:rFonts w:ascii="Arial" w:hAnsi="Arial" w:cs="Arial"/>
          <w:bCs/>
          <w:sz w:val="28"/>
          <w:szCs w:val="28"/>
        </w:rPr>
      </w:pPr>
      <w:r w:rsidRPr="008037CD">
        <w:rPr>
          <w:rFonts w:ascii="Arial" w:hAnsi="Arial" w:cs="Arial"/>
          <w:bCs/>
          <w:sz w:val="28"/>
          <w:szCs w:val="28"/>
        </w:rPr>
        <w:t xml:space="preserve">Incorporating environmental awards such as the JMA, provides both children and practitioners with a means of gaining sustainability and global citizenship awareness. Although, the JMA ethos aligns with that of ESDGC, it does not support Global citizenship in a modern sense, due to generation related issues such as the beliefs of colonisation </w:t>
      </w:r>
      <w:r w:rsidRPr="008037CD">
        <w:rPr>
          <w:rFonts w:ascii="Arial" w:hAnsi="Arial" w:cs="Arial"/>
          <w:bCs/>
          <w:sz w:val="28"/>
          <w:szCs w:val="28"/>
          <w:highlight w:val="yellow"/>
        </w:rPr>
        <w:t>(Ferdinade, 2022).</w:t>
      </w:r>
      <w:r w:rsidRPr="008037CD">
        <w:rPr>
          <w:rFonts w:ascii="Arial" w:hAnsi="Arial" w:cs="Arial"/>
          <w:bCs/>
          <w:sz w:val="28"/>
          <w:szCs w:val="28"/>
        </w:rPr>
        <w:t xml:space="preserve"> It does however embody core values, such as environmental awareness, sustainability practice and conservation</w:t>
      </w:r>
      <w:r w:rsidR="0030567E">
        <w:rPr>
          <w:rFonts w:ascii="Arial" w:hAnsi="Arial" w:cs="Arial"/>
          <w:bCs/>
          <w:sz w:val="28"/>
          <w:szCs w:val="28"/>
        </w:rPr>
        <w:t>.</w:t>
      </w:r>
    </w:p>
    <w:p w14:paraId="6B03E7F6" w14:textId="3961AB54" w:rsidR="008037CD" w:rsidRPr="008037CD" w:rsidRDefault="008037CD" w:rsidP="00333F5A">
      <w:pPr>
        <w:spacing w:line="360" w:lineRule="auto"/>
        <w:rPr>
          <w:rFonts w:ascii="Arial" w:hAnsi="Arial" w:cs="Arial"/>
          <w:bCs/>
          <w:sz w:val="28"/>
          <w:szCs w:val="28"/>
        </w:rPr>
      </w:pPr>
      <w:r w:rsidRPr="008037CD">
        <w:rPr>
          <w:rFonts w:ascii="Arial" w:hAnsi="Arial" w:cs="Arial"/>
          <w:bCs/>
          <w:sz w:val="28"/>
          <w:szCs w:val="28"/>
        </w:rPr>
        <w:t xml:space="preserve">The JMA reinforces the Reggio Emillia Approach, where emphasis is made on the importance of collaboration and environmental responsibility </w:t>
      </w:r>
      <w:r w:rsidRPr="008037CD">
        <w:rPr>
          <w:rFonts w:ascii="Arial" w:hAnsi="Arial" w:cs="Arial"/>
          <w:bCs/>
          <w:sz w:val="28"/>
          <w:szCs w:val="28"/>
          <w:highlight w:val="yellow"/>
        </w:rPr>
        <w:t>(Edwards and Gandini, 2018).</w:t>
      </w:r>
      <w:r w:rsidRPr="008037CD">
        <w:rPr>
          <w:rFonts w:ascii="Arial" w:hAnsi="Arial" w:cs="Arial"/>
          <w:bCs/>
          <w:sz w:val="28"/>
          <w:szCs w:val="28"/>
        </w:rPr>
        <w:t xml:space="preserve"> </w:t>
      </w:r>
    </w:p>
    <w:p w14:paraId="0FE6B2B2" w14:textId="048D2785" w:rsidR="008037CD" w:rsidRPr="008037CD" w:rsidRDefault="008037CD" w:rsidP="00333F5A">
      <w:pPr>
        <w:spacing w:line="360" w:lineRule="auto"/>
        <w:rPr>
          <w:rFonts w:ascii="Arial" w:hAnsi="Arial" w:cs="Arial"/>
          <w:bCs/>
          <w:sz w:val="28"/>
          <w:szCs w:val="28"/>
        </w:rPr>
      </w:pPr>
      <w:r w:rsidRPr="008037CD">
        <w:rPr>
          <w:rFonts w:ascii="Arial" w:hAnsi="Arial" w:cs="Arial"/>
          <w:bCs/>
          <w:sz w:val="28"/>
          <w:szCs w:val="28"/>
        </w:rPr>
        <w:t>Through its discover, explore, conserve and share concept, JMA provides a structured, yet adaptable scheme, which embraces the ‘Unique Child’ approach (</w:t>
      </w:r>
      <w:r w:rsidR="003B7AEB">
        <w:rPr>
          <w:rFonts w:ascii="Arial" w:hAnsi="Arial" w:cs="Arial"/>
          <w:bCs/>
          <w:sz w:val="28"/>
          <w:szCs w:val="28"/>
          <w:highlight w:val="yellow"/>
        </w:rPr>
        <w:t>Sa</w:t>
      </w:r>
      <w:r w:rsidR="00762B9D">
        <w:rPr>
          <w:rFonts w:ascii="Arial" w:hAnsi="Arial" w:cs="Arial"/>
          <w:bCs/>
          <w:sz w:val="28"/>
          <w:szCs w:val="28"/>
          <w:highlight w:val="yellow"/>
        </w:rPr>
        <w:t>muelsson &amp; Park, 2017</w:t>
      </w:r>
      <w:r w:rsidRPr="008037CD">
        <w:rPr>
          <w:rFonts w:ascii="Arial" w:hAnsi="Arial" w:cs="Arial"/>
          <w:bCs/>
          <w:sz w:val="28"/>
          <w:szCs w:val="28"/>
          <w:highlight w:val="yellow"/>
        </w:rPr>
        <w:t>).</w:t>
      </w:r>
      <w:r w:rsidRPr="008037CD">
        <w:rPr>
          <w:rFonts w:ascii="Arial" w:hAnsi="Arial" w:cs="Arial"/>
          <w:bCs/>
          <w:sz w:val="28"/>
          <w:szCs w:val="28"/>
        </w:rPr>
        <w:t xml:space="preserve"> </w:t>
      </w:r>
    </w:p>
    <w:p w14:paraId="2062008D" w14:textId="722FE552" w:rsidR="008037CD" w:rsidRPr="008037CD" w:rsidRDefault="008037CD" w:rsidP="00333F5A">
      <w:pPr>
        <w:spacing w:line="360" w:lineRule="auto"/>
        <w:rPr>
          <w:rFonts w:ascii="Arial" w:hAnsi="Arial" w:cs="Arial"/>
          <w:bCs/>
          <w:sz w:val="28"/>
          <w:szCs w:val="28"/>
        </w:rPr>
      </w:pPr>
      <w:r w:rsidRPr="008037CD">
        <w:rPr>
          <w:rFonts w:ascii="Arial" w:hAnsi="Arial" w:cs="Arial"/>
          <w:bCs/>
          <w:sz w:val="28"/>
          <w:szCs w:val="28"/>
        </w:rPr>
        <w:t>Aligning with the beliefs of both John Dewey and Te Whāriki, that when children are encouraged to explore natural environments, it enables them to foster both a sense of belonging and responsibility to the world, human and non-human aspects (</w:t>
      </w:r>
      <w:r w:rsidRPr="008037CD">
        <w:rPr>
          <w:rFonts w:ascii="Arial" w:hAnsi="Arial" w:cs="Arial"/>
          <w:bCs/>
          <w:sz w:val="28"/>
          <w:szCs w:val="28"/>
          <w:highlight w:val="yellow"/>
        </w:rPr>
        <w:t>Tarrant &amp; Thiele, 2016 &amp; Ritchie, 2018</w:t>
      </w:r>
      <w:r w:rsidR="00762B9D" w:rsidRPr="00762B9D">
        <w:rPr>
          <w:rFonts w:ascii="Arial" w:hAnsi="Arial" w:cs="Arial"/>
          <w:bCs/>
          <w:sz w:val="28"/>
          <w:szCs w:val="28"/>
          <w:highlight w:val="yellow"/>
        </w:rPr>
        <w:t xml:space="preserve"> </w:t>
      </w:r>
      <w:r w:rsidR="00762B9D" w:rsidRPr="00762B9D">
        <w:rPr>
          <w:rFonts w:ascii="Arial" w:hAnsi="Arial" w:cs="Arial"/>
          <w:bCs/>
          <w:sz w:val="28"/>
          <w:szCs w:val="28"/>
          <w:highlight w:val="yellow"/>
        </w:rPr>
        <w:lastRenderedPageBreak/>
        <w:t>&amp; 2021).</w:t>
      </w:r>
      <w:r w:rsidR="00762B9D">
        <w:rPr>
          <w:rFonts w:ascii="Arial" w:hAnsi="Arial" w:cs="Arial"/>
          <w:bCs/>
          <w:sz w:val="28"/>
          <w:szCs w:val="28"/>
        </w:rPr>
        <w:t xml:space="preserve"> </w:t>
      </w:r>
      <w:r w:rsidRPr="008037CD">
        <w:rPr>
          <w:rFonts w:ascii="Arial" w:hAnsi="Arial" w:cs="Arial"/>
          <w:bCs/>
          <w:sz w:val="28"/>
          <w:szCs w:val="28"/>
        </w:rPr>
        <w:t>Although no reference is made within the JMA to the Early Years, it does however recognise the importance of early introduction to natural environment and conservation</w:t>
      </w:r>
      <w:r w:rsidR="00762B9D">
        <w:rPr>
          <w:rFonts w:ascii="Arial" w:hAnsi="Arial" w:cs="Arial"/>
          <w:bCs/>
          <w:sz w:val="28"/>
          <w:szCs w:val="28"/>
        </w:rPr>
        <w:t>.</w:t>
      </w:r>
      <w:r w:rsidR="00B90F16">
        <w:rPr>
          <w:rFonts w:ascii="Arial" w:hAnsi="Arial" w:cs="Arial"/>
          <w:bCs/>
          <w:sz w:val="28"/>
          <w:szCs w:val="28"/>
        </w:rPr>
        <w:t xml:space="preserve"> </w:t>
      </w:r>
      <w:r w:rsidRPr="008037CD">
        <w:rPr>
          <w:rFonts w:ascii="Arial" w:hAnsi="Arial" w:cs="Arial"/>
          <w:bCs/>
          <w:sz w:val="28"/>
          <w:szCs w:val="28"/>
        </w:rPr>
        <w:t xml:space="preserve">  </w:t>
      </w:r>
    </w:p>
    <w:p w14:paraId="6ABBE94D" w14:textId="09206CBC" w:rsidR="008037CD" w:rsidRPr="008037CD" w:rsidRDefault="008037CD" w:rsidP="00333F5A">
      <w:pPr>
        <w:spacing w:line="360" w:lineRule="auto"/>
        <w:rPr>
          <w:rFonts w:ascii="Arial" w:hAnsi="Arial" w:cs="Arial"/>
          <w:bCs/>
          <w:sz w:val="28"/>
          <w:szCs w:val="28"/>
        </w:rPr>
      </w:pPr>
      <w:r w:rsidRPr="008037CD">
        <w:rPr>
          <w:rFonts w:ascii="Arial" w:hAnsi="Arial" w:cs="Arial"/>
          <w:bCs/>
          <w:sz w:val="28"/>
          <w:szCs w:val="28"/>
          <w:highlight w:val="yellow"/>
        </w:rPr>
        <w:t>Gericke (2022)</w:t>
      </w:r>
      <w:r w:rsidRPr="008037CD">
        <w:rPr>
          <w:rFonts w:ascii="Arial" w:hAnsi="Arial" w:cs="Arial"/>
          <w:bCs/>
          <w:sz w:val="28"/>
          <w:szCs w:val="28"/>
        </w:rPr>
        <w:t xml:space="preserve"> maintains, that to achieve an effective sustainability approach, it must be a whole school commitment. Within this situation, practitioners are in a prime location to nurture and scaffold a sustainability mindset, providing children with opportunit</w:t>
      </w:r>
      <w:r w:rsidR="009C229C">
        <w:rPr>
          <w:rFonts w:ascii="Arial" w:hAnsi="Arial" w:cs="Arial"/>
          <w:bCs/>
          <w:sz w:val="28"/>
          <w:szCs w:val="28"/>
        </w:rPr>
        <w:t>ies</w:t>
      </w:r>
      <w:r w:rsidRPr="008037CD">
        <w:rPr>
          <w:rFonts w:ascii="Arial" w:hAnsi="Arial" w:cs="Arial"/>
          <w:bCs/>
          <w:sz w:val="28"/>
          <w:szCs w:val="28"/>
        </w:rPr>
        <w:t xml:space="preserve"> to observe sustainable practice within a real-life setting, as suggested within Vygotsky’s Zone of Proximal Development </w:t>
      </w:r>
      <w:r w:rsidRPr="008037CD">
        <w:rPr>
          <w:rFonts w:ascii="Arial" w:hAnsi="Arial" w:cs="Arial"/>
          <w:bCs/>
          <w:sz w:val="28"/>
          <w:szCs w:val="28"/>
          <w:highlight w:val="yellow"/>
        </w:rPr>
        <w:t>(Armstrong, 2015</w:t>
      </w:r>
      <w:r w:rsidR="00B90F16">
        <w:rPr>
          <w:rFonts w:ascii="Arial" w:hAnsi="Arial" w:cs="Arial"/>
          <w:bCs/>
          <w:sz w:val="28"/>
          <w:szCs w:val="28"/>
          <w:highlight w:val="yellow"/>
        </w:rPr>
        <w:t>., &amp; MacDonald, 2015</w:t>
      </w:r>
      <w:r w:rsidRPr="008037CD">
        <w:rPr>
          <w:rFonts w:ascii="Arial" w:hAnsi="Arial" w:cs="Arial"/>
          <w:bCs/>
          <w:sz w:val="28"/>
          <w:szCs w:val="28"/>
          <w:highlight w:val="yellow"/>
        </w:rPr>
        <w:t>).</w:t>
      </w:r>
      <w:r w:rsidRPr="008037CD">
        <w:rPr>
          <w:rFonts w:ascii="Arial" w:hAnsi="Arial" w:cs="Arial"/>
          <w:bCs/>
          <w:sz w:val="28"/>
          <w:szCs w:val="28"/>
        </w:rPr>
        <w:t xml:space="preserve"> </w:t>
      </w:r>
    </w:p>
    <w:p w14:paraId="45F22522" w14:textId="71FDDB87" w:rsidR="008037CD" w:rsidRPr="008037CD" w:rsidRDefault="008037CD" w:rsidP="00333F5A">
      <w:pPr>
        <w:spacing w:line="360" w:lineRule="auto"/>
        <w:rPr>
          <w:rFonts w:ascii="Arial" w:hAnsi="Arial" w:cs="Arial"/>
          <w:bCs/>
          <w:sz w:val="28"/>
          <w:szCs w:val="28"/>
        </w:rPr>
      </w:pPr>
      <w:r w:rsidRPr="008037CD">
        <w:rPr>
          <w:rFonts w:ascii="Arial" w:hAnsi="Arial" w:cs="Arial"/>
          <w:bCs/>
          <w:sz w:val="28"/>
          <w:szCs w:val="28"/>
        </w:rPr>
        <w:t xml:space="preserve">However, some practitioners find approaching this topic difficult, this may be due to a lack of self-confidence, a lack of experience in the subject, </w:t>
      </w:r>
      <w:r w:rsidR="008A4663">
        <w:rPr>
          <w:rFonts w:ascii="Arial" w:hAnsi="Arial" w:cs="Arial"/>
          <w:bCs/>
          <w:sz w:val="28"/>
          <w:szCs w:val="28"/>
        </w:rPr>
        <w:t xml:space="preserve">or </w:t>
      </w:r>
      <w:r w:rsidRPr="008037CD">
        <w:rPr>
          <w:rFonts w:ascii="Arial" w:hAnsi="Arial" w:cs="Arial"/>
          <w:bCs/>
          <w:sz w:val="28"/>
          <w:szCs w:val="28"/>
        </w:rPr>
        <w:t xml:space="preserve">a fixed mindset due to a negative emotional attribution to nature </w:t>
      </w:r>
      <w:r w:rsidRPr="008037CD">
        <w:rPr>
          <w:rFonts w:ascii="Arial" w:hAnsi="Arial" w:cs="Arial"/>
          <w:bCs/>
          <w:sz w:val="28"/>
          <w:szCs w:val="28"/>
          <w:highlight w:val="yellow"/>
        </w:rPr>
        <w:t>(Olivos-Jara et al., 2020)</w:t>
      </w:r>
      <w:r w:rsidRPr="008037CD">
        <w:rPr>
          <w:rFonts w:ascii="Arial" w:hAnsi="Arial" w:cs="Arial"/>
          <w:bCs/>
          <w:sz w:val="28"/>
          <w:szCs w:val="28"/>
        </w:rPr>
        <w:t>. To overcome these issues, as part of their professional development, practitioners should be provided with an opportunity to access environmental awards such as the JMA, in addition to shared experience</w:t>
      </w:r>
      <w:r w:rsidR="00262FE0">
        <w:rPr>
          <w:rFonts w:ascii="Arial" w:hAnsi="Arial" w:cs="Arial"/>
          <w:bCs/>
          <w:sz w:val="28"/>
          <w:szCs w:val="28"/>
        </w:rPr>
        <w:t xml:space="preserve"> </w:t>
      </w:r>
      <w:r w:rsidR="00262FE0" w:rsidRPr="00262FE0">
        <w:rPr>
          <w:rFonts w:ascii="Arial" w:hAnsi="Arial" w:cs="Arial"/>
          <w:bCs/>
          <w:sz w:val="28"/>
          <w:szCs w:val="28"/>
          <w:highlight w:val="yellow"/>
        </w:rPr>
        <w:t>(King, 2021)</w:t>
      </w:r>
      <w:r w:rsidRPr="00262FE0">
        <w:rPr>
          <w:rFonts w:ascii="Arial" w:hAnsi="Arial" w:cs="Arial"/>
          <w:bCs/>
          <w:sz w:val="28"/>
          <w:szCs w:val="28"/>
          <w:highlight w:val="yellow"/>
        </w:rPr>
        <w:t>.</w:t>
      </w:r>
      <w:r w:rsidRPr="008037CD">
        <w:rPr>
          <w:rFonts w:ascii="Arial" w:hAnsi="Arial" w:cs="Arial"/>
          <w:bCs/>
          <w:sz w:val="28"/>
          <w:szCs w:val="28"/>
        </w:rPr>
        <w:t xml:space="preserve"> This award process enables practitioners to reflect on their professional practice </w:t>
      </w:r>
      <w:r w:rsidR="00927C46" w:rsidRPr="00927C46">
        <w:rPr>
          <w:rFonts w:ascii="Arial" w:hAnsi="Arial" w:cs="Arial"/>
          <w:bCs/>
          <w:sz w:val="28"/>
          <w:szCs w:val="28"/>
          <w:highlight w:val="yellow"/>
        </w:rPr>
        <w:t>(Boyd et al., 2018)</w:t>
      </w:r>
      <w:r w:rsidR="00927C46">
        <w:rPr>
          <w:rFonts w:ascii="Arial" w:hAnsi="Arial" w:cs="Arial"/>
          <w:bCs/>
          <w:sz w:val="28"/>
          <w:szCs w:val="28"/>
        </w:rPr>
        <w:t>.</w:t>
      </w:r>
    </w:p>
    <w:p w14:paraId="75877459" w14:textId="5451C07F" w:rsidR="008037CD" w:rsidRPr="008037CD" w:rsidRDefault="008037CD" w:rsidP="00333F5A">
      <w:pPr>
        <w:spacing w:line="360" w:lineRule="auto"/>
        <w:rPr>
          <w:rFonts w:ascii="Arial" w:hAnsi="Arial" w:cs="Arial"/>
          <w:bCs/>
          <w:sz w:val="28"/>
          <w:szCs w:val="28"/>
        </w:rPr>
      </w:pPr>
      <w:r w:rsidRPr="008037CD">
        <w:rPr>
          <w:rFonts w:ascii="Arial" w:hAnsi="Arial" w:cs="Arial"/>
          <w:bCs/>
          <w:sz w:val="28"/>
          <w:szCs w:val="28"/>
        </w:rPr>
        <w:t xml:space="preserve">To accomplish this whole school approach, </w:t>
      </w:r>
      <w:r w:rsidRPr="008037CD">
        <w:rPr>
          <w:rFonts w:ascii="Arial" w:hAnsi="Arial" w:cs="Arial"/>
          <w:bCs/>
          <w:sz w:val="28"/>
          <w:szCs w:val="28"/>
          <w:highlight w:val="yellow"/>
        </w:rPr>
        <w:t>Eco Schools (2023)</w:t>
      </w:r>
      <w:r w:rsidRPr="008037CD">
        <w:rPr>
          <w:rFonts w:ascii="Arial" w:hAnsi="Arial" w:cs="Arial"/>
          <w:bCs/>
          <w:sz w:val="28"/>
          <w:szCs w:val="28"/>
        </w:rPr>
        <w:t xml:space="preserve"> believes that platforms such as Eco </w:t>
      </w:r>
      <w:r w:rsidR="008B326C" w:rsidRPr="008037CD">
        <w:rPr>
          <w:rFonts w:ascii="Arial" w:hAnsi="Arial" w:cs="Arial"/>
          <w:bCs/>
          <w:sz w:val="28"/>
          <w:szCs w:val="28"/>
        </w:rPr>
        <w:t>clubs</w:t>
      </w:r>
      <w:r w:rsidRPr="008037CD">
        <w:rPr>
          <w:rFonts w:ascii="Arial" w:hAnsi="Arial" w:cs="Arial"/>
          <w:bCs/>
          <w:sz w:val="28"/>
          <w:szCs w:val="28"/>
        </w:rPr>
        <w:t xml:space="preserve"> and School Councils are vital. Having the ability to raise awareness in an environment which promotes child empowerment, inclusion and hands-on learning. However, groups such as these can be somewhat problematic, due to time-constraints, resources, and the limited impact that can be made due to unrealistic ideas (</w:t>
      </w:r>
      <w:r w:rsidRPr="008037CD">
        <w:rPr>
          <w:rFonts w:ascii="Arial" w:hAnsi="Arial" w:cs="Arial"/>
          <w:bCs/>
          <w:sz w:val="28"/>
          <w:szCs w:val="28"/>
          <w:highlight w:val="yellow"/>
        </w:rPr>
        <w:t>Elliot and Davies, 20</w:t>
      </w:r>
      <w:r w:rsidR="0043185A">
        <w:rPr>
          <w:rFonts w:ascii="Arial" w:hAnsi="Arial" w:cs="Arial"/>
          <w:bCs/>
          <w:sz w:val="28"/>
          <w:szCs w:val="28"/>
          <w:highlight w:val="yellow"/>
        </w:rPr>
        <w:t>2</w:t>
      </w:r>
      <w:r w:rsidRPr="008037CD">
        <w:rPr>
          <w:rFonts w:ascii="Arial" w:hAnsi="Arial" w:cs="Arial"/>
          <w:bCs/>
          <w:sz w:val="28"/>
          <w:szCs w:val="28"/>
          <w:highlight w:val="yellow"/>
        </w:rPr>
        <w:t>4</w:t>
      </w:r>
      <w:r w:rsidRPr="008037CD">
        <w:rPr>
          <w:rFonts w:ascii="Arial" w:hAnsi="Arial" w:cs="Arial"/>
          <w:bCs/>
          <w:sz w:val="28"/>
          <w:szCs w:val="28"/>
        </w:rPr>
        <w:t xml:space="preserve">). </w:t>
      </w:r>
      <w:r w:rsidRPr="008037CD">
        <w:rPr>
          <w:rFonts w:ascii="Arial" w:hAnsi="Arial" w:cs="Arial"/>
          <w:bCs/>
          <w:sz w:val="28"/>
          <w:szCs w:val="28"/>
          <w:highlight w:val="yellow"/>
        </w:rPr>
        <w:t>Wals et al., (2024)</w:t>
      </w:r>
      <w:r w:rsidRPr="008037CD">
        <w:rPr>
          <w:rFonts w:ascii="Arial" w:hAnsi="Arial" w:cs="Arial"/>
          <w:bCs/>
          <w:sz w:val="28"/>
          <w:szCs w:val="28"/>
        </w:rPr>
        <w:t xml:space="preserve"> states that, within a whole school approach there can be additional challenges, such as practitioners lack engagement, </w:t>
      </w:r>
      <w:r w:rsidR="00D11115">
        <w:rPr>
          <w:rFonts w:ascii="Arial" w:hAnsi="Arial" w:cs="Arial"/>
          <w:bCs/>
          <w:sz w:val="28"/>
          <w:szCs w:val="28"/>
        </w:rPr>
        <w:t>causing</w:t>
      </w:r>
      <w:r w:rsidRPr="008037CD">
        <w:rPr>
          <w:rFonts w:ascii="Arial" w:hAnsi="Arial" w:cs="Arial"/>
          <w:bCs/>
          <w:sz w:val="28"/>
          <w:szCs w:val="28"/>
        </w:rPr>
        <w:t xml:space="preserve">, </w:t>
      </w:r>
      <w:r w:rsidR="00BD619D">
        <w:rPr>
          <w:rFonts w:ascii="Arial" w:hAnsi="Arial" w:cs="Arial"/>
          <w:bCs/>
          <w:sz w:val="28"/>
          <w:szCs w:val="28"/>
        </w:rPr>
        <w:t>individuals</w:t>
      </w:r>
      <w:r w:rsidRPr="008037CD">
        <w:rPr>
          <w:rFonts w:ascii="Arial" w:hAnsi="Arial" w:cs="Arial"/>
          <w:bCs/>
          <w:sz w:val="28"/>
          <w:szCs w:val="28"/>
        </w:rPr>
        <w:t xml:space="preserve"> with </w:t>
      </w:r>
      <w:r w:rsidR="00BD619D">
        <w:rPr>
          <w:rFonts w:ascii="Arial" w:hAnsi="Arial" w:cs="Arial"/>
          <w:bCs/>
          <w:sz w:val="28"/>
          <w:szCs w:val="28"/>
        </w:rPr>
        <w:t>biophilia</w:t>
      </w:r>
      <w:r w:rsidRPr="008037CD">
        <w:rPr>
          <w:rFonts w:ascii="Arial" w:hAnsi="Arial" w:cs="Arial"/>
          <w:bCs/>
          <w:sz w:val="28"/>
          <w:szCs w:val="28"/>
        </w:rPr>
        <w:t xml:space="preserve"> </w:t>
      </w:r>
      <w:r w:rsidR="00BD619D">
        <w:rPr>
          <w:rFonts w:ascii="Arial" w:hAnsi="Arial" w:cs="Arial"/>
          <w:bCs/>
          <w:sz w:val="28"/>
          <w:szCs w:val="28"/>
        </w:rPr>
        <w:t>and</w:t>
      </w:r>
      <w:r w:rsidRPr="008037CD">
        <w:rPr>
          <w:rFonts w:ascii="Arial" w:hAnsi="Arial" w:cs="Arial"/>
          <w:bCs/>
          <w:sz w:val="28"/>
          <w:szCs w:val="28"/>
        </w:rPr>
        <w:t xml:space="preserve"> a </w:t>
      </w:r>
      <w:r w:rsidRPr="008037CD">
        <w:rPr>
          <w:rFonts w:ascii="Arial" w:hAnsi="Arial" w:cs="Arial"/>
          <w:bCs/>
          <w:sz w:val="28"/>
          <w:szCs w:val="28"/>
        </w:rPr>
        <w:lastRenderedPageBreak/>
        <w:t>passion for sustainability, inevitably be</w:t>
      </w:r>
      <w:r w:rsidR="00D11115">
        <w:rPr>
          <w:rFonts w:ascii="Arial" w:hAnsi="Arial" w:cs="Arial"/>
          <w:bCs/>
          <w:sz w:val="28"/>
          <w:szCs w:val="28"/>
        </w:rPr>
        <w:t>ing</w:t>
      </w:r>
      <w:r w:rsidRPr="008037CD">
        <w:rPr>
          <w:rFonts w:ascii="Arial" w:hAnsi="Arial" w:cs="Arial"/>
          <w:bCs/>
          <w:sz w:val="28"/>
          <w:szCs w:val="28"/>
        </w:rPr>
        <w:t xml:space="preserve"> tasked with mentoring the topic </w:t>
      </w:r>
      <w:r w:rsidRPr="008037CD">
        <w:rPr>
          <w:rFonts w:ascii="Arial" w:hAnsi="Arial" w:cs="Arial"/>
          <w:bCs/>
          <w:sz w:val="28"/>
          <w:szCs w:val="28"/>
          <w:highlight w:val="yellow"/>
        </w:rPr>
        <w:t>(Pauw et al. 2015).</w:t>
      </w:r>
    </w:p>
    <w:p w14:paraId="688762DB" w14:textId="5EFBD135" w:rsidR="008037CD" w:rsidRPr="008037CD" w:rsidRDefault="008037CD" w:rsidP="00333F5A">
      <w:pPr>
        <w:spacing w:line="360" w:lineRule="auto"/>
        <w:rPr>
          <w:rFonts w:ascii="Arial" w:hAnsi="Arial" w:cs="Arial"/>
          <w:bCs/>
          <w:sz w:val="28"/>
          <w:szCs w:val="28"/>
        </w:rPr>
      </w:pPr>
      <w:r w:rsidRPr="008037CD">
        <w:rPr>
          <w:rFonts w:ascii="Arial" w:hAnsi="Arial" w:cs="Arial"/>
          <w:bCs/>
          <w:sz w:val="28"/>
          <w:szCs w:val="28"/>
        </w:rPr>
        <w:t xml:space="preserve">Despite this fact, unifying environment approaches such as the JMA and ESDGC, enables practitioners to provide open-ended, child-led, holistic outdoor learning experiences. </w:t>
      </w:r>
      <w:r w:rsidRPr="008037CD">
        <w:rPr>
          <w:rFonts w:ascii="Arial" w:hAnsi="Arial" w:cs="Arial"/>
          <w:bCs/>
          <w:sz w:val="28"/>
          <w:szCs w:val="28"/>
          <w:highlight w:val="yellow"/>
        </w:rPr>
        <w:t>Davies &amp; Elliot (2014)</w:t>
      </w:r>
      <w:r w:rsidRPr="008037CD">
        <w:rPr>
          <w:rFonts w:ascii="Arial" w:hAnsi="Arial" w:cs="Arial"/>
          <w:bCs/>
          <w:sz w:val="28"/>
          <w:szCs w:val="28"/>
        </w:rPr>
        <w:t xml:space="preserve"> discuss that practitioners need to be mindful on how they approach the topic of sustainability. Providing an Eco pedagogy, through schemes such as the JMA, enables practitioners to tackle issues such as climate change and Eco diversity through means of the curiosity approach</w:t>
      </w:r>
      <w:r w:rsidRPr="008037CD">
        <w:rPr>
          <w:rFonts w:ascii="Arial" w:hAnsi="Arial" w:cs="Arial"/>
          <w:sz w:val="28"/>
          <w:szCs w:val="28"/>
        </w:rPr>
        <w:t xml:space="preserve"> </w:t>
      </w:r>
      <w:r w:rsidRPr="008037CD">
        <w:rPr>
          <w:rFonts w:ascii="Arial" w:hAnsi="Arial" w:cs="Arial"/>
          <w:bCs/>
          <w:sz w:val="28"/>
          <w:szCs w:val="28"/>
          <w:highlight w:val="yellow"/>
        </w:rPr>
        <w:t>(Bourn, 2021).</w:t>
      </w:r>
      <w:r w:rsidRPr="008037CD">
        <w:rPr>
          <w:rFonts w:ascii="Arial" w:hAnsi="Arial" w:cs="Arial"/>
          <w:bCs/>
          <w:sz w:val="28"/>
          <w:szCs w:val="28"/>
        </w:rPr>
        <w:t xml:space="preserve"> </w:t>
      </w:r>
    </w:p>
    <w:p w14:paraId="2CE85462" w14:textId="334219DF" w:rsidR="008037CD" w:rsidRPr="008037CD" w:rsidRDefault="008037CD" w:rsidP="00333F5A">
      <w:pPr>
        <w:spacing w:line="360" w:lineRule="auto"/>
        <w:rPr>
          <w:rFonts w:ascii="Arial" w:hAnsi="Arial" w:cs="Arial"/>
          <w:bCs/>
          <w:sz w:val="28"/>
          <w:szCs w:val="28"/>
        </w:rPr>
      </w:pPr>
      <w:r w:rsidRPr="008037CD">
        <w:rPr>
          <w:rFonts w:ascii="Arial" w:hAnsi="Arial" w:cs="Arial"/>
          <w:bCs/>
          <w:sz w:val="28"/>
          <w:szCs w:val="28"/>
        </w:rPr>
        <w:t xml:space="preserve">Demonstrated within the authors activity, these issues have been addressed within a cross-curricula manner. Providing opportunities for children to discover local ecology through the means of gardening and conservation </w:t>
      </w:r>
      <w:r w:rsidRPr="008037CD">
        <w:rPr>
          <w:rFonts w:ascii="Arial" w:hAnsi="Arial" w:cs="Arial"/>
          <w:bCs/>
          <w:sz w:val="28"/>
          <w:szCs w:val="28"/>
          <w:highlight w:val="yellow"/>
        </w:rPr>
        <w:t>(Seeley, 2024).</w:t>
      </w:r>
      <w:r w:rsidRPr="008037CD">
        <w:rPr>
          <w:rFonts w:ascii="Arial" w:hAnsi="Arial" w:cs="Arial"/>
          <w:bCs/>
          <w:sz w:val="28"/>
          <w:szCs w:val="28"/>
        </w:rPr>
        <w:t xml:space="preserve"> When provided with a project-based approach, it enables children to explore and investigate in a child-led holistic manner</w:t>
      </w:r>
      <w:r w:rsidR="0043185A">
        <w:rPr>
          <w:rFonts w:ascii="Arial" w:hAnsi="Arial" w:cs="Arial"/>
          <w:bCs/>
          <w:sz w:val="28"/>
          <w:szCs w:val="28"/>
        </w:rPr>
        <w:t xml:space="preserve"> </w:t>
      </w:r>
      <w:r w:rsidR="0043185A" w:rsidRPr="00FD1C87">
        <w:rPr>
          <w:rFonts w:ascii="Arial" w:hAnsi="Arial" w:cs="Arial"/>
          <w:bCs/>
          <w:sz w:val="28"/>
          <w:szCs w:val="28"/>
          <w:highlight w:val="yellow"/>
        </w:rPr>
        <w:t>(</w:t>
      </w:r>
      <w:r w:rsidR="00FD1C87" w:rsidRPr="00FD1C87">
        <w:rPr>
          <w:rFonts w:ascii="Arial" w:hAnsi="Arial" w:cs="Arial"/>
          <w:bCs/>
          <w:sz w:val="28"/>
          <w:szCs w:val="28"/>
          <w:highlight w:val="yellow"/>
        </w:rPr>
        <w:t>Hirst, 2018)</w:t>
      </w:r>
      <w:r w:rsidRPr="00FD1C87">
        <w:rPr>
          <w:rFonts w:ascii="Arial" w:hAnsi="Arial" w:cs="Arial"/>
          <w:bCs/>
          <w:sz w:val="28"/>
          <w:szCs w:val="28"/>
          <w:highlight w:val="yellow"/>
        </w:rPr>
        <w:t>.</w:t>
      </w:r>
      <w:r w:rsidRPr="008037CD">
        <w:rPr>
          <w:rFonts w:ascii="Arial" w:hAnsi="Arial" w:cs="Arial"/>
          <w:bCs/>
          <w:sz w:val="28"/>
          <w:szCs w:val="28"/>
        </w:rPr>
        <w:t xml:space="preserve"> When provided with holistic learning opportunities, Steiner explains, it enables children to become empowered, empathetic and informed citizens </w:t>
      </w:r>
      <w:r w:rsidRPr="008037CD">
        <w:rPr>
          <w:rFonts w:ascii="Arial" w:hAnsi="Arial" w:cs="Arial"/>
          <w:bCs/>
          <w:sz w:val="28"/>
          <w:szCs w:val="28"/>
          <w:highlight w:val="yellow"/>
        </w:rPr>
        <w:t>(Sele, 2021).</w:t>
      </w:r>
    </w:p>
    <w:p w14:paraId="67FA11DC" w14:textId="5D209491" w:rsidR="008037CD" w:rsidRPr="008037CD" w:rsidRDefault="008037CD" w:rsidP="00333F5A">
      <w:pPr>
        <w:spacing w:line="360" w:lineRule="auto"/>
        <w:rPr>
          <w:rFonts w:ascii="Arial" w:hAnsi="Arial" w:cs="Arial"/>
          <w:bCs/>
          <w:sz w:val="28"/>
          <w:szCs w:val="28"/>
        </w:rPr>
      </w:pPr>
      <w:r w:rsidRPr="008037CD">
        <w:rPr>
          <w:rFonts w:ascii="Arial" w:hAnsi="Arial" w:cs="Arial"/>
          <w:bCs/>
          <w:sz w:val="28"/>
          <w:szCs w:val="28"/>
        </w:rPr>
        <w:t xml:space="preserve">Within the activity, 5 SDGs have been achieved. These include Zero Hunger, Quality of Education, Climate Action, Life on land and Partnership. Although zero hunger has previously been discussed, by educating children in the importance of habitats, climate change and the importance of bees </w:t>
      </w:r>
      <w:r w:rsidR="00037621">
        <w:rPr>
          <w:rFonts w:ascii="Arial" w:hAnsi="Arial" w:cs="Arial"/>
          <w:bCs/>
          <w:sz w:val="28"/>
          <w:szCs w:val="28"/>
        </w:rPr>
        <w:t>to</w:t>
      </w:r>
      <w:r w:rsidRPr="008037CD">
        <w:rPr>
          <w:rFonts w:ascii="Arial" w:hAnsi="Arial" w:cs="Arial"/>
          <w:bCs/>
          <w:sz w:val="28"/>
          <w:szCs w:val="28"/>
        </w:rPr>
        <w:t xml:space="preserve"> the food chain, this goal can be achievable in the future </w:t>
      </w:r>
      <w:r w:rsidRPr="008037CD">
        <w:rPr>
          <w:rFonts w:ascii="Arial" w:hAnsi="Arial" w:cs="Arial"/>
          <w:bCs/>
          <w:sz w:val="28"/>
          <w:szCs w:val="28"/>
          <w:highlight w:val="yellow"/>
        </w:rPr>
        <w:t>(Patel et al, 2020).</w:t>
      </w:r>
      <w:r w:rsidRPr="008037CD">
        <w:rPr>
          <w:rFonts w:ascii="Arial" w:hAnsi="Arial" w:cs="Arial"/>
          <w:bCs/>
          <w:sz w:val="28"/>
          <w:szCs w:val="28"/>
        </w:rPr>
        <w:t xml:space="preserve"> Due to the sharing aspect of the JMA, children and practitioners are provided with the opportunity to become a partner for the goals by sharing their experiences. </w:t>
      </w:r>
    </w:p>
    <w:p w14:paraId="7F8C1217" w14:textId="3CAE1A0D" w:rsidR="008037CD" w:rsidRPr="008037CD" w:rsidRDefault="008037CD" w:rsidP="00333F5A">
      <w:pPr>
        <w:spacing w:line="360" w:lineRule="auto"/>
        <w:rPr>
          <w:rFonts w:ascii="Arial" w:hAnsi="Arial" w:cs="Arial"/>
          <w:bCs/>
          <w:sz w:val="28"/>
          <w:szCs w:val="28"/>
        </w:rPr>
      </w:pPr>
      <w:r w:rsidRPr="008037CD">
        <w:rPr>
          <w:rFonts w:ascii="Arial" w:hAnsi="Arial" w:cs="Arial"/>
          <w:bCs/>
          <w:sz w:val="28"/>
          <w:szCs w:val="28"/>
        </w:rPr>
        <w:t xml:space="preserve">As practitioners, opportunities like these are important in gaining an understanding of sustainability, however in addition a settings </w:t>
      </w:r>
      <w:r w:rsidRPr="008037CD">
        <w:rPr>
          <w:rFonts w:ascii="Arial" w:hAnsi="Arial" w:cs="Arial"/>
          <w:bCs/>
          <w:sz w:val="28"/>
          <w:szCs w:val="28"/>
        </w:rPr>
        <w:lastRenderedPageBreak/>
        <w:t xml:space="preserve">environment is also essential. </w:t>
      </w:r>
      <w:r w:rsidRPr="008037CD">
        <w:rPr>
          <w:rFonts w:ascii="Arial" w:hAnsi="Arial" w:cs="Arial"/>
          <w:bCs/>
          <w:sz w:val="28"/>
          <w:szCs w:val="28"/>
          <w:highlight w:val="yellow"/>
        </w:rPr>
        <w:t>Hadland (2020</w:t>
      </w:r>
      <w:r w:rsidRPr="008037CD">
        <w:rPr>
          <w:rFonts w:ascii="Arial" w:hAnsi="Arial" w:cs="Arial"/>
          <w:bCs/>
          <w:sz w:val="28"/>
          <w:szCs w:val="28"/>
        </w:rPr>
        <w:t xml:space="preserve">) explains that by following an eco-friendly approach, </w:t>
      </w:r>
      <w:r w:rsidR="002309A6">
        <w:rPr>
          <w:rFonts w:ascii="Arial" w:hAnsi="Arial" w:cs="Arial"/>
          <w:bCs/>
          <w:sz w:val="28"/>
          <w:szCs w:val="28"/>
        </w:rPr>
        <w:t>like</w:t>
      </w:r>
      <w:r w:rsidRPr="008037CD">
        <w:rPr>
          <w:rFonts w:ascii="Arial" w:hAnsi="Arial" w:cs="Arial"/>
          <w:bCs/>
          <w:sz w:val="28"/>
          <w:szCs w:val="28"/>
        </w:rPr>
        <w:t xml:space="preserve"> Montessori, children become accustomed to playing and interacting with natural materials, </w:t>
      </w:r>
      <w:r w:rsidR="007D10D4">
        <w:rPr>
          <w:rFonts w:ascii="Arial" w:hAnsi="Arial" w:cs="Arial"/>
          <w:bCs/>
          <w:sz w:val="28"/>
          <w:szCs w:val="28"/>
        </w:rPr>
        <w:t xml:space="preserve">such as </w:t>
      </w:r>
      <w:r w:rsidRPr="008037CD">
        <w:rPr>
          <w:rFonts w:ascii="Arial" w:hAnsi="Arial" w:cs="Arial"/>
          <w:bCs/>
          <w:sz w:val="28"/>
          <w:szCs w:val="28"/>
        </w:rPr>
        <w:t xml:space="preserve">pinecones, shells, </w:t>
      </w:r>
      <w:r w:rsidR="00F60AFA">
        <w:rPr>
          <w:rFonts w:ascii="Arial" w:hAnsi="Arial" w:cs="Arial"/>
          <w:bCs/>
          <w:sz w:val="28"/>
          <w:szCs w:val="28"/>
        </w:rPr>
        <w:t xml:space="preserve">and </w:t>
      </w:r>
      <w:r w:rsidRPr="008037CD">
        <w:rPr>
          <w:rFonts w:ascii="Arial" w:hAnsi="Arial" w:cs="Arial"/>
          <w:bCs/>
          <w:sz w:val="28"/>
          <w:szCs w:val="28"/>
        </w:rPr>
        <w:t xml:space="preserve">stones </w:t>
      </w:r>
      <w:r w:rsidR="00A90843" w:rsidRPr="00A90843">
        <w:rPr>
          <w:rFonts w:ascii="Arial" w:hAnsi="Arial" w:cs="Arial"/>
          <w:bCs/>
          <w:sz w:val="28"/>
          <w:szCs w:val="28"/>
          <w:highlight w:val="yellow"/>
        </w:rPr>
        <w:t>(Boyd</w:t>
      </w:r>
      <w:r w:rsidR="007A485F">
        <w:rPr>
          <w:rFonts w:ascii="Arial" w:hAnsi="Arial" w:cs="Arial"/>
          <w:bCs/>
          <w:sz w:val="28"/>
          <w:szCs w:val="28"/>
          <w:highlight w:val="yellow"/>
        </w:rPr>
        <w:t xml:space="preserve"> et al</w:t>
      </w:r>
      <w:r w:rsidR="00A90843" w:rsidRPr="00A90843">
        <w:rPr>
          <w:rFonts w:ascii="Arial" w:hAnsi="Arial" w:cs="Arial"/>
          <w:bCs/>
          <w:sz w:val="28"/>
          <w:szCs w:val="28"/>
          <w:highlight w:val="yellow"/>
        </w:rPr>
        <w:t>, 2018)</w:t>
      </w:r>
      <w:r w:rsidRPr="008037CD">
        <w:rPr>
          <w:rFonts w:ascii="Arial" w:hAnsi="Arial" w:cs="Arial"/>
          <w:bCs/>
          <w:sz w:val="28"/>
          <w:szCs w:val="28"/>
          <w:highlight w:val="yellow"/>
        </w:rPr>
        <w:t>.</w:t>
      </w:r>
      <w:r w:rsidRPr="008037CD">
        <w:rPr>
          <w:rFonts w:ascii="Arial" w:hAnsi="Arial" w:cs="Arial"/>
          <w:bCs/>
          <w:sz w:val="28"/>
          <w:szCs w:val="28"/>
        </w:rPr>
        <w:t xml:space="preserve"> With the inclusion of items such as these, it enables the reduction in the quantity of plastic within the setting. Many practitioners will dispute this fact, by stating that plastic provides a durable, cost-effective and hygienic addition to the setting</w:t>
      </w:r>
      <w:r w:rsidR="003313EC" w:rsidRPr="003313EC">
        <w:t xml:space="preserve"> </w:t>
      </w:r>
      <w:r w:rsidR="00AE0B1C" w:rsidRPr="00AE0B1C">
        <w:rPr>
          <w:rFonts w:ascii="Arial" w:hAnsi="Arial" w:cs="Arial"/>
          <w:sz w:val="28"/>
          <w:szCs w:val="28"/>
          <w:highlight w:val="yellow"/>
        </w:rPr>
        <w:t>(Cutter-Mackenzie et al., 2014)</w:t>
      </w:r>
      <w:r w:rsidRPr="008037CD">
        <w:rPr>
          <w:rFonts w:ascii="Arial" w:hAnsi="Arial" w:cs="Arial"/>
          <w:bCs/>
          <w:sz w:val="28"/>
          <w:szCs w:val="28"/>
        </w:rPr>
        <w:t xml:space="preserve">. However, plastic items especially single-use plastics are a significant concern due to its environmental impact. Plastic may be a durable, cost-effective item; however, </w:t>
      </w:r>
      <w:r w:rsidR="006D0EC8">
        <w:rPr>
          <w:rFonts w:ascii="Arial" w:hAnsi="Arial" w:cs="Arial"/>
          <w:bCs/>
          <w:sz w:val="28"/>
          <w:szCs w:val="28"/>
        </w:rPr>
        <w:t>it</w:t>
      </w:r>
      <w:r w:rsidRPr="008037CD">
        <w:rPr>
          <w:rFonts w:ascii="Arial" w:hAnsi="Arial" w:cs="Arial"/>
          <w:bCs/>
          <w:sz w:val="28"/>
          <w:szCs w:val="28"/>
        </w:rPr>
        <w:t xml:space="preserve"> do</w:t>
      </w:r>
      <w:r w:rsidR="006D0EC8">
        <w:rPr>
          <w:rFonts w:ascii="Arial" w:hAnsi="Arial" w:cs="Arial"/>
          <w:bCs/>
          <w:sz w:val="28"/>
          <w:szCs w:val="28"/>
        </w:rPr>
        <w:t>es</w:t>
      </w:r>
      <w:r w:rsidRPr="008037CD">
        <w:rPr>
          <w:rFonts w:ascii="Arial" w:hAnsi="Arial" w:cs="Arial"/>
          <w:bCs/>
          <w:sz w:val="28"/>
          <w:szCs w:val="28"/>
        </w:rPr>
        <w:t xml:space="preserve"> not possess the biodegradable qualities of natural materials, which are essential for a sustainable healthier planet </w:t>
      </w:r>
      <w:r w:rsidRPr="008037CD">
        <w:rPr>
          <w:rFonts w:ascii="Arial" w:hAnsi="Arial" w:cs="Arial"/>
          <w:bCs/>
          <w:sz w:val="28"/>
          <w:szCs w:val="28"/>
          <w:highlight w:val="yellow"/>
        </w:rPr>
        <w:t>(Goodall, 2021).</w:t>
      </w:r>
    </w:p>
    <w:p w14:paraId="3B9EEF25" w14:textId="77777777" w:rsidR="008037CD" w:rsidRPr="008037CD" w:rsidRDefault="008037CD" w:rsidP="00333F5A">
      <w:pPr>
        <w:spacing w:line="360" w:lineRule="auto"/>
        <w:rPr>
          <w:rFonts w:ascii="Arial" w:hAnsi="Arial" w:cs="Arial"/>
          <w:bCs/>
          <w:sz w:val="28"/>
          <w:szCs w:val="28"/>
        </w:rPr>
      </w:pPr>
      <w:r w:rsidRPr="008037CD">
        <w:rPr>
          <w:rFonts w:ascii="Arial" w:hAnsi="Arial" w:cs="Arial"/>
          <w:bCs/>
          <w:sz w:val="28"/>
          <w:szCs w:val="28"/>
        </w:rPr>
        <w:t xml:space="preserve">The authors activity demonstrates to both children and practitioners the flexibility of repurposing reclaimed natural materials such as wooden pallets and bed slats. </w:t>
      </w:r>
      <w:r w:rsidRPr="008037CD">
        <w:rPr>
          <w:rFonts w:ascii="Arial" w:hAnsi="Arial" w:cs="Arial"/>
          <w:bCs/>
          <w:sz w:val="28"/>
          <w:szCs w:val="28"/>
          <w:highlight w:val="yellow"/>
        </w:rPr>
        <w:t>Johnson &amp; Watts (2019)</w:t>
      </w:r>
      <w:r w:rsidRPr="008037CD">
        <w:rPr>
          <w:rFonts w:ascii="Arial" w:hAnsi="Arial" w:cs="Arial"/>
          <w:bCs/>
          <w:sz w:val="28"/>
          <w:szCs w:val="28"/>
        </w:rPr>
        <w:t xml:space="preserve"> explains, that if children are shown that items can be utilized in different means, it can spark their curiosity, resulting in a higher success rate of future generations repurposing and upcycling items instead of replacing </w:t>
      </w:r>
      <w:r w:rsidRPr="008037CD">
        <w:rPr>
          <w:rFonts w:ascii="Arial" w:hAnsi="Arial" w:cs="Arial"/>
          <w:bCs/>
          <w:sz w:val="28"/>
          <w:szCs w:val="28"/>
          <w:highlight w:val="yellow"/>
        </w:rPr>
        <w:t>(Davis, 2010 &amp; 2015).</w:t>
      </w:r>
    </w:p>
    <w:p w14:paraId="5B4942C5" w14:textId="02BEAE0C" w:rsidR="008037CD" w:rsidRPr="008037CD" w:rsidRDefault="008037CD" w:rsidP="00333F5A">
      <w:pPr>
        <w:spacing w:line="360" w:lineRule="auto"/>
        <w:rPr>
          <w:rFonts w:ascii="Arial" w:hAnsi="Arial" w:cs="Arial"/>
          <w:bCs/>
          <w:sz w:val="28"/>
          <w:szCs w:val="28"/>
        </w:rPr>
      </w:pPr>
      <w:r w:rsidRPr="008037CD">
        <w:rPr>
          <w:rFonts w:ascii="Arial" w:hAnsi="Arial" w:cs="Arial"/>
          <w:bCs/>
          <w:sz w:val="28"/>
          <w:szCs w:val="28"/>
        </w:rPr>
        <w:t>As discussed within this presentation, the link between E</w:t>
      </w:r>
      <w:r w:rsidR="00B17258">
        <w:rPr>
          <w:rFonts w:ascii="Arial" w:hAnsi="Arial" w:cs="Arial"/>
          <w:bCs/>
          <w:sz w:val="28"/>
          <w:szCs w:val="28"/>
        </w:rPr>
        <w:t>SDGC</w:t>
      </w:r>
      <w:r w:rsidRPr="008037CD">
        <w:rPr>
          <w:rFonts w:ascii="Arial" w:hAnsi="Arial" w:cs="Arial"/>
          <w:bCs/>
          <w:sz w:val="28"/>
          <w:szCs w:val="28"/>
        </w:rPr>
        <w:t xml:space="preserve"> and environmental awards such as the JMA, provides both practitioners and children the means to approach the subjects of Sustainability and Global Citizenship in a hands-on approach. </w:t>
      </w:r>
      <w:r w:rsidR="008559A5">
        <w:rPr>
          <w:rFonts w:ascii="Arial" w:hAnsi="Arial" w:cs="Arial"/>
          <w:bCs/>
          <w:sz w:val="28"/>
          <w:szCs w:val="28"/>
        </w:rPr>
        <w:t>I</w:t>
      </w:r>
      <w:r w:rsidRPr="008037CD">
        <w:rPr>
          <w:rFonts w:ascii="Arial" w:hAnsi="Arial" w:cs="Arial"/>
          <w:bCs/>
          <w:sz w:val="28"/>
          <w:szCs w:val="28"/>
        </w:rPr>
        <w:t xml:space="preserve">t is essential that practitioners incorporate </w:t>
      </w:r>
      <w:r w:rsidR="00B17258">
        <w:rPr>
          <w:rFonts w:ascii="Arial" w:hAnsi="Arial" w:cs="Arial"/>
          <w:bCs/>
          <w:sz w:val="28"/>
          <w:szCs w:val="28"/>
        </w:rPr>
        <w:t>ESDGC</w:t>
      </w:r>
      <w:r w:rsidRPr="008037CD">
        <w:rPr>
          <w:rFonts w:ascii="Arial" w:hAnsi="Arial" w:cs="Arial"/>
          <w:bCs/>
          <w:sz w:val="28"/>
          <w:szCs w:val="28"/>
        </w:rPr>
        <w:t xml:space="preserve"> into everyday life and within a cross-curricular manner, which the JMA can achieve. Although the JMA has its </w:t>
      </w:r>
      <w:r w:rsidR="00B96FB1">
        <w:rPr>
          <w:rFonts w:ascii="Arial" w:hAnsi="Arial" w:cs="Arial"/>
          <w:bCs/>
          <w:sz w:val="28"/>
          <w:szCs w:val="28"/>
        </w:rPr>
        <w:t>generation</w:t>
      </w:r>
      <w:r w:rsidRPr="008037CD">
        <w:rPr>
          <w:rFonts w:ascii="Arial" w:hAnsi="Arial" w:cs="Arial"/>
          <w:bCs/>
          <w:sz w:val="28"/>
          <w:szCs w:val="28"/>
        </w:rPr>
        <w:t>-related issues regarding global citizenship, it does however incorporate sustainab</w:t>
      </w:r>
      <w:r w:rsidR="009C229C">
        <w:rPr>
          <w:rFonts w:ascii="Arial" w:hAnsi="Arial" w:cs="Arial"/>
          <w:bCs/>
          <w:sz w:val="28"/>
          <w:szCs w:val="28"/>
        </w:rPr>
        <w:t>ility</w:t>
      </w:r>
      <w:r w:rsidR="00386B9B">
        <w:rPr>
          <w:rFonts w:ascii="Arial" w:hAnsi="Arial" w:cs="Arial"/>
          <w:bCs/>
          <w:sz w:val="28"/>
          <w:szCs w:val="28"/>
        </w:rPr>
        <w:t>, CDGs</w:t>
      </w:r>
      <w:r w:rsidRPr="008037CD">
        <w:rPr>
          <w:rFonts w:ascii="Arial" w:hAnsi="Arial" w:cs="Arial"/>
          <w:bCs/>
          <w:sz w:val="28"/>
          <w:szCs w:val="28"/>
        </w:rPr>
        <w:t xml:space="preserve"> and the need for collaboration of others. When children are provided with confident interactions with practitioners </w:t>
      </w:r>
      <w:r w:rsidRPr="008037CD">
        <w:rPr>
          <w:rFonts w:ascii="Arial" w:hAnsi="Arial" w:cs="Arial"/>
          <w:bCs/>
          <w:sz w:val="28"/>
          <w:szCs w:val="28"/>
        </w:rPr>
        <w:lastRenderedPageBreak/>
        <w:t>on topics such as sustainability, they are provided with the voice to enable positive change for future generations.</w:t>
      </w:r>
    </w:p>
    <w:p w14:paraId="249361B9" w14:textId="468C215E" w:rsidR="000B04F5" w:rsidRDefault="008037CD" w:rsidP="00333F5A">
      <w:pPr>
        <w:spacing w:line="360" w:lineRule="auto"/>
        <w:rPr>
          <w:rFonts w:ascii="Arial" w:hAnsi="Arial" w:cs="Arial"/>
          <w:bCs/>
          <w:sz w:val="28"/>
          <w:szCs w:val="28"/>
        </w:rPr>
      </w:pPr>
      <w:r w:rsidRPr="008037CD">
        <w:rPr>
          <w:rFonts w:ascii="Arial" w:hAnsi="Arial" w:cs="Arial"/>
          <w:bCs/>
          <w:sz w:val="28"/>
          <w:szCs w:val="28"/>
        </w:rPr>
        <w:t>Thank you for listening to my presentation.</w:t>
      </w:r>
    </w:p>
    <w:p w14:paraId="08E8DF6E" w14:textId="77777777" w:rsidR="000B04F5" w:rsidRDefault="000B04F5">
      <w:pPr>
        <w:rPr>
          <w:rFonts w:ascii="Arial" w:hAnsi="Arial" w:cs="Arial"/>
          <w:bCs/>
          <w:sz w:val="28"/>
          <w:szCs w:val="28"/>
        </w:rPr>
      </w:pPr>
      <w:r>
        <w:rPr>
          <w:rFonts w:ascii="Arial" w:hAnsi="Arial" w:cs="Arial"/>
          <w:bCs/>
          <w:sz w:val="28"/>
          <w:szCs w:val="28"/>
        </w:rPr>
        <w:br w:type="page"/>
      </w:r>
    </w:p>
    <w:p w14:paraId="233957BF" w14:textId="142AA38F" w:rsidR="000B04F5" w:rsidRPr="009A5D78" w:rsidRDefault="000B04F5" w:rsidP="000B04F5">
      <w:pPr>
        <w:spacing w:before="100" w:beforeAutospacing="1" w:after="100" w:afterAutospacing="1" w:line="360" w:lineRule="auto"/>
        <w:ind w:left="567"/>
        <w:rPr>
          <w:rFonts w:ascii="Arial" w:eastAsiaTheme="minorEastAsia" w:hAnsi="Arial" w:cs="Arial"/>
          <w:b/>
          <w:bCs/>
          <w:color w:val="000000"/>
          <w:kern w:val="0"/>
          <w:sz w:val="24"/>
          <w:szCs w:val="24"/>
          <w:u w:val="single"/>
          <w:lang w:eastAsia="en-GB"/>
          <w14:ligatures w14:val="none"/>
        </w:rPr>
      </w:pPr>
      <w:r w:rsidRPr="009A5D78">
        <w:rPr>
          <w:rFonts w:ascii="Arial" w:eastAsiaTheme="minorEastAsia" w:hAnsi="Arial" w:cs="Arial"/>
          <w:b/>
          <w:bCs/>
          <w:color w:val="000000"/>
          <w:kern w:val="0"/>
          <w:sz w:val="24"/>
          <w:szCs w:val="24"/>
          <w:u w:val="single"/>
          <w:lang w:eastAsia="en-GB"/>
          <w14:ligatures w14:val="none"/>
        </w:rPr>
        <w:lastRenderedPageBreak/>
        <w:t>Reference List</w:t>
      </w:r>
    </w:p>
    <w:p w14:paraId="68D02EFD" w14:textId="73807C9C"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Armstrong, C. (2015) </w:t>
      </w:r>
      <w:r w:rsidRPr="000B04F5">
        <w:rPr>
          <w:rFonts w:ascii="Arial" w:eastAsiaTheme="minorEastAsia" w:hAnsi="Arial" w:cs="Arial"/>
          <w:i/>
          <w:iCs/>
          <w:color w:val="000000"/>
          <w:kern w:val="0"/>
          <w:sz w:val="24"/>
          <w:szCs w:val="24"/>
          <w:lang w:eastAsia="en-GB"/>
          <w14:ligatures w14:val="none"/>
        </w:rPr>
        <w:t>In the Zone: Vygotskian-</w:t>
      </w:r>
      <w:proofErr w:type="gramStart"/>
      <w:r w:rsidRPr="000B04F5">
        <w:rPr>
          <w:rFonts w:ascii="Arial" w:eastAsiaTheme="minorEastAsia" w:hAnsi="Arial" w:cs="Arial"/>
          <w:i/>
          <w:iCs/>
          <w:color w:val="000000"/>
          <w:kern w:val="0"/>
          <w:sz w:val="24"/>
          <w:szCs w:val="24"/>
          <w:lang w:eastAsia="en-GB"/>
          <w14:ligatures w14:val="none"/>
        </w:rPr>
        <w:t>Inspired  Pedagogy</w:t>
      </w:r>
      <w:proofErr w:type="gramEnd"/>
      <w:r w:rsidRPr="000B04F5">
        <w:rPr>
          <w:rFonts w:ascii="Arial" w:eastAsiaTheme="minorEastAsia" w:hAnsi="Arial" w:cs="Arial"/>
          <w:i/>
          <w:iCs/>
          <w:color w:val="000000"/>
          <w:kern w:val="0"/>
          <w:sz w:val="24"/>
          <w:szCs w:val="24"/>
          <w:lang w:eastAsia="en-GB"/>
          <w14:ligatures w14:val="none"/>
        </w:rPr>
        <w:t xml:space="preserve"> for Sustainability </w:t>
      </w:r>
      <w:r w:rsidRPr="000B04F5">
        <w:rPr>
          <w:rFonts w:ascii="Arial" w:eastAsiaTheme="minorEastAsia" w:hAnsi="Arial" w:cs="Arial"/>
          <w:color w:val="000000"/>
          <w:kern w:val="0"/>
          <w:sz w:val="24"/>
          <w:szCs w:val="24"/>
          <w:lang w:eastAsia="en-GB"/>
          <w14:ligatures w14:val="none"/>
        </w:rPr>
        <w:t>. Available at: https://files.eric.ed.gov/fulltext/EJ1100385.pdf (Accessed: 04 July 2024). </w:t>
      </w:r>
    </w:p>
    <w:p w14:paraId="15A78A50"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Bourn, D. (2021) </w:t>
      </w:r>
      <w:r w:rsidRPr="000B04F5">
        <w:rPr>
          <w:rFonts w:ascii="Arial" w:eastAsiaTheme="minorEastAsia" w:hAnsi="Arial" w:cs="Arial"/>
          <w:i/>
          <w:iCs/>
          <w:color w:val="000000"/>
          <w:kern w:val="0"/>
          <w:sz w:val="24"/>
          <w:szCs w:val="24"/>
          <w:lang w:eastAsia="en-GB"/>
          <w14:ligatures w14:val="none"/>
        </w:rPr>
        <w:t>ECOPEDAGOGY: Critical Environmental Teaching for Planetary Justice and Global Sustainable Development</w:t>
      </w:r>
      <w:r w:rsidRPr="000B04F5">
        <w:rPr>
          <w:rFonts w:ascii="Arial" w:eastAsiaTheme="minorEastAsia" w:hAnsi="Arial" w:cs="Arial"/>
          <w:color w:val="000000"/>
          <w:kern w:val="0"/>
          <w:sz w:val="24"/>
          <w:szCs w:val="24"/>
          <w:lang w:eastAsia="en-GB"/>
          <w14:ligatures w14:val="none"/>
        </w:rPr>
        <w:t>. Available at: https://www.developmenteducationreview.com/issue/issue-32/ecopedagogy-critical-environmental-teaching-planetary-justice-and-global-sustainable (Accessed: 07 July 2024). </w:t>
      </w:r>
    </w:p>
    <w:p w14:paraId="5771CFD7"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Boyd, D. (2018) ‘Early childhood education for sustainability and the legacies of two pioneering giants’, </w:t>
      </w:r>
      <w:r w:rsidRPr="000B04F5">
        <w:rPr>
          <w:rFonts w:ascii="Arial" w:eastAsiaTheme="minorEastAsia" w:hAnsi="Arial" w:cs="Arial"/>
          <w:i/>
          <w:iCs/>
          <w:color w:val="000000"/>
          <w:kern w:val="0"/>
          <w:sz w:val="24"/>
          <w:szCs w:val="24"/>
          <w:lang w:eastAsia="en-GB"/>
          <w14:ligatures w14:val="none"/>
        </w:rPr>
        <w:t>Early Years</w:t>
      </w:r>
      <w:r w:rsidRPr="000B04F5">
        <w:rPr>
          <w:rFonts w:ascii="Arial" w:eastAsiaTheme="minorEastAsia" w:hAnsi="Arial" w:cs="Arial"/>
          <w:color w:val="000000"/>
          <w:kern w:val="0"/>
          <w:sz w:val="24"/>
          <w:szCs w:val="24"/>
          <w:lang w:eastAsia="en-GB"/>
          <w14:ligatures w14:val="none"/>
        </w:rPr>
        <w:t>, 38(2), pp. 227–239. doi:10.1080/09575146.2018.1442422. </w:t>
      </w:r>
    </w:p>
    <w:p w14:paraId="443F4E76"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Boyd, D., Hirst, N. and Siraj-Blatchford, J. (2018) </w:t>
      </w:r>
      <w:r w:rsidRPr="000B04F5">
        <w:rPr>
          <w:rFonts w:ascii="Arial" w:eastAsiaTheme="minorEastAsia" w:hAnsi="Arial" w:cs="Arial"/>
          <w:i/>
          <w:iCs/>
          <w:color w:val="000000"/>
          <w:kern w:val="0"/>
          <w:sz w:val="24"/>
          <w:szCs w:val="24"/>
          <w:lang w:eastAsia="en-GB"/>
          <w14:ligatures w14:val="none"/>
        </w:rPr>
        <w:t>Understanding Sustainability in early childhood education: Case studies and approaches from across the UK</w:t>
      </w:r>
      <w:r w:rsidRPr="000B04F5">
        <w:rPr>
          <w:rFonts w:ascii="Arial" w:eastAsiaTheme="minorEastAsia" w:hAnsi="Arial" w:cs="Arial"/>
          <w:color w:val="000000"/>
          <w:kern w:val="0"/>
          <w:sz w:val="24"/>
          <w:szCs w:val="24"/>
          <w:lang w:eastAsia="en-GB"/>
          <w14:ligatures w14:val="none"/>
        </w:rPr>
        <w:t>. Milton Park, Abingdon, Oxon: Routledge. </w:t>
      </w:r>
    </w:p>
    <w:p w14:paraId="4BB1D929"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Cocks, S. and Simpson, S. (2015) ‘Anthropocentric and Ecocentric’, </w:t>
      </w:r>
      <w:r w:rsidRPr="000B04F5">
        <w:rPr>
          <w:rFonts w:ascii="Arial" w:eastAsiaTheme="minorEastAsia" w:hAnsi="Arial" w:cs="Arial"/>
          <w:i/>
          <w:iCs/>
          <w:color w:val="000000"/>
          <w:kern w:val="0"/>
          <w:sz w:val="24"/>
          <w:szCs w:val="24"/>
          <w:lang w:eastAsia="en-GB"/>
          <w14:ligatures w14:val="none"/>
        </w:rPr>
        <w:t>Journal of Experiential Education</w:t>
      </w:r>
      <w:r w:rsidRPr="000B04F5">
        <w:rPr>
          <w:rFonts w:ascii="Arial" w:eastAsiaTheme="minorEastAsia" w:hAnsi="Arial" w:cs="Arial"/>
          <w:color w:val="000000"/>
          <w:kern w:val="0"/>
          <w:sz w:val="24"/>
          <w:szCs w:val="24"/>
          <w:lang w:eastAsia="en-GB"/>
          <w14:ligatures w14:val="none"/>
        </w:rPr>
        <w:t>, 38(3), pp. 216–227. doi:10.1177/1053825915571750. </w:t>
      </w:r>
    </w:p>
    <w:p w14:paraId="00E4E100"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Cutter-Mackenzie, A. </w:t>
      </w:r>
      <w:r w:rsidRPr="000B04F5">
        <w:rPr>
          <w:rFonts w:ascii="Arial" w:eastAsiaTheme="minorEastAsia" w:hAnsi="Arial" w:cs="Arial"/>
          <w:i/>
          <w:iCs/>
          <w:color w:val="000000"/>
          <w:kern w:val="0"/>
          <w:sz w:val="24"/>
          <w:szCs w:val="24"/>
          <w:lang w:eastAsia="en-GB"/>
          <w14:ligatures w14:val="none"/>
        </w:rPr>
        <w:t>et al.</w:t>
      </w:r>
      <w:r w:rsidRPr="000B04F5">
        <w:rPr>
          <w:rFonts w:ascii="Arial" w:eastAsiaTheme="minorEastAsia" w:hAnsi="Arial" w:cs="Arial"/>
          <w:color w:val="000000"/>
          <w:kern w:val="0"/>
          <w:sz w:val="24"/>
          <w:szCs w:val="24"/>
          <w:lang w:eastAsia="en-GB"/>
          <w14:ligatures w14:val="none"/>
        </w:rPr>
        <w:t> (2014) </w:t>
      </w:r>
      <w:r w:rsidRPr="000B04F5">
        <w:rPr>
          <w:rFonts w:ascii="Arial" w:eastAsiaTheme="minorEastAsia" w:hAnsi="Arial" w:cs="Arial"/>
          <w:i/>
          <w:iCs/>
          <w:color w:val="000000"/>
          <w:kern w:val="0"/>
          <w:sz w:val="24"/>
          <w:szCs w:val="24"/>
          <w:lang w:eastAsia="en-GB"/>
          <w14:ligatures w14:val="none"/>
        </w:rPr>
        <w:t>Young Children’s play and environmental education in early childhood education</w:t>
      </w:r>
      <w:r w:rsidRPr="000B04F5">
        <w:rPr>
          <w:rFonts w:ascii="Arial" w:eastAsiaTheme="minorEastAsia" w:hAnsi="Arial" w:cs="Arial"/>
          <w:color w:val="000000"/>
          <w:kern w:val="0"/>
          <w:sz w:val="24"/>
          <w:szCs w:val="24"/>
          <w:lang w:eastAsia="en-GB"/>
          <w14:ligatures w14:val="none"/>
        </w:rPr>
        <w:t>. Cham: Springer. </w:t>
      </w:r>
    </w:p>
    <w:p w14:paraId="67986E13"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Davis, J. and Elliott, S. (2014) </w:t>
      </w:r>
      <w:r w:rsidRPr="000B04F5">
        <w:rPr>
          <w:rFonts w:ascii="Arial" w:eastAsiaTheme="minorEastAsia" w:hAnsi="Arial" w:cs="Arial"/>
          <w:i/>
          <w:iCs/>
          <w:color w:val="000000"/>
          <w:kern w:val="0"/>
          <w:sz w:val="24"/>
          <w:szCs w:val="24"/>
          <w:lang w:eastAsia="en-GB"/>
          <w14:ligatures w14:val="none"/>
        </w:rPr>
        <w:t>Research in early childhood education for sustainability: International perspectives and provocations</w:t>
      </w:r>
      <w:r w:rsidRPr="000B04F5">
        <w:rPr>
          <w:rFonts w:ascii="Arial" w:eastAsiaTheme="minorEastAsia" w:hAnsi="Arial" w:cs="Arial"/>
          <w:color w:val="000000"/>
          <w:kern w:val="0"/>
          <w:sz w:val="24"/>
          <w:szCs w:val="24"/>
          <w:lang w:eastAsia="en-GB"/>
          <w14:ligatures w14:val="none"/>
        </w:rPr>
        <w:t>. London: Routledge, Taylor &amp; Francis Group. </w:t>
      </w:r>
    </w:p>
    <w:p w14:paraId="5DC3CE21"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Davis, J.M. (2010) </w:t>
      </w:r>
      <w:r w:rsidRPr="000B04F5">
        <w:rPr>
          <w:rFonts w:ascii="Arial" w:eastAsiaTheme="minorEastAsia" w:hAnsi="Arial" w:cs="Arial"/>
          <w:i/>
          <w:iCs/>
          <w:color w:val="000000"/>
          <w:kern w:val="0"/>
          <w:sz w:val="24"/>
          <w:szCs w:val="24"/>
          <w:lang w:eastAsia="en-GB"/>
          <w14:ligatures w14:val="none"/>
        </w:rPr>
        <w:t>Young Children and the environment: Early education for Sustainability</w:t>
      </w:r>
      <w:r w:rsidRPr="000B04F5">
        <w:rPr>
          <w:rFonts w:ascii="Arial" w:eastAsiaTheme="minorEastAsia" w:hAnsi="Arial" w:cs="Arial"/>
          <w:color w:val="000000"/>
          <w:kern w:val="0"/>
          <w:sz w:val="24"/>
          <w:szCs w:val="24"/>
          <w:lang w:eastAsia="en-GB"/>
          <w14:ligatures w14:val="none"/>
        </w:rPr>
        <w:t>. Cambridge etc.: Cambridge University Press. </w:t>
      </w:r>
    </w:p>
    <w:p w14:paraId="3BC7BDA0"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Davis, J.M. (2015) </w:t>
      </w:r>
      <w:r w:rsidRPr="000B04F5">
        <w:rPr>
          <w:rFonts w:ascii="Arial" w:eastAsiaTheme="minorEastAsia" w:hAnsi="Arial" w:cs="Arial"/>
          <w:i/>
          <w:iCs/>
          <w:color w:val="000000"/>
          <w:kern w:val="0"/>
          <w:sz w:val="24"/>
          <w:szCs w:val="24"/>
          <w:lang w:eastAsia="en-GB"/>
          <w14:ligatures w14:val="none"/>
        </w:rPr>
        <w:t>Young Children and the environment: Early education for Sustainability</w:t>
      </w:r>
      <w:r w:rsidRPr="000B04F5">
        <w:rPr>
          <w:rFonts w:ascii="Arial" w:eastAsiaTheme="minorEastAsia" w:hAnsi="Arial" w:cs="Arial"/>
          <w:color w:val="000000"/>
          <w:kern w:val="0"/>
          <w:sz w:val="24"/>
          <w:szCs w:val="24"/>
          <w:lang w:eastAsia="en-GB"/>
          <w14:ligatures w14:val="none"/>
        </w:rPr>
        <w:t>. Cambridge: Cambridge University Press. </w:t>
      </w:r>
    </w:p>
    <w:p w14:paraId="78C283B4"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lastRenderedPageBreak/>
        <w:t>Dyment, J.E. </w:t>
      </w:r>
      <w:r w:rsidRPr="000B04F5">
        <w:rPr>
          <w:rFonts w:ascii="Arial" w:eastAsiaTheme="minorEastAsia" w:hAnsi="Arial" w:cs="Arial"/>
          <w:i/>
          <w:iCs/>
          <w:color w:val="000000"/>
          <w:kern w:val="0"/>
          <w:sz w:val="24"/>
          <w:szCs w:val="24"/>
          <w:lang w:eastAsia="en-GB"/>
          <w14:ligatures w14:val="none"/>
        </w:rPr>
        <w:t>et al.</w:t>
      </w:r>
      <w:r w:rsidRPr="000B04F5">
        <w:rPr>
          <w:rFonts w:ascii="Arial" w:eastAsiaTheme="minorEastAsia" w:hAnsi="Arial" w:cs="Arial"/>
          <w:color w:val="000000"/>
          <w:kern w:val="0"/>
          <w:sz w:val="24"/>
          <w:szCs w:val="24"/>
          <w:lang w:eastAsia="en-GB"/>
          <w14:ligatures w14:val="none"/>
        </w:rPr>
        <w:t> (2013) ‘The impact of professional development on early childhood educators’ confidence, understanding and knowledge of education for Sustainability’, </w:t>
      </w:r>
      <w:r w:rsidRPr="000B04F5">
        <w:rPr>
          <w:rFonts w:ascii="Arial" w:eastAsiaTheme="minorEastAsia" w:hAnsi="Arial" w:cs="Arial"/>
          <w:i/>
          <w:iCs/>
          <w:color w:val="000000"/>
          <w:kern w:val="0"/>
          <w:sz w:val="24"/>
          <w:szCs w:val="24"/>
          <w:lang w:eastAsia="en-GB"/>
          <w14:ligatures w14:val="none"/>
        </w:rPr>
        <w:t>Environmental Education Research</w:t>
      </w:r>
      <w:r w:rsidRPr="000B04F5">
        <w:rPr>
          <w:rFonts w:ascii="Arial" w:eastAsiaTheme="minorEastAsia" w:hAnsi="Arial" w:cs="Arial"/>
          <w:color w:val="000000"/>
          <w:kern w:val="0"/>
          <w:sz w:val="24"/>
          <w:szCs w:val="24"/>
          <w:lang w:eastAsia="en-GB"/>
          <w14:ligatures w14:val="none"/>
        </w:rPr>
        <w:t>, 20(5), pp. 660–679. doi:10.1080/13504622.2013.833591. </w:t>
      </w:r>
    </w:p>
    <w:p w14:paraId="594395C3"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D’Amore, C. and Chawla, L. (2020) ‘Significant life experiences that connect children with nature: A research review and applications to a family nature club’, </w:t>
      </w:r>
      <w:r w:rsidRPr="000B04F5">
        <w:rPr>
          <w:rFonts w:ascii="Arial" w:eastAsiaTheme="minorEastAsia" w:hAnsi="Arial" w:cs="Arial"/>
          <w:i/>
          <w:iCs/>
          <w:color w:val="000000"/>
          <w:kern w:val="0"/>
          <w:sz w:val="24"/>
          <w:szCs w:val="24"/>
          <w:lang w:eastAsia="en-GB"/>
          <w14:ligatures w14:val="none"/>
        </w:rPr>
        <w:t xml:space="preserve">Research Handbook on </w:t>
      </w:r>
      <w:proofErr w:type="spellStart"/>
      <w:r w:rsidRPr="000B04F5">
        <w:rPr>
          <w:rFonts w:ascii="Arial" w:eastAsiaTheme="minorEastAsia" w:hAnsi="Arial" w:cs="Arial"/>
          <w:i/>
          <w:iCs/>
          <w:color w:val="000000"/>
          <w:kern w:val="0"/>
          <w:sz w:val="24"/>
          <w:szCs w:val="24"/>
          <w:lang w:eastAsia="en-GB"/>
          <w14:ligatures w14:val="none"/>
        </w:rPr>
        <w:t>Childhoodnature</w:t>
      </w:r>
      <w:proofErr w:type="spellEnd"/>
      <w:r w:rsidRPr="000B04F5">
        <w:rPr>
          <w:rFonts w:ascii="Arial" w:eastAsiaTheme="minorEastAsia" w:hAnsi="Arial" w:cs="Arial"/>
          <w:color w:val="000000"/>
          <w:kern w:val="0"/>
          <w:sz w:val="24"/>
          <w:szCs w:val="24"/>
          <w:lang w:eastAsia="en-GB"/>
          <w14:ligatures w14:val="none"/>
        </w:rPr>
        <w:t>, pp. 799–825. doi:10.1007/978-3-319-67286-1_49. </w:t>
      </w:r>
    </w:p>
    <w:p w14:paraId="10D53FF8"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Eco Schools (2023) </w:t>
      </w:r>
      <w:r w:rsidRPr="000B04F5">
        <w:rPr>
          <w:rFonts w:ascii="Arial" w:eastAsiaTheme="minorEastAsia" w:hAnsi="Arial" w:cs="Arial"/>
          <w:i/>
          <w:iCs/>
          <w:color w:val="000000"/>
          <w:kern w:val="0"/>
          <w:sz w:val="24"/>
          <w:szCs w:val="24"/>
          <w:lang w:eastAsia="en-GB"/>
          <w14:ligatures w14:val="none"/>
        </w:rPr>
        <w:t>Seven steps</w:t>
      </w:r>
      <w:r w:rsidRPr="000B04F5">
        <w:rPr>
          <w:rFonts w:ascii="Arial" w:eastAsiaTheme="minorEastAsia" w:hAnsi="Arial" w:cs="Arial"/>
          <w:color w:val="000000"/>
          <w:kern w:val="0"/>
          <w:sz w:val="24"/>
          <w:szCs w:val="24"/>
          <w:lang w:eastAsia="en-GB"/>
          <w14:ligatures w14:val="none"/>
        </w:rPr>
        <w:t>, </w:t>
      </w:r>
      <w:r w:rsidRPr="000B04F5">
        <w:rPr>
          <w:rFonts w:ascii="Arial" w:eastAsiaTheme="minorEastAsia" w:hAnsi="Arial" w:cs="Arial"/>
          <w:i/>
          <w:iCs/>
          <w:color w:val="000000"/>
          <w:kern w:val="0"/>
          <w:sz w:val="24"/>
          <w:szCs w:val="24"/>
          <w:lang w:eastAsia="en-GB"/>
          <w14:ligatures w14:val="none"/>
        </w:rPr>
        <w:t>Eco Schools</w:t>
      </w:r>
      <w:r w:rsidRPr="000B04F5">
        <w:rPr>
          <w:rFonts w:ascii="Arial" w:eastAsiaTheme="minorEastAsia" w:hAnsi="Arial" w:cs="Arial"/>
          <w:color w:val="000000"/>
          <w:kern w:val="0"/>
          <w:sz w:val="24"/>
          <w:szCs w:val="24"/>
          <w:lang w:eastAsia="en-GB"/>
          <w14:ligatures w14:val="none"/>
        </w:rPr>
        <w:t>. Available at: https://www.eco-schools.org.uk/seven-steps/ (Accessed: 03 July 2024). </w:t>
      </w:r>
    </w:p>
    <w:p w14:paraId="6003D6AC"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Edwards, C.P. and Gandini, L. (2018) ‘The Reggio Emilia Approach to Early Childhood Education’, in </w:t>
      </w:r>
      <w:r w:rsidRPr="000B04F5">
        <w:rPr>
          <w:rFonts w:ascii="Arial" w:eastAsiaTheme="minorEastAsia" w:hAnsi="Arial" w:cs="Arial"/>
          <w:i/>
          <w:iCs/>
          <w:color w:val="000000"/>
          <w:kern w:val="0"/>
          <w:sz w:val="24"/>
          <w:szCs w:val="24"/>
          <w:lang w:eastAsia="en-GB"/>
          <w14:ligatures w14:val="none"/>
        </w:rPr>
        <w:t>Handbook of International Perspectives on Early Childhood Education</w:t>
      </w:r>
      <w:r w:rsidRPr="000B04F5">
        <w:rPr>
          <w:rFonts w:ascii="Arial" w:eastAsiaTheme="minorEastAsia" w:hAnsi="Arial" w:cs="Arial"/>
          <w:color w:val="000000"/>
          <w:kern w:val="0"/>
          <w:sz w:val="24"/>
          <w:szCs w:val="24"/>
          <w:lang w:eastAsia="en-GB"/>
          <w14:ligatures w14:val="none"/>
        </w:rPr>
        <w:t>. Oxfordshire, UK: Routledge. </w:t>
      </w:r>
    </w:p>
    <w:p w14:paraId="0E4F6C90"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Elliott, S. and Davis, J. (2024) </w:t>
      </w:r>
      <w:r w:rsidRPr="000B04F5">
        <w:rPr>
          <w:rFonts w:ascii="Arial" w:eastAsiaTheme="minorEastAsia" w:hAnsi="Arial" w:cs="Arial"/>
          <w:i/>
          <w:iCs/>
          <w:color w:val="000000"/>
          <w:kern w:val="0"/>
          <w:sz w:val="24"/>
          <w:szCs w:val="24"/>
          <w:lang w:eastAsia="en-GB"/>
          <w14:ligatures w14:val="none"/>
        </w:rPr>
        <w:t>Young Children and the environment: Early education for Sustainability</w:t>
      </w:r>
      <w:r w:rsidRPr="000B04F5">
        <w:rPr>
          <w:rFonts w:ascii="Arial" w:eastAsiaTheme="minorEastAsia" w:hAnsi="Arial" w:cs="Arial"/>
          <w:color w:val="000000"/>
          <w:kern w:val="0"/>
          <w:sz w:val="24"/>
          <w:szCs w:val="24"/>
          <w:lang w:eastAsia="en-GB"/>
          <w14:ligatures w14:val="none"/>
        </w:rPr>
        <w:t>. S.l.: CAMBRIDGE UNIV PRESS. </w:t>
      </w:r>
    </w:p>
    <w:p w14:paraId="18048F41"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Elliott, S. and Davis, J.M. (2020) ‘Challenging taken-for-granted ideas in early childhood education: A critique of Bronfenbrenner’s ecological systems theory in the age of post-humanism’, </w:t>
      </w:r>
      <w:r w:rsidRPr="000B04F5">
        <w:rPr>
          <w:rFonts w:ascii="Arial" w:eastAsiaTheme="minorEastAsia" w:hAnsi="Arial" w:cs="Arial"/>
          <w:i/>
          <w:iCs/>
          <w:color w:val="000000"/>
          <w:kern w:val="0"/>
          <w:sz w:val="24"/>
          <w:szCs w:val="24"/>
          <w:lang w:eastAsia="en-GB"/>
          <w14:ligatures w14:val="none"/>
        </w:rPr>
        <w:t xml:space="preserve">Research Handbook on </w:t>
      </w:r>
      <w:proofErr w:type="spellStart"/>
      <w:r w:rsidRPr="000B04F5">
        <w:rPr>
          <w:rFonts w:ascii="Arial" w:eastAsiaTheme="minorEastAsia" w:hAnsi="Arial" w:cs="Arial"/>
          <w:i/>
          <w:iCs/>
          <w:color w:val="000000"/>
          <w:kern w:val="0"/>
          <w:sz w:val="24"/>
          <w:szCs w:val="24"/>
          <w:lang w:eastAsia="en-GB"/>
          <w14:ligatures w14:val="none"/>
        </w:rPr>
        <w:t>Childhoodnature</w:t>
      </w:r>
      <w:proofErr w:type="spellEnd"/>
      <w:r w:rsidRPr="000B04F5">
        <w:rPr>
          <w:rFonts w:ascii="Arial" w:eastAsiaTheme="minorEastAsia" w:hAnsi="Arial" w:cs="Arial"/>
          <w:color w:val="000000"/>
          <w:kern w:val="0"/>
          <w:sz w:val="24"/>
          <w:szCs w:val="24"/>
          <w:lang w:eastAsia="en-GB"/>
          <w14:ligatures w14:val="none"/>
        </w:rPr>
        <w:t>, pp. 1119–1154. doi:10.1007/978-3-319-67286-1_60. </w:t>
      </w:r>
    </w:p>
    <w:p w14:paraId="01F87A46"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i/>
          <w:iCs/>
          <w:color w:val="000000"/>
          <w:kern w:val="0"/>
          <w:sz w:val="24"/>
          <w:szCs w:val="24"/>
          <w:lang w:eastAsia="en-GB"/>
          <w14:ligatures w14:val="none"/>
        </w:rPr>
        <w:t>Environment (Wales) Act </w:t>
      </w:r>
      <w:r w:rsidRPr="000B04F5">
        <w:rPr>
          <w:rFonts w:ascii="Arial" w:eastAsiaTheme="minorEastAsia" w:hAnsi="Arial" w:cs="Arial"/>
          <w:color w:val="000000"/>
          <w:kern w:val="0"/>
          <w:sz w:val="24"/>
          <w:szCs w:val="24"/>
          <w:lang w:eastAsia="en-GB"/>
          <w14:ligatures w14:val="none"/>
        </w:rPr>
        <w:t>(2016) </w:t>
      </w:r>
      <w:r w:rsidRPr="000B04F5">
        <w:rPr>
          <w:rFonts w:ascii="Arial" w:eastAsiaTheme="minorEastAsia" w:hAnsi="Arial" w:cs="Arial"/>
          <w:i/>
          <w:iCs/>
          <w:color w:val="000000"/>
          <w:kern w:val="0"/>
          <w:sz w:val="24"/>
          <w:szCs w:val="24"/>
          <w:lang w:eastAsia="en-GB"/>
          <w14:ligatures w14:val="none"/>
        </w:rPr>
        <w:t>Legislation.gov.uk</w:t>
      </w:r>
      <w:r w:rsidRPr="000B04F5">
        <w:rPr>
          <w:rFonts w:ascii="Arial" w:eastAsiaTheme="minorEastAsia" w:hAnsi="Arial" w:cs="Arial"/>
          <w:color w:val="000000"/>
          <w:kern w:val="0"/>
          <w:sz w:val="24"/>
          <w:szCs w:val="24"/>
          <w:lang w:eastAsia="en-GB"/>
          <w14:ligatures w14:val="none"/>
        </w:rPr>
        <w:t>. Available at: https://www.legislation.gov.uk/anaw/2016/3/contents/enacted (Accessed: 11 June 2024). </w:t>
      </w:r>
    </w:p>
    <w:p w14:paraId="347771BF"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ESTYN (2014) </w:t>
      </w:r>
      <w:r w:rsidRPr="000B04F5">
        <w:rPr>
          <w:rFonts w:ascii="Arial" w:eastAsiaTheme="minorEastAsia" w:hAnsi="Arial" w:cs="Arial"/>
          <w:i/>
          <w:iCs/>
          <w:color w:val="000000"/>
          <w:kern w:val="0"/>
          <w:sz w:val="24"/>
          <w:szCs w:val="24"/>
          <w:lang w:eastAsia="en-GB"/>
          <w14:ligatures w14:val="none"/>
        </w:rPr>
        <w:t>ESDGC: Progress in Education for Sustainable Development and Global Citizenship - June 2014</w:t>
      </w:r>
      <w:r w:rsidRPr="000B04F5">
        <w:rPr>
          <w:rFonts w:ascii="Arial" w:eastAsiaTheme="minorEastAsia" w:hAnsi="Arial" w:cs="Arial"/>
          <w:color w:val="000000"/>
          <w:kern w:val="0"/>
          <w:sz w:val="24"/>
          <w:szCs w:val="24"/>
          <w:lang w:eastAsia="en-GB"/>
          <w14:ligatures w14:val="none"/>
        </w:rPr>
        <w:t>, </w:t>
      </w:r>
      <w:r w:rsidRPr="000B04F5">
        <w:rPr>
          <w:rFonts w:ascii="Arial" w:eastAsiaTheme="minorEastAsia" w:hAnsi="Arial" w:cs="Arial"/>
          <w:i/>
          <w:iCs/>
          <w:color w:val="000000"/>
          <w:kern w:val="0"/>
          <w:sz w:val="24"/>
          <w:szCs w:val="24"/>
          <w:lang w:eastAsia="en-GB"/>
          <w14:ligatures w14:val="none"/>
        </w:rPr>
        <w:t>Estyn</w:t>
      </w:r>
      <w:r w:rsidRPr="000B04F5">
        <w:rPr>
          <w:rFonts w:ascii="Arial" w:eastAsiaTheme="minorEastAsia" w:hAnsi="Arial" w:cs="Arial"/>
          <w:color w:val="000000"/>
          <w:kern w:val="0"/>
          <w:sz w:val="24"/>
          <w:szCs w:val="24"/>
          <w:lang w:eastAsia="en-GB"/>
          <w14:ligatures w14:val="none"/>
        </w:rPr>
        <w:t>. Available at: https://www.estyn.gov.wales/thematic-report/esdgc-progress-education-sustainable-development-and-global-citizenship-june-2014 (Accessed: 04 July 2024). </w:t>
      </w:r>
    </w:p>
    <w:p w14:paraId="65538D92"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lastRenderedPageBreak/>
        <w:t>Ferdinand, M. (2022) ‘Behind the colonial silence of Wilderness’, </w:t>
      </w:r>
      <w:r w:rsidRPr="000B04F5">
        <w:rPr>
          <w:rFonts w:ascii="Arial" w:eastAsiaTheme="minorEastAsia" w:hAnsi="Arial" w:cs="Arial"/>
          <w:i/>
          <w:iCs/>
          <w:color w:val="000000"/>
          <w:kern w:val="0"/>
          <w:sz w:val="24"/>
          <w:szCs w:val="24"/>
          <w:lang w:eastAsia="en-GB"/>
          <w14:ligatures w14:val="none"/>
        </w:rPr>
        <w:t>Environmental Humanities</w:t>
      </w:r>
      <w:r w:rsidRPr="000B04F5">
        <w:rPr>
          <w:rFonts w:ascii="Arial" w:eastAsiaTheme="minorEastAsia" w:hAnsi="Arial" w:cs="Arial"/>
          <w:color w:val="000000"/>
          <w:kern w:val="0"/>
          <w:sz w:val="24"/>
          <w:szCs w:val="24"/>
          <w:lang w:eastAsia="en-GB"/>
          <w14:ligatures w14:val="none"/>
        </w:rPr>
        <w:t>, 14(1), pp. 182–201. doi:10.1215/22011919-9481506. </w:t>
      </w:r>
    </w:p>
    <w:p w14:paraId="516AFB12"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Gericke, N. (2022) ‘Implementation of education for Sustainable Development through a whole school approach’, </w:t>
      </w:r>
      <w:r w:rsidRPr="000B04F5">
        <w:rPr>
          <w:rFonts w:ascii="Arial" w:eastAsiaTheme="minorEastAsia" w:hAnsi="Arial" w:cs="Arial"/>
          <w:i/>
          <w:iCs/>
          <w:color w:val="000000"/>
          <w:kern w:val="0"/>
          <w:sz w:val="24"/>
          <w:szCs w:val="24"/>
          <w:lang w:eastAsia="en-GB"/>
          <w14:ligatures w14:val="none"/>
        </w:rPr>
        <w:t>Education for Sustainable Development in Primary and Secondary Schools</w:t>
      </w:r>
      <w:r w:rsidRPr="000B04F5">
        <w:rPr>
          <w:rFonts w:ascii="Arial" w:eastAsiaTheme="minorEastAsia" w:hAnsi="Arial" w:cs="Arial"/>
          <w:color w:val="000000"/>
          <w:kern w:val="0"/>
          <w:sz w:val="24"/>
          <w:szCs w:val="24"/>
          <w:lang w:eastAsia="en-GB"/>
          <w14:ligatures w14:val="none"/>
        </w:rPr>
        <w:t>, pp. 153–166. doi:10.1007/978-3-031-09112-4_11. </w:t>
      </w:r>
    </w:p>
    <w:p w14:paraId="102EC400"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Gill, V. (2021) </w:t>
      </w:r>
      <w:r w:rsidRPr="000B04F5">
        <w:rPr>
          <w:rFonts w:ascii="Arial" w:eastAsiaTheme="minorEastAsia" w:hAnsi="Arial" w:cs="Arial"/>
          <w:i/>
          <w:iCs/>
          <w:color w:val="000000"/>
          <w:kern w:val="0"/>
          <w:sz w:val="24"/>
          <w:szCs w:val="24"/>
          <w:lang w:eastAsia="en-GB"/>
          <w14:ligatures w14:val="none"/>
        </w:rPr>
        <w:t>Poorer nations ‘more focused on sustainability’</w:t>
      </w:r>
      <w:r w:rsidRPr="000B04F5">
        <w:rPr>
          <w:rFonts w:ascii="Arial" w:eastAsiaTheme="minorEastAsia" w:hAnsi="Arial" w:cs="Arial"/>
          <w:color w:val="000000"/>
          <w:kern w:val="0"/>
          <w:sz w:val="24"/>
          <w:szCs w:val="24"/>
          <w:lang w:eastAsia="en-GB"/>
          <w14:ligatures w14:val="none"/>
        </w:rPr>
        <w:t>, </w:t>
      </w:r>
      <w:r w:rsidRPr="000B04F5">
        <w:rPr>
          <w:rFonts w:ascii="Arial" w:eastAsiaTheme="minorEastAsia" w:hAnsi="Arial" w:cs="Arial"/>
          <w:i/>
          <w:iCs/>
          <w:color w:val="000000"/>
          <w:kern w:val="0"/>
          <w:sz w:val="24"/>
          <w:szCs w:val="24"/>
          <w:lang w:eastAsia="en-GB"/>
          <w14:ligatures w14:val="none"/>
        </w:rPr>
        <w:t>BBC News</w:t>
      </w:r>
      <w:r w:rsidRPr="000B04F5">
        <w:rPr>
          <w:rFonts w:ascii="Arial" w:eastAsiaTheme="minorEastAsia" w:hAnsi="Arial" w:cs="Arial"/>
          <w:color w:val="000000"/>
          <w:kern w:val="0"/>
          <w:sz w:val="24"/>
          <w:szCs w:val="24"/>
          <w:lang w:eastAsia="en-GB"/>
          <w14:ligatures w14:val="none"/>
        </w:rPr>
        <w:t>. Available at: https://www.bbc.co.uk/news/science-environment-57432580 (Accessed: 03 July 2024). </w:t>
      </w:r>
    </w:p>
    <w:p w14:paraId="6D21DB09"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Goodall, J. (2021) </w:t>
      </w:r>
      <w:r w:rsidRPr="000B04F5">
        <w:rPr>
          <w:rFonts w:ascii="Arial" w:eastAsiaTheme="minorEastAsia" w:hAnsi="Arial" w:cs="Arial"/>
          <w:i/>
          <w:iCs/>
          <w:color w:val="000000"/>
          <w:kern w:val="0"/>
          <w:sz w:val="24"/>
          <w:szCs w:val="24"/>
          <w:lang w:eastAsia="en-GB"/>
          <w14:ligatures w14:val="none"/>
        </w:rPr>
        <w:t>Biodegradable Plastic Guide: Explore the Pros, Cons, and Uses</w:t>
      </w:r>
      <w:r w:rsidRPr="000B04F5">
        <w:rPr>
          <w:rFonts w:ascii="Arial" w:eastAsiaTheme="minorEastAsia" w:hAnsi="Arial" w:cs="Arial"/>
          <w:color w:val="000000"/>
          <w:kern w:val="0"/>
          <w:sz w:val="24"/>
          <w:szCs w:val="24"/>
          <w:lang w:eastAsia="en-GB"/>
          <w14:ligatures w14:val="none"/>
        </w:rPr>
        <w:t> [Preprint]. Available at: https://www.masterclass.com/articles/biodegradable-plastic-guide (Accessed: 08 July 2024). </w:t>
      </w:r>
    </w:p>
    <w:p w14:paraId="46DCDA76"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Greenpeace UK (2023) </w:t>
      </w:r>
      <w:r w:rsidRPr="000B04F5">
        <w:rPr>
          <w:rFonts w:ascii="Arial" w:eastAsiaTheme="minorEastAsia" w:hAnsi="Arial" w:cs="Arial"/>
          <w:i/>
          <w:iCs/>
          <w:color w:val="000000"/>
          <w:kern w:val="0"/>
          <w:sz w:val="24"/>
          <w:szCs w:val="24"/>
          <w:lang w:eastAsia="en-GB"/>
          <w14:ligatures w14:val="none"/>
        </w:rPr>
        <w:t>What is sustainability? A simple guide to a vital idea</w:t>
      </w:r>
      <w:r w:rsidRPr="000B04F5">
        <w:rPr>
          <w:rFonts w:ascii="Arial" w:eastAsiaTheme="minorEastAsia" w:hAnsi="Arial" w:cs="Arial"/>
          <w:color w:val="000000"/>
          <w:kern w:val="0"/>
          <w:sz w:val="24"/>
          <w:szCs w:val="24"/>
          <w:lang w:eastAsia="en-GB"/>
          <w14:ligatures w14:val="none"/>
        </w:rPr>
        <w:t>. Available at: https://www.greenpeace.org.uk/challenges/sustainability/ (Accessed: 21 June 2024). </w:t>
      </w:r>
    </w:p>
    <w:p w14:paraId="21B5B3D1"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Hadland, C. (2020) </w:t>
      </w:r>
      <w:r w:rsidRPr="000B04F5">
        <w:rPr>
          <w:rFonts w:ascii="Arial" w:eastAsiaTheme="minorEastAsia" w:hAnsi="Arial" w:cs="Arial"/>
          <w:i/>
          <w:iCs/>
          <w:color w:val="000000"/>
          <w:kern w:val="0"/>
          <w:sz w:val="24"/>
          <w:szCs w:val="24"/>
          <w:lang w:eastAsia="en-GB"/>
          <w14:ligatures w14:val="none"/>
        </w:rPr>
        <w:t xml:space="preserve">Creating an </w:t>
      </w:r>
      <w:proofErr w:type="gramStart"/>
      <w:r w:rsidRPr="000B04F5">
        <w:rPr>
          <w:rFonts w:ascii="Arial" w:eastAsiaTheme="minorEastAsia" w:hAnsi="Arial" w:cs="Arial"/>
          <w:i/>
          <w:iCs/>
          <w:color w:val="000000"/>
          <w:kern w:val="0"/>
          <w:sz w:val="24"/>
          <w:szCs w:val="24"/>
          <w:lang w:eastAsia="en-GB"/>
          <w14:ligatures w14:val="none"/>
        </w:rPr>
        <w:t>eco-friendly early years</w:t>
      </w:r>
      <w:proofErr w:type="gramEnd"/>
      <w:r w:rsidRPr="000B04F5">
        <w:rPr>
          <w:rFonts w:ascii="Arial" w:eastAsiaTheme="minorEastAsia" w:hAnsi="Arial" w:cs="Arial"/>
          <w:i/>
          <w:iCs/>
          <w:color w:val="000000"/>
          <w:kern w:val="0"/>
          <w:sz w:val="24"/>
          <w:szCs w:val="24"/>
          <w:lang w:eastAsia="en-GB"/>
          <w14:ligatures w14:val="none"/>
        </w:rPr>
        <w:t xml:space="preserve"> setting: A practical guide</w:t>
      </w:r>
      <w:r w:rsidRPr="000B04F5">
        <w:rPr>
          <w:rFonts w:ascii="Arial" w:eastAsiaTheme="minorEastAsia" w:hAnsi="Arial" w:cs="Arial"/>
          <w:color w:val="000000"/>
          <w:kern w:val="0"/>
          <w:sz w:val="24"/>
          <w:szCs w:val="24"/>
          <w:lang w:eastAsia="en-GB"/>
          <w14:ligatures w14:val="none"/>
        </w:rPr>
        <w:t>. Abingdon, Oxon: Routledge. </w:t>
      </w:r>
    </w:p>
    <w:p w14:paraId="52C00F53"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Hedefalk, M., Almqvist, J. and Östman, L. (2014) ‘Education for Sustainable Development in early childhood education: A review of the research literature’, </w:t>
      </w:r>
      <w:r w:rsidRPr="000B04F5">
        <w:rPr>
          <w:rFonts w:ascii="Arial" w:eastAsiaTheme="minorEastAsia" w:hAnsi="Arial" w:cs="Arial"/>
          <w:i/>
          <w:iCs/>
          <w:color w:val="000000"/>
          <w:kern w:val="0"/>
          <w:sz w:val="24"/>
          <w:szCs w:val="24"/>
          <w:lang w:eastAsia="en-GB"/>
          <w14:ligatures w14:val="none"/>
        </w:rPr>
        <w:t>Environmental Education Research</w:t>
      </w:r>
      <w:r w:rsidRPr="000B04F5">
        <w:rPr>
          <w:rFonts w:ascii="Arial" w:eastAsiaTheme="minorEastAsia" w:hAnsi="Arial" w:cs="Arial"/>
          <w:color w:val="000000"/>
          <w:kern w:val="0"/>
          <w:sz w:val="24"/>
          <w:szCs w:val="24"/>
          <w:lang w:eastAsia="en-GB"/>
          <w14:ligatures w14:val="none"/>
        </w:rPr>
        <w:t>, 21(7), pp. 975–990. doi:10.1080/13504622.2014.971716. </w:t>
      </w:r>
    </w:p>
    <w:p w14:paraId="2D18B80C"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Hirst, N. (2018) ‘Education for sustainability within early childhood studies: Collaboration and inquiry through projects with children’, </w:t>
      </w:r>
      <w:r w:rsidRPr="000B04F5">
        <w:rPr>
          <w:rFonts w:ascii="Arial" w:eastAsiaTheme="minorEastAsia" w:hAnsi="Arial" w:cs="Arial"/>
          <w:i/>
          <w:iCs/>
          <w:color w:val="000000"/>
          <w:kern w:val="0"/>
          <w:sz w:val="24"/>
          <w:szCs w:val="24"/>
          <w:lang w:eastAsia="en-GB"/>
          <w14:ligatures w14:val="none"/>
        </w:rPr>
        <w:t>Education 3-13</w:t>
      </w:r>
      <w:r w:rsidRPr="000B04F5">
        <w:rPr>
          <w:rFonts w:ascii="Arial" w:eastAsiaTheme="minorEastAsia" w:hAnsi="Arial" w:cs="Arial"/>
          <w:color w:val="000000"/>
          <w:kern w:val="0"/>
          <w:sz w:val="24"/>
          <w:szCs w:val="24"/>
          <w:lang w:eastAsia="en-GB"/>
          <w14:ligatures w14:val="none"/>
        </w:rPr>
        <w:t>, 47(2), pp. 233–246. doi:10.1080/03004279.2018.1430843. </w:t>
      </w:r>
    </w:p>
    <w:p w14:paraId="2859767C"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John Muir Trust (2019) </w:t>
      </w:r>
      <w:r w:rsidRPr="000B04F5">
        <w:rPr>
          <w:rFonts w:ascii="Arial" w:eastAsiaTheme="minorEastAsia" w:hAnsi="Arial" w:cs="Arial"/>
          <w:i/>
          <w:iCs/>
          <w:color w:val="000000"/>
          <w:kern w:val="0"/>
          <w:sz w:val="24"/>
          <w:szCs w:val="24"/>
          <w:lang w:eastAsia="en-GB"/>
          <w14:ligatures w14:val="none"/>
        </w:rPr>
        <w:t>John Muir Award Information Handbook</w:t>
      </w:r>
      <w:r w:rsidRPr="000B04F5">
        <w:rPr>
          <w:rFonts w:ascii="Arial" w:eastAsiaTheme="minorEastAsia" w:hAnsi="Arial" w:cs="Arial"/>
          <w:color w:val="000000"/>
          <w:kern w:val="0"/>
          <w:sz w:val="24"/>
          <w:szCs w:val="24"/>
          <w:lang w:eastAsia="en-GB"/>
          <w14:ligatures w14:val="none"/>
        </w:rPr>
        <w:t>. Available at: https://www.johnmuirtrust.org/assets/000/000/908/JMA_Info_HB_2019_with_links_original_original.pdf (Accessed: 11 June 2024). </w:t>
      </w:r>
    </w:p>
    <w:p w14:paraId="0B232986"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lastRenderedPageBreak/>
        <w:t>Johnson, J. and Watts, A. (2019) </w:t>
      </w:r>
      <w:r w:rsidRPr="000B04F5">
        <w:rPr>
          <w:rFonts w:ascii="Arial" w:eastAsiaTheme="minorEastAsia" w:hAnsi="Arial" w:cs="Arial"/>
          <w:i/>
          <w:iCs/>
          <w:color w:val="000000"/>
          <w:kern w:val="0"/>
          <w:sz w:val="24"/>
          <w:szCs w:val="24"/>
          <w:lang w:eastAsia="en-GB"/>
          <w14:ligatures w14:val="none"/>
        </w:rPr>
        <w:t>Developing creativity and curiosity outdoors: How to extend creative learning in the early years</w:t>
      </w:r>
      <w:r w:rsidRPr="000B04F5">
        <w:rPr>
          <w:rFonts w:ascii="Arial" w:eastAsiaTheme="minorEastAsia" w:hAnsi="Arial" w:cs="Arial"/>
          <w:color w:val="000000"/>
          <w:kern w:val="0"/>
          <w:sz w:val="24"/>
          <w:szCs w:val="24"/>
          <w:lang w:eastAsia="en-GB"/>
          <w14:ligatures w14:val="none"/>
        </w:rPr>
        <w:t>. Abingdon, Oxon: Routledge. </w:t>
      </w:r>
    </w:p>
    <w:p w14:paraId="5EFCAF2D"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Keeling, D.M. and Lehman, M.N. (2018) ‘Posthumanism’, </w:t>
      </w:r>
      <w:r w:rsidRPr="000B04F5">
        <w:rPr>
          <w:rFonts w:ascii="Arial" w:eastAsiaTheme="minorEastAsia" w:hAnsi="Arial" w:cs="Arial"/>
          <w:i/>
          <w:iCs/>
          <w:color w:val="000000"/>
          <w:kern w:val="0"/>
          <w:sz w:val="24"/>
          <w:szCs w:val="24"/>
          <w:lang w:eastAsia="en-GB"/>
          <w14:ligatures w14:val="none"/>
        </w:rPr>
        <w:t xml:space="preserve">Oxford Research </w:t>
      </w:r>
      <w:proofErr w:type="spellStart"/>
      <w:r w:rsidRPr="000B04F5">
        <w:rPr>
          <w:rFonts w:ascii="Arial" w:eastAsiaTheme="minorEastAsia" w:hAnsi="Arial" w:cs="Arial"/>
          <w:i/>
          <w:iCs/>
          <w:color w:val="000000"/>
          <w:kern w:val="0"/>
          <w:sz w:val="24"/>
          <w:szCs w:val="24"/>
          <w:lang w:eastAsia="en-GB"/>
          <w14:ligatures w14:val="none"/>
        </w:rPr>
        <w:t>Encyclopedia</w:t>
      </w:r>
      <w:proofErr w:type="spellEnd"/>
      <w:r w:rsidRPr="000B04F5">
        <w:rPr>
          <w:rFonts w:ascii="Arial" w:eastAsiaTheme="minorEastAsia" w:hAnsi="Arial" w:cs="Arial"/>
          <w:i/>
          <w:iCs/>
          <w:color w:val="000000"/>
          <w:kern w:val="0"/>
          <w:sz w:val="24"/>
          <w:szCs w:val="24"/>
          <w:lang w:eastAsia="en-GB"/>
          <w14:ligatures w14:val="none"/>
        </w:rPr>
        <w:t xml:space="preserve"> of Communication</w:t>
      </w:r>
      <w:r w:rsidRPr="000B04F5">
        <w:rPr>
          <w:rFonts w:ascii="Arial" w:eastAsiaTheme="minorEastAsia" w:hAnsi="Arial" w:cs="Arial"/>
          <w:color w:val="000000"/>
          <w:kern w:val="0"/>
          <w:sz w:val="24"/>
          <w:szCs w:val="24"/>
          <w:lang w:eastAsia="en-GB"/>
          <w14:ligatures w14:val="none"/>
        </w:rPr>
        <w:t> [Preprint]. doi:10.1093/</w:t>
      </w:r>
      <w:proofErr w:type="spellStart"/>
      <w:r w:rsidRPr="000B04F5">
        <w:rPr>
          <w:rFonts w:ascii="Arial" w:eastAsiaTheme="minorEastAsia" w:hAnsi="Arial" w:cs="Arial"/>
          <w:color w:val="000000"/>
          <w:kern w:val="0"/>
          <w:sz w:val="24"/>
          <w:szCs w:val="24"/>
          <w:lang w:eastAsia="en-GB"/>
          <w14:ligatures w14:val="none"/>
        </w:rPr>
        <w:t>acrefore</w:t>
      </w:r>
      <w:proofErr w:type="spellEnd"/>
      <w:r w:rsidRPr="000B04F5">
        <w:rPr>
          <w:rFonts w:ascii="Arial" w:eastAsiaTheme="minorEastAsia" w:hAnsi="Arial" w:cs="Arial"/>
          <w:color w:val="000000"/>
          <w:kern w:val="0"/>
          <w:sz w:val="24"/>
          <w:szCs w:val="24"/>
          <w:lang w:eastAsia="en-GB"/>
          <w14:ligatures w14:val="none"/>
        </w:rPr>
        <w:t>/9780190228613.013.627. </w:t>
      </w:r>
    </w:p>
    <w:p w14:paraId="1ED945B7"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King, J. (2021) </w:t>
      </w:r>
      <w:r w:rsidRPr="000B04F5">
        <w:rPr>
          <w:rFonts w:ascii="Arial" w:eastAsiaTheme="minorEastAsia" w:hAnsi="Arial" w:cs="Arial"/>
          <w:i/>
          <w:iCs/>
          <w:color w:val="000000"/>
          <w:kern w:val="0"/>
          <w:sz w:val="24"/>
          <w:szCs w:val="24"/>
          <w:lang w:eastAsia="en-GB"/>
          <w14:ligatures w14:val="none"/>
        </w:rPr>
        <w:t>How we’re supporting practitioners to embed sustainability into early years</w:t>
      </w:r>
      <w:r w:rsidRPr="000B04F5">
        <w:rPr>
          <w:rFonts w:ascii="Arial" w:eastAsiaTheme="minorEastAsia" w:hAnsi="Arial" w:cs="Arial"/>
          <w:color w:val="000000"/>
          <w:kern w:val="0"/>
          <w:sz w:val="24"/>
          <w:szCs w:val="24"/>
          <w:lang w:eastAsia="en-GB"/>
          <w14:ligatures w14:val="none"/>
        </w:rPr>
        <w:t>, </w:t>
      </w:r>
      <w:r w:rsidRPr="000B04F5">
        <w:rPr>
          <w:rFonts w:ascii="Arial" w:eastAsiaTheme="minorEastAsia" w:hAnsi="Arial" w:cs="Arial"/>
          <w:i/>
          <w:iCs/>
          <w:color w:val="000000"/>
          <w:kern w:val="0"/>
          <w:sz w:val="24"/>
          <w:szCs w:val="24"/>
          <w:lang w:eastAsia="en-GB"/>
          <w14:ligatures w14:val="none"/>
        </w:rPr>
        <w:t>NCFE</w:t>
      </w:r>
      <w:r w:rsidRPr="000B04F5">
        <w:rPr>
          <w:rFonts w:ascii="Arial" w:eastAsiaTheme="minorEastAsia" w:hAnsi="Arial" w:cs="Arial"/>
          <w:color w:val="000000"/>
          <w:kern w:val="0"/>
          <w:sz w:val="24"/>
          <w:szCs w:val="24"/>
          <w:lang w:eastAsia="en-GB"/>
          <w14:ligatures w14:val="none"/>
        </w:rPr>
        <w:t>. Available at: https://www.ncfe.org.uk/all-articles/supporting-practitioners-embed-sustainability-early-years/ (Accessed: 03 July 2024). </w:t>
      </w:r>
    </w:p>
    <w:p w14:paraId="10543455"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MacDonald, M. (2015) ‘Early childhood education and sustainability: A living curriculum’, </w:t>
      </w:r>
      <w:r w:rsidRPr="000B04F5">
        <w:rPr>
          <w:rFonts w:ascii="Arial" w:eastAsiaTheme="minorEastAsia" w:hAnsi="Arial" w:cs="Arial"/>
          <w:i/>
          <w:iCs/>
          <w:color w:val="000000"/>
          <w:kern w:val="0"/>
          <w:sz w:val="24"/>
          <w:szCs w:val="24"/>
          <w:lang w:eastAsia="en-GB"/>
          <w14:ligatures w14:val="none"/>
        </w:rPr>
        <w:t>Childhood Education</w:t>
      </w:r>
      <w:r w:rsidRPr="000B04F5">
        <w:rPr>
          <w:rFonts w:ascii="Arial" w:eastAsiaTheme="minorEastAsia" w:hAnsi="Arial" w:cs="Arial"/>
          <w:color w:val="000000"/>
          <w:kern w:val="0"/>
          <w:sz w:val="24"/>
          <w:szCs w:val="24"/>
          <w:lang w:eastAsia="en-GB"/>
          <w14:ligatures w14:val="none"/>
        </w:rPr>
        <w:t>, 91(5), pp. 332–341. doi:10.1080/00094056.2015.1090845. </w:t>
      </w:r>
    </w:p>
    <w:p w14:paraId="096852DC"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Murphy, A. and Waters-Davies, J. (2022) ‘The children’s rights approach to early childhood education Policy and context in Wales’, in </w:t>
      </w:r>
      <w:r w:rsidRPr="000B04F5">
        <w:rPr>
          <w:rFonts w:ascii="Arial" w:eastAsiaTheme="minorEastAsia" w:hAnsi="Arial" w:cs="Arial"/>
          <w:i/>
          <w:iCs/>
          <w:color w:val="000000"/>
          <w:kern w:val="0"/>
          <w:sz w:val="24"/>
          <w:szCs w:val="24"/>
          <w:lang w:eastAsia="en-GB"/>
          <w14:ligatures w14:val="none"/>
        </w:rPr>
        <w:t>Inclusive Pedagogies for Early Childhood Education</w:t>
      </w:r>
      <w:r w:rsidRPr="000B04F5">
        <w:rPr>
          <w:rFonts w:ascii="Arial" w:eastAsiaTheme="minorEastAsia" w:hAnsi="Arial" w:cs="Arial"/>
          <w:color w:val="000000"/>
          <w:kern w:val="0"/>
          <w:sz w:val="24"/>
          <w:szCs w:val="24"/>
          <w:lang w:eastAsia="en-GB"/>
          <w14:ligatures w14:val="none"/>
        </w:rPr>
        <w:t>. 1st edn. Oxfordshire, UK: Routledge. </w:t>
      </w:r>
    </w:p>
    <w:p w14:paraId="023F7B52"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Olivos-Jara, P. </w:t>
      </w:r>
      <w:r w:rsidRPr="000B04F5">
        <w:rPr>
          <w:rFonts w:ascii="Arial" w:eastAsiaTheme="minorEastAsia" w:hAnsi="Arial" w:cs="Arial"/>
          <w:i/>
          <w:iCs/>
          <w:color w:val="000000"/>
          <w:kern w:val="0"/>
          <w:sz w:val="24"/>
          <w:szCs w:val="24"/>
          <w:lang w:eastAsia="en-GB"/>
          <w14:ligatures w14:val="none"/>
        </w:rPr>
        <w:t>et al.</w:t>
      </w:r>
      <w:r w:rsidRPr="000B04F5">
        <w:rPr>
          <w:rFonts w:ascii="Arial" w:eastAsiaTheme="minorEastAsia" w:hAnsi="Arial" w:cs="Arial"/>
          <w:color w:val="000000"/>
          <w:kern w:val="0"/>
          <w:sz w:val="24"/>
          <w:szCs w:val="24"/>
          <w:lang w:eastAsia="en-GB"/>
          <w14:ligatures w14:val="none"/>
        </w:rPr>
        <w:t xml:space="preserve"> (2020) ‘Biophilia and </w:t>
      </w:r>
      <w:proofErr w:type="spellStart"/>
      <w:r w:rsidRPr="000B04F5">
        <w:rPr>
          <w:rFonts w:ascii="Arial" w:eastAsiaTheme="minorEastAsia" w:hAnsi="Arial" w:cs="Arial"/>
          <w:color w:val="000000"/>
          <w:kern w:val="0"/>
          <w:sz w:val="24"/>
          <w:szCs w:val="24"/>
          <w:lang w:eastAsia="en-GB"/>
          <w14:ligatures w14:val="none"/>
        </w:rPr>
        <w:t>biophobia</w:t>
      </w:r>
      <w:proofErr w:type="spellEnd"/>
      <w:r w:rsidRPr="000B04F5">
        <w:rPr>
          <w:rFonts w:ascii="Arial" w:eastAsiaTheme="minorEastAsia" w:hAnsi="Arial" w:cs="Arial"/>
          <w:color w:val="000000"/>
          <w:kern w:val="0"/>
          <w:sz w:val="24"/>
          <w:szCs w:val="24"/>
          <w:lang w:eastAsia="en-GB"/>
          <w14:ligatures w14:val="none"/>
        </w:rPr>
        <w:t xml:space="preserve"> as emotional attribution to nature in children of 5 years old’, </w:t>
      </w:r>
      <w:r w:rsidRPr="000B04F5">
        <w:rPr>
          <w:rFonts w:ascii="Arial" w:eastAsiaTheme="minorEastAsia" w:hAnsi="Arial" w:cs="Arial"/>
          <w:i/>
          <w:iCs/>
          <w:color w:val="000000"/>
          <w:kern w:val="0"/>
          <w:sz w:val="24"/>
          <w:szCs w:val="24"/>
          <w:lang w:eastAsia="en-GB"/>
          <w14:ligatures w14:val="none"/>
        </w:rPr>
        <w:t>Frontiers in Psychology</w:t>
      </w:r>
      <w:r w:rsidRPr="000B04F5">
        <w:rPr>
          <w:rFonts w:ascii="Arial" w:eastAsiaTheme="minorEastAsia" w:hAnsi="Arial" w:cs="Arial"/>
          <w:color w:val="000000"/>
          <w:kern w:val="0"/>
          <w:sz w:val="24"/>
          <w:szCs w:val="24"/>
          <w:lang w:eastAsia="en-GB"/>
          <w14:ligatures w14:val="none"/>
        </w:rPr>
        <w:t>, 11. doi:10.3389/fpsyg.2020.00511. </w:t>
      </w:r>
    </w:p>
    <w:p w14:paraId="586AB182"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Oxfam GB (2024) </w:t>
      </w:r>
      <w:r w:rsidRPr="000B04F5">
        <w:rPr>
          <w:rFonts w:ascii="Arial" w:eastAsiaTheme="minorEastAsia" w:hAnsi="Arial" w:cs="Arial"/>
          <w:i/>
          <w:iCs/>
          <w:color w:val="000000"/>
          <w:kern w:val="0"/>
          <w:sz w:val="24"/>
          <w:szCs w:val="24"/>
          <w:lang w:eastAsia="en-GB"/>
          <w14:ligatures w14:val="none"/>
        </w:rPr>
        <w:t>What is global citizenship?</w:t>
      </w:r>
      <w:r w:rsidRPr="000B04F5">
        <w:rPr>
          <w:rFonts w:ascii="Arial" w:eastAsiaTheme="minorEastAsia" w:hAnsi="Arial" w:cs="Arial"/>
          <w:color w:val="000000"/>
          <w:kern w:val="0"/>
          <w:sz w:val="24"/>
          <w:szCs w:val="24"/>
          <w:lang w:eastAsia="en-GB"/>
          <w14:ligatures w14:val="none"/>
        </w:rPr>
        <w:t> Available at: https://www.oxfam.org.uk/education/who-we-are/what-is-global-citizenship/ (Accessed: 21 June 2024). </w:t>
      </w:r>
    </w:p>
    <w:p w14:paraId="1028B554"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Patel, V. </w:t>
      </w:r>
      <w:r w:rsidRPr="000B04F5">
        <w:rPr>
          <w:rFonts w:ascii="Arial" w:eastAsiaTheme="minorEastAsia" w:hAnsi="Arial" w:cs="Arial"/>
          <w:i/>
          <w:iCs/>
          <w:color w:val="000000"/>
          <w:kern w:val="0"/>
          <w:sz w:val="24"/>
          <w:szCs w:val="24"/>
          <w:lang w:eastAsia="en-GB"/>
          <w14:ligatures w14:val="none"/>
        </w:rPr>
        <w:t>et al.</w:t>
      </w:r>
      <w:r w:rsidRPr="000B04F5">
        <w:rPr>
          <w:rFonts w:ascii="Arial" w:eastAsiaTheme="minorEastAsia" w:hAnsi="Arial" w:cs="Arial"/>
          <w:color w:val="000000"/>
          <w:kern w:val="0"/>
          <w:sz w:val="24"/>
          <w:szCs w:val="24"/>
          <w:lang w:eastAsia="en-GB"/>
          <w14:ligatures w14:val="none"/>
        </w:rPr>
        <w:t> (2020) ‘Why bees are critical for achieving sustainable development’, </w:t>
      </w:r>
      <w:proofErr w:type="spellStart"/>
      <w:r w:rsidRPr="000B04F5">
        <w:rPr>
          <w:rFonts w:ascii="Arial" w:eastAsiaTheme="minorEastAsia" w:hAnsi="Arial" w:cs="Arial"/>
          <w:i/>
          <w:iCs/>
          <w:color w:val="000000"/>
          <w:kern w:val="0"/>
          <w:sz w:val="24"/>
          <w:szCs w:val="24"/>
          <w:lang w:eastAsia="en-GB"/>
          <w14:ligatures w14:val="none"/>
        </w:rPr>
        <w:t>Ambio</w:t>
      </w:r>
      <w:proofErr w:type="spellEnd"/>
      <w:r w:rsidRPr="000B04F5">
        <w:rPr>
          <w:rFonts w:ascii="Arial" w:eastAsiaTheme="minorEastAsia" w:hAnsi="Arial" w:cs="Arial"/>
          <w:color w:val="000000"/>
          <w:kern w:val="0"/>
          <w:sz w:val="24"/>
          <w:szCs w:val="24"/>
          <w:lang w:eastAsia="en-GB"/>
          <w14:ligatures w14:val="none"/>
        </w:rPr>
        <w:t>, 50(1), pp. 49–59. doi:10.1007/s13280-020-01333-9. </w:t>
      </w:r>
    </w:p>
    <w:p w14:paraId="04C10D9E"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Pauw, J. </w:t>
      </w:r>
      <w:r w:rsidRPr="000B04F5">
        <w:rPr>
          <w:rFonts w:ascii="Arial" w:eastAsiaTheme="minorEastAsia" w:hAnsi="Arial" w:cs="Arial"/>
          <w:i/>
          <w:iCs/>
          <w:color w:val="000000"/>
          <w:kern w:val="0"/>
          <w:sz w:val="24"/>
          <w:szCs w:val="24"/>
          <w:lang w:eastAsia="en-GB"/>
          <w14:ligatures w14:val="none"/>
        </w:rPr>
        <w:t>et al.</w:t>
      </w:r>
      <w:r w:rsidRPr="000B04F5">
        <w:rPr>
          <w:rFonts w:ascii="Arial" w:eastAsiaTheme="minorEastAsia" w:hAnsi="Arial" w:cs="Arial"/>
          <w:color w:val="000000"/>
          <w:kern w:val="0"/>
          <w:sz w:val="24"/>
          <w:szCs w:val="24"/>
          <w:lang w:eastAsia="en-GB"/>
          <w14:ligatures w14:val="none"/>
        </w:rPr>
        <w:t> (2015) ‘The effectiveness of education for Sustainable Development’, </w:t>
      </w:r>
      <w:r w:rsidRPr="000B04F5">
        <w:rPr>
          <w:rFonts w:ascii="Arial" w:eastAsiaTheme="minorEastAsia" w:hAnsi="Arial" w:cs="Arial"/>
          <w:i/>
          <w:iCs/>
          <w:color w:val="000000"/>
          <w:kern w:val="0"/>
          <w:sz w:val="24"/>
          <w:szCs w:val="24"/>
          <w:lang w:eastAsia="en-GB"/>
          <w14:ligatures w14:val="none"/>
        </w:rPr>
        <w:t>Sustainability</w:t>
      </w:r>
      <w:r w:rsidRPr="000B04F5">
        <w:rPr>
          <w:rFonts w:ascii="Arial" w:eastAsiaTheme="minorEastAsia" w:hAnsi="Arial" w:cs="Arial"/>
          <w:color w:val="000000"/>
          <w:kern w:val="0"/>
          <w:sz w:val="24"/>
          <w:szCs w:val="24"/>
          <w:lang w:eastAsia="en-GB"/>
          <w14:ligatures w14:val="none"/>
        </w:rPr>
        <w:t>, 7(11), pp. 15693–15717. doi:10.3390/su71115693. </w:t>
      </w:r>
    </w:p>
    <w:p w14:paraId="7D341F6A"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lastRenderedPageBreak/>
        <w:t>Purvis, B., Mao, Y. and Robinson, D. (2018) ‘Three pillars of sustainability: In Search of Conceptual Origins’, </w:t>
      </w:r>
      <w:r w:rsidRPr="000B04F5">
        <w:rPr>
          <w:rFonts w:ascii="Arial" w:eastAsiaTheme="minorEastAsia" w:hAnsi="Arial" w:cs="Arial"/>
          <w:i/>
          <w:iCs/>
          <w:color w:val="000000"/>
          <w:kern w:val="0"/>
          <w:sz w:val="24"/>
          <w:szCs w:val="24"/>
          <w:lang w:eastAsia="en-GB"/>
          <w14:ligatures w14:val="none"/>
        </w:rPr>
        <w:t>Sustainability Science</w:t>
      </w:r>
      <w:r w:rsidRPr="000B04F5">
        <w:rPr>
          <w:rFonts w:ascii="Arial" w:eastAsiaTheme="minorEastAsia" w:hAnsi="Arial" w:cs="Arial"/>
          <w:color w:val="000000"/>
          <w:kern w:val="0"/>
          <w:sz w:val="24"/>
          <w:szCs w:val="24"/>
          <w:lang w:eastAsia="en-GB"/>
          <w14:ligatures w14:val="none"/>
        </w:rPr>
        <w:t>, 14(3), pp. 681–695. doi:10.1007/s11625-018-0627-5. </w:t>
      </w:r>
    </w:p>
    <w:p w14:paraId="53A62E7A"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Ritchie, J. (2018) ‘A fantastical journey: Re-imagining Te Whāriki’, </w:t>
      </w:r>
      <w:r w:rsidRPr="000B04F5">
        <w:rPr>
          <w:rFonts w:ascii="Arial" w:eastAsiaTheme="minorEastAsia" w:hAnsi="Arial" w:cs="Arial"/>
          <w:i/>
          <w:iCs/>
          <w:color w:val="000000"/>
          <w:kern w:val="0"/>
          <w:sz w:val="24"/>
          <w:szCs w:val="24"/>
          <w:lang w:eastAsia="en-GB"/>
          <w14:ligatures w14:val="none"/>
        </w:rPr>
        <w:t>Early Childhood Folio</w:t>
      </w:r>
      <w:r w:rsidRPr="000B04F5">
        <w:rPr>
          <w:rFonts w:ascii="Arial" w:eastAsiaTheme="minorEastAsia" w:hAnsi="Arial" w:cs="Arial"/>
          <w:color w:val="000000"/>
          <w:kern w:val="0"/>
          <w:sz w:val="24"/>
          <w:szCs w:val="24"/>
          <w:lang w:eastAsia="en-GB"/>
          <w14:ligatures w14:val="none"/>
        </w:rPr>
        <w:t>, 22(1), p. 9. doi:10.18296/ecf.0046. </w:t>
      </w:r>
    </w:p>
    <w:p w14:paraId="2951D9A9"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Ritchie, J. (2021) ‘Sustainability Education in early childhood education’, </w:t>
      </w:r>
      <w:r w:rsidRPr="000B04F5">
        <w:rPr>
          <w:rFonts w:ascii="Arial" w:eastAsiaTheme="minorEastAsia" w:hAnsi="Arial" w:cs="Arial"/>
          <w:i/>
          <w:iCs/>
          <w:color w:val="000000"/>
          <w:kern w:val="0"/>
          <w:sz w:val="24"/>
          <w:szCs w:val="24"/>
          <w:lang w:eastAsia="en-GB"/>
          <w14:ligatures w14:val="none"/>
        </w:rPr>
        <w:t>Education</w:t>
      </w:r>
      <w:r w:rsidRPr="000B04F5">
        <w:rPr>
          <w:rFonts w:ascii="Arial" w:eastAsiaTheme="minorEastAsia" w:hAnsi="Arial" w:cs="Arial"/>
          <w:color w:val="000000"/>
          <w:kern w:val="0"/>
          <w:sz w:val="24"/>
          <w:szCs w:val="24"/>
          <w:lang w:eastAsia="en-GB"/>
          <w14:ligatures w14:val="none"/>
        </w:rPr>
        <w:t> [Preprint]. doi:10.1093/obo/9780199756810-0275. </w:t>
      </w:r>
    </w:p>
    <w:p w14:paraId="4417EBFB"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Samuelsson, I.P. and Park, E. (2017) ‘How to educate children for sustainable learning and for a sustainable world’, </w:t>
      </w:r>
      <w:r w:rsidRPr="000B04F5">
        <w:rPr>
          <w:rFonts w:ascii="Arial" w:eastAsiaTheme="minorEastAsia" w:hAnsi="Arial" w:cs="Arial"/>
          <w:i/>
          <w:iCs/>
          <w:color w:val="000000"/>
          <w:kern w:val="0"/>
          <w:sz w:val="24"/>
          <w:szCs w:val="24"/>
          <w:lang w:eastAsia="en-GB"/>
          <w14:ligatures w14:val="none"/>
        </w:rPr>
        <w:t>International Journal of Early Childhood</w:t>
      </w:r>
      <w:r w:rsidRPr="000B04F5">
        <w:rPr>
          <w:rFonts w:ascii="Arial" w:eastAsiaTheme="minorEastAsia" w:hAnsi="Arial" w:cs="Arial"/>
          <w:color w:val="000000"/>
          <w:kern w:val="0"/>
          <w:sz w:val="24"/>
          <w:szCs w:val="24"/>
          <w:lang w:eastAsia="en-GB"/>
          <w14:ligatures w14:val="none"/>
        </w:rPr>
        <w:t>, 49(3), pp. 273–285. doi:10.1007/s13158-017-0197-1. </w:t>
      </w:r>
    </w:p>
    <w:p w14:paraId="64C4CFE0"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Seeley, C. (2024) </w:t>
      </w:r>
      <w:r w:rsidRPr="000B04F5">
        <w:rPr>
          <w:rFonts w:ascii="Arial" w:eastAsiaTheme="minorEastAsia" w:hAnsi="Arial" w:cs="Arial"/>
          <w:i/>
          <w:iCs/>
          <w:color w:val="000000"/>
          <w:kern w:val="0"/>
          <w:sz w:val="24"/>
          <w:szCs w:val="24"/>
          <w:lang w:eastAsia="en-GB"/>
          <w14:ligatures w14:val="none"/>
        </w:rPr>
        <w:t>How to teach children about climate change</w:t>
      </w:r>
      <w:r w:rsidRPr="000B04F5">
        <w:rPr>
          <w:rFonts w:ascii="Arial" w:eastAsiaTheme="minorEastAsia" w:hAnsi="Arial" w:cs="Arial"/>
          <w:color w:val="000000"/>
          <w:kern w:val="0"/>
          <w:sz w:val="24"/>
          <w:szCs w:val="24"/>
          <w:lang w:eastAsia="en-GB"/>
          <w14:ligatures w14:val="none"/>
        </w:rPr>
        <w:t>, </w:t>
      </w:r>
      <w:r w:rsidRPr="000B04F5">
        <w:rPr>
          <w:rFonts w:ascii="Arial" w:eastAsiaTheme="minorEastAsia" w:hAnsi="Arial" w:cs="Arial"/>
          <w:i/>
          <w:iCs/>
          <w:color w:val="000000"/>
          <w:kern w:val="0"/>
          <w:sz w:val="24"/>
          <w:szCs w:val="24"/>
          <w:lang w:eastAsia="en-GB"/>
          <w14:ligatures w14:val="none"/>
        </w:rPr>
        <w:t>BBC Teach</w:t>
      </w:r>
      <w:r w:rsidRPr="000B04F5">
        <w:rPr>
          <w:rFonts w:ascii="Arial" w:eastAsiaTheme="minorEastAsia" w:hAnsi="Arial" w:cs="Arial"/>
          <w:color w:val="000000"/>
          <w:kern w:val="0"/>
          <w:sz w:val="24"/>
          <w:szCs w:val="24"/>
          <w:lang w:eastAsia="en-GB"/>
          <w14:ligatures w14:val="none"/>
        </w:rPr>
        <w:t>. Available at: https://www.bbc.co.uk/teach/teacher-support/articles/zs3gbqt (Accessed: 03 July 2024). </w:t>
      </w:r>
    </w:p>
    <w:p w14:paraId="6D67C074"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proofErr w:type="gramStart"/>
      <w:r w:rsidRPr="000B04F5">
        <w:rPr>
          <w:rFonts w:ascii="Arial" w:eastAsiaTheme="minorEastAsia" w:hAnsi="Arial" w:cs="Arial"/>
          <w:color w:val="000000"/>
          <w:kern w:val="0"/>
          <w:sz w:val="24"/>
          <w:szCs w:val="24"/>
          <w:lang w:eastAsia="en-GB"/>
          <w14:ligatures w14:val="none"/>
        </w:rPr>
        <w:t>Sele ,</w:t>
      </w:r>
      <w:proofErr w:type="gramEnd"/>
      <w:r w:rsidRPr="000B04F5">
        <w:rPr>
          <w:rFonts w:ascii="Arial" w:eastAsiaTheme="minorEastAsia" w:hAnsi="Arial" w:cs="Arial"/>
          <w:color w:val="000000"/>
          <w:kern w:val="0"/>
          <w:sz w:val="24"/>
          <w:szCs w:val="24"/>
          <w:lang w:eastAsia="en-GB"/>
          <w14:ligatures w14:val="none"/>
        </w:rPr>
        <w:t xml:space="preserve"> E.A. (2021) </w:t>
      </w:r>
      <w:r w:rsidRPr="000B04F5">
        <w:rPr>
          <w:rFonts w:ascii="Arial" w:eastAsiaTheme="minorEastAsia" w:hAnsi="Arial" w:cs="Arial"/>
          <w:i/>
          <w:iCs/>
          <w:color w:val="000000"/>
          <w:kern w:val="0"/>
          <w:sz w:val="24"/>
          <w:szCs w:val="24"/>
          <w:lang w:eastAsia="en-GB"/>
          <w14:ligatures w14:val="none"/>
        </w:rPr>
        <w:t>Sustainability</w:t>
      </w:r>
      <w:r w:rsidRPr="000B04F5">
        <w:rPr>
          <w:rFonts w:ascii="Arial" w:eastAsiaTheme="minorEastAsia" w:hAnsi="Arial" w:cs="Arial"/>
          <w:color w:val="000000"/>
          <w:kern w:val="0"/>
          <w:sz w:val="24"/>
          <w:szCs w:val="24"/>
          <w:lang w:eastAsia="en-GB"/>
          <w14:ligatures w14:val="none"/>
        </w:rPr>
        <w:t>, </w:t>
      </w:r>
      <w:r w:rsidRPr="000B04F5">
        <w:rPr>
          <w:rFonts w:ascii="Arial" w:eastAsiaTheme="minorEastAsia" w:hAnsi="Arial" w:cs="Arial"/>
          <w:i/>
          <w:iCs/>
          <w:color w:val="000000"/>
          <w:kern w:val="0"/>
          <w:sz w:val="24"/>
          <w:szCs w:val="24"/>
          <w:lang w:eastAsia="en-GB"/>
          <w14:ligatures w14:val="none"/>
        </w:rPr>
        <w:t>The Waldorf School of Garden City</w:t>
      </w:r>
      <w:r w:rsidRPr="000B04F5">
        <w:rPr>
          <w:rFonts w:ascii="Arial" w:eastAsiaTheme="minorEastAsia" w:hAnsi="Arial" w:cs="Arial"/>
          <w:color w:val="000000"/>
          <w:kern w:val="0"/>
          <w:sz w:val="24"/>
          <w:szCs w:val="24"/>
          <w:lang w:eastAsia="en-GB"/>
          <w14:ligatures w14:val="none"/>
        </w:rPr>
        <w:t>. Available at: https://www.waldorfgarden.org/signature-programs/sustainability/ (Accessed: 21 June 2024). </w:t>
      </w:r>
    </w:p>
    <w:p w14:paraId="404F1A8D"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Stafford-Smith, M. </w:t>
      </w:r>
      <w:r w:rsidRPr="000B04F5">
        <w:rPr>
          <w:rFonts w:ascii="Arial" w:eastAsiaTheme="minorEastAsia" w:hAnsi="Arial" w:cs="Arial"/>
          <w:i/>
          <w:iCs/>
          <w:color w:val="000000"/>
          <w:kern w:val="0"/>
          <w:sz w:val="24"/>
          <w:szCs w:val="24"/>
          <w:lang w:eastAsia="en-GB"/>
          <w14:ligatures w14:val="none"/>
        </w:rPr>
        <w:t>et al.</w:t>
      </w:r>
      <w:r w:rsidRPr="000B04F5">
        <w:rPr>
          <w:rFonts w:ascii="Arial" w:eastAsiaTheme="minorEastAsia" w:hAnsi="Arial" w:cs="Arial"/>
          <w:color w:val="000000"/>
          <w:kern w:val="0"/>
          <w:sz w:val="24"/>
          <w:szCs w:val="24"/>
          <w:lang w:eastAsia="en-GB"/>
          <w14:ligatures w14:val="none"/>
        </w:rPr>
        <w:t> (2016) </w:t>
      </w:r>
      <w:r w:rsidRPr="000B04F5">
        <w:rPr>
          <w:rFonts w:ascii="Arial" w:eastAsiaTheme="minorEastAsia" w:hAnsi="Arial" w:cs="Arial"/>
          <w:i/>
          <w:iCs/>
          <w:color w:val="000000"/>
          <w:kern w:val="0"/>
          <w:sz w:val="24"/>
          <w:szCs w:val="24"/>
          <w:lang w:eastAsia="en-GB"/>
          <w14:ligatures w14:val="none"/>
        </w:rPr>
        <w:t>Integration: The key to implementing the sustainable development goals - sustainability science</w:t>
      </w:r>
      <w:r w:rsidRPr="000B04F5">
        <w:rPr>
          <w:rFonts w:ascii="Arial" w:eastAsiaTheme="minorEastAsia" w:hAnsi="Arial" w:cs="Arial"/>
          <w:color w:val="000000"/>
          <w:kern w:val="0"/>
          <w:sz w:val="24"/>
          <w:szCs w:val="24"/>
          <w:lang w:eastAsia="en-GB"/>
          <w14:ligatures w14:val="none"/>
        </w:rPr>
        <w:t>, </w:t>
      </w:r>
      <w:r w:rsidRPr="000B04F5">
        <w:rPr>
          <w:rFonts w:ascii="Arial" w:eastAsiaTheme="minorEastAsia" w:hAnsi="Arial" w:cs="Arial"/>
          <w:i/>
          <w:iCs/>
          <w:color w:val="000000"/>
          <w:kern w:val="0"/>
          <w:sz w:val="24"/>
          <w:szCs w:val="24"/>
          <w:lang w:eastAsia="en-GB"/>
          <w14:ligatures w14:val="none"/>
        </w:rPr>
        <w:t>SpringerLink</w:t>
      </w:r>
      <w:r w:rsidRPr="000B04F5">
        <w:rPr>
          <w:rFonts w:ascii="Arial" w:eastAsiaTheme="minorEastAsia" w:hAnsi="Arial" w:cs="Arial"/>
          <w:color w:val="000000"/>
          <w:kern w:val="0"/>
          <w:sz w:val="24"/>
          <w:szCs w:val="24"/>
          <w:lang w:eastAsia="en-GB"/>
          <w14:ligatures w14:val="none"/>
        </w:rPr>
        <w:t>. Available at: https://link.springer.com/article/10.1007/s11625-016-0383-3 (Accessed: 21 June 2024). </w:t>
      </w:r>
    </w:p>
    <w:p w14:paraId="35BA692B"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Symons, G. (1996) </w:t>
      </w:r>
      <w:r w:rsidRPr="000B04F5">
        <w:rPr>
          <w:rFonts w:ascii="Arial" w:eastAsiaTheme="minorEastAsia" w:hAnsi="Arial" w:cs="Arial"/>
          <w:i/>
          <w:iCs/>
          <w:color w:val="000000"/>
          <w:kern w:val="0"/>
          <w:sz w:val="24"/>
          <w:szCs w:val="24"/>
          <w:lang w:eastAsia="en-GB"/>
          <w14:ligatures w14:val="none"/>
        </w:rPr>
        <w:t xml:space="preserve">The Primary Years in Education for </w:t>
      </w:r>
      <w:proofErr w:type="gramStart"/>
      <w:r w:rsidRPr="000B04F5">
        <w:rPr>
          <w:rFonts w:ascii="Arial" w:eastAsiaTheme="minorEastAsia" w:hAnsi="Arial" w:cs="Arial"/>
          <w:i/>
          <w:iCs/>
          <w:color w:val="000000"/>
          <w:kern w:val="0"/>
          <w:sz w:val="24"/>
          <w:szCs w:val="24"/>
          <w:lang w:eastAsia="en-GB"/>
          <w14:ligatures w14:val="none"/>
        </w:rPr>
        <w:t>Sustainability </w:t>
      </w:r>
      <w:r w:rsidRPr="000B04F5">
        <w:rPr>
          <w:rFonts w:ascii="Arial" w:eastAsiaTheme="minorEastAsia" w:hAnsi="Arial" w:cs="Arial"/>
          <w:color w:val="000000"/>
          <w:kern w:val="0"/>
          <w:sz w:val="24"/>
          <w:szCs w:val="24"/>
          <w:lang w:eastAsia="en-GB"/>
          <w14:ligatures w14:val="none"/>
        </w:rPr>
        <w:t>.</w:t>
      </w:r>
      <w:proofErr w:type="gramEnd"/>
      <w:r w:rsidRPr="000B04F5">
        <w:rPr>
          <w:rFonts w:ascii="Arial" w:eastAsiaTheme="minorEastAsia" w:hAnsi="Arial" w:cs="Arial"/>
          <w:color w:val="000000"/>
          <w:kern w:val="0"/>
          <w:sz w:val="24"/>
          <w:szCs w:val="24"/>
          <w:lang w:eastAsia="en-GB"/>
          <w14:ligatures w14:val="none"/>
        </w:rPr>
        <w:t xml:space="preserve"> London: Earthscan Publication Ltd. </w:t>
      </w:r>
    </w:p>
    <w:p w14:paraId="4B615735"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Tarrant, S.P. and Thiele, L.P. (2016) ‘Practice makes pedagogy – John Dewey and skills-based Sustainability Education’, </w:t>
      </w:r>
      <w:r w:rsidRPr="000B04F5">
        <w:rPr>
          <w:rFonts w:ascii="Arial" w:eastAsiaTheme="minorEastAsia" w:hAnsi="Arial" w:cs="Arial"/>
          <w:i/>
          <w:iCs/>
          <w:color w:val="000000"/>
          <w:kern w:val="0"/>
          <w:sz w:val="24"/>
          <w:szCs w:val="24"/>
          <w:lang w:eastAsia="en-GB"/>
          <w14:ligatures w14:val="none"/>
        </w:rPr>
        <w:t>International Journal of Sustainability in Higher Education</w:t>
      </w:r>
      <w:r w:rsidRPr="000B04F5">
        <w:rPr>
          <w:rFonts w:ascii="Arial" w:eastAsiaTheme="minorEastAsia" w:hAnsi="Arial" w:cs="Arial"/>
          <w:color w:val="000000"/>
          <w:kern w:val="0"/>
          <w:sz w:val="24"/>
          <w:szCs w:val="24"/>
          <w:lang w:eastAsia="en-GB"/>
          <w14:ligatures w14:val="none"/>
        </w:rPr>
        <w:t>, 17(1), pp. 54–67. doi:10.1108/ijshe-09-2014-0127. </w:t>
      </w:r>
    </w:p>
    <w:p w14:paraId="705B7C1F"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lastRenderedPageBreak/>
        <w:t>Tinney, G. (2020) </w:t>
      </w:r>
      <w:r w:rsidRPr="000B04F5">
        <w:rPr>
          <w:rFonts w:ascii="Arial" w:eastAsiaTheme="minorEastAsia" w:hAnsi="Arial" w:cs="Arial"/>
          <w:i/>
          <w:iCs/>
          <w:color w:val="000000"/>
          <w:kern w:val="0"/>
          <w:sz w:val="24"/>
          <w:szCs w:val="24"/>
          <w:lang w:eastAsia="en-GB"/>
          <w14:ligatures w14:val="none"/>
        </w:rPr>
        <w:t>Early Years education, education for Sustainable Development and global citizenship and the principles of harmony</w:t>
      </w:r>
      <w:r w:rsidRPr="000B04F5">
        <w:rPr>
          <w:rFonts w:ascii="Arial" w:eastAsiaTheme="minorEastAsia" w:hAnsi="Arial" w:cs="Arial"/>
          <w:color w:val="000000"/>
          <w:kern w:val="0"/>
          <w:sz w:val="24"/>
          <w:szCs w:val="24"/>
          <w:lang w:eastAsia="en-GB"/>
          <w14:ligatures w14:val="none"/>
        </w:rPr>
        <w:t>. Sophia Centre Press. </w:t>
      </w:r>
    </w:p>
    <w:p w14:paraId="00B5925F"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Tinney, G. (2023) </w:t>
      </w:r>
      <w:r w:rsidRPr="000B04F5">
        <w:rPr>
          <w:rFonts w:ascii="Arial" w:eastAsiaTheme="minorEastAsia" w:hAnsi="Arial" w:cs="Arial"/>
          <w:i/>
          <w:iCs/>
          <w:color w:val="000000"/>
          <w:kern w:val="0"/>
          <w:sz w:val="24"/>
          <w:szCs w:val="24"/>
          <w:lang w:eastAsia="en-GB"/>
          <w14:ligatures w14:val="none"/>
        </w:rPr>
        <w:t>Nature, ecology and Early Years education</w:t>
      </w:r>
      <w:r w:rsidRPr="000B04F5">
        <w:rPr>
          <w:rFonts w:ascii="Arial" w:eastAsiaTheme="minorEastAsia" w:hAnsi="Arial" w:cs="Arial"/>
          <w:color w:val="000000"/>
          <w:kern w:val="0"/>
          <w:sz w:val="24"/>
          <w:szCs w:val="24"/>
          <w:lang w:eastAsia="en-GB"/>
          <w14:ligatures w14:val="none"/>
        </w:rPr>
        <w:t>. Sophia Centre Press. </w:t>
      </w:r>
    </w:p>
    <w:p w14:paraId="50BD0992"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Tinney, G. and Hurst, N. (2017) ‘Early childhood education for sustainability within Wales’, in </w:t>
      </w:r>
      <w:r w:rsidRPr="000B04F5">
        <w:rPr>
          <w:rFonts w:ascii="Arial" w:eastAsiaTheme="minorEastAsia" w:hAnsi="Arial" w:cs="Arial"/>
          <w:i/>
          <w:iCs/>
          <w:color w:val="000000"/>
          <w:kern w:val="0"/>
          <w:sz w:val="24"/>
          <w:szCs w:val="24"/>
          <w:lang w:eastAsia="en-GB"/>
          <w14:ligatures w14:val="none"/>
        </w:rPr>
        <w:t>Understanding Sustainability in Early Childhood Education</w:t>
      </w:r>
      <w:r w:rsidRPr="000B04F5">
        <w:rPr>
          <w:rFonts w:ascii="Arial" w:eastAsiaTheme="minorEastAsia" w:hAnsi="Arial" w:cs="Arial"/>
          <w:color w:val="000000"/>
          <w:kern w:val="0"/>
          <w:sz w:val="24"/>
          <w:szCs w:val="24"/>
          <w:lang w:eastAsia="en-GB"/>
          <w14:ligatures w14:val="none"/>
        </w:rPr>
        <w:t>. 1st edn. Oxfordshire, UK: Routledge. </w:t>
      </w:r>
    </w:p>
    <w:p w14:paraId="7F2515AE" w14:textId="167847E4"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Tinney, G. and Merriman, E. (2018) </w:t>
      </w:r>
      <w:r w:rsidRPr="000B04F5">
        <w:rPr>
          <w:rFonts w:ascii="Arial" w:eastAsiaTheme="minorEastAsia" w:hAnsi="Arial" w:cs="Arial"/>
          <w:i/>
          <w:iCs/>
          <w:color w:val="000000"/>
          <w:kern w:val="0"/>
          <w:sz w:val="24"/>
          <w:szCs w:val="24"/>
          <w:lang w:eastAsia="en-GB"/>
          <w14:ligatures w14:val="none"/>
        </w:rPr>
        <w:t xml:space="preserve">Early Years Education and Education for </w:t>
      </w:r>
      <w:proofErr w:type="gramStart"/>
      <w:r w:rsidRPr="000B04F5">
        <w:rPr>
          <w:rFonts w:ascii="Arial" w:eastAsiaTheme="minorEastAsia" w:hAnsi="Arial" w:cs="Arial"/>
          <w:i/>
          <w:iCs/>
          <w:color w:val="000000"/>
          <w:kern w:val="0"/>
          <w:sz w:val="24"/>
          <w:szCs w:val="24"/>
          <w:lang w:eastAsia="en-GB"/>
          <w14:ligatures w14:val="none"/>
        </w:rPr>
        <w:t>Sustainable  Development</w:t>
      </w:r>
      <w:proofErr w:type="gramEnd"/>
      <w:r w:rsidRPr="000B04F5">
        <w:rPr>
          <w:rFonts w:ascii="Arial" w:eastAsiaTheme="minorEastAsia" w:hAnsi="Arial" w:cs="Arial"/>
          <w:i/>
          <w:iCs/>
          <w:color w:val="000000"/>
          <w:kern w:val="0"/>
          <w:sz w:val="24"/>
          <w:szCs w:val="24"/>
          <w:lang w:eastAsia="en-GB"/>
          <w14:ligatures w14:val="none"/>
        </w:rPr>
        <w:t xml:space="preserve"> and Global Citizenship (ESDGC) - </w:t>
      </w:r>
      <w:r w:rsidR="008A39DE" w:rsidRPr="000B04F5">
        <w:rPr>
          <w:rFonts w:ascii="Arial" w:eastAsiaTheme="minorEastAsia" w:hAnsi="Arial" w:cs="Arial"/>
          <w:i/>
          <w:iCs/>
          <w:color w:val="000000"/>
          <w:kern w:val="0"/>
          <w:sz w:val="24"/>
          <w:szCs w:val="24"/>
          <w:lang w:eastAsia="en-GB"/>
          <w14:ligatures w14:val="none"/>
        </w:rPr>
        <w:t>Two Sides</w:t>
      </w:r>
      <w:r w:rsidRPr="000B04F5">
        <w:rPr>
          <w:rFonts w:ascii="Arial" w:eastAsiaTheme="minorEastAsia" w:hAnsi="Arial" w:cs="Arial"/>
          <w:i/>
          <w:iCs/>
          <w:color w:val="000000"/>
          <w:kern w:val="0"/>
          <w:sz w:val="24"/>
          <w:szCs w:val="24"/>
          <w:lang w:eastAsia="en-GB"/>
          <w14:ligatures w14:val="none"/>
        </w:rPr>
        <w:t xml:space="preserve"> of the Same Coin? </w:t>
      </w:r>
      <w:r w:rsidRPr="000B04F5">
        <w:rPr>
          <w:rFonts w:ascii="Arial" w:eastAsiaTheme="minorEastAsia" w:hAnsi="Arial" w:cs="Arial"/>
          <w:color w:val="000000"/>
          <w:kern w:val="0"/>
          <w:sz w:val="24"/>
          <w:szCs w:val="24"/>
          <w:lang w:eastAsia="en-GB"/>
          <w14:ligatures w14:val="none"/>
        </w:rPr>
        <w:t>. Available at: https://repository.uwtsd.ac.uk/id/eprint/912/1/Tinney,%20Glenda%20and%20Merriman,%20Eileen%20(2018)%20Early%20years%20education.pdf (Accessed: 11 June 2024). </w:t>
      </w:r>
    </w:p>
    <w:p w14:paraId="4CBDB23D"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UNESCO (2024) </w:t>
      </w:r>
      <w:r w:rsidRPr="000B04F5">
        <w:rPr>
          <w:rFonts w:ascii="Arial" w:eastAsiaTheme="minorEastAsia" w:hAnsi="Arial" w:cs="Arial"/>
          <w:i/>
          <w:iCs/>
          <w:color w:val="000000"/>
          <w:kern w:val="0"/>
          <w:sz w:val="24"/>
          <w:szCs w:val="24"/>
          <w:lang w:eastAsia="en-GB"/>
          <w14:ligatures w14:val="none"/>
        </w:rPr>
        <w:t>What you need to know about global citizenship education</w:t>
      </w:r>
      <w:r w:rsidRPr="000B04F5">
        <w:rPr>
          <w:rFonts w:ascii="Arial" w:eastAsiaTheme="minorEastAsia" w:hAnsi="Arial" w:cs="Arial"/>
          <w:color w:val="000000"/>
          <w:kern w:val="0"/>
          <w:sz w:val="24"/>
          <w:szCs w:val="24"/>
          <w:lang w:eastAsia="en-GB"/>
          <w14:ligatures w14:val="none"/>
        </w:rPr>
        <w:t>. Available at: https://www.unesco.org/en/global-citizenship-peace-education/need-know (Accessed: 03 July 2024). </w:t>
      </w:r>
    </w:p>
    <w:p w14:paraId="246BBBEF"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UNICEF (2019) </w:t>
      </w:r>
      <w:r w:rsidRPr="000B04F5">
        <w:rPr>
          <w:rFonts w:ascii="Arial" w:eastAsiaTheme="minorEastAsia" w:hAnsi="Arial" w:cs="Arial"/>
          <w:i/>
          <w:iCs/>
          <w:color w:val="000000"/>
          <w:kern w:val="0"/>
          <w:sz w:val="24"/>
          <w:szCs w:val="24"/>
          <w:lang w:eastAsia="en-GB"/>
          <w14:ligatures w14:val="none"/>
        </w:rPr>
        <w:t>A summary of the UN Convention on the Rights of the Child</w:t>
      </w:r>
      <w:r w:rsidRPr="000B04F5">
        <w:rPr>
          <w:rFonts w:ascii="Arial" w:eastAsiaTheme="minorEastAsia" w:hAnsi="Arial" w:cs="Arial"/>
          <w:color w:val="000000"/>
          <w:kern w:val="0"/>
          <w:sz w:val="24"/>
          <w:szCs w:val="24"/>
          <w:lang w:eastAsia="en-GB"/>
          <w14:ligatures w14:val="none"/>
        </w:rPr>
        <w:t>. Available at: https://www.unicef.org.uk/wp-content/uploads/2019/10/UNCRC_summary-1_1.pdf (Accessed: 11 June 2024). </w:t>
      </w:r>
    </w:p>
    <w:p w14:paraId="54157745"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Wals, A.E.J. </w:t>
      </w:r>
      <w:r w:rsidRPr="000B04F5">
        <w:rPr>
          <w:rFonts w:ascii="Arial" w:eastAsiaTheme="minorEastAsia" w:hAnsi="Arial" w:cs="Arial"/>
          <w:i/>
          <w:iCs/>
          <w:color w:val="000000"/>
          <w:kern w:val="0"/>
          <w:sz w:val="24"/>
          <w:szCs w:val="24"/>
          <w:lang w:eastAsia="en-GB"/>
          <w14:ligatures w14:val="none"/>
        </w:rPr>
        <w:t>et al.</w:t>
      </w:r>
      <w:r w:rsidRPr="000B04F5">
        <w:rPr>
          <w:rFonts w:ascii="Arial" w:eastAsiaTheme="minorEastAsia" w:hAnsi="Arial" w:cs="Arial"/>
          <w:color w:val="000000"/>
          <w:kern w:val="0"/>
          <w:sz w:val="24"/>
          <w:szCs w:val="24"/>
          <w:lang w:eastAsia="en-GB"/>
          <w14:ligatures w14:val="none"/>
        </w:rPr>
        <w:t> (2024) </w:t>
      </w:r>
      <w:r w:rsidRPr="000B04F5">
        <w:rPr>
          <w:rFonts w:ascii="Arial" w:eastAsiaTheme="minorEastAsia" w:hAnsi="Arial" w:cs="Arial"/>
          <w:i/>
          <w:iCs/>
          <w:color w:val="000000"/>
          <w:kern w:val="0"/>
          <w:sz w:val="24"/>
          <w:szCs w:val="24"/>
          <w:lang w:eastAsia="en-GB"/>
          <w14:ligatures w14:val="none"/>
        </w:rPr>
        <w:t>Whole school approaches to sustainability: Education renewal in times of distress</w:t>
      </w:r>
      <w:r w:rsidRPr="000B04F5">
        <w:rPr>
          <w:rFonts w:ascii="Arial" w:eastAsiaTheme="minorEastAsia" w:hAnsi="Arial" w:cs="Arial"/>
          <w:color w:val="000000"/>
          <w:kern w:val="0"/>
          <w:sz w:val="24"/>
          <w:szCs w:val="24"/>
          <w:lang w:eastAsia="en-GB"/>
          <w14:ligatures w14:val="none"/>
        </w:rPr>
        <w:t>. Cham: Springer. </w:t>
      </w:r>
    </w:p>
    <w:p w14:paraId="568D7BCA"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Well-being of Future Generations (Wales) Act (2015) </w:t>
      </w:r>
      <w:r w:rsidRPr="000B04F5">
        <w:rPr>
          <w:rFonts w:ascii="Arial" w:eastAsiaTheme="minorEastAsia" w:hAnsi="Arial" w:cs="Arial"/>
          <w:i/>
          <w:iCs/>
          <w:color w:val="000000"/>
          <w:kern w:val="0"/>
          <w:sz w:val="24"/>
          <w:szCs w:val="24"/>
          <w:lang w:eastAsia="en-GB"/>
          <w14:ligatures w14:val="none"/>
        </w:rPr>
        <w:t>GOV.WALES</w:t>
      </w:r>
      <w:r w:rsidRPr="000B04F5">
        <w:rPr>
          <w:rFonts w:ascii="Arial" w:eastAsiaTheme="minorEastAsia" w:hAnsi="Arial" w:cs="Arial"/>
          <w:color w:val="000000"/>
          <w:kern w:val="0"/>
          <w:sz w:val="24"/>
          <w:szCs w:val="24"/>
          <w:lang w:eastAsia="en-GB"/>
          <w14:ligatures w14:val="none"/>
        </w:rPr>
        <w:t>. Available at: https://www.gov.wales/well-being-future-generations-act-essentials-html (Accessed: 11 June 2024). </w:t>
      </w:r>
    </w:p>
    <w:p w14:paraId="0CD2D98A"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lastRenderedPageBreak/>
        <w:t>Welsh Government (2008a) </w:t>
      </w:r>
      <w:r w:rsidRPr="000B04F5">
        <w:rPr>
          <w:rFonts w:ascii="Arial" w:eastAsiaTheme="minorEastAsia" w:hAnsi="Arial" w:cs="Arial"/>
          <w:i/>
          <w:iCs/>
          <w:color w:val="000000"/>
          <w:kern w:val="0"/>
          <w:sz w:val="24"/>
          <w:szCs w:val="24"/>
          <w:lang w:eastAsia="en-GB"/>
          <w14:ligatures w14:val="none"/>
        </w:rPr>
        <w:t>One Wales: One Planet</w:t>
      </w:r>
      <w:r w:rsidRPr="000B04F5">
        <w:rPr>
          <w:rFonts w:ascii="Arial" w:eastAsiaTheme="minorEastAsia" w:hAnsi="Arial" w:cs="Arial"/>
          <w:color w:val="000000"/>
          <w:kern w:val="0"/>
          <w:sz w:val="24"/>
          <w:szCs w:val="24"/>
          <w:lang w:eastAsia="en-GB"/>
          <w14:ligatures w14:val="none"/>
        </w:rPr>
        <w:t>. Available at: https://senedd.wales/media/dtcay03q/gen-ld7941-e-english.pdf (Accessed: 04 July 2024). </w:t>
      </w:r>
    </w:p>
    <w:p w14:paraId="0FF03EDB"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Welsh Government (2008b) </w:t>
      </w:r>
      <w:r w:rsidRPr="000B04F5">
        <w:rPr>
          <w:rFonts w:ascii="Arial" w:eastAsiaTheme="minorEastAsia" w:hAnsi="Arial" w:cs="Arial"/>
          <w:i/>
          <w:iCs/>
          <w:color w:val="000000"/>
          <w:kern w:val="0"/>
          <w:sz w:val="24"/>
          <w:szCs w:val="24"/>
          <w:lang w:eastAsia="en-GB"/>
          <w14:ligatures w14:val="none"/>
        </w:rPr>
        <w:t>Education for Sustainable Development and Global Citizenship</w:t>
      </w:r>
      <w:r w:rsidRPr="000B04F5">
        <w:rPr>
          <w:rFonts w:ascii="Arial" w:eastAsiaTheme="minorEastAsia" w:hAnsi="Arial" w:cs="Arial"/>
          <w:color w:val="000000"/>
          <w:kern w:val="0"/>
          <w:sz w:val="24"/>
          <w:szCs w:val="24"/>
          <w:lang w:eastAsia="en-GB"/>
          <w14:ligatures w14:val="none"/>
        </w:rPr>
        <w:t>. Available at: https://hwb.gov.wales/storage/eaf467e6-30fe-45c9-93ef-cb30f31f1c90/common-understanding-for-school.pdf (Accessed: 11 June 2024). </w:t>
      </w:r>
    </w:p>
    <w:p w14:paraId="0EA8021F"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Welsh Government (2020) </w:t>
      </w:r>
      <w:r w:rsidRPr="000B04F5">
        <w:rPr>
          <w:rFonts w:ascii="Arial" w:eastAsiaTheme="minorEastAsia" w:hAnsi="Arial" w:cs="Arial"/>
          <w:i/>
          <w:iCs/>
          <w:color w:val="000000"/>
          <w:kern w:val="0"/>
          <w:sz w:val="24"/>
          <w:szCs w:val="24"/>
          <w:lang w:eastAsia="en-GB"/>
          <w14:ligatures w14:val="none"/>
        </w:rPr>
        <w:t>Curriculum for Wales</w:t>
      </w:r>
      <w:r w:rsidRPr="000B04F5">
        <w:rPr>
          <w:rFonts w:ascii="Arial" w:eastAsiaTheme="minorEastAsia" w:hAnsi="Arial" w:cs="Arial"/>
          <w:color w:val="000000"/>
          <w:kern w:val="0"/>
          <w:sz w:val="24"/>
          <w:szCs w:val="24"/>
          <w:lang w:eastAsia="en-GB"/>
          <w14:ligatures w14:val="none"/>
        </w:rPr>
        <w:t>, </w:t>
      </w:r>
      <w:r w:rsidRPr="000B04F5">
        <w:rPr>
          <w:rFonts w:ascii="Arial" w:eastAsiaTheme="minorEastAsia" w:hAnsi="Arial" w:cs="Arial"/>
          <w:i/>
          <w:iCs/>
          <w:color w:val="000000"/>
          <w:kern w:val="0"/>
          <w:sz w:val="24"/>
          <w:szCs w:val="24"/>
          <w:lang w:eastAsia="en-GB"/>
          <w14:ligatures w14:val="none"/>
        </w:rPr>
        <w:t>Hwb</w:t>
      </w:r>
      <w:r w:rsidRPr="000B04F5">
        <w:rPr>
          <w:rFonts w:ascii="Arial" w:eastAsiaTheme="minorEastAsia" w:hAnsi="Arial" w:cs="Arial"/>
          <w:color w:val="000000"/>
          <w:kern w:val="0"/>
          <w:sz w:val="24"/>
          <w:szCs w:val="24"/>
          <w:lang w:eastAsia="en-GB"/>
          <w14:ligatures w14:val="none"/>
        </w:rPr>
        <w:t>. Available at: https://hwb.gov.wales/curriculum-for-wales (Accessed: 11 June 2024). </w:t>
      </w:r>
    </w:p>
    <w:p w14:paraId="5E661954"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Welsh Government (2022) </w:t>
      </w:r>
      <w:r w:rsidRPr="000B04F5">
        <w:rPr>
          <w:rFonts w:ascii="Arial" w:eastAsiaTheme="minorEastAsia" w:hAnsi="Arial" w:cs="Arial"/>
          <w:i/>
          <w:iCs/>
          <w:color w:val="000000"/>
          <w:kern w:val="0"/>
          <w:sz w:val="24"/>
          <w:szCs w:val="24"/>
          <w:lang w:eastAsia="en-GB"/>
          <w14:ligatures w14:val="none"/>
        </w:rPr>
        <w:t>Wellbeing of Wales, 2022: A globally responsible Wales</w:t>
      </w:r>
      <w:r w:rsidRPr="000B04F5">
        <w:rPr>
          <w:rFonts w:ascii="Arial" w:eastAsiaTheme="minorEastAsia" w:hAnsi="Arial" w:cs="Arial"/>
          <w:color w:val="000000"/>
          <w:kern w:val="0"/>
          <w:sz w:val="24"/>
          <w:szCs w:val="24"/>
          <w:lang w:eastAsia="en-GB"/>
          <w14:ligatures w14:val="none"/>
        </w:rPr>
        <w:t>. Available at: https://www.gov.wales/wellbeing-wales-2022-globally-responsible-wales-html (Accessed: 03 July 2024). </w:t>
      </w:r>
    </w:p>
    <w:p w14:paraId="0DE6A2F4" w14:textId="77777777" w:rsidR="000B04F5" w:rsidRPr="000B04F5" w:rsidRDefault="000B04F5" w:rsidP="000B04F5">
      <w:pPr>
        <w:spacing w:before="100" w:beforeAutospacing="1" w:after="100" w:afterAutospacing="1" w:line="360" w:lineRule="auto"/>
        <w:ind w:left="567"/>
        <w:rPr>
          <w:rFonts w:ascii="Arial" w:eastAsiaTheme="minorEastAsia" w:hAnsi="Arial" w:cs="Arial"/>
          <w:color w:val="000000"/>
          <w:kern w:val="0"/>
          <w:sz w:val="24"/>
          <w:szCs w:val="24"/>
          <w:lang w:eastAsia="en-GB"/>
          <w14:ligatures w14:val="none"/>
        </w:rPr>
      </w:pPr>
      <w:r w:rsidRPr="000B04F5">
        <w:rPr>
          <w:rFonts w:ascii="Arial" w:eastAsiaTheme="minorEastAsia" w:hAnsi="Arial" w:cs="Arial"/>
          <w:color w:val="000000"/>
          <w:kern w:val="0"/>
          <w:sz w:val="24"/>
          <w:szCs w:val="24"/>
          <w:lang w:eastAsia="en-GB"/>
          <w14:ligatures w14:val="none"/>
        </w:rPr>
        <w:t>Welsh Government (2024) </w:t>
      </w:r>
      <w:r w:rsidRPr="000B04F5">
        <w:rPr>
          <w:rFonts w:ascii="Arial" w:eastAsiaTheme="minorEastAsia" w:hAnsi="Arial" w:cs="Arial"/>
          <w:i/>
          <w:iCs/>
          <w:color w:val="000000"/>
          <w:kern w:val="0"/>
          <w:sz w:val="24"/>
          <w:szCs w:val="24"/>
          <w:lang w:eastAsia="en-GB"/>
          <w14:ligatures w14:val="none"/>
        </w:rPr>
        <w:t>Sustainability</w:t>
      </w:r>
      <w:r w:rsidRPr="000B04F5">
        <w:rPr>
          <w:rFonts w:ascii="Arial" w:eastAsiaTheme="minorEastAsia" w:hAnsi="Arial" w:cs="Arial"/>
          <w:color w:val="000000"/>
          <w:kern w:val="0"/>
          <w:sz w:val="24"/>
          <w:szCs w:val="24"/>
          <w:lang w:eastAsia="en-GB"/>
          <w14:ligatures w14:val="none"/>
        </w:rPr>
        <w:t>. Available at: https://www.wales.com/about/sustainability (Accessed: 03 July 2024). </w:t>
      </w:r>
    </w:p>
    <w:p w14:paraId="640632A5" w14:textId="77777777" w:rsidR="000B04F5" w:rsidRPr="000B04F5" w:rsidRDefault="000B04F5" w:rsidP="000B04F5">
      <w:pPr>
        <w:spacing w:line="360" w:lineRule="auto"/>
        <w:rPr>
          <w:rFonts w:ascii="Arial" w:eastAsiaTheme="minorEastAsia" w:hAnsi="Arial" w:cs="Arial"/>
          <w:sz w:val="24"/>
          <w:szCs w:val="24"/>
          <w:lang w:eastAsia="en-GB"/>
        </w:rPr>
      </w:pPr>
    </w:p>
    <w:p w14:paraId="406A3BFD" w14:textId="77777777" w:rsidR="008037CD" w:rsidRPr="008037CD" w:rsidRDefault="008037CD" w:rsidP="00333F5A">
      <w:pPr>
        <w:spacing w:line="360" w:lineRule="auto"/>
        <w:rPr>
          <w:rFonts w:ascii="Arial" w:hAnsi="Arial" w:cs="Arial"/>
          <w:bCs/>
          <w:sz w:val="28"/>
          <w:szCs w:val="28"/>
        </w:rPr>
      </w:pPr>
    </w:p>
    <w:p w14:paraId="14F6443A" w14:textId="77777777" w:rsidR="0079747D" w:rsidRPr="00333F5A" w:rsidRDefault="0079747D" w:rsidP="00333F5A">
      <w:pPr>
        <w:spacing w:line="360" w:lineRule="auto"/>
        <w:rPr>
          <w:rFonts w:ascii="Arial" w:hAnsi="Arial" w:cs="Arial"/>
          <w:color w:val="4C94D8" w:themeColor="text2" w:themeTint="80"/>
          <w:sz w:val="28"/>
          <w:szCs w:val="28"/>
        </w:rPr>
      </w:pPr>
    </w:p>
    <w:sectPr w:rsidR="0079747D" w:rsidRPr="00333F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1D7C63" w14:textId="77777777" w:rsidR="00D235D8" w:rsidRDefault="00D235D8" w:rsidP="004F0FAC">
      <w:pPr>
        <w:spacing w:after="0" w:line="240" w:lineRule="auto"/>
      </w:pPr>
      <w:r>
        <w:separator/>
      </w:r>
    </w:p>
  </w:endnote>
  <w:endnote w:type="continuationSeparator" w:id="0">
    <w:p w14:paraId="2F351591" w14:textId="77777777" w:rsidR="00D235D8" w:rsidRDefault="00D235D8" w:rsidP="004F0FAC">
      <w:pPr>
        <w:spacing w:after="0" w:line="240" w:lineRule="auto"/>
      </w:pPr>
      <w:r>
        <w:continuationSeparator/>
      </w:r>
    </w:p>
  </w:endnote>
  <w:endnote w:type="continuationNotice" w:id="1">
    <w:p w14:paraId="0435E1DF" w14:textId="77777777" w:rsidR="00D235D8" w:rsidRDefault="00D235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99A4C5" w14:textId="77777777" w:rsidR="00D235D8" w:rsidRDefault="00D235D8" w:rsidP="004F0FAC">
      <w:pPr>
        <w:spacing w:after="0" w:line="240" w:lineRule="auto"/>
      </w:pPr>
      <w:r>
        <w:separator/>
      </w:r>
    </w:p>
  </w:footnote>
  <w:footnote w:type="continuationSeparator" w:id="0">
    <w:p w14:paraId="59106C3D" w14:textId="77777777" w:rsidR="00D235D8" w:rsidRDefault="00D235D8" w:rsidP="004F0FAC">
      <w:pPr>
        <w:spacing w:after="0" w:line="240" w:lineRule="auto"/>
      </w:pPr>
      <w:r>
        <w:continuationSeparator/>
      </w:r>
    </w:p>
  </w:footnote>
  <w:footnote w:type="continuationNotice" w:id="1">
    <w:p w14:paraId="574DA472" w14:textId="77777777" w:rsidR="00D235D8" w:rsidRDefault="00D235D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F04D8"/>
    <w:multiLevelType w:val="multilevel"/>
    <w:tmpl w:val="E12257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92929"/>
    <w:multiLevelType w:val="multilevel"/>
    <w:tmpl w:val="72DE3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534931">
    <w:abstractNumId w:val="1"/>
  </w:num>
  <w:num w:numId="2" w16cid:durableId="21221902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A73"/>
    <w:rsid w:val="00005C81"/>
    <w:rsid w:val="00012391"/>
    <w:rsid w:val="00015776"/>
    <w:rsid w:val="00037621"/>
    <w:rsid w:val="00042390"/>
    <w:rsid w:val="000509C9"/>
    <w:rsid w:val="0005106E"/>
    <w:rsid w:val="000534DD"/>
    <w:rsid w:val="00077138"/>
    <w:rsid w:val="00087D88"/>
    <w:rsid w:val="00091F57"/>
    <w:rsid w:val="000B04F5"/>
    <w:rsid w:val="000B46A4"/>
    <w:rsid w:val="000B6436"/>
    <w:rsid w:val="000D1B9F"/>
    <w:rsid w:val="000D3559"/>
    <w:rsid w:val="000D3894"/>
    <w:rsid w:val="00102730"/>
    <w:rsid w:val="0010346A"/>
    <w:rsid w:val="0010382B"/>
    <w:rsid w:val="0011547D"/>
    <w:rsid w:val="001264A0"/>
    <w:rsid w:val="00127C45"/>
    <w:rsid w:val="00131A88"/>
    <w:rsid w:val="00133AA5"/>
    <w:rsid w:val="001360EF"/>
    <w:rsid w:val="0015052C"/>
    <w:rsid w:val="00151BE6"/>
    <w:rsid w:val="00152AFB"/>
    <w:rsid w:val="00153929"/>
    <w:rsid w:val="00163D24"/>
    <w:rsid w:val="001677E2"/>
    <w:rsid w:val="00180E67"/>
    <w:rsid w:val="001837DE"/>
    <w:rsid w:val="001A16F4"/>
    <w:rsid w:val="001A7C00"/>
    <w:rsid w:val="001B3CC2"/>
    <w:rsid w:val="001C161F"/>
    <w:rsid w:val="001D5B5F"/>
    <w:rsid w:val="001F3AA4"/>
    <w:rsid w:val="001F7BB3"/>
    <w:rsid w:val="00200C9F"/>
    <w:rsid w:val="00201D4E"/>
    <w:rsid w:val="00210539"/>
    <w:rsid w:val="0021468D"/>
    <w:rsid w:val="002174D2"/>
    <w:rsid w:val="00221961"/>
    <w:rsid w:val="002309A6"/>
    <w:rsid w:val="00234545"/>
    <w:rsid w:val="00245337"/>
    <w:rsid w:val="002521CC"/>
    <w:rsid w:val="00252F41"/>
    <w:rsid w:val="00253511"/>
    <w:rsid w:val="00261E6F"/>
    <w:rsid w:val="00262FE0"/>
    <w:rsid w:val="002663A3"/>
    <w:rsid w:val="002717C9"/>
    <w:rsid w:val="0027471F"/>
    <w:rsid w:val="00296D60"/>
    <w:rsid w:val="002B4152"/>
    <w:rsid w:val="002C1BA3"/>
    <w:rsid w:val="002C4971"/>
    <w:rsid w:val="002D18B2"/>
    <w:rsid w:val="002D3FA4"/>
    <w:rsid w:val="002D5A79"/>
    <w:rsid w:val="002E50A2"/>
    <w:rsid w:val="002E772D"/>
    <w:rsid w:val="002F29ED"/>
    <w:rsid w:val="0030567E"/>
    <w:rsid w:val="00313C3A"/>
    <w:rsid w:val="00330BE3"/>
    <w:rsid w:val="003313EC"/>
    <w:rsid w:val="00333F5A"/>
    <w:rsid w:val="00334DAE"/>
    <w:rsid w:val="00335CF8"/>
    <w:rsid w:val="003360B2"/>
    <w:rsid w:val="00343532"/>
    <w:rsid w:val="00346EFB"/>
    <w:rsid w:val="00363287"/>
    <w:rsid w:val="003635DF"/>
    <w:rsid w:val="00364AFF"/>
    <w:rsid w:val="00381F76"/>
    <w:rsid w:val="00382E9B"/>
    <w:rsid w:val="00386B9B"/>
    <w:rsid w:val="003B0639"/>
    <w:rsid w:val="003B5C48"/>
    <w:rsid w:val="003B5D1B"/>
    <w:rsid w:val="003B7AEB"/>
    <w:rsid w:val="003E0620"/>
    <w:rsid w:val="003E22A2"/>
    <w:rsid w:val="003E2565"/>
    <w:rsid w:val="003E2C05"/>
    <w:rsid w:val="003F2F6F"/>
    <w:rsid w:val="004045D3"/>
    <w:rsid w:val="00411A62"/>
    <w:rsid w:val="004151F1"/>
    <w:rsid w:val="004307B8"/>
    <w:rsid w:val="0043185A"/>
    <w:rsid w:val="004358E3"/>
    <w:rsid w:val="004400D1"/>
    <w:rsid w:val="004409C6"/>
    <w:rsid w:val="00441B5F"/>
    <w:rsid w:val="00446ECB"/>
    <w:rsid w:val="00455DBB"/>
    <w:rsid w:val="00470A11"/>
    <w:rsid w:val="00470CBE"/>
    <w:rsid w:val="00471E64"/>
    <w:rsid w:val="0047212F"/>
    <w:rsid w:val="00472390"/>
    <w:rsid w:val="0047521E"/>
    <w:rsid w:val="00491D99"/>
    <w:rsid w:val="0049310C"/>
    <w:rsid w:val="00493FF5"/>
    <w:rsid w:val="004A1B76"/>
    <w:rsid w:val="004A2B0C"/>
    <w:rsid w:val="004A2FF3"/>
    <w:rsid w:val="004B339E"/>
    <w:rsid w:val="004C2FB9"/>
    <w:rsid w:val="004D131E"/>
    <w:rsid w:val="004E162C"/>
    <w:rsid w:val="004F0FAC"/>
    <w:rsid w:val="004F2930"/>
    <w:rsid w:val="004F57D8"/>
    <w:rsid w:val="00510123"/>
    <w:rsid w:val="0051143E"/>
    <w:rsid w:val="0052252D"/>
    <w:rsid w:val="0055600B"/>
    <w:rsid w:val="00564B6F"/>
    <w:rsid w:val="00565EE3"/>
    <w:rsid w:val="00576A5A"/>
    <w:rsid w:val="00581564"/>
    <w:rsid w:val="005970C5"/>
    <w:rsid w:val="005B626E"/>
    <w:rsid w:val="005C07A9"/>
    <w:rsid w:val="005C3675"/>
    <w:rsid w:val="005D0C36"/>
    <w:rsid w:val="005D18A7"/>
    <w:rsid w:val="005D488C"/>
    <w:rsid w:val="005E712E"/>
    <w:rsid w:val="005F6B21"/>
    <w:rsid w:val="00601556"/>
    <w:rsid w:val="006018F3"/>
    <w:rsid w:val="0060190B"/>
    <w:rsid w:val="00607071"/>
    <w:rsid w:val="00607F29"/>
    <w:rsid w:val="00624EF3"/>
    <w:rsid w:val="00644C31"/>
    <w:rsid w:val="006574E9"/>
    <w:rsid w:val="00664369"/>
    <w:rsid w:val="00665D7A"/>
    <w:rsid w:val="00667FA4"/>
    <w:rsid w:val="006770BF"/>
    <w:rsid w:val="00695A7E"/>
    <w:rsid w:val="006B0A67"/>
    <w:rsid w:val="006B0C78"/>
    <w:rsid w:val="006B6124"/>
    <w:rsid w:val="006C30E9"/>
    <w:rsid w:val="006D0EC8"/>
    <w:rsid w:val="006D10BA"/>
    <w:rsid w:val="006D3E74"/>
    <w:rsid w:val="006F48ED"/>
    <w:rsid w:val="00703668"/>
    <w:rsid w:val="00726258"/>
    <w:rsid w:val="007264CE"/>
    <w:rsid w:val="00731F8E"/>
    <w:rsid w:val="00754CC5"/>
    <w:rsid w:val="00760A18"/>
    <w:rsid w:val="00762B9D"/>
    <w:rsid w:val="00763263"/>
    <w:rsid w:val="007678E4"/>
    <w:rsid w:val="00776BF9"/>
    <w:rsid w:val="00783F93"/>
    <w:rsid w:val="0078436E"/>
    <w:rsid w:val="00786993"/>
    <w:rsid w:val="00795D89"/>
    <w:rsid w:val="007970DC"/>
    <w:rsid w:val="0079747D"/>
    <w:rsid w:val="007A060E"/>
    <w:rsid w:val="007A399E"/>
    <w:rsid w:val="007A485F"/>
    <w:rsid w:val="007A6B03"/>
    <w:rsid w:val="007D10D4"/>
    <w:rsid w:val="007D5A96"/>
    <w:rsid w:val="007E00B0"/>
    <w:rsid w:val="007E22B5"/>
    <w:rsid w:val="007F6F77"/>
    <w:rsid w:val="008037CD"/>
    <w:rsid w:val="0081242A"/>
    <w:rsid w:val="008219D2"/>
    <w:rsid w:val="00832B85"/>
    <w:rsid w:val="00841B4C"/>
    <w:rsid w:val="008559A5"/>
    <w:rsid w:val="008563D4"/>
    <w:rsid w:val="00860E86"/>
    <w:rsid w:val="00862D6D"/>
    <w:rsid w:val="008702F0"/>
    <w:rsid w:val="00881CAD"/>
    <w:rsid w:val="00886596"/>
    <w:rsid w:val="00894B74"/>
    <w:rsid w:val="00896796"/>
    <w:rsid w:val="008A39DE"/>
    <w:rsid w:val="008A4663"/>
    <w:rsid w:val="008B326C"/>
    <w:rsid w:val="008B396B"/>
    <w:rsid w:val="008B39A0"/>
    <w:rsid w:val="008B7AE5"/>
    <w:rsid w:val="008C11BC"/>
    <w:rsid w:val="008C2030"/>
    <w:rsid w:val="008D3166"/>
    <w:rsid w:val="008D56BC"/>
    <w:rsid w:val="008E69F4"/>
    <w:rsid w:val="008F29E5"/>
    <w:rsid w:val="008F5291"/>
    <w:rsid w:val="008F54BE"/>
    <w:rsid w:val="008F594A"/>
    <w:rsid w:val="00907801"/>
    <w:rsid w:val="00917D85"/>
    <w:rsid w:val="00926C5C"/>
    <w:rsid w:val="00927C46"/>
    <w:rsid w:val="0093747A"/>
    <w:rsid w:val="0094307B"/>
    <w:rsid w:val="00956DF5"/>
    <w:rsid w:val="00961073"/>
    <w:rsid w:val="00965B09"/>
    <w:rsid w:val="00972A5D"/>
    <w:rsid w:val="0098177C"/>
    <w:rsid w:val="00991231"/>
    <w:rsid w:val="009942D9"/>
    <w:rsid w:val="00994EED"/>
    <w:rsid w:val="009965B4"/>
    <w:rsid w:val="00997AA3"/>
    <w:rsid w:val="009A39DF"/>
    <w:rsid w:val="009A5D78"/>
    <w:rsid w:val="009A6B2B"/>
    <w:rsid w:val="009A7EBB"/>
    <w:rsid w:val="009C229C"/>
    <w:rsid w:val="009E46DD"/>
    <w:rsid w:val="009F0083"/>
    <w:rsid w:val="00A030B2"/>
    <w:rsid w:val="00A06EC5"/>
    <w:rsid w:val="00A23291"/>
    <w:rsid w:val="00A33D09"/>
    <w:rsid w:val="00A46869"/>
    <w:rsid w:val="00A52FCA"/>
    <w:rsid w:val="00A55348"/>
    <w:rsid w:val="00A6612B"/>
    <w:rsid w:val="00A719DC"/>
    <w:rsid w:val="00A7252F"/>
    <w:rsid w:val="00A73A73"/>
    <w:rsid w:val="00A744F3"/>
    <w:rsid w:val="00A77817"/>
    <w:rsid w:val="00A90843"/>
    <w:rsid w:val="00AA0F95"/>
    <w:rsid w:val="00AA2274"/>
    <w:rsid w:val="00AA324B"/>
    <w:rsid w:val="00AA4072"/>
    <w:rsid w:val="00AA4BB3"/>
    <w:rsid w:val="00AA4E1C"/>
    <w:rsid w:val="00AC6C6A"/>
    <w:rsid w:val="00AD257F"/>
    <w:rsid w:val="00AD2F1A"/>
    <w:rsid w:val="00AE0B1C"/>
    <w:rsid w:val="00AF5A24"/>
    <w:rsid w:val="00AF67DB"/>
    <w:rsid w:val="00B04720"/>
    <w:rsid w:val="00B17258"/>
    <w:rsid w:val="00B21FE3"/>
    <w:rsid w:val="00B2413A"/>
    <w:rsid w:val="00B24D95"/>
    <w:rsid w:val="00B32654"/>
    <w:rsid w:val="00B44E75"/>
    <w:rsid w:val="00B54FA9"/>
    <w:rsid w:val="00B84EC9"/>
    <w:rsid w:val="00B90606"/>
    <w:rsid w:val="00B90F16"/>
    <w:rsid w:val="00B960F3"/>
    <w:rsid w:val="00B96FB1"/>
    <w:rsid w:val="00BA5B85"/>
    <w:rsid w:val="00BB20B9"/>
    <w:rsid w:val="00BB2E03"/>
    <w:rsid w:val="00BB54DD"/>
    <w:rsid w:val="00BC3A01"/>
    <w:rsid w:val="00BD619D"/>
    <w:rsid w:val="00BF7726"/>
    <w:rsid w:val="00C073A1"/>
    <w:rsid w:val="00C1187D"/>
    <w:rsid w:val="00C3588C"/>
    <w:rsid w:val="00C408CD"/>
    <w:rsid w:val="00C40F17"/>
    <w:rsid w:val="00C437A7"/>
    <w:rsid w:val="00C45D93"/>
    <w:rsid w:val="00C57AF8"/>
    <w:rsid w:val="00C628A4"/>
    <w:rsid w:val="00C67D07"/>
    <w:rsid w:val="00C76043"/>
    <w:rsid w:val="00C82CEE"/>
    <w:rsid w:val="00C855BC"/>
    <w:rsid w:val="00C85767"/>
    <w:rsid w:val="00C91B77"/>
    <w:rsid w:val="00C96FEC"/>
    <w:rsid w:val="00C972FA"/>
    <w:rsid w:val="00CA2F6B"/>
    <w:rsid w:val="00CC1675"/>
    <w:rsid w:val="00CC4D07"/>
    <w:rsid w:val="00CD0AD0"/>
    <w:rsid w:val="00CE6895"/>
    <w:rsid w:val="00CF26AA"/>
    <w:rsid w:val="00CF4EDA"/>
    <w:rsid w:val="00D0123F"/>
    <w:rsid w:val="00D039E7"/>
    <w:rsid w:val="00D11115"/>
    <w:rsid w:val="00D235D8"/>
    <w:rsid w:val="00D2731A"/>
    <w:rsid w:val="00D3732C"/>
    <w:rsid w:val="00D45ACD"/>
    <w:rsid w:val="00D641D3"/>
    <w:rsid w:val="00D64D01"/>
    <w:rsid w:val="00D66267"/>
    <w:rsid w:val="00D7182C"/>
    <w:rsid w:val="00D9255D"/>
    <w:rsid w:val="00DA27B8"/>
    <w:rsid w:val="00DB4301"/>
    <w:rsid w:val="00DB4511"/>
    <w:rsid w:val="00DB712A"/>
    <w:rsid w:val="00DD2E7A"/>
    <w:rsid w:val="00E07466"/>
    <w:rsid w:val="00E07D76"/>
    <w:rsid w:val="00E11B13"/>
    <w:rsid w:val="00E218B5"/>
    <w:rsid w:val="00E31269"/>
    <w:rsid w:val="00E34412"/>
    <w:rsid w:val="00E34417"/>
    <w:rsid w:val="00E66F32"/>
    <w:rsid w:val="00E6704D"/>
    <w:rsid w:val="00E871EC"/>
    <w:rsid w:val="00E9326E"/>
    <w:rsid w:val="00E945B0"/>
    <w:rsid w:val="00EA496F"/>
    <w:rsid w:val="00EA6E31"/>
    <w:rsid w:val="00EB2FEC"/>
    <w:rsid w:val="00EB5601"/>
    <w:rsid w:val="00EC3B7A"/>
    <w:rsid w:val="00ED1B46"/>
    <w:rsid w:val="00EE4601"/>
    <w:rsid w:val="00EE54A2"/>
    <w:rsid w:val="00EF1F43"/>
    <w:rsid w:val="00EF2EF9"/>
    <w:rsid w:val="00EF313B"/>
    <w:rsid w:val="00F0036E"/>
    <w:rsid w:val="00F155D6"/>
    <w:rsid w:val="00F16BAA"/>
    <w:rsid w:val="00F26FFA"/>
    <w:rsid w:val="00F27A9D"/>
    <w:rsid w:val="00F27C10"/>
    <w:rsid w:val="00F43763"/>
    <w:rsid w:val="00F43A82"/>
    <w:rsid w:val="00F44385"/>
    <w:rsid w:val="00F57268"/>
    <w:rsid w:val="00F60AFA"/>
    <w:rsid w:val="00F71EDA"/>
    <w:rsid w:val="00F74CBF"/>
    <w:rsid w:val="00F83E1D"/>
    <w:rsid w:val="00F856AE"/>
    <w:rsid w:val="00F93697"/>
    <w:rsid w:val="00F93D7E"/>
    <w:rsid w:val="00F970EF"/>
    <w:rsid w:val="00F97382"/>
    <w:rsid w:val="00FA19BC"/>
    <w:rsid w:val="00FA3618"/>
    <w:rsid w:val="00FA61A7"/>
    <w:rsid w:val="00FB1C55"/>
    <w:rsid w:val="00FD0FCC"/>
    <w:rsid w:val="00FD1C87"/>
    <w:rsid w:val="00FD3559"/>
    <w:rsid w:val="00FD581D"/>
    <w:rsid w:val="00FE4648"/>
    <w:rsid w:val="00FF374D"/>
    <w:rsid w:val="00FF4691"/>
    <w:rsid w:val="00FF6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A55BB"/>
  <w15:chartTrackingRefBased/>
  <w15:docId w15:val="{4EBF2861-FCA0-4C70-B92C-2BC493D12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3A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3A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3A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3A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3A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3A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3A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3A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3A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A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3A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3A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3A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3A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3A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3A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3A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3A73"/>
    <w:rPr>
      <w:rFonts w:eastAsiaTheme="majorEastAsia" w:cstheme="majorBidi"/>
      <w:color w:val="272727" w:themeColor="text1" w:themeTint="D8"/>
    </w:rPr>
  </w:style>
  <w:style w:type="paragraph" w:styleId="Title">
    <w:name w:val="Title"/>
    <w:basedOn w:val="Normal"/>
    <w:next w:val="Normal"/>
    <w:link w:val="TitleChar"/>
    <w:uiPriority w:val="10"/>
    <w:qFormat/>
    <w:rsid w:val="00A73A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3A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3A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3A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3A73"/>
    <w:pPr>
      <w:spacing w:before="160"/>
      <w:jc w:val="center"/>
    </w:pPr>
    <w:rPr>
      <w:i/>
      <w:iCs/>
      <w:color w:val="404040" w:themeColor="text1" w:themeTint="BF"/>
    </w:rPr>
  </w:style>
  <w:style w:type="character" w:customStyle="1" w:styleId="QuoteChar">
    <w:name w:val="Quote Char"/>
    <w:basedOn w:val="DefaultParagraphFont"/>
    <w:link w:val="Quote"/>
    <w:uiPriority w:val="29"/>
    <w:rsid w:val="00A73A73"/>
    <w:rPr>
      <w:i/>
      <w:iCs/>
      <w:color w:val="404040" w:themeColor="text1" w:themeTint="BF"/>
    </w:rPr>
  </w:style>
  <w:style w:type="paragraph" w:styleId="ListParagraph">
    <w:name w:val="List Paragraph"/>
    <w:basedOn w:val="Normal"/>
    <w:uiPriority w:val="34"/>
    <w:qFormat/>
    <w:rsid w:val="00A73A73"/>
    <w:pPr>
      <w:ind w:left="720"/>
      <w:contextualSpacing/>
    </w:pPr>
  </w:style>
  <w:style w:type="character" w:styleId="IntenseEmphasis">
    <w:name w:val="Intense Emphasis"/>
    <w:basedOn w:val="DefaultParagraphFont"/>
    <w:uiPriority w:val="21"/>
    <w:qFormat/>
    <w:rsid w:val="00A73A73"/>
    <w:rPr>
      <w:i/>
      <w:iCs/>
      <w:color w:val="0F4761" w:themeColor="accent1" w:themeShade="BF"/>
    </w:rPr>
  </w:style>
  <w:style w:type="paragraph" w:styleId="IntenseQuote">
    <w:name w:val="Intense Quote"/>
    <w:basedOn w:val="Normal"/>
    <w:next w:val="Normal"/>
    <w:link w:val="IntenseQuoteChar"/>
    <w:uiPriority w:val="30"/>
    <w:qFormat/>
    <w:rsid w:val="00A73A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3A73"/>
    <w:rPr>
      <w:i/>
      <w:iCs/>
      <w:color w:val="0F4761" w:themeColor="accent1" w:themeShade="BF"/>
    </w:rPr>
  </w:style>
  <w:style w:type="character" w:styleId="IntenseReference">
    <w:name w:val="Intense Reference"/>
    <w:basedOn w:val="DefaultParagraphFont"/>
    <w:uiPriority w:val="32"/>
    <w:qFormat/>
    <w:rsid w:val="00A73A73"/>
    <w:rPr>
      <w:b/>
      <w:bCs/>
      <w:smallCaps/>
      <w:color w:val="0F4761" w:themeColor="accent1" w:themeShade="BF"/>
      <w:spacing w:val="5"/>
    </w:rPr>
  </w:style>
  <w:style w:type="paragraph" w:styleId="Header">
    <w:name w:val="header"/>
    <w:basedOn w:val="Normal"/>
    <w:link w:val="HeaderChar"/>
    <w:uiPriority w:val="99"/>
    <w:unhideWhenUsed/>
    <w:rsid w:val="004F0F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0FAC"/>
  </w:style>
  <w:style w:type="paragraph" w:styleId="Footer">
    <w:name w:val="footer"/>
    <w:basedOn w:val="Normal"/>
    <w:link w:val="FooterChar"/>
    <w:uiPriority w:val="99"/>
    <w:unhideWhenUsed/>
    <w:rsid w:val="004F0F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FAC"/>
  </w:style>
  <w:style w:type="character" w:styleId="Hyperlink">
    <w:name w:val="Hyperlink"/>
    <w:basedOn w:val="DefaultParagraphFont"/>
    <w:uiPriority w:val="99"/>
    <w:unhideWhenUsed/>
    <w:rsid w:val="005C3675"/>
    <w:rPr>
      <w:color w:val="467886" w:themeColor="hyperlink"/>
      <w:u w:val="single"/>
    </w:rPr>
  </w:style>
  <w:style w:type="character" w:styleId="UnresolvedMention">
    <w:name w:val="Unresolved Mention"/>
    <w:basedOn w:val="DefaultParagraphFont"/>
    <w:uiPriority w:val="99"/>
    <w:semiHidden/>
    <w:unhideWhenUsed/>
    <w:rsid w:val="005C3675"/>
    <w:rPr>
      <w:color w:val="605E5C"/>
      <w:shd w:val="clear" w:color="auto" w:fill="E1DFDD"/>
    </w:rPr>
  </w:style>
  <w:style w:type="paragraph" w:styleId="NormalWeb">
    <w:name w:val="Normal (Web)"/>
    <w:basedOn w:val="Normal"/>
    <w:uiPriority w:val="99"/>
    <w:semiHidden/>
    <w:unhideWhenUsed/>
    <w:rsid w:val="005C3675"/>
    <w:rPr>
      <w:rFonts w:ascii="Times New Roman" w:hAnsi="Times New Roman" w:cs="Times New Roman"/>
      <w:sz w:val="24"/>
      <w:szCs w:val="24"/>
    </w:rPr>
  </w:style>
  <w:style w:type="character" w:customStyle="1" w:styleId="apple-converted-space">
    <w:name w:val="apple-converted-space"/>
    <w:basedOn w:val="DefaultParagraphFont"/>
    <w:rsid w:val="000B04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1118876">
      <w:bodyDiv w:val="1"/>
      <w:marLeft w:val="0"/>
      <w:marRight w:val="0"/>
      <w:marTop w:val="0"/>
      <w:marBottom w:val="0"/>
      <w:divBdr>
        <w:top w:val="none" w:sz="0" w:space="0" w:color="auto"/>
        <w:left w:val="none" w:sz="0" w:space="0" w:color="auto"/>
        <w:bottom w:val="none" w:sz="0" w:space="0" w:color="auto"/>
        <w:right w:val="none" w:sz="0" w:space="0" w:color="auto"/>
      </w:divBdr>
    </w:div>
    <w:div w:id="196434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18</Pages>
  <Words>4018</Words>
  <Characters>22903</Characters>
  <Application>Microsoft Office Word</Application>
  <DocSecurity>0</DocSecurity>
  <Lines>190</Lines>
  <Paragraphs>53</Paragraphs>
  <ScaleCrop>false</ScaleCrop>
  <Company/>
  <LinksUpToDate>false</LinksUpToDate>
  <CharactersWithSpaces>26868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Linsey Smith</dc:creator>
  <cp:keywords/>
  <dc:description/>
  <cp:lastModifiedBy>Linsey Smith</cp:lastModifiedBy>
  <cp:revision>63</cp:revision>
  <dcterms:created xsi:type="dcterms:W3CDTF">2024-07-01T16:54:00Z</dcterms:created>
  <dcterms:modified xsi:type="dcterms:W3CDTF">2024-07-09T14:25:00Z</dcterms:modified>
</cp:coreProperties>
</file>