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0" w:lineRule="auto"/>
        <w:jc w:val="center"/>
        <w:rPr>
          <w:b w:val="1"/>
        </w:rPr>
      </w:pPr>
      <w:r w:rsidDel="00000000" w:rsidR="00000000" w:rsidRPr="00000000">
        <w:rPr>
          <w:rtl w:val="0"/>
        </w:rPr>
      </w:r>
    </w:p>
    <w:p w:rsidR="00000000" w:rsidDel="00000000" w:rsidP="00000000" w:rsidRDefault="00000000" w:rsidRPr="00000000" w14:paraId="00000002">
      <w:pPr>
        <w:spacing w:after="0" w:lineRule="auto"/>
        <w:jc w:val="center"/>
        <w:rPr>
          <w:b w:val="1"/>
        </w:rPr>
      </w:pPr>
      <w:r w:rsidDel="00000000" w:rsidR="00000000" w:rsidRPr="00000000">
        <w:rPr>
          <w:rtl w:val="0"/>
        </w:rPr>
      </w:r>
    </w:p>
    <w:p w:rsidR="00000000" w:rsidDel="00000000" w:rsidP="00000000" w:rsidRDefault="00000000" w:rsidRPr="00000000" w14:paraId="00000003">
      <w:pPr>
        <w:spacing w:after="0" w:lineRule="auto"/>
        <w:jc w:val="center"/>
        <w:rPr>
          <w:b w:val="1"/>
        </w:rPr>
      </w:pPr>
      <w:r w:rsidDel="00000000" w:rsidR="00000000" w:rsidRPr="00000000">
        <w:rPr>
          <w:rtl w:val="0"/>
        </w:rPr>
      </w:r>
    </w:p>
    <w:p w:rsidR="00000000" w:rsidDel="00000000" w:rsidP="00000000" w:rsidRDefault="00000000" w:rsidRPr="00000000" w14:paraId="00000004">
      <w:pPr>
        <w:spacing w:after="0" w:lineRule="auto"/>
        <w:jc w:val="center"/>
        <w:rPr>
          <w:b w:val="1"/>
        </w:rPr>
      </w:pPr>
      <w:r w:rsidDel="00000000" w:rsidR="00000000" w:rsidRPr="00000000">
        <w:rPr>
          <w:rtl w:val="0"/>
        </w:rPr>
      </w:r>
    </w:p>
    <w:p w:rsidR="00000000" w:rsidDel="00000000" w:rsidP="00000000" w:rsidRDefault="00000000" w:rsidRPr="00000000" w14:paraId="00000005">
      <w:pPr>
        <w:spacing w:after="0" w:lineRule="auto"/>
        <w:jc w:val="center"/>
        <w:rPr>
          <w:b w:val="1"/>
        </w:rPr>
      </w:pPr>
      <w:r w:rsidDel="00000000" w:rsidR="00000000" w:rsidRPr="00000000">
        <w:rPr>
          <w:b w:val="1"/>
          <w:rtl w:val="0"/>
        </w:rPr>
        <w:t xml:space="preserve">Report Case Study: </w:t>
      </w:r>
    </w:p>
    <w:p w:rsidR="00000000" w:rsidDel="00000000" w:rsidP="00000000" w:rsidRDefault="00000000" w:rsidRPr="00000000" w14:paraId="00000006">
      <w:pPr>
        <w:spacing w:after="0" w:lineRule="auto"/>
        <w:jc w:val="center"/>
        <w:rPr>
          <w:b w:val="1"/>
        </w:rPr>
      </w:pPr>
      <w:r w:rsidDel="00000000" w:rsidR="00000000" w:rsidRPr="00000000">
        <w:rPr>
          <w:b w:val="1"/>
          <w:rtl w:val="0"/>
        </w:rPr>
        <w:t xml:space="preserve">Urban Heights Hotel</w:t>
      </w:r>
    </w:p>
    <w:p w:rsidR="00000000" w:rsidDel="00000000" w:rsidP="00000000" w:rsidRDefault="00000000" w:rsidRPr="00000000" w14:paraId="00000007">
      <w:pPr>
        <w:spacing w:after="0" w:lineRule="auto"/>
        <w:jc w:val="left"/>
        <w:rPr>
          <w:b w:val="1"/>
        </w:rPr>
      </w:pPr>
      <w:r w:rsidDel="00000000" w:rsidR="00000000" w:rsidRPr="00000000">
        <w:rPr>
          <w:rtl w:val="0"/>
        </w:rPr>
      </w:r>
    </w:p>
    <w:p w:rsidR="00000000" w:rsidDel="00000000" w:rsidP="00000000" w:rsidRDefault="00000000" w:rsidRPr="00000000" w14:paraId="00000008">
      <w:pPr>
        <w:spacing w:after="0" w:lineRule="auto"/>
        <w:jc w:val="left"/>
        <w:rPr>
          <w:b w:val="1"/>
        </w:rPr>
      </w:pPr>
      <w:r w:rsidDel="00000000" w:rsidR="00000000" w:rsidRPr="00000000">
        <w:rPr>
          <w:rtl w:val="0"/>
        </w:rPr>
      </w:r>
    </w:p>
    <w:p w:rsidR="00000000" w:rsidDel="00000000" w:rsidP="00000000" w:rsidRDefault="00000000" w:rsidRPr="00000000" w14:paraId="00000009">
      <w:pPr>
        <w:spacing w:after="0" w:lineRule="auto"/>
        <w:jc w:val="left"/>
        <w:rPr>
          <w:b w:val="1"/>
        </w:rPr>
      </w:pPr>
      <w:r w:rsidDel="00000000" w:rsidR="00000000" w:rsidRPr="00000000">
        <w:rPr>
          <w:rtl w:val="0"/>
        </w:rPr>
      </w:r>
    </w:p>
    <w:p w:rsidR="00000000" w:rsidDel="00000000" w:rsidP="00000000" w:rsidRDefault="00000000" w:rsidRPr="00000000" w14:paraId="0000000A">
      <w:pPr>
        <w:spacing w:after="0" w:lineRule="auto"/>
        <w:jc w:val="left"/>
        <w:rPr>
          <w:b w:val="1"/>
        </w:rPr>
      </w:pPr>
      <w:r w:rsidDel="00000000" w:rsidR="00000000" w:rsidRPr="00000000">
        <w:rPr>
          <w:rtl w:val="0"/>
        </w:rPr>
      </w:r>
    </w:p>
    <w:p w:rsidR="00000000" w:rsidDel="00000000" w:rsidP="00000000" w:rsidRDefault="00000000" w:rsidRPr="00000000" w14:paraId="0000000B">
      <w:pPr>
        <w:spacing w:after="0" w:lineRule="auto"/>
        <w:jc w:val="left"/>
        <w:rPr>
          <w:b w:val="1"/>
        </w:rPr>
      </w:pPr>
      <w:r w:rsidDel="00000000" w:rsidR="00000000" w:rsidRPr="00000000">
        <w:rPr>
          <w:rtl w:val="0"/>
        </w:rPr>
      </w:r>
    </w:p>
    <w:p w:rsidR="00000000" w:rsidDel="00000000" w:rsidP="00000000" w:rsidRDefault="00000000" w:rsidRPr="00000000" w14:paraId="0000000C">
      <w:pPr>
        <w:spacing w:after="0" w:lineRule="auto"/>
        <w:jc w:val="left"/>
        <w:rPr>
          <w:b w:val="1"/>
        </w:rPr>
      </w:pPr>
      <w:r w:rsidDel="00000000" w:rsidR="00000000" w:rsidRPr="00000000">
        <w:rPr>
          <w:rtl w:val="0"/>
        </w:rPr>
      </w:r>
    </w:p>
    <w:p w:rsidR="00000000" w:rsidDel="00000000" w:rsidP="00000000" w:rsidRDefault="00000000" w:rsidRPr="00000000" w14:paraId="0000000D">
      <w:pPr>
        <w:spacing w:after="0" w:lineRule="auto"/>
        <w:jc w:val="left"/>
        <w:rPr/>
      </w:pPr>
      <w:r w:rsidDel="00000000" w:rsidR="00000000" w:rsidRPr="00000000">
        <w:rPr>
          <w:b w:val="1"/>
          <w:rtl w:val="0"/>
        </w:rPr>
        <w:t xml:space="preserve">Tutor name: </w:t>
      </w:r>
      <w:r w:rsidDel="00000000" w:rsidR="00000000" w:rsidRPr="00000000">
        <w:rPr>
          <w:rtl w:val="0"/>
        </w:rPr>
        <w:t xml:space="preserve">Tristan Hawkins</w:t>
      </w:r>
    </w:p>
    <w:p w:rsidR="00000000" w:rsidDel="00000000" w:rsidP="00000000" w:rsidRDefault="00000000" w:rsidRPr="00000000" w14:paraId="0000000E">
      <w:pPr>
        <w:spacing w:after="0" w:lineRule="auto"/>
        <w:jc w:val="left"/>
        <w:rPr/>
      </w:pPr>
      <w:r w:rsidDel="00000000" w:rsidR="00000000" w:rsidRPr="00000000">
        <w:rPr>
          <w:b w:val="1"/>
          <w:rtl w:val="0"/>
        </w:rPr>
        <w:t xml:space="preserve">Module name: </w:t>
      </w:r>
      <w:r w:rsidDel="00000000" w:rsidR="00000000" w:rsidRPr="00000000">
        <w:rPr>
          <w:rtl w:val="0"/>
        </w:rPr>
        <w:t xml:space="preserve">Financial Management for the Hotel Industry</w:t>
      </w:r>
    </w:p>
    <w:p w:rsidR="00000000" w:rsidDel="00000000" w:rsidP="00000000" w:rsidRDefault="00000000" w:rsidRPr="00000000" w14:paraId="0000000F">
      <w:pPr>
        <w:spacing w:after="0" w:lineRule="auto"/>
        <w:jc w:val="left"/>
        <w:rPr/>
      </w:pPr>
      <w:r w:rsidDel="00000000" w:rsidR="00000000" w:rsidRPr="00000000">
        <w:rPr>
          <w:b w:val="1"/>
          <w:rtl w:val="0"/>
        </w:rPr>
        <w:t xml:space="preserve">Module code: </w:t>
      </w:r>
      <w:r w:rsidDel="00000000" w:rsidR="00000000" w:rsidRPr="00000000">
        <w:rPr>
          <w:rtl w:val="0"/>
        </w:rPr>
        <w:t xml:space="preserve">BMIH 5007</w:t>
      </w:r>
    </w:p>
    <w:p w:rsidR="00000000" w:rsidDel="00000000" w:rsidP="00000000" w:rsidRDefault="00000000" w:rsidRPr="00000000" w14:paraId="00000010">
      <w:pPr>
        <w:spacing w:after="0" w:lineRule="auto"/>
        <w:jc w:val="left"/>
        <w:rPr/>
      </w:pPr>
      <w:r w:rsidDel="00000000" w:rsidR="00000000" w:rsidRPr="00000000">
        <w:rPr>
          <w:b w:val="1"/>
          <w:rtl w:val="0"/>
        </w:rPr>
        <w:t xml:space="preserve">Student name: </w:t>
      </w:r>
      <w:r w:rsidDel="00000000" w:rsidR="00000000" w:rsidRPr="00000000">
        <w:rPr>
          <w:rtl w:val="0"/>
        </w:rPr>
        <w:t xml:space="preserve">Ionut Margarit</w:t>
      </w:r>
    </w:p>
    <w:p w:rsidR="00000000" w:rsidDel="00000000" w:rsidP="00000000" w:rsidRDefault="00000000" w:rsidRPr="00000000" w14:paraId="00000011">
      <w:pPr>
        <w:spacing w:after="0" w:lineRule="auto"/>
        <w:jc w:val="left"/>
        <w:rPr/>
      </w:pPr>
      <w:r w:rsidDel="00000000" w:rsidR="00000000" w:rsidRPr="00000000">
        <w:rPr>
          <w:b w:val="1"/>
          <w:rtl w:val="0"/>
        </w:rPr>
        <w:t xml:space="preserve">Student code: </w:t>
      </w:r>
      <w:r w:rsidDel="00000000" w:rsidR="00000000" w:rsidRPr="00000000">
        <w:rPr>
          <w:rtl w:val="0"/>
        </w:rPr>
        <w:t xml:space="preserve">2229576</w:t>
      </w:r>
    </w:p>
    <w:p w:rsidR="00000000" w:rsidDel="00000000" w:rsidP="00000000" w:rsidRDefault="00000000" w:rsidRPr="00000000" w14:paraId="00000012">
      <w:pPr>
        <w:spacing w:after="0" w:lineRule="auto"/>
        <w:jc w:val="left"/>
        <w:rPr>
          <w:b w:val="1"/>
        </w:rPr>
      </w:pPr>
      <w:r w:rsidDel="00000000" w:rsidR="00000000" w:rsidRPr="00000000">
        <w:rPr>
          <w:rtl w:val="0"/>
        </w:rPr>
      </w:r>
    </w:p>
    <w:p w:rsidR="00000000" w:rsidDel="00000000" w:rsidP="00000000" w:rsidRDefault="00000000" w:rsidRPr="00000000" w14:paraId="00000013">
      <w:pPr>
        <w:spacing w:after="0" w:lineRule="auto"/>
        <w:jc w:val="left"/>
        <w:rPr>
          <w:b w:val="1"/>
        </w:rPr>
      </w:pPr>
      <w:r w:rsidDel="00000000" w:rsidR="00000000" w:rsidRPr="00000000">
        <w:rPr>
          <w:rtl w:val="0"/>
        </w:rPr>
      </w:r>
    </w:p>
    <w:p w:rsidR="00000000" w:rsidDel="00000000" w:rsidP="00000000" w:rsidRDefault="00000000" w:rsidRPr="00000000" w14:paraId="00000014">
      <w:pPr>
        <w:spacing w:after="0" w:lineRule="auto"/>
        <w:jc w:val="left"/>
        <w:rPr>
          <w:b w:val="1"/>
        </w:rPr>
      </w:pPr>
      <w:r w:rsidDel="00000000" w:rsidR="00000000" w:rsidRPr="00000000">
        <w:rPr>
          <w:rtl w:val="0"/>
        </w:rPr>
      </w:r>
    </w:p>
    <w:p w:rsidR="00000000" w:rsidDel="00000000" w:rsidP="00000000" w:rsidRDefault="00000000" w:rsidRPr="00000000" w14:paraId="00000015">
      <w:pPr>
        <w:spacing w:after="0" w:lineRule="auto"/>
        <w:jc w:val="left"/>
        <w:rPr>
          <w:b w:val="1"/>
        </w:rPr>
      </w:pPr>
      <w:r w:rsidDel="00000000" w:rsidR="00000000" w:rsidRPr="00000000">
        <w:rPr>
          <w:rtl w:val="0"/>
        </w:rPr>
      </w:r>
    </w:p>
    <w:p w:rsidR="00000000" w:rsidDel="00000000" w:rsidP="00000000" w:rsidRDefault="00000000" w:rsidRPr="00000000" w14:paraId="00000016">
      <w:pPr>
        <w:spacing w:after="0" w:lineRule="auto"/>
        <w:jc w:val="left"/>
        <w:rPr>
          <w:b w:val="1"/>
        </w:rPr>
      </w:pPr>
      <w:r w:rsidDel="00000000" w:rsidR="00000000" w:rsidRPr="00000000">
        <w:rPr>
          <w:rtl w:val="0"/>
        </w:rPr>
      </w:r>
    </w:p>
    <w:p w:rsidR="00000000" w:rsidDel="00000000" w:rsidP="00000000" w:rsidRDefault="00000000" w:rsidRPr="00000000" w14:paraId="00000017">
      <w:pPr>
        <w:spacing w:after="0" w:lineRule="auto"/>
        <w:jc w:val="left"/>
        <w:rPr>
          <w:b w:val="1"/>
        </w:rPr>
      </w:pPr>
      <w:r w:rsidDel="00000000" w:rsidR="00000000" w:rsidRPr="00000000">
        <w:rPr>
          <w:rtl w:val="0"/>
        </w:rPr>
      </w:r>
    </w:p>
    <w:p w:rsidR="00000000" w:rsidDel="00000000" w:rsidP="00000000" w:rsidRDefault="00000000" w:rsidRPr="00000000" w14:paraId="00000018">
      <w:pPr>
        <w:spacing w:after="0" w:lineRule="auto"/>
        <w:jc w:val="left"/>
        <w:rPr>
          <w:b w:val="1"/>
        </w:rPr>
      </w:pPr>
      <w:r w:rsidDel="00000000" w:rsidR="00000000" w:rsidRPr="00000000">
        <w:rPr>
          <w:rtl w:val="0"/>
        </w:rPr>
      </w:r>
    </w:p>
    <w:p w:rsidR="00000000" w:rsidDel="00000000" w:rsidP="00000000" w:rsidRDefault="00000000" w:rsidRPr="00000000" w14:paraId="00000019">
      <w:pPr>
        <w:spacing w:after="0" w:lineRule="auto"/>
        <w:jc w:val="left"/>
        <w:rPr>
          <w:b w:val="1"/>
        </w:rPr>
      </w:pPr>
      <w:r w:rsidDel="00000000" w:rsidR="00000000" w:rsidRPr="00000000">
        <w:rPr>
          <w:rtl w:val="0"/>
        </w:rPr>
      </w:r>
    </w:p>
    <w:p w:rsidR="00000000" w:rsidDel="00000000" w:rsidP="00000000" w:rsidRDefault="00000000" w:rsidRPr="00000000" w14:paraId="0000001A">
      <w:pPr>
        <w:spacing w:after="0" w:lineRule="auto"/>
        <w:jc w:val="left"/>
        <w:rPr>
          <w:b w:val="1"/>
        </w:rPr>
      </w:pPr>
      <w:r w:rsidDel="00000000" w:rsidR="00000000" w:rsidRPr="00000000">
        <w:rPr>
          <w:rtl w:val="0"/>
        </w:rPr>
      </w:r>
    </w:p>
    <w:p w:rsidR="00000000" w:rsidDel="00000000" w:rsidP="00000000" w:rsidRDefault="00000000" w:rsidRPr="00000000" w14:paraId="0000001B">
      <w:pPr>
        <w:spacing w:after="0" w:lineRule="auto"/>
        <w:jc w:val="left"/>
        <w:rPr>
          <w:b w:val="1"/>
        </w:rPr>
      </w:pPr>
      <w:r w:rsidDel="00000000" w:rsidR="00000000" w:rsidRPr="00000000">
        <w:rPr>
          <w:rtl w:val="0"/>
        </w:rPr>
      </w:r>
    </w:p>
    <w:p w:rsidR="00000000" w:rsidDel="00000000" w:rsidP="00000000" w:rsidRDefault="00000000" w:rsidRPr="00000000" w14:paraId="0000001C">
      <w:pPr>
        <w:spacing w:after="0" w:lineRule="auto"/>
        <w:jc w:val="left"/>
        <w:rPr>
          <w:b w:val="1"/>
        </w:rPr>
      </w:pPr>
      <w:r w:rsidDel="00000000" w:rsidR="00000000" w:rsidRPr="00000000">
        <w:rPr>
          <w:b w:val="1"/>
          <w:rtl w:val="0"/>
        </w:rPr>
        <w:t xml:space="preserve">Word Count: 2109</w:t>
      </w:r>
    </w:p>
    <w:p w:rsidR="00000000" w:rsidDel="00000000" w:rsidP="00000000" w:rsidRDefault="00000000" w:rsidRPr="00000000" w14:paraId="0000001D">
      <w:pPr>
        <w:spacing w:after="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1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432" w:right="0" w:hanging="432"/>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bookmarkStart w:colFirst="0" w:colLast="0" w:name="_heading=h.gjdgxs" w:id="0"/>
      <w:bookmarkEnd w:id="0"/>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F">
          <w:pPr>
            <w:widowControl w:val="0"/>
            <w:tabs>
              <w:tab w:val="right" w:leader="dot" w:pos="12000"/>
            </w:tabs>
            <w:spacing w:after="0" w:before="60" w:line="240" w:lineRule="auto"/>
            <w:jc w:val="left"/>
            <w:rPr>
              <w:b w:val="1"/>
              <w:color w:val="000000"/>
              <w:u w:val="none"/>
            </w:rPr>
          </w:pPr>
          <w:r w:rsidDel="00000000" w:rsidR="00000000" w:rsidRPr="00000000">
            <w:fldChar w:fldCharType="begin"/>
            <w:instrText xml:space="preserve"> TOC \h \u \z \t "Heading 1,1,Heading 2,2,Heading 3,3,Heading 4,4,Heading 5,5,Heading 6,6,"</w:instrText>
            <w:fldChar w:fldCharType="separate"/>
          </w:r>
          <w:hyperlink w:anchor="_heading=h.w0xlz8vz7ljl">
            <w:r w:rsidDel="00000000" w:rsidR="00000000" w:rsidRPr="00000000">
              <w:rPr>
                <w:b w:val="1"/>
                <w:color w:val="000000"/>
                <w:u w:val="none"/>
                <w:rtl w:val="0"/>
              </w:rPr>
              <w:t xml:space="preserve">Executive Summary</w:t>
              <w:tab/>
              <w:t xml:space="preserve">2</w:t>
            </w:r>
          </w:hyperlink>
          <w:r w:rsidDel="00000000" w:rsidR="00000000" w:rsidRPr="00000000">
            <w:rPr>
              <w:rtl w:val="0"/>
            </w:rPr>
          </w:r>
        </w:p>
        <w:p w:rsidR="00000000" w:rsidDel="00000000" w:rsidP="00000000" w:rsidRDefault="00000000" w:rsidRPr="00000000" w14:paraId="00000020">
          <w:pPr>
            <w:widowControl w:val="0"/>
            <w:tabs>
              <w:tab w:val="right" w:leader="dot" w:pos="12000"/>
            </w:tabs>
            <w:spacing w:after="0" w:before="60" w:line="240" w:lineRule="auto"/>
            <w:jc w:val="left"/>
            <w:rPr>
              <w:b w:val="1"/>
              <w:color w:val="000000"/>
              <w:u w:val="none"/>
            </w:rPr>
          </w:pPr>
          <w:hyperlink w:anchor="_heading=h.479erp2re7v8">
            <w:r w:rsidDel="00000000" w:rsidR="00000000" w:rsidRPr="00000000">
              <w:rPr>
                <w:b w:val="1"/>
                <w:color w:val="000000"/>
                <w:u w:val="none"/>
                <w:rtl w:val="0"/>
              </w:rPr>
              <w:t xml:space="preserve">Key Findings:</w:t>
              <w:tab/>
              <w:t xml:space="preserve">2</w:t>
            </w:r>
          </w:hyperlink>
          <w:r w:rsidDel="00000000" w:rsidR="00000000" w:rsidRPr="00000000">
            <w:rPr>
              <w:rtl w:val="0"/>
            </w:rPr>
          </w:r>
        </w:p>
        <w:p w:rsidR="00000000" w:rsidDel="00000000" w:rsidP="00000000" w:rsidRDefault="00000000" w:rsidRPr="00000000" w14:paraId="00000021">
          <w:pPr>
            <w:widowControl w:val="0"/>
            <w:tabs>
              <w:tab w:val="right" w:leader="dot" w:pos="12000"/>
            </w:tabs>
            <w:spacing w:after="0" w:before="60" w:line="240" w:lineRule="auto"/>
            <w:ind w:left="360" w:firstLine="0"/>
            <w:jc w:val="left"/>
            <w:rPr>
              <w:color w:val="000000"/>
              <w:u w:val="none"/>
            </w:rPr>
          </w:pPr>
          <w:hyperlink w:anchor="_heading=h.605qzue86o3h">
            <w:r w:rsidDel="00000000" w:rsidR="00000000" w:rsidRPr="00000000">
              <w:rPr>
                <w:color w:val="000000"/>
                <w:u w:val="none"/>
                <w:rtl w:val="0"/>
              </w:rPr>
              <w:t xml:space="preserve">● Financial Performance Trends:</w:t>
              <w:tab/>
              <w:t xml:space="preserve">2</w:t>
            </w:r>
          </w:hyperlink>
          <w:r w:rsidDel="00000000" w:rsidR="00000000" w:rsidRPr="00000000">
            <w:rPr>
              <w:rtl w:val="0"/>
            </w:rPr>
          </w:r>
        </w:p>
        <w:p w:rsidR="00000000" w:rsidDel="00000000" w:rsidP="00000000" w:rsidRDefault="00000000" w:rsidRPr="00000000" w14:paraId="00000022">
          <w:pPr>
            <w:widowControl w:val="0"/>
            <w:tabs>
              <w:tab w:val="right" w:leader="dot" w:pos="12000"/>
            </w:tabs>
            <w:spacing w:after="0" w:before="60" w:line="240" w:lineRule="auto"/>
            <w:ind w:left="360" w:firstLine="0"/>
            <w:jc w:val="left"/>
            <w:rPr>
              <w:color w:val="000000"/>
              <w:u w:val="none"/>
            </w:rPr>
          </w:pPr>
          <w:hyperlink w:anchor="_heading=h.v8pbgpaxgwe8">
            <w:r w:rsidDel="00000000" w:rsidR="00000000" w:rsidRPr="00000000">
              <w:rPr>
                <w:color w:val="000000"/>
                <w:u w:val="none"/>
                <w:rtl w:val="0"/>
              </w:rPr>
              <w:t xml:space="preserve">● Reasons for Decline:</w:t>
              <w:tab/>
              <w:t xml:space="preserve">2</w:t>
            </w:r>
          </w:hyperlink>
          <w:r w:rsidDel="00000000" w:rsidR="00000000" w:rsidRPr="00000000">
            <w:rPr>
              <w:rtl w:val="0"/>
            </w:rPr>
          </w:r>
        </w:p>
        <w:p w:rsidR="00000000" w:rsidDel="00000000" w:rsidP="00000000" w:rsidRDefault="00000000" w:rsidRPr="00000000" w14:paraId="00000023">
          <w:pPr>
            <w:widowControl w:val="0"/>
            <w:tabs>
              <w:tab w:val="right" w:leader="dot" w:pos="12000"/>
            </w:tabs>
            <w:spacing w:after="0" w:before="60" w:line="240" w:lineRule="auto"/>
            <w:ind w:left="360" w:firstLine="0"/>
            <w:jc w:val="left"/>
            <w:rPr>
              <w:color w:val="000000"/>
              <w:u w:val="none"/>
            </w:rPr>
          </w:pPr>
          <w:hyperlink w:anchor="_heading=h.ntse80cq1y6q">
            <w:r w:rsidDel="00000000" w:rsidR="00000000" w:rsidRPr="00000000">
              <w:rPr>
                <w:color w:val="000000"/>
                <w:u w:val="none"/>
                <w:rtl w:val="0"/>
              </w:rPr>
              <w:t xml:space="preserve">● Turnaround Strategy:</w:t>
              <w:tab/>
              <w:t xml:space="preserve">2</w:t>
            </w:r>
          </w:hyperlink>
          <w:r w:rsidDel="00000000" w:rsidR="00000000" w:rsidRPr="00000000">
            <w:rPr>
              <w:rtl w:val="0"/>
            </w:rPr>
          </w:r>
        </w:p>
        <w:p w:rsidR="00000000" w:rsidDel="00000000" w:rsidP="00000000" w:rsidRDefault="00000000" w:rsidRPr="00000000" w14:paraId="00000024">
          <w:pPr>
            <w:widowControl w:val="0"/>
            <w:tabs>
              <w:tab w:val="right" w:leader="dot" w:pos="12000"/>
            </w:tabs>
            <w:spacing w:after="0" w:before="60" w:line="240" w:lineRule="auto"/>
            <w:ind w:left="360" w:firstLine="0"/>
            <w:jc w:val="left"/>
            <w:rPr>
              <w:color w:val="000000"/>
              <w:u w:val="none"/>
            </w:rPr>
          </w:pPr>
          <w:hyperlink w:anchor="_heading=h.nw11egllyz5s">
            <w:r w:rsidDel="00000000" w:rsidR="00000000" w:rsidRPr="00000000">
              <w:rPr>
                <w:color w:val="000000"/>
                <w:u w:val="none"/>
                <w:rtl w:val="0"/>
              </w:rPr>
              <w:t xml:space="preserve">● BCG Matrix Analysis:</w:t>
              <w:tab/>
              <w:t xml:space="preserve">3</w:t>
            </w:r>
          </w:hyperlink>
          <w:r w:rsidDel="00000000" w:rsidR="00000000" w:rsidRPr="00000000">
            <w:rPr>
              <w:rtl w:val="0"/>
            </w:rPr>
          </w:r>
        </w:p>
        <w:p w:rsidR="00000000" w:rsidDel="00000000" w:rsidP="00000000" w:rsidRDefault="00000000" w:rsidRPr="00000000" w14:paraId="00000025">
          <w:pPr>
            <w:widowControl w:val="0"/>
            <w:tabs>
              <w:tab w:val="right" w:leader="dot" w:pos="12000"/>
            </w:tabs>
            <w:spacing w:after="0" w:before="60" w:line="240" w:lineRule="auto"/>
            <w:jc w:val="left"/>
            <w:rPr>
              <w:b w:val="1"/>
              <w:color w:val="000000"/>
              <w:u w:val="none"/>
            </w:rPr>
          </w:pPr>
          <w:hyperlink w:anchor="_heading=h.lcew1fph0tdi">
            <w:r w:rsidDel="00000000" w:rsidR="00000000" w:rsidRPr="00000000">
              <w:rPr>
                <w:b w:val="1"/>
                <w:color w:val="000000"/>
                <w:u w:val="none"/>
                <w:rtl w:val="0"/>
              </w:rPr>
              <w:t xml:space="preserve">Financial Projections:</w:t>
              <w:tab/>
              <w:t xml:space="preserve">3</w:t>
            </w:r>
          </w:hyperlink>
          <w:r w:rsidDel="00000000" w:rsidR="00000000" w:rsidRPr="00000000">
            <w:rPr>
              <w:rtl w:val="0"/>
            </w:rPr>
          </w:r>
        </w:p>
        <w:p w:rsidR="00000000" w:rsidDel="00000000" w:rsidP="00000000" w:rsidRDefault="00000000" w:rsidRPr="00000000" w14:paraId="00000026">
          <w:pPr>
            <w:widowControl w:val="0"/>
            <w:tabs>
              <w:tab w:val="right" w:leader="dot" w:pos="12000"/>
            </w:tabs>
            <w:spacing w:after="0" w:before="60" w:line="240" w:lineRule="auto"/>
            <w:jc w:val="left"/>
            <w:rPr>
              <w:b w:val="1"/>
              <w:color w:val="000000"/>
              <w:u w:val="none"/>
            </w:rPr>
          </w:pPr>
          <w:hyperlink w:anchor="_heading=h.yvm5kin63nvv">
            <w:r w:rsidDel="00000000" w:rsidR="00000000" w:rsidRPr="00000000">
              <w:rPr>
                <w:b w:val="1"/>
                <w:color w:val="000000"/>
                <w:u w:val="none"/>
                <w:rtl w:val="0"/>
              </w:rPr>
              <w:t xml:space="preserve">Conclusion:</w:t>
              <w:tab/>
              <w:t xml:space="preserve">3</w:t>
            </w:r>
          </w:hyperlink>
          <w:r w:rsidDel="00000000" w:rsidR="00000000" w:rsidRPr="00000000">
            <w:rPr>
              <w:rtl w:val="0"/>
            </w:rPr>
          </w:r>
        </w:p>
        <w:p w:rsidR="00000000" w:rsidDel="00000000" w:rsidP="00000000" w:rsidRDefault="00000000" w:rsidRPr="00000000" w14:paraId="00000027">
          <w:pPr>
            <w:widowControl w:val="0"/>
            <w:tabs>
              <w:tab w:val="right" w:leader="dot" w:pos="12000"/>
            </w:tabs>
            <w:spacing w:after="0" w:before="60" w:line="240" w:lineRule="auto"/>
            <w:jc w:val="left"/>
            <w:rPr>
              <w:b w:val="1"/>
              <w:color w:val="000000"/>
              <w:u w:val="none"/>
            </w:rPr>
          </w:pPr>
          <w:hyperlink w:anchor="_heading=h.30j0zll">
            <w:r w:rsidDel="00000000" w:rsidR="00000000" w:rsidRPr="00000000">
              <w:rPr>
                <w:b w:val="1"/>
                <w:color w:val="000000"/>
                <w:u w:val="no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28">
          <w:pPr>
            <w:widowControl w:val="0"/>
            <w:tabs>
              <w:tab w:val="right" w:leader="dot" w:pos="12000"/>
            </w:tabs>
            <w:spacing w:after="0" w:before="60" w:line="240" w:lineRule="auto"/>
            <w:jc w:val="left"/>
            <w:rPr>
              <w:b w:val="1"/>
              <w:color w:val="000000"/>
              <w:u w:val="none"/>
            </w:rPr>
          </w:pPr>
          <w:hyperlink w:anchor="_heading=h.1fob9te">
            <w:r w:rsidDel="00000000" w:rsidR="00000000" w:rsidRPr="00000000">
              <w:rPr>
                <w:b w:val="1"/>
                <w:color w:val="000000"/>
                <w:u w:val="none"/>
                <w:rtl w:val="0"/>
              </w:rPr>
              <w:t xml:space="preserve">2 Trends and Patterns in Urban Heights Hotel’s Financial Performance</w:t>
              <w:tab/>
              <w:t xml:space="preserve">4</w:t>
            </w:r>
          </w:hyperlink>
          <w:r w:rsidDel="00000000" w:rsidR="00000000" w:rsidRPr="00000000">
            <w:rPr>
              <w:rtl w:val="0"/>
            </w:rPr>
          </w:r>
        </w:p>
        <w:p w:rsidR="00000000" w:rsidDel="00000000" w:rsidP="00000000" w:rsidRDefault="00000000" w:rsidRPr="00000000" w14:paraId="00000029">
          <w:pPr>
            <w:widowControl w:val="0"/>
            <w:tabs>
              <w:tab w:val="right" w:leader="dot" w:pos="12000"/>
            </w:tabs>
            <w:spacing w:after="0" w:before="60" w:line="240" w:lineRule="auto"/>
            <w:jc w:val="left"/>
            <w:rPr>
              <w:b w:val="1"/>
              <w:color w:val="000000"/>
              <w:u w:val="none"/>
            </w:rPr>
          </w:pPr>
          <w:hyperlink w:anchor="_heading=h.3znysh7">
            <w:r w:rsidDel="00000000" w:rsidR="00000000" w:rsidRPr="00000000">
              <w:rPr>
                <w:b w:val="1"/>
                <w:color w:val="000000"/>
                <w:u w:val="none"/>
                <w:rtl w:val="0"/>
              </w:rPr>
              <w:t xml:space="preserve">3 Key Reasons behind the Decline in Profitability</w:t>
              <w:tab/>
              <w:t xml:space="preserve">5</w:t>
            </w:r>
          </w:hyperlink>
          <w:r w:rsidDel="00000000" w:rsidR="00000000" w:rsidRPr="00000000">
            <w:rPr>
              <w:rtl w:val="0"/>
            </w:rPr>
          </w:r>
        </w:p>
        <w:p w:rsidR="00000000" w:rsidDel="00000000" w:rsidP="00000000" w:rsidRDefault="00000000" w:rsidRPr="00000000" w14:paraId="0000002A">
          <w:pPr>
            <w:widowControl w:val="0"/>
            <w:tabs>
              <w:tab w:val="right" w:leader="dot" w:pos="12000"/>
            </w:tabs>
            <w:spacing w:after="0" w:before="60" w:line="240" w:lineRule="auto"/>
            <w:jc w:val="left"/>
            <w:rPr>
              <w:b w:val="1"/>
              <w:color w:val="000000"/>
              <w:u w:val="none"/>
            </w:rPr>
          </w:pPr>
          <w:hyperlink w:anchor="_heading=h.2et92p0">
            <w:r w:rsidDel="00000000" w:rsidR="00000000" w:rsidRPr="00000000">
              <w:rPr>
                <w:b w:val="1"/>
                <w:color w:val="000000"/>
                <w:u w:val="none"/>
                <w:rtl w:val="0"/>
              </w:rPr>
              <w:t xml:space="preserve">4 Turnaround Strategy</w:t>
              <w:tab/>
              <w:t xml:space="preserve">6</w:t>
            </w:r>
          </w:hyperlink>
          <w:r w:rsidDel="00000000" w:rsidR="00000000" w:rsidRPr="00000000">
            <w:rPr>
              <w:rtl w:val="0"/>
            </w:rPr>
          </w:r>
        </w:p>
        <w:p w:rsidR="00000000" w:rsidDel="00000000" w:rsidP="00000000" w:rsidRDefault="00000000" w:rsidRPr="00000000" w14:paraId="0000002B">
          <w:pPr>
            <w:widowControl w:val="0"/>
            <w:tabs>
              <w:tab w:val="right" w:leader="dot" w:pos="12000"/>
            </w:tabs>
            <w:spacing w:after="0" w:before="60" w:line="240" w:lineRule="auto"/>
            <w:ind w:left="360" w:firstLine="0"/>
            <w:jc w:val="left"/>
            <w:rPr>
              <w:color w:val="000000"/>
              <w:u w:val="none"/>
            </w:rPr>
          </w:pPr>
          <w:hyperlink w:anchor="_heading=h.tyjcwt">
            <w:r w:rsidDel="00000000" w:rsidR="00000000" w:rsidRPr="00000000">
              <w:rPr>
                <w:color w:val="000000"/>
                <w:u w:val="none"/>
                <w:rtl w:val="0"/>
              </w:rPr>
              <w:t xml:space="preserve">4.1 BCG Matrix</w:t>
              <w:tab/>
              <w:t xml:space="preserve">7</w:t>
            </w:r>
          </w:hyperlink>
          <w:r w:rsidDel="00000000" w:rsidR="00000000" w:rsidRPr="00000000">
            <w:rPr>
              <w:rtl w:val="0"/>
            </w:rPr>
          </w:r>
        </w:p>
        <w:p w:rsidR="00000000" w:rsidDel="00000000" w:rsidP="00000000" w:rsidRDefault="00000000" w:rsidRPr="00000000" w14:paraId="0000002C">
          <w:pPr>
            <w:widowControl w:val="0"/>
            <w:tabs>
              <w:tab w:val="right" w:leader="dot" w:pos="12000"/>
            </w:tabs>
            <w:spacing w:after="0" w:before="60" w:line="240" w:lineRule="auto"/>
            <w:jc w:val="left"/>
            <w:rPr>
              <w:b w:val="1"/>
              <w:color w:val="000000"/>
              <w:u w:val="none"/>
            </w:rPr>
          </w:pPr>
          <w:hyperlink w:anchor="_heading=h.3dy6vkm">
            <w:r w:rsidDel="00000000" w:rsidR="00000000" w:rsidRPr="00000000">
              <w:rPr>
                <w:b w:val="1"/>
                <w:color w:val="000000"/>
                <w:u w:val="none"/>
                <w:rtl w:val="0"/>
              </w:rPr>
              <w:t xml:space="preserve">5 Financial Projections</w:t>
              <w:tab/>
              <w:t xml:space="preserve">8</w:t>
            </w:r>
          </w:hyperlink>
          <w:r w:rsidDel="00000000" w:rsidR="00000000" w:rsidRPr="00000000">
            <w:rPr>
              <w:rtl w:val="0"/>
            </w:rPr>
          </w:r>
        </w:p>
        <w:p w:rsidR="00000000" w:rsidDel="00000000" w:rsidP="00000000" w:rsidRDefault="00000000" w:rsidRPr="00000000" w14:paraId="0000002D">
          <w:pPr>
            <w:widowControl w:val="0"/>
            <w:tabs>
              <w:tab w:val="right" w:leader="dot" w:pos="12000"/>
            </w:tabs>
            <w:spacing w:after="0" w:before="60" w:line="240" w:lineRule="auto"/>
            <w:jc w:val="left"/>
            <w:rPr>
              <w:b w:val="1"/>
              <w:color w:val="000000"/>
              <w:u w:val="none"/>
            </w:rPr>
          </w:pPr>
          <w:hyperlink w:anchor="_heading=h.1t3h5sf">
            <w:r w:rsidDel="00000000" w:rsidR="00000000" w:rsidRPr="00000000">
              <w:rPr>
                <w:b w:val="1"/>
                <w:color w:val="000000"/>
                <w:u w:val="none"/>
                <w:rtl w:val="0"/>
              </w:rPr>
              <w:t xml:space="preserve">6 Conclusion</w:t>
              <w:tab/>
              <w:t xml:space="preserve">9</w:t>
            </w:r>
          </w:hyperlink>
          <w:r w:rsidDel="00000000" w:rsidR="00000000" w:rsidRPr="00000000">
            <w:rPr>
              <w:rtl w:val="0"/>
            </w:rPr>
          </w:r>
        </w:p>
        <w:p w:rsidR="00000000" w:rsidDel="00000000" w:rsidP="00000000" w:rsidRDefault="00000000" w:rsidRPr="00000000" w14:paraId="0000002E">
          <w:pPr>
            <w:widowControl w:val="0"/>
            <w:tabs>
              <w:tab w:val="right" w:leader="dot" w:pos="12000"/>
            </w:tabs>
            <w:spacing w:after="0" w:before="60" w:line="240" w:lineRule="auto"/>
            <w:jc w:val="left"/>
            <w:rPr>
              <w:b w:val="1"/>
              <w:color w:val="000000"/>
              <w:u w:val="none"/>
            </w:rPr>
          </w:pPr>
          <w:hyperlink w:anchor="_heading=h.4d34og8">
            <w:r w:rsidDel="00000000" w:rsidR="00000000" w:rsidRPr="00000000">
              <w:rPr>
                <w:b w:val="1"/>
                <w:color w:val="000000"/>
                <w:u w:val="none"/>
                <w:rtl w:val="0"/>
              </w:rPr>
              <w:t xml:space="preserve">7 Recommendations</w:t>
              <w:tab/>
              <w:t xml:space="preserve">10</w:t>
            </w:r>
          </w:hyperlink>
          <w:r w:rsidDel="00000000" w:rsidR="00000000" w:rsidRPr="00000000">
            <w:rPr>
              <w:rtl w:val="0"/>
            </w:rPr>
          </w:r>
        </w:p>
        <w:p w:rsidR="00000000" w:rsidDel="00000000" w:rsidP="00000000" w:rsidRDefault="00000000" w:rsidRPr="00000000" w14:paraId="0000002F">
          <w:pPr>
            <w:widowControl w:val="0"/>
            <w:tabs>
              <w:tab w:val="right" w:leader="dot" w:pos="12000"/>
            </w:tabs>
            <w:spacing w:after="0" w:before="60" w:line="240" w:lineRule="auto"/>
            <w:jc w:val="left"/>
            <w:rPr>
              <w:b w:val="1"/>
              <w:color w:val="000000"/>
              <w:u w:val="none"/>
            </w:rPr>
          </w:pPr>
          <w:hyperlink w:anchor="_heading=h.2s8eyo1">
            <w:r w:rsidDel="00000000" w:rsidR="00000000" w:rsidRPr="00000000">
              <w:rPr>
                <w:b w:val="1"/>
                <w:color w:val="000000"/>
                <w:u w:val="none"/>
                <w:rtl w:val="0"/>
              </w:rPr>
              <w:t xml:space="preserve">8 References</w:t>
              <w:tab/>
              <w:t xml:space="preserve">11</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30">
      <w:pPr>
        <w:spacing w:after="0" w:lineRule="auto"/>
        <w:rPr>
          <w:b w:val="1"/>
        </w:rPr>
      </w:pPr>
      <w:r w:rsidDel="00000000" w:rsidR="00000000" w:rsidRPr="00000000">
        <w:br w:type="page"/>
      </w:r>
      <w:r w:rsidDel="00000000" w:rsidR="00000000" w:rsidRPr="00000000">
        <w:rPr>
          <w:rtl w:val="0"/>
        </w:rPr>
      </w:r>
    </w:p>
    <w:p w:rsidR="00000000" w:rsidDel="00000000" w:rsidP="00000000" w:rsidRDefault="00000000" w:rsidRPr="00000000" w14:paraId="00000031">
      <w:pPr>
        <w:pStyle w:val="Heading1"/>
        <w:keepNext w:val="0"/>
        <w:keepLines w:val="0"/>
        <w:spacing w:after="80" w:before="280" w:lineRule="auto"/>
        <w:ind w:left="0"/>
        <w:rPr/>
      </w:pPr>
      <w:bookmarkStart w:colFirst="0" w:colLast="0" w:name="_heading=h.w0xlz8vz7ljl" w:id="1"/>
      <w:bookmarkEnd w:id="1"/>
      <w:r w:rsidDel="00000000" w:rsidR="00000000" w:rsidRPr="00000000">
        <w:rPr>
          <w:rtl w:val="0"/>
        </w:rPr>
        <w:t xml:space="preserve">Executive Summary</w:t>
      </w:r>
    </w:p>
    <w:p w:rsidR="00000000" w:rsidDel="00000000" w:rsidP="00000000" w:rsidRDefault="00000000" w:rsidRPr="00000000" w14:paraId="00000032">
      <w:pPr>
        <w:spacing w:after="240" w:before="240" w:lineRule="auto"/>
        <w:rPr/>
      </w:pPr>
      <w:r w:rsidDel="00000000" w:rsidR="00000000" w:rsidRPr="00000000">
        <w:rPr>
          <w:rtl w:val="0"/>
        </w:rPr>
        <w:t xml:space="preserve">This report comprehensively analyses the financial challenges and potential turnaround strategies for Urban Heights Hotel, a once-thriving hospitality establishment facing significant economic decline. Despite its prime location and diverse services, the hotel has struggled with declining revenues, increasing costs, and reduced customer satisfaction over the past three years.</w:t>
      </w:r>
    </w:p>
    <w:p w:rsidR="00000000" w:rsidDel="00000000" w:rsidP="00000000" w:rsidRDefault="00000000" w:rsidRPr="00000000" w14:paraId="00000033">
      <w:pPr>
        <w:pStyle w:val="Heading1"/>
        <w:spacing w:after="240" w:before="240" w:lineRule="auto"/>
        <w:rPr/>
      </w:pPr>
      <w:bookmarkStart w:colFirst="0" w:colLast="0" w:name="_heading=h.479erp2re7v8" w:id="2"/>
      <w:bookmarkEnd w:id="2"/>
      <w:r w:rsidDel="00000000" w:rsidR="00000000" w:rsidRPr="00000000">
        <w:rPr>
          <w:rtl w:val="0"/>
        </w:rPr>
        <w:t xml:space="preserve">Key Findings:</w:t>
      </w:r>
    </w:p>
    <w:p w:rsidR="00000000" w:rsidDel="00000000" w:rsidP="00000000" w:rsidRDefault="00000000" w:rsidRPr="00000000" w14:paraId="00000034">
      <w:pPr>
        <w:pStyle w:val="Heading2"/>
        <w:numPr>
          <w:ilvl w:val="0"/>
          <w:numId w:val="4"/>
        </w:numPr>
        <w:spacing w:after="0" w:afterAutospacing="0" w:before="240" w:lineRule="auto"/>
        <w:ind w:left="720" w:hanging="360"/>
        <w:rPr/>
      </w:pPr>
      <w:bookmarkStart w:colFirst="0" w:colLast="0" w:name="_heading=h.605qzue86o3h" w:id="3"/>
      <w:bookmarkEnd w:id="3"/>
      <w:r w:rsidDel="00000000" w:rsidR="00000000" w:rsidRPr="00000000">
        <w:rPr>
          <w:rtl w:val="0"/>
        </w:rPr>
        <w:t xml:space="preserve">Financial Performance Trends:</w:t>
      </w:r>
    </w:p>
    <w:p w:rsidR="00000000" w:rsidDel="00000000" w:rsidP="00000000" w:rsidRDefault="00000000" w:rsidRPr="00000000" w14:paraId="00000035">
      <w:pPr>
        <w:numPr>
          <w:ilvl w:val="1"/>
          <w:numId w:val="4"/>
        </w:numPr>
        <w:spacing w:after="0" w:afterAutospacing="0" w:before="0" w:beforeAutospacing="0" w:lineRule="auto"/>
        <w:ind w:left="1440" w:hanging="360"/>
        <w:rPr>
          <w:b w:val="0"/>
        </w:rPr>
      </w:pPr>
      <w:r w:rsidDel="00000000" w:rsidR="00000000" w:rsidRPr="00000000">
        <w:rPr>
          <w:rtl w:val="0"/>
        </w:rPr>
        <w:t xml:space="preserve">Revenue declined from £2,500,000 in 2021 to £1,800,000 in 2023, a 28% decrease.</w:t>
      </w:r>
    </w:p>
    <w:p w:rsidR="00000000" w:rsidDel="00000000" w:rsidP="00000000" w:rsidRDefault="00000000" w:rsidRPr="00000000" w14:paraId="00000036">
      <w:pPr>
        <w:numPr>
          <w:ilvl w:val="1"/>
          <w:numId w:val="4"/>
        </w:numPr>
        <w:spacing w:after="0" w:afterAutospacing="0" w:before="0" w:beforeAutospacing="0" w:lineRule="auto"/>
        <w:ind w:left="1440" w:hanging="360"/>
        <w:rPr>
          <w:b w:val="0"/>
        </w:rPr>
      </w:pPr>
      <w:r w:rsidDel="00000000" w:rsidR="00000000" w:rsidRPr="00000000">
        <w:rPr>
          <w:rtl w:val="0"/>
        </w:rPr>
        <w:t xml:space="preserve">Operating expenses increased from £1,800,000 to £2,300,000 in the same period.</w:t>
      </w:r>
    </w:p>
    <w:p w:rsidR="00000000" w:rsidDel="00000000" w:rsidP="00000000" w:rsidRDefault="00000000" w:rsidRPr="00000000" w14:paraId="00000037">
      <w:pPr>
        <w:numPr>
          <w:ilvl w:val="1"/>
          <w:numId w:val="4"/>
        </w:numPr>
        <w:spacing w:after="0" w:afterAutospacing="0" w:before="0" w:beforeAutospacing="0" w:lineRule="auto"/>
        <w:ind w:left="1440" w:hanging="360"/>
        <w:rPr>
          <w:b w:val="0"/>
        </w:rPr>
      </w:pPr>
      <w:r w:rsidDel="00000000" w:rsidR="00000000" w:rsidRPr="00000000">
        <w:rPr>
          <w:rtl w:val="0"/>
        </w:rPr>
        <w:t xml:space="preserve">Net income plummeted from £700,000 to a loss of £500,000.</w:t>
      </w:r>
    </w:p>
    <w:p w:rsidR="00000000" w:rsidDel="00000000" w:rsidP="00000000" w:rsidRDefault="00000000" w:rsidRPr="00000000" w14:paraId="00000038">
      <w:pPr>
        <w:numPr>
          <w:ilvl w:val="1"/>
          <w:numId w:val="4"/>
        </w:numPr>
        <w:spacing w:after="0" w:afterAutospacing="0" w:before="0" w:beforeAutospacing="0" w:lineRule="auto"/>
        <w:ind w:left="1440" w:hanging="360"/>
        <w:rPr>
          <w:b w:val="0"/>
        </w:rPr>
      </w:pPr>
      <w:r w:rsidDel="00000000" w:rsidR="00000000" w:rsidRPr="00000000">
        <w:rPr>
          <w:rtl w:val="0"/>
        </w:rPr>
        <w:t xml:space="preserve">Liquidity and asset values have deteriorated, while liabilities have remained stable, increasing financial risk.</w:t>
      </w:r>
    </w:p>
    <w:p w:rsidR="00000000" w:rsidDel="00000000" w:rsidP="00000000" w:rsidRDefault="00000000" w:rsidRPr="00000000" w14:paraId="00000039">
      <w:pPr>
        <w:pStyle w:val="Heading2"/>
        <w:numPr>
          <w:ilvl w:val="0"/>
          <w:numId w:val="4"/>
        </w:numPr>
        <w:spacing w:after="0" w:afterAutospacing="0" w:before="0" w:beforeAutospacing="0" w:lineRule="auto"/>
        <w:ind w:left="720" w:hanging="360"/>
        <w:rPr/>
      </w:pPr>
      <w:bookmarkStart w:colFirst="0" w:colLast="0" w:name="_heading=h.v8pbgpaxgwe8" w:id="4"/>
      <w:bookmarkEnd w:id="4"/>
      <w:r w:rsidDel="00000000" w:rsidR="00000000" w:rsidRPr="00000000">
        <w:rPr>
          <w:rtl w:val="0"/>
        </w:rPr>
        <w:t xml:space="preserve">Reasons for Decline:</w:t>
      </w:r>
    </w:p>
    <w:p w:rsidR="00000000" w:rsidDel="00000000" w:rsidP="00000000" w:rsidRDefault="00000000" w:rsidRPr="00000000" w14:paraId="0000003A">
      <w:pPr>
        <w:numPr>
          <w:ilvl w:val="1"/>
          <w:numId w:val="4"/>
        </w:numPr>
        <w:spacing w:after="0" w:afterAutospacing="0" w:before="0" w:beforeAutospacing="0" w:lineRule="auto"/>
        <w:ind w:left="1440" w:hanging="360"/>
        <w:rPr>
          <w:b w:val="0"/>
        </w:rPr>
      </w:pPr>
      <w:r w:rsidDel="00000000" w:rsidR="00000000" w:rsidRPr="00000000">
        <w:rPr>
          <w:rtl w:val="0"/>
        </w:rPr>
        <w:t xml:space="preserve">The lingering impact of the COVID-19 pandemic on the hospitality sector.</w:t>
      </w:r>
    </w:p>
    <w:p w:rsidR="00000000" w:rsidDel="00000000" w:rsidP="00000000" w:rsidRDefault="00000000" w:rsidRPr="00000000" w14:paraId="0000003B">
      <w:pPr>
        <w:numPr>
          <w:ilvl w:val="1"/>
          <w:numId w:val="4"/>
        </w:numPr>
        <w:spacing w:after="0" w:afterAutospacing="0" w:before="0" w:beforeAutospacing="0" w:lineRule="auto"/>
        <w:ind w:left="1440" w:hanging="360"/>
        <w:rPr>
          <w:b w:val="0"/>
        </w:rPr>
      </w:pPr>
      <w:r w:rsidDel="00000000" w:rsidR="00000000" w:rsidRPr="00000000">
        <w:rPr>
          <w:rtl w:val="0"/>
        </w:rPr>
        <w:t xml:space="preserve">Inability to adapt to changing customer preferences and market trends, such as the growing demand for sustainability and online booking conveniences.</w:t>
      </w:r>
    </w:p>
    <w:p w:rsidR="00000000" w:rsidDel="00000000" w:rsidP="00000000" w:rsidRDefault="00000000" w:rsidRPr="00000000" w14:paraId="0000003C">
      <w:pPr>
        <w:numPr>
          <w:ilvl w:val="1"/>
          <w:numId w:val="4"/>
        </w:numPr>
        <w:spacing w:after="0" w:afterAutospacing="0" w:before="0" w:beforeAutospacing="0" w:lineRule="auto"/>
        <w:ind w:left="1440" w:hanging="360"/>
        <w:rPr>
          <w:b w:val="0"/>
        </w:rPr>
      </w:pPr>
      <w:r w:rsidDel="00000000" w:rsidR="00000000" w:rsidRPr="00000000">
        <w:rPr>
          <w:rtl w:val="0"/>
        </w:rPr>
        <w:t xml:space="preserve">Increased competition from alternative accommodation options like Airbnb.</w:t>
      </w:r>
    </w:p>
    <w:p w:rsidR="00000000" w:rsidDel="00000000" w:rsidP="00000000" w:rsidRDefault="00000000" w:rsidRPr="00000000" w14:paraId="0000003D">
      <w:pPr>
        <w:numPr>
          <w:ilvl w:val="1"/>
          <w:numId w:val="4"/>
        </w:numPr>
        <w:spacing w:after="0" w:afterAutospacing="0" w:before="0" w:beforeAutospacing="0" w:lineRule="auto"/>
        <w:ind w:left="1440" w:hanging="360"/>
        <w:rPr>
          <w:b w:val="0"/>
        </w:rPr>
      </w:pPr>
      <w:r w:rsidDel="00000000" w:rsidR="00000000" w:rsidRPr="00000000">
        <w:rPr>
          <w:rtl w:val="0"/>
        </w:rPr>
        <w:t xml:space="preserve">Rising operational costs, including energy, food, and wages, amidst a cost-of-living crisis.</w:t>
      </w:r>
    </w:p>
    <w:p w:rsidR="00000000" w:rsidDel="00000000" w:rsidP="00000000" w:rsidRDefault="00000000" w:rsidRPr="00000000" w14:paraId="0000003E">
      <w:pPr>
        <w:pStyle w:val="Heading2"/>
        <w:numPr>
          <w:ilvl w:val="0"/>
          <w:numId w:val="4"/>
        </w:numPr>
        <w:spacing w:after="0" w:afterAutospacing="0" w:before="0" w:beforeAutospacing="0" w:lineRule="auto"/>
        <w:ind w:left="720" w:hanging="360"/>
        <w:rPr/>
      </w:pPr>
      <w:bookmarkStart w:colFirst="0" w:colLast="0" w:name="_heading=h.ntse80cq1y6q" w:id="5"/>
      <w:bookmarkEnd w:id="5"/>
      <w:r w:rsidDel="00000000" w:rsidR="00000000" w:rsidRPr="00000000">
        <w:rPr>
          <w:rtl w:val="0"/>
        </w:rPr>
        <w:t xml:space="preserve">Turnaround Strategy:</w:t>
      </w:r>
    </w:p>
    <w:p w:rsidR="00000000" w:rsidDel="00000000" w:rsidP="00000000" w:rsidRDefault="00000000" w:rsidRPr="00000000" w14:paraId="0000003F">
      <w:pPr>
        <w:numPr>
          <w:ilvl w:val="1"/>
          <w:numId w:val="4"/>
        </w:numPr>
        <w:spacing w:after="0" w:afterAutospacing="0" w:before="0" w:beforeAutospacing="0" w:lineRule="auto"/>
        <w:ind w:left="1440" w:hanging="360"/>
        <w:rPr>
          <w:rFonts w:ascii="Arial" w:cs="Arial" w:eastAsia="Arial" w:hAnsi="Arial"/>
          <w:b w:val="0"/>
        </w:rPr>
      </w:pPr>
      <w:r w:rsidDel="00000000" w:rsidR="00000000" w:rsidRPr="00000000">
        <w:rPr>
          <w:rtl w:val="0"/>
        </w:rPr>
        <w:t xml:space="preserve">Cost Reduction: Conducting a thorough cost analysis to identify savings opportunities, renegotiate supplier contracts, and implement energy-saving measures.</w:t>
      </w:r>
    </w:p>
    <w:p w:rsidR="00000000" w:rsidDel="00000000" w:rsidP="00000000" w:rsidRDefault="00000000" w:rsidRPr="00000000" w14:paraId="00000040">
      <w:pPr>
        <w:numPr>
          <w:ilvl w:val="1"/>
          <w:numId w:val="4"/>
        </w:numPr>
        <w:spacing w:after="0" w:afterAutospacing="0" w:before="0" w:beforeAutospacing="0" w:lineRule="auto"/>
        <w:ind w:left="1440" w:hanging="360"/>
        <w:rPr>
          <w:rFonts w:ascii="Arial" w:cs="Arial" w:eastAsia="Arial" w:hAnsi="Arial"/>
          <w:b w:val="0"/>
        </w:rPr>
      </w:pPr>
      <w:r w:rsidDel="00000000" w:rsidR="00000000" w:rsidRPr="00000000">
        <w:rPr>
          <w:rtl w:val="0"/>
        </w:rPr>
        <w:t xml:space="preserve">Operational Efficiency: Leveraging technology to streamline operations, reduce labour costs, and enhance guest experiences through improved online booking systems and AI chatbots.</w:t>
      </w:r>
    </w:p>
    <w:p w:rsidR="00000000" w:rsidDel="00000000" w:rsidP="00000000" w:rsidRDefault="00000000" w:rsidRPr="00000000" w14:paraId="00000041">
      <w:pPr>
        <w:numPr>
          <w:ilvl w:val="1"/>
          <w:numId w:val="4"/>
        </w:numPr>
        <w:spacing w:after="0" w:afterAutospacing="0" w:before="0" w:beforeAutospacing="0" w:lineRule="auto"/>
        <w:ind w:left="1440" w:hanging="360"/>
        <w:rPr>
          <w:rFonts w:ascii="Arial" w:cs="Arial" w:eastAsia="Arial" w:hAnsi="Arial"/>
          <w:b w:val="0"/>
        </w:rPr>
      </w:pPr>
      <w:r w:rsidDel="00000000" w:rsidR="00000000" w:rsidRPr="00000000">
        <w:rPr>
          <w:rtl w:val="0"/>
        </w:rPr>
        <w:t xml:space="preserve">Market Positioning: Revamping and rebranding services to align with customer preferences, focusing on sustainability, modernising amenities, and optimising the hotel’s online presence.</w:t>
      </w:r>
    </w:p>
    <w:p w:rsidR="00000000" w:rsidDel="00000000" w:rsidP="00000000" w:rsidRDefault="00000000" w:rsidRPr="00000000" w14:paraId="00000042">
      <w:pPr>
        <w:numPr>
          <w:ilvl w:val="1"/>
          <w:numId w:val="4"/>
        </w:numPr>
        <w:spacing w:after="0" w:afterAutospacing="0" w:before="0" w:beforeAutospacing="0" w:lineRule="auto"/>
        <w:ind w:left="1440" w:hanging="360"/>
        <w:rPr>
          <w:rFonts w:ascii="Arial" w:cs="Arial" w:eastAsia="Arial" w:hAnsi="Arial"/>
          <w:b w:val="0"/>
        </w:rPr>
      </w:pPr>
      <w:r w:rsidDel="00000000" w:rsidR="00000000" w:rsidRPr="00000000">
        <w:rPr>
          <w:rtl w:val="0"/>
        </w:rPr>
        <w:t xml:space="preserve">Employee Engagement: Investing in staff training and development to improve service quality and enhance guest satisfaction.</w:t>
      </w:r>
    </w:p>
    <w:p w:rsidR="00000000" w:rsidDel="00000000" w:rsidP="00000000" w:rsidRDefault="00000000" w:rsidRPr="00000000" w14:paraId="00000043">
      <w:pPr>
        <w:pStyle w:val="Heading2"/>
        <w:numPr>
          <w:ilvl w:val="0"/>
          <w:numId w:val="4"/>
        </w:numPr>
        <w:spacing w:after="0" w:afterAutospacing="0" w:before="0" w:beforeAutospacing="0" w:lineRule="auto"/>
        <w:ind w:left="720" w:hanging="360"/>
        <w:rPr/>
      </w:pPr>
      <w:bookmarkStart w:colFirst="0" w:colLast="0" w:name="_heading=h.nw11egllyz5s" w:id="6"/>
      <w:bookmarkEnd w:id="6"/>
      <w:r w:rsidDel="00000000" w:rsidR="00000000" w:rsidRPr="00000000">
        <w:rPr>
          <w:rtl w:val="0"/>
        </w:rPr>
        <w:t xml:space="preserve">BCG Matrix Analysis:</w:t>
      </w:r>
    </w:p>
    <w:p w:rsidR="00000000" w:rsidDel="00000000" w:rsidP="00000000" w:rsidRDefault="00000000" w:rsidRPr="00000000" w14:paraId="00000044">
      <w:pPr>
        <w:numPr>
          <w:ilvl w:val="1"/>
          <w:numId w:val="4"/>
        </w:numPr>
        <w:spacing w:after="0" w:afterAutospacing="0" w:before="0" w:beforeAutospacing="0" w:lineRule="auto"/>
        <w:ind w:left="1440" w:hanging="360"/>
        <w:rPr>
          <w:b w:val="0"/>
        </w:rPr>
      </w:pPr>
      <w:r w:rsidDel="00000000" w:rsidR="00000000" w:rsidRPr="00000000">
        <w:rPr>
          <w:rtl w:val="0"/>
        </w:rPr>
        <w:t xml:space="preserve">Utilising the BCG matrix to categorise the hotel’s services and focus on high-potential areas such as event spaces and unique guest experiences.</w:t>
      </w:r>
    </w:p>
    <w:p w:rsidR="00000000" w:rsidDel="00000000" w:rsidP="00000000" w:rsidRDefault="00000000" w:rsidRPr="00000000" w14:paraId="00000045">
      <w:pPr>
        <w:numPr>
          <w:ilvl w:val="1"/>
          <w:numId w:val="4"/>
        </w:numPr>
        <w:spacing w:after="240" w:before="0" w:beforeAutospacing="0" w:lineRule="auto"/>
        <w:ind w:left="1440" w:hanging="360"/>
        <w:rPr>
          <w:b w:val="0"/>
        </w:rPr>
      </w:pPr>
      <w:r w:rsidDel="00000000" w:rsidR="00000000" w:rsidRPr="00000000">
        <w:rPr>
          <w:rtl w:val="0"/>
        </w:rPr>
        <w:t xml:space="preserve">Investing in customer satisfaction initiatives and marketing efforts to highlight the hotel's unique selling points and differentiate it from competitors.</w:t>
      </w:r>
    </w:p>
    <w:p w:rsidR="00000000" w:rsidDel="00000000" w:rsidP="00000000" w:rsidRDefault="00000000" w:rsidRPr="00000000" w14:paraId="00000046">
      <w:pPr>
        <w:pStyle w:val="Heading1"/>
        <w:spacing w:after="240" w:before="240" w:lineRule="auto"/>
        <w:rPr/>
      </w:pPr>
      <w:bookmarkStart w:colFirst="0" w:colLast="0" w:name="_heading=h.lcew1fph0tdi" w:id="7"/>
      <w:bookmarkEnd w:id="7"/>
      <w:r w:rsidDel="00000000" w:rsidR="00000000" w:rsidRPr="00000000">
        <w:rPr>
          <w:rtl w:val="0"/>
        </w:rPr>
        <w:t xml:space="preserve">Financial Projections:</w:t>
      </w:r>
    </w:p>
    <w:p w:rsidR="00000000" w:rsidDel="00000000" w:rsidP="00000000" w:rsidRDefault="00000000" w:rsidRPr="00000000" w14:paraId="00000047">
      <w:pPr>
        <w:numPr>
          <w:ilvl w:val="0"/>
          <w:numId w:val="1"/>
        </w:numPr>
        <w:spacing w:after="0" w:afterAutospacing="0" w:before="240" w:lineRule="auto"/>
        <w:ind w:left="720" w:hanging="360"/>
        <w:rPr>
          <w:b w:val="0"/>
        </w:rPr>
      </w:pPr>
      <w:r w:rsidDel="00000000" w:rsidR="00000000" w:rsidRPr="00000000">
        <w:rPr>
          <w:rtl w:val="0"/>
        </w:rPr>
        <w:t xml:space="preserve">The company's revenue decline is projected to continue at 10% per annum, with revenues expected to fall to £1,620,000 in 2024 and £1,458,000 in 2025.</w:t>
      </w:r>
    </w:p>
    <w:p w:rsidR="00000000" w:rsidDel="00000000" w:rsidP="00000000" w:rsidRDefault="00000000" w:rsidRPr="00000000" w14:paraId="00000048">
      <w:pPr>
        <w:numPr>
          <w:ilvl w:val="0"/>
          <w:numId w:val="1"/>
        </w:numPr>
        <w:spacing w:after="0" w:afterAutospacing="0" w:before="0" w:beforeAutospacing="0" w:lineRule="auto"/>
        <w:ind w:left="720" w:hanging="360"/>
        <w:rPr>
          <w:b w:val="0"/>
        </w:rPr>
      </w:pPr>
      <w:r w:rsidDel="00000000" w:rsidR="00000000" w:rsidRPr="00000000">
        <w:rPr>
          <w:rtl w:val="0"/>
        </w:rPr>
        <w:t xml:space="preserve">Operating expenses are anticipated to rise by 5% annually, reaching £2,415,000 in 2024 and £2,535,750 in 2025.</w:t>
      </w:r>
    </w:p>
    <w:p w:rsidR="00000000" w:rsidDel="00000000" w:rsidP="00000000" w:rsidRDefault="00000000" w:rsidRPr="00000000" w14:paraId="00000049">
      <w:pPr>
        <w:numPr>
          <w:ilvl w:val="0"/>
          <w:numId w:val="1"/>
        </w:numPr>
        <w:spacing w:after="0" w:afterAutospacing="0" w:before="0" w:beforeAutospacing="0" w:lineRule="auto"/>
        <w:ind w:left="720" w:hanging="360"/>
        <w:rPr>
          <w:b w:val="0"/>
        </w:rPr>
      </w:pPr>
      <w:r w:rsidDel="00000000" w:rsidR="00000000" w:rsidRPr="00000000">
        <w:rPr>
          <w:rtl w:val="0"/>
        </w:rPr>
        <w:t xml:space="preserve">Net income is projected to worsen, with losses expected to increase to £1,077,750 by 2025.</w:t>
      </w:r>
    </w:p>
    <w:p w:rsidR="00000000" w:rsidDel="00000000" w:rsidP="00000000" w:rsidRDefault="00000000" w:rsidRPr="00000000" w14:paraId="0000004A">
      <w:pPr>
        <w:numPr>
          <w:ilvl w:val="0"/>
          <w:numId w:val="1"/>
        </w:numPr>
        <w:spacing w:after="240" w:before="0" w:beforeAutospacing="0" w:lineRule="auto"/>
        <w:ind w:left="720" w:hanging="360"/>
        <w:rPr>
          <w:b w:val="0"/>
        </w:rPr>
      </w:pPr>
      <w:r w:rsidDel="00000000" w:rsidR="00000000" w:rsidRPr="00000000">
        <w:rPr>
          <w:rtl w:val="0"/>
        </w:rPr>
        <w:t xml:space="preserve">Asset values will continue to depreciate, while liabilities will slightly increase, further stressing the hotel's financial health.</w:t>
      </w:r>
    </w:p>
    <w:p w:rsidR="00000000" w:rsidDel="00000000" w:rsidP="00000000" w:rsidRDefault="00000000" w:rsidRPr="00000000" w14:paraId="0000004B">
      <w:pPr>
        <w:pStyle w:val="Heading1"/>
        <w:spacing w:after="240" w:before="240" w:lineRule="auto"/>
        <w:rPr/>
      </w:pPr>
      <w:bookmarkStart w:colFirst="0" w:colLast="0" w:name="_heading=h.yvm5kin63nvv" w:id="8"/>
      <w:bookmarkEnd w:id="8"/>
      <w:r w:rsidDel="00000000" w:rsidR="00000000" w:rsidRPr="00000000">
        <w:rPr>
          <w:b w:val="1"/>
          <w:rtl w:val="0"/>
        </w:rPr>
        <w:t xml:space="preserve">Conclusion:</w:t>
      </w:r>
      <w:r w:rsidDel="00000000" w:rsidR="00000000" w:rsidRPr="00000000">
        <w:rPr>
          <w:rtl w:val="0"/>
        </w:rPr>
        <w:t xml:space="preserve"> </w:t>
      </w:r>
    </w:p>
    <w:p w:rsidR="00000000" w:rsidDel="00000000" w:rsidP="00000000" w:rsidRDefault="00000000" w:rsidRPr="00000000" w14:paraId="0000004C">
      <w:pPr>
        <w:spacing w:after="240" w:before="240" w:lineRule="auto"/>
        <w:ind w:left="0"/>
        <w:rPr/>
      </w:pPr>
      <w:r w:rsidDel="00000000" w:rsidR="00000000" w:rsidRPr="00000000">
        <w:rPr>
          <w:rtl w:val="0"/>
        </w:rPr>
        <w:t xml:space="preserve">The Urban Heights Hotel requires a dedicated and strategic approach to reverse its declining financial performance. By focusing on cost reduction, improving operational efficiency, enhancing market positioning, and fostering employee engagement, the hotel can potentially restore its profitability and reestablish its position in the competitive UK hospitality market. Implementing these turnaround strategies based on data-driven insights and industry best practices will be crucial for achieving long-term sustainability and success.</w:t>
      </w:r>
    </w:p>
    <w:p w:rsidR="00000000" w:rsidDel="00000000" w:rsidP="00000000" w:rsidRDefault="00000000" w:rsidRPr="00000000" w14:paraId="0000004D">
      <w:pPr>
        <w:spacing w:after="0" w:lineRule="auto"/>
        <w:rPr/>
      </w:pPr>
      <w:r w:rsidDel="00000000" w:rsidR="00000000" w:rsidRPr="00000000">
        <w:rPr>
          <w:rtl w:val="0"/>
        </w:rPr>
      </w:r>
    </w:p>
    <w:p w:rsidR="00000000" w:rsidDel="00000000" w:rsidP="00000000" w:rsidRDefault="00000000" w:rsidRPr="00000000" w14:paraId="0000004E">
      <w:pPr>
        <w:pStyle w:val="Heading1"/>
        <w:spacing w:after="0" w:before="0" w:lineRule="auto"/>
        <w:ind w:left="0" w:firstLine="0"/>
        <w:rPr/>
      </w:pPr>
      <w:bookmarkStart w:colFirst="0" w:colLast="0" w:name="_heading=h.nlbw5wzf4sba" w:id="9"/>
      <w:bookmarkEnd w:id="9"/>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pStyle w:val="Heading1"/>
        <w:spacing w:after="0" w:before="0" w:lineRule="auto"/>
        <w:ind w:firstLine="432"/>
        <w:rPr/>
      </w:pPr>
      <w:bookmarkStart w:colFirst="0" w:colLast="0" w:name="_heading=h.wbb7hary7za" w:id="10"/>
      <w:bookmarkEnd w:id="10"/>
      <w:r w:rsidDel="00000000" w:rsidR="00000000" w:rsidRPr="00000000">
        <w:rPr>
          <w:rtl w:val="0"/>
        </w:rPr>
      </w:r>
    </w:p>
    <w:p w:rsidR="00000000" w:rsidDel="00000000" w:rsidP="00000000" w:rsidRDefault="00000000" w:rsidRPr="00000000" w14:paraId="00000053">
      <w:pPr>
        <w:pStyle w:val="Heading1"/>
        <w:numPr>
          <w:ilvl w:val="0"/>
          <w:numId w:val="2"/>
        </w:numPr>
        <w:spacing w:after="0" w:before="0" w:lineRule="auto"/>
        <w:ind w:left="432" w:hanging="432"/>
        <w:rPr/>
      </w:pPr>
      <w:bookmarkStart w:colFirst="0" w:colLast="0" w:name="_heading=h.30j0zll" w:id="11"/>
      <w:bookmarkEnd w:id="11"/>
      <w:r w:rsidDel="00000000" w:rsidR="00000000" w:rsidRPr="00000000">
        <w:rPr>
          <w:rtl w:val="0"/>
        </w:rPr>
        <w:t xml:space="preserve">Introduction</w:t>
      </w:r>
    </w:p>
    <w:p w:rsidR="00000000" w:rsidDel="00000000" w:rsidP="00000000" w:rsidRDefault="00000000" w:rsidRPr="00000000" w14:paraId="00000054">
      <w:pPr>
        <w:spacing w:after="0" w:lineRule="auto"/>
        <w:rPr/>
      </w:pPr>
      <w:r w:rsidDel="00000000" w:rsidR="00000000" w:rsidRPr="00000000">
        <w:rPr>
          <w:rtl w:val="0"/>
        </w:rPr>
        <w:t xml:space="preserve">Located in the middle of a busy city, the Urban Heights Hotel has a restaurant, a bar and event spaces, among other places to stay. Even though the hotel is in a great spot and has many excellent services, it has been losing money, guests, and happy customers lately. The hotel's owner talks to experts to find out if a new plan will help the hotel do better, run more smoothly, and win back the favour of guests and event planners. Thus, the report will discuss the trends and patterns in the financial performance of urban heights. Also, there will be a discussion on the key reasons that cause the hotel's profitability to decline. Moreover, the report will shed light on the hotel's turnaround strategy and financial projections. </w:t>
      </w:r>
    </w:p>
    <w:p w:rsidR="00000000" w:rsidDel="00000000" w:rsidP="00000000" w:rsidRDefault="00000000" w:rsidRPr="00000000" w14:paraId="00000055">
      <w:pPr>
        <w:spacing w:after="0" w:lineRule="auto"/>
        <w:rPr/>
      </w:pPr>
      <w:r w:rsidDel="00000000" w:rsidR="00000000" w:rsidRPr="00000000">
        <w:rPr>
          <w:rtl w:val="0"/>
        </w:rPr>
      </w:r>
    </w:p>
    <w:p w:rsidR="00000000" w:rsidDel="00000000" w:rsidP="00000000" w:rsidRDefault="00000000" w:rsidRPr="00000000" w14:paraId="00000056">
      <w:pPr>
        <w:pStyle w:val="Heading1"/>
        <w:numPr>
          <w:ilvl w:val="0"/>
          <w:numId w:val="2"/>
        </w:numPr>
        <w:spacing w:after="0" w:before="0" w:lineRule="auto"/>
        <w:ind w:left="432" w:hanging="432"/>
        <w:rPr/>
      </w:pPr>
      <w:bookmarkStart w:colFirst="0" w:colLast="0" w:name="_heading=h.1fob9te" w:id="12"/>
      <w:bookmarkEnd w:id="12"/>
      <w:r w:rsidDel="00000000" w:rsidR="00000000" w:rsidRPr="00000000">
        <w:rPr>
          <w:rtl w:val="0"/>
        </w:rPr>
        <w:t xml:space="preserve">Trends and Patterns in Urban Heights Hotel’s Financial Performance</w:t>
      </w:r>
    </w:p>
    <w:p w:rsidR="00000000" w:rsidDel="00000000" w:rsidP="00000000" w:rsidRDefault="00000000" w:rsidRPr="00000000" w14:paraId="00000057">
      <w:pPr>
        <w:spacing w:after="0" w:lineRule="auto"/>
        <w:jc w:val="center"/>
        <w:rPr/>
      </w:pPr>
      <w:r w:rsidDel="00000000" w:rsidR="00000000" w:rsidRPr="00000000">
        <w:rPr/>
        <w:drawing>
          <wp:inline distB="0" distT="0" distL="0" distR="0">
            <wp:extent cx="5731510" cy="1223010"/>
            <wp:effectExtent b="0" l="0" r="0" t="0"/>
            <wp:docPr id="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5731510" cy="1223010"/>
                    </a:xfrm>
                    <a:prstGeom prst="rect"/>
                    <a:ln/>
                  </pic:spPr>
                </pic:pic>
              </a:graphicData>
            </a:graphic>
          </wp:inline>
        </w:drawing>
      </w:r>
      <w:r w:rsidDel="00000000" w:rsidR="00000000" w:rsidRPr="00000000">
        <w:rPr>
          <w:rtl w:val="0"/>
        </w:rPr>
      </w:r>
    </w:p>
    <w:p w:rsidR="00000000" w:rsidDel="00000000" w:rsidP="00000000" w:rsidRDefault="00000000" w:rsidRPr="00000000" w14:paraId="00000058">
      <w:pPr>
        <w:spacing w:after="0" w:lineRule="auto"/>
        <w:jc w:val="center"/>
        <w:rPr/>
      </w:pPr>
      <w:r w:rsidDel="00000000" w:rsidR="00000000" w:rsidRPr="00000000">
        <w:rPr/>
        <w:drawing>
          <wp:inline distB="0" distT="0" distL="0" distR="0">
            <wp:extent cx="5731510" cy="2204720"/>
            <wp:effectExtent b="0" l="0" r="0" t="0"/>
            <wp:docPr id="4"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510" cy="2204720"/>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spacing w:after="0" w:lineRule="auto"/>
        <w:rPr/>
      </w:pPr>
      <w:r w:rsidDel="00000000" w:rsidR="00000000" w:rsidRPr="00000000">
        <w:rPr>
          <w:rtl w:val="0"/>
        </w:rPr>
        <w:t xml:space="preserve">The Urban Heights Hotel's income has dropped significantly in the last three years. The first year of 2021 brought in £2,500,000; the following year, it dropped to £2,200,000; the following year, it again fell to £1,800,000. A total drop of 28% was recorded from 2021 to 2023. Prices may slowly decrease because of things that cannot change, like a slowing economy, more competition, etc. This can mean the business has trouble getting customers or keeping prices high (Fröhlich, 2023). Urban Heights Hotel's operating costs have increased even though its income has decreased. In 2021, the costs of running the business were £1,800,000. They went up to £2,000,000 the following year. They went down to £2,300,000 the next year. The hotel's 28% rise over two and a half years, even though sales were going down, suggests either bad cost control or rising costs that better finances have not met (Barrett et al., 2022).</w:t>
      </w:r>
    </w:p>
    <w:p w:rsidR="00000000" w:rsidDel="00000000" w:rsidP="00000000" w:rsidRDefault="00000000" w:rsidRPr="00000000" w14:paraId="0000005A">
      <w:pPr>
        <w:spacing w:after="0" w:lineRule="auto"/>
        <w:rPr/>
      </w:pPr>
      <w:r w:rsidDel="00000000" w:rsidR="00000000" w:rsidRPr="00000000">
        <w:rPr>
          <w:rtl w:val="0"/>
        </w:rPr>
        <w:t xml:space="preserve">The Urban Heights Hotel is making much less money now than before. The net income drops from £700,000 in 2021 to a loss of £500,000 in 2023. The net income margin decreases from 28% in 2021 to -28% in 2023 because of falling sales and higher running costs. In the past three years, liquidity has been going down. It was worth £300,000 in 2021, but now it is only worth £200,000 and worth £100,000 in 2023. To make things even worse, AR is now only £80,000, down from £150,000 in 2020. The hotel can have trouble meeting its short-term responsibilities and keeping its cash flow healthy because it has less cash on hand and more accounts receivable (Mohamad Said </w:t>
      </w:r>
      <w:r w:rsidDel="00000000" w:rsidR="00000000" w:rsidRPr="00000000">
        <w:rPr>
          <w:i w:val="1"/>
          <w:rtl w:val="0"/>
        </w:rPr>
        <w:t xml:space="preserve">et al.,</w:t>
      </w:r>
      <w:r w:rsidDel="00000000" w:rsidR="00000000" w:rsidRPr="00000000">
        <w:rPr>
          <w:rtl w:val="0"/>
        </w:rPr>
        <w:t xml:space="preserve"> 2021). Urban Heights Hotel's stability has stayed the same, even though its cash has gotten worse. The value of land and equipment went down, which is why total assets went down from £5,450,000 in 2021 to £4,680,000 in 2023. Even so, overall liabilities have stayed pretty stable, going from £3,250,000 in 2021 to £3,300,000 in 2023, a small increase. It is £1,380,000 in 2023, down from £2,200,000 in 2021. The debt-to-equity relationship is worsening, increasing financial risk and lowering shareholder value (Santos </w:t>
      </w:r>
      <w:r w:rsidDel="00000000" w:rsidR="00000000" w:rsidRPr="00000000">
        <w:rPr>
          <w:i w:val="1"/>
          <w:rtl w:val="0"/>
        </w:rPr>
        <w:t xml:space="preserve">et al.,</w:t>
      </w:r>
      <w:r w:rsidDel="00000000" w:rsidR="00000000" w:rsidRPr="00000000">
        <w:rPr>
          <w:rtl w:val="0"/>
        </w:rPr>
        <w:t xml:space="preserve"> 2022).</w:t>
      </w:r>
    </w:p>
    <w:p w:rsidR="00000000" w:rsidDel="00000000" w:rsidP="00000000" w:rsidRDefault="00000000" w:rsidRPr="00000000" w14:paraId="0000005B">
      <w:pPr>
        <w:spacing w:after="0" w:lineRule="auto"/>
        <w:rPr/>
      </w:pPr>
      <w:r w:rsidDel="00000000" w:rsidR="00000000" w:rsidRPr="00000000">
        <w:rPr>
          <w:rtl w:val="0"/>
        </w:rPr>
      </w:r>
    </w:p>
    <w:p w:rsidR="00000000" w:rsidDel="00000000" w:rsidP="00000000" w:rsidRDefault="00000000" w:rsidRPr="00000000" w14:paraId="0000005C">
      <w:pPr>
        <w:pStyle w:val="Heading1"/>
        <w:numPr>
          <w:ilvl w:val="0"/>
          <w:numId w:val="2"/>
        </w:numPr>
        <w:spacing w:after="0" w:before="0" w:lineRule="auto"/>
        <w:ind w:left="432" w:hanging="432"/>
        <w:rPr/>
      </w:pPr>
      <w:bookmarkStart w:colFirst="0" w:colLast="0" w:name="_heading=h.3znysh7" w:id="13"/>
      <w:bookmarkEnd w:id="13"/>
      <w:r w:rsidDel="00000000" w:rsidR="00000000" w:rsidRPr="00000000">
        <w:rPr>
          <w:rtl w:val="0"/>
        </w:rPr>
        <w:t xml:space="preserve">Key Reasons behind the Decline in Profitability</w:t>
        <w:tab/>
        <w:tab/>
      </w:r>
    </w:p>
    <w:p w:rsidR="00000000" w:rsidDel="00000000" w:rsidP="00000000" w:rsidRDefault="00000000" w:rsidRPr="00000000" w14:paraId="0000005D">
      <w:pPr>
        <w:rPr/>
      </w:pPr>
      <w:r w:rsidDel="00000000" w:rsidR="00000000" w:rsidRPr="00000000">
        <w:rPr>
          <w:rtl w:val="0"/>
        </w:rPr>
        <w:t xml:space="preserve">The UK hotel sector remains below pre-pandemic levels. This might affect Urban Heights' cash flow, making it challenging to accumulate reserves. Urban Heights' products (restaurant menu, event facilities, and amenities) may not cater to changing client expectations in the UK hotel industry. These characteristics include service, taste, cleanliness, location, fee, payment method, loyalty, free presents, food variety, brand name, etc. This is why identifying client preferences has become essential to hospitality management. According to a Booking.com survey from 2022, 81% of international travellers prioritise sustainable travel. Some companies are already rethinking their approach to water and energy savings, yet this hotel lacks savings, as well as adequate consumer preferences and facilities. The growing popularity of platforms such as Airbnb has increased competition for traditional hotels, particularly in metropolitan areas. Urban Heights may need to emphasise its distinct selling point (amenities, location, service) compared to holiday rentals. Travellers are increasingly booking hotels online through sites such as Booking.com and Expedia. Urban Heights needs strength, competitive pricing, and excellent reviews to attract bookings. Eco-friendly methods are becoming essential to travellers. To cater to this sector, Urban Heights should pursue sustainability measures such as decreasing energy use, utilising eco-friendly cleaning products, and serving locally produced meals. The hotel industry is the third largest employer in the UK, accounting for 3.5 million direct jobs in 2022 and an additional 3.0 million indirectly. The sector contributed more than £93 billion in gross value, which directly added to the UK economy, and another £121 billion indirectly. As a result, the hotel is slipping behind shifting industry trends or guest preferences, and any potential gain from decreasing hotel prices has been cancelled out by a rise in operational costs during the same period.  The hotel's online presence and marketing must be optimised for tech-savvy travellers. Urban Heights can consider unique experiences, wellness options, and sustainable practices to accommodate evolving guest preferences. Other factors include competition from alternative accommodation options like Airbnb, unpredictable political and economic climates, and the need to keep up with changing customer preferences. Hospitality businesses face increasing costs for energy, food, and wages. This puts pressure on profit margins and makes it difficult for some businesses to stay afloat. The cost-of-living crisis also impacts consumer spending, potentially leading to lower demand (Yuan </w:t>
      </w:r>
      <w:r w:rsidDel="00000000" w:rsidR="00000000" w:rsidRPr="00000000">
        <w:rPr>
          <w:i w:val="1"/>
          <w:rtl w:val="0"/>
        </w:rPr>
        <w:t xml:space="preserve">et al., </w:t>
      </w:r>
      <w:r w:rsidDel="00000000" w:rsidR="00000000" w:rsidRPr="00000000">
        <w:rPr>
          <w:rtl w:val="0"/>
        </w:rPr>
        <w:t xml:space="preserve">2021; Denford </w:t>
      </w:r>
      <w:r w:rsidDel="00000000" w:rsidR="00000000" w:rsidRPr="00000000">
        <w:rPr>
          <w:i w:val="1"/>
          <w:rtl w:val="0"/>
        </w:rPr>
        <w:t xml:space="preserve">et al., </w:t>
      </w:r>
      <w:r w:rsidDel="00000000" w:rsidR="00000000" w:rsidRPr="00000000">
        <w:rPr>
          <w:rtl w:val="0"/>
        </w:rPr>
        <w:t xml:space="preserve">2021).</w:t>
      </w:r>
    </w:p>
    <w:p w:rsidR="00000000" w:rsidDel="00000000" w:rsidP="00000000" w:rsidRDefault="00000000" w:rsidRPr="00000000" w14:paraId="0000005E">
      <w:pPr>
        <w:pStyle w:val="Heading1"/>
        <w:numPr>
          <w:ilvl w:val="0"/>
          <w:numId w:val="2"/>
        </w:numPr>
        <w:spacing w:after="0" w:before="0" w:lineRule="auto"/>
        <w:ind w:left="432" w:hanging="432"/>
        <w:rPr/>
      </w:pPr>
      <w:bookmarkStart w:colFirst="0" w:colLast="0" w:name="_heading=h.2et92p0" w:id="14"/>
      <w:bookmarkEnd w:id="14"/>
      <w:r w:rsidDel="00000000" w:rsidR="00000000" w:rsidRPr="00000000">
        <w:rPr>
          <w:rtl w:val="0"/>
        </w:rPr>
        <w:t xml:space="preserve">Turnaround Strategy</w:t>
        <w:tab/>
        <w:tab/>
      </w:r>
    </w:p>
    <w:p w:rsidR="00000000" w:rsidDel="00000000" w:rsidP="00000000" w:rsidRDefault="00000000" w:rsidRPr="00000000" w14:paraId="0000005F">
      <w:pPr>
        <w:rPr/>
      </w:pPr>
      <w:r w:rsidDel="00000000" w:rsidR="00000000" w:rsidRPr="00000000">
        <w:rPr>
          <w:rtl w:val="0"/>
        </w:rPr>
        <w:t xml:space="preserve">Urban Heights Hotel is at a critical moment. Declining revenue and mounting expenditures jeopardise its financial survival. However, a comprehensive turnaround strategy can revitalise the property and reestablish its standing in the UK hospitality sector. The hotel should do a detailed cost analysis to discover possibilities for savings (</w:t>
      </w:r>
      <w:r w:rsidDel="00000000" w:rsidR="00000000" w:rsidRPr="00000000">
        <w:rPr>
          <w:highlight w:val="white"/>
          <w:rtl w:val="0"/>
        </w:rPr>
        <w:t xml:space="preserve">Neupane, 2015</w:t>
      </w:r>
      <w:r w:rsidDel="00000000" w:rsidR="00000000" w:rsidRPr="00000000">
        <w:rPr>
          <w:rtl w:val="0"/>
        </w:rPr>
        <w:t xml:space="preserve">). This might entail renegotiating contracts with providers of food, beverages, and utilities and streamlining operations by reviewing staffing levels and implementing energy-saving measures can also contribute to cost savings and implementing a hotel management system, such as using cloudbeds, an online booking engine, a property management system, and AI chatbots, can streamline operations, improve efficiency, and potentially reduce labour costs with effectively utilising online booking platforms can also reduce reliance on manual processes and generate extra revenue (Salem </w:t>
      </w:r>
      <w:r w:rsidDel="00000000" w:rsidR="00000000" w:rsidRPr="00000000">
        <w:rPr>
          <w:i w:val="1"/>
          <w:rtl w:val="0"/>
        </w:rPr>
        <w:t xml:space="preserve">et al., </w:t>
      </w:r>
      <w:r w:rsidDel="00000000" w:rsidR="00000000" w:rsidRPr="00000000">
        <w:rPr>
          <w:rtl w:val="0"/>
        </w:rPr>
        <w:t xml:space="preserve">2020). The hotel should analyse guest feedback and industry trends to identify opportunities to improve existing offerings by revamping and rebranding the hotel, focusing on customer preferences while also engaging them with marketing tactics both old and new, and ensuring the hotel website is user-friendly, informative, and search engine optimized (Rajabova, 2021; Watterson, 2020).  High-quality photographs and virtual tours may highlight the hotel's features and captivate potential customers with integrating with travel booking systems and maintaining a strong online presence with favourable reviews are also required.  A talented and motivated workforce is critical for a pleasant visitor experience, as tackling labour market difficulties through competitive pay, training opportunities, and a positive work environment can help recruit and retain top talent. Urban Heights may eliminate internal inefficiencies, respond to external market changes, and produce a more appealing product for modern travellers. Urban Heights can restore its position as a flourishing destination in the UK hospitality environment by refocusing on cost reduction, income creation, a modern internet presence, and a dedication to guest experience (Noone, 2016; </w:t>
      </w:r>
      <w:r w:rsidDel="00000000" w:rsidR="00000000" w:rsidRPr="00000000">
        <w:rPr>
          <w:highlight w:val="white"/>
          <w:rtl w:val="0"/>
        </w:rPr>
        <w:t xml:space="preserve">Alotaibi, 2020</w:t>
      </w:r>
      <w:r w:rsidDel="00000000" w:rsidR="00000000" w:rsidRPr="00000000">
        <w:rPr>
          <w:rtl w:val="0"/>
        </w:rPr>
        <w:t xml:space="preserve">).</w:t>
      </w:r>
    </w:p>
    <w:p w:rsidR="00000000" w:rsidDel="00000000" w:rsidP="00000000" w:rsidRDefault="00000000" w:rsidRPr="00000000" w14:paraId="00000060">
      <w:pPr>
        <w:pStyle w:val="Heading2"/>
        <w:numPr>
          <w:ilvl w:val="1"/>
          <w:numId w:val="2"/>
        </w:numPr>
        <w:ind w:left="576" w:hanging="576"/>
        <w:rPr/>
      </w:pPr>
      <w:bookmarkStart w:colFirst="0" w:colLast="0" w:name="_heading=h.tyjcwt" w:id="15"/>
      <w:bookmarkEnd w:id="15"/>
      <w:r w:rsidDel="00000000" w:rsidR="00000000" w:rsidRPr="00000000">
        <w:rPr>
          <w:rtl w:val="0"/>
        </w:rPr>
        <w:t xml:space="preserve">BCG Matrix</w:t>
      </w:r>
    </w:p>
    <w:p w:rsidR="00000000" w:rsidDel="00000000" w:rsidP="00000000" w:rsidRDefault="00000000" w:rsidRPr="00000000" w14:paraId="00000061">
      <w:pPr>
        <w:rPr/>
      </w:pPr>
      <w:r w:rsidDel="00000000" w:rsidR="00000000" w:rsidRPr="00000000">
        <w:rPr>
          <w:rtl w:val="0"/>
        </w:rPr>
        <w:t xml:space="preserve">The BCG Matrix may help categorise Urban Heights Hotel's services (hotel rooms, restaurant, and event space) and generate focused turnaround strategies. In Urban Heights, while the UK hospitality market is expanding, the hotel is failing to gain a significant proportion. In terms of the BCG matrix, the star approach will be applied. Products in the star’s quadrant are market leaders that require considerable expenditure to sustain their position, accelerate growth, and maintain a competitive edge (</w:t>
      </w:r>
      <w:r w:rsidDel="00000000" w:rsidR="00000000" w:rsidRPr="00000000">
        <w:rPr>
          <w:highlight w:val="white"/>
          <w:rtl w:val="0"/>
        </w:rPr>
        <w:t xml:space="preserve">Floričić, 2020</w:t>
      </w:r>
      <w:r w:rsidDel="00000000" w:rsidR="00000000" w:rsidRPr="00000000">
        <w:rPr>
          <w:rtl w:val="0"/>
        </w:rPr>
        <w:t xml:space="preserve">). They earn a lot of money but also spend a lot to preserve their market position, accelerate expansion, and remain ahead of the competition.  The hotel could undertake client satisfaction surveys and analyse internet reviews to find areas for improvement, invest in staff training to ensure great service, and explore personalised touches or loyalty programmes to provide a memorable experience. In marketing efforts and on social media, the hotel will emphasise and focus on its location, historic appeal, or opportunity for unique experiences (Mohamad Said </w:t>
      </w:r>
      <w:r w:rsidDel="00000000" w:rsidR="00000000" w:rsidRPr="00000000">
        <w:rPr>
          <w:i w:val="1"/>
          <w:rtl w:val="0"/>
        </w:rPr>
        <w:t xml:space="preserve">et al., </w:t>
      </w:r>
      <w:r w:rsidDel="00000000" w:rsidR="00000000" w:rsidRPr="00000000">
        <w:rPr>
          <w:rtl w:val="0"/>
        </w:rPr>
        <w:t xml:space="preserve">2021). To differentiate itself from competitors, the hotel will consider researching current trends and guest preferences, redesigning the restaurant menu to cater to dietary needs or offer healthy options, modernising event facilities with technology upgrades to attract corporate clients, and exploring new revenue streams such as spa services or curated local experiences. To attract environmentally concerned visitors, many travellers prioritise eco-friendly practices and employ long-term strategies such as decreasing energy use, using eco-friendly cleaning products and providing locally produced meals. The hotel will investigate optimising its website for mobile booking and user experience, integrating with key travel booking platforms to promote exposure, and using technologies for contactless check-in, room service ordering, and guest communication to improve convenience. To reach certain consumer demographics, the hotel should launch focused marketing efforts on social media channels and trip booking sites (Kim and Sun, 2022; Kaya, 2022).</w:t>
      </w:r>
    </w:p>
    <w:p w:rsidR="00000000" w:rsidDel="00000000" w:rsidP="00000000" w:rsidRDefault="00000000" w:rsidRPr="00000000" w14:paraId="00000062">
      <w:pPr>
        <w:rPr/>
      </w:pPr>
      <w:r w:rsidDel="00000000" w:rsidR="00000000" w:rsidRPr="00000000">
        <w:rPr>
          <w:rtl w:val="0"/>
        </w:rPr>
      </w:r>
    </w:p>
    <w:p w:rsidR="00000000" w:rsidDel="00000000" w:rsidP="00000000" w:rsidRDefault="00000000" w:rsidRPr="00000000" w14:paraId="00000063">
      <w:pPr>
        <w:pStyle w:val="Heading1"/>
        <w:numPr>
          <w:ilvl w:val="0"/>
          <w:numId w:val="2"/>
        </w:numPr>
        <w:spacing w:after="0" w:before="0" w:lineRule="auto"/>
        <w:ind w:left="432" w:hanging="432"/>
        <w:rPr/>
      </w:pPr>
      <w:bookmarkStart w:colFirst="0" w:colLast="0" w:name="_heading=h.3dy6vkm" w:id="16"/>
      <w:bookmarkEnd w:id="16"/>
      <w:r w:rsidDel="00000000" w:rsidR="00000000" w:rsidRPr="00000000">
        <w:rPr>
          <w:rtl w:val="0"/>
        </w:rPr>
        <w:t xml:space="preserve">Financial Projections</w:t>
        <w:tab/>
        <w:tab/>
      </w:r>
    </w:p>
    <w:tbl>
      <w:tblPr>
        <w:tblStyle w:val="Table1"/>
        <w:tblW w:w="8969.0" w:type="dxa"/>
        <w:jc w:val="left"/>
        <w:tblBorders>
          <w:top w:color="c9c9c9" w:space="0" w:sz="4" w:val="single"/>
          <w:left w:color="c9c9c9" w:space="0" w:sz="4" w:val="single"/>
          <w:bottom w:color="c9c9c9" w:space="0" w:sz="4" w:val="single"/>
          <w:right w:color="c9c9c9" w:space="0" w:sz="4" w:val="single"/>
          <w:insideH w:color="c9c9c9" w:space="0" w:sz="4" w:val="single"/>
          <w:insideV w:color="c9c9c9" w:space="0" w:sz="4" w:val="single"/>
        </w:tblBorders>
        <w:tblLayout w:type="fixed"/>
        <w:tblLook w:val="04A0"/>
      </w:tblPr>
      <w:tblGrid>
        <w:gridCol w:w="4061"/>
        <w:gridCol w:w="2311"/>
        <w:gridCol w:w="2597"/>
        <w:tblGridChange w:id="0">
          <w:tblGrid>
            <w:gridCol w:w="4061"/>
            <w:gridCol w:w="2311"/>
            <w:gridCol w:w="2597"/>
          </w:tblGrid>
        </w:tblGridChange>
      </w:tblGrid>
      <w:tr>
        <w:trPr>
          <w:cantSplit w:val="0"/>
          <w:trHeight w:val="1344" w:hRule="atLeast"/>
          <w:tblHeader w:val="0"/>
        </w:trPr>
        <w:tc>
          <w:tcPr/>
          <w:p w:rsidR="00000000" w:rsidDel="00000000" w:rsidP="00000000" w:rsidRDefault="00000000" w:rsidRPr="00000000" w14:paraId="00000064">
            <w:pPr>
              <w:spacing w:after="160" w:line="360" w:lineRule="auto"/>
              <w:rPr/>
            </w:pPr>
            <w:r w:rsidDel="00000000" w:rsidR="00000000" w:rsidRPr="00000000">
              <w:rPr>
                <w:rtl w:val="0"/>
              </w:rPr>
              <w:t xml:space="preserve">Item</w:t>
            </w:r>
          </w:p>
        </w:tc>
        <w:tc>
          <w:tcPr/>
          <w:p w:rsidR="00000000" w:rsidDel="00000000" w:rsidP="00000000" w:rsidRDefault="00000000" w:rsidRPr="00000000" w14:paraId="00000065">
            <w:pPr>
              <w:spacing w:after="160" w:line="360" w:lineRule="auto"/>
              <w:rPr/>
            </w:pPr>
            <w:r w:rsidDel="00000000" w:rsidR="00000000" w:rsidRPr="00000000">
              <w:rPr>
                <w:rtl w:val="0"/>
              </w:rPr>
              <w:t xml:space="preserve">2024</w:t>
            </w:r>
          </w:p>
        </w:tc>
        <w:tc>
          <w:tcPr/>
          <w:p w:rsidR="00000000" w:rsidDel="00000000" w:rsidP="00000000" w:rsidRDefault="00000000" w:rsidRPr="00000000" w14:paraId="00000066">
            <w:pPr>
              <w:spacing w:after="160" w:line="360" w:lineRule="auto"/>
              <w:rPr/>
            </w:pPr>
            <w:r w:rsidDel="00000000" w:rsidR="00000000" w:rsidRPr="00000000">
              <w:rPr>
                <w:rtl w:val="0"/>
              </w:rPr>
              <w:t xml:space="preserve">2025</w:t>
            </w:r>
          </w:p>
        </w:tc>
      </w:tr>
      <w:tr>
        <w:trPr>
          <w:cantSplit w:val="0"/>
          <w:trHeight w:val="1344" w:hRule="atLeast"/>
          <w:tblHeader w:val="0"/>
        </w:trPr>
        <w:tc>
          <w:tcPr/>
          <w:p w:rsidR="00000000" w:rsidDel="00000000" w:rsidP="00000000" w:rsidRDefault="00000000" w:rsidRPr="00000000" w14:paraId="00000067">
            <w:pPr>
              <w:spacing w:after="160" w:line="360" w:lineRule="auto"/>
              <w:rPr/>
            </w:pPr>
            <w:r w:rsidDel="00000000" w:rsidR="00000000" w:rsidRPr="00000000">
              <w:rPr>
                <w:rtl w:val="0"/>
              </w:rPr>
              <w:t xml:space="preserve">Revenue</w:t>
            </w:r>
          </w:p>
        </w:tc>
        <w:tc>
          <w:tcPr/>
          <w:p w:rsidR="00000000" w:rsidDel="00000000" w:rsidP="00000000" w:rsidRDefault="00000000" w:rsidRPr="00000000" w14:paraId="00000068">
            <w:pPr>
              <w:spacing w:after="160" w:line="360" w:lineRule="auto"/>
              <w:rPr/>
            </w:pPr>
            <w:r w:rsidDel="00000000" w:rsidR="00000000" w:rsidRPr="00000000">
              <w:rPr>
                <w:rtl w:val="0"/>
              </w:rPr>
              <w:t xml:space="preserve">£1,620,000</w:t>
            </w:r>
          </w:p>
        </w:tc>
        <w:tc>
          <w:tcPr/>
          <w:p w:rsidR="00000000" w:rsidDel="00000000" w:rsidP="00000000" w:rsidRDefault="00000000" w:rsidRPr="00000000" w14:paraId="00000069">
            <w:pPr>
              <w:spacing w:after="160" w:line="360" w:lineRule="auto"/>
              <w:rPr/>
            </w:pPr>
            <w:r w:rsidDel="00000000" w:rsidR="00000000" w:rsidRPr="00000000">
              <w:rPr>
                <w:rtl w:val="0"/>
              </w:rPr>
              <w:t xml:space="preserve">£1,458,000</w:t>
            </w:r>
          </w:p>
        </w:tc>
      </w:tr>
      <w:tr>
        <w:trPr>
          <w:cantSplit w:val="0"/>
          <w:trHeight w:val="1344" w:hRule="atLeast"/>
          <w:tblHeader w:val="0"/>
        </w:trPr>
        <w:tc>
          <w:tcPr/>
          <w:p w:rsidR="00000000" w:rsidDel="00000000" w:rsidP="00000000" w:rsidRDefault="00000000" w:rsidRPr="00000000" w14:paraId="0000006A">
            <w:pPr>
              <w:spacing w:after="160" w:line="360" w:lineRule="auto"/>
              <w:rPr/>
            </w:pPr>
            <w:r w:rsidDel="00000000" w:rsidR="00000000" w:rsidRPr="00000000">
              <w:rPr>
                <w:rtl w:val="0"/>
              </w:rPr>
              <w:t xml:space="preserve">Operating Expenses</w:t>
            </w:r>
          </w:p>
        </w:tc>
        <w:tc>
          <w:tcPr/>
          <w:p w:rsidR="00000000" w:rsidDel="00000000" w:rsidP="00000000" w:rsidRDefault="00000000" w:rsidRPr="00000000" w14:paraId="0000006B">
            <w:pPr>
              <w:spacing w:after="160" w:line="360" w:lineRule="auto"/>
              <w:rPr/>
            </w:pPr>
            <w:r w:rsidDel="00000000" w:rsidR="00000000" w:rsidRPr="00000000">
              <w:rPr>
                <w:rtl w:val="0"/>
              </w:rPr>
              <w:t xml:space="preserve">£2,415,000</w:t>
            </w:r>
          </w:p>
        </w:tc>
        <w:tc>
          <w:tcPr/>
          <w:p w:rsidR="00000000" w:rsidDel="00000000" w:rsidP="00000000" w:rsidRDefault="00000000" w:rsidRPr="00000000" w14:paraId="0000006C">
            <w:pPr>
              <w:spacing w:after="160" w:line="360" w:lineRule="auto"/>
              <w:rPr/>
            </w:pPr>
            <w:r w:rsidDel="00000000" w:rsidR="00000000" w:rsidRPr="00000000">
              <w:rPr>
                <w:rtl w:val="0"/>
              </w:rPr>
              <w:t xml:space="preserve">£2,535,750</w:t>
            </w:r>
          </w:p>
        </w:tc>
      </w:tr>
      <w:tr>
        <w:trPr>
          <w:cantSplit w:val="0"/>
          <w:trHeight w:val="1308" w:hRule="atLeast"/>
          <w:tblHeader w:val="0"/>
        </w:trPr>
        <w:tc>
          <w:tcPr/>
          <w:p w:rsidR="00000000" w:rsidDel="00000000" w:rsidP="00000000" w:rsidRDefault="00000000" w:rsidRPr="00000000" w14:paraId="0000006D">
            <w:pPr>
              <w:spacing w:after="160" w:line="360" w:lineRule="auto"/>
              <w:rPr/>
            </w:pPr>
            <w:r w:rsidDel="00000000" w:rsidR="00000000" w:rsidRPr="00000000">
              <w:rPr>
                <w:rtl w:val="0"/>
              </w:rPr>
              <w:t xml:space="preserve">Net Income</w:t>
            </w:r>
          </w:p>
        </w:tc>
        <w:tc>
          <w:tcPr/>
          <w:p w:rsidR="00000000" w:rsidDel="00000000" w:rsidP="00000000" w:rsidRDefault="00000000" w:rsidRPr="00000000" w14:paraId="0000006E">
            <w:pPr>
              <w:spacing w:after="160" w:line="360" w:lineRule="auto"/>
              <w:rPr/>
            </w:pPr>
            <w:r w:rsidDel="00000000" w:rsidR="00000000" w:rsidRPr="00000000">
              <w:rPr>
                <w:rtl w:val="0"/>
              </w:rPr>
              <w:t xml:space="preserve">(£795,000)</w:t>
            </w:r>
          </w:p>
        </w:tc>
        <w:tc>
          <w:tcPr/>
          <w:p w:rsidR="00000000" w:rsidDel="00000000" w:rsidP="00000000" w:rsidRDefault="00000000" w:rsidRPr="00000000" w14:paraId="0000006F">
            <w:pPr>
              <w:spacing w:after="160" w:line="360" w:lineRule="auto"/>
              <w:rPr/>
            </w:pPr>
            <w:r w:rsidDel="00000000" w:rsidR="00000000" w:rsidRPr="00000000">
              <w:rPr>
                <w:rtl w:val="0"/>
              </w:rPr>
              <w:t xml:space="preserve">(£1,077,750)</w:t>
            </w:r>
          </w:p>
        </w:tc>
      </w:tr>
    </w:tbl>
    <w:p w:rsidR="00000000" w:rsidDel="00000000" w:rsidP="00000000" w:rsidRDefault="00000000" w:rsidRPr="00000000" w14:paraId="00000070">
      <w:pPr>
        <w:rPr/>
      </w:pPr>
      <w:r w:rsidDel="00000000" w:rsidR="00000000" w:rsidRPr="00000000">
        <w:rPr>
          <w:rtl w:val="0"/>
        </w:rPr>
      </w:r>
    </w:p>
    <w:tbl>
      <w:tblPr>
        <w:tblStyle w:val="Table2"/>
        <w:tblW w:w="9013.0" w:type="dxa"/>
        <w:jc w:val="left"/>
        <w:tblBorders>
          <w:top w:color="c9c9c9" w:space="0" w:sz="4" w:val="single"/>
          <w:left w:color="c9c9c9" w:space="0" w:sz="4" w:val="single"/>
          <w:bottom w:color="c9c9c9" w:space="0" w:sz="4" w:val="single"/>
          <w:right w:color="c9c9c9" w:space="0" w:sz="4" w:val="single"/>
          <w:insideH w:color="c9c9c9" w:space="0" w:sz="4" w:val="single"/>
          <w:insideV w:color="c9c9c9" w:space="0" w:sz="4" w:val="single"/>
        </w:tblBorders>
        <w:tblLayout w:type="fixed"/>
        <w:tblLook w:val="04A0"/>
      </w:tblPr>
      <w:tblGrid>
        <w:gridCol w:w="4673"/>
        <w:gridCol w:w="2170"/>
        <w:gridCol w:w="2170"/>
        <w:tblGridChange w:id="0">
          <w:tblGrid>
            <w:gridCol w:w="4673"/>
            <w:gridCol w:w="2170"/>
            <w:gridCol w:w="2170"/>
          </w:tblGrid>
        </w:tblGridChange>
      </w:tblGrid>
      <w:tr>
        <w:trPr>
          <w:cantSplit w:val="0"/>
          <w:trHeight w:val="483" w:hRule="atLeast"/>
          <w:tblHeader w:val="0"/>
        </w:trPr>
        <w:tc>
          <w:tcPr/>
          <w:p w:rsidR="00000000" w:rsidDel="00000000" w:rsidP="00000000" w:rsidRDefault="00000000" w:rsidRPr="00000000" w14:paraId="00000071">
            <w:pPr>
              <w:spacing w:after="160" w:line="360" w:lineRule="auto"/>
              <w:rPr/>
            </w:pPr>
            <w:r w:rsidDel="00000000" w:rsidR="00000000" w:rsidRPr="00000000">
              <w:rPr>
                <w:rtl w:val="0"/>
              </w:rPr>
              <w:t xml:space="preserve">Asset/Liability</w:t>
            </w:r>
          </w:p>
        </w:tc>
        <w:tc>
          <w:tcPr/>
          <w:p w:rsidR="00000000" w:rsidDel="00000000" w:rsidP="00000000" w:rsidRDefault="00000000" w:rsidRPr="00000000" w14:paraId="00000072">
            <w:pPr>
              <w:spacing w:after="160" w:line="360" w:lineRule="auto"/>
              <w:rPr/>
            </w:pPr>
            <w:r w:rsidDel="00000000" w:rsidR="00000000" w:rsidRPr="00000000">
              <w:rPr>
                <w:rtl w:val="0"/>
              </w:rPr>
              <w:t xml:space="preserve">2024</w:t>
            </w:r>
          </w:p>
        </w:tc>
        <w:tc>
          <w:tcPr/>
          <w:p w:rsidR="00000000" w:rsidDel="00000000" w:rsidP="00000000" w:rsidRDefault="00000000" w:rsidRPr="00000000" w14:paraId="00000073">
            <w:pPr>
              <w:spacing w:after="160" w:line="360" w:lineRule="auto"/>
              <w:rPr/>
            </w:pPr>
            <w:r w:rsidDel="00000000" w:rsidR="00000000" w:rsidRPr="00000000">
              <w:rPr>
                <w:rtl w:val="0"/>
              </w:rPr>
              <w:t xml:space="preserve">2025</w:t>
            </w:r>
          </w:p>
        </w:tc>
      </w:tr>
      <w:tr>
        <w:trPr>
          <w:cantSplit w:val="0"/>
          <w:trHeight w:val="483" w:hRule="atLeast"/>
          <w:tblHeader w:val="0"/>
        </w:trPr>
        <w:tc>
          <w:tcPr/>
          <w:p w:rsidR="00000000" w:rsidDel="00000000" w:rsidP="00000000" w:rsidRDefault="00000000" w:rsidRPr="00000000" w14:paraId="00000074">
            <w:pPr>
              <w:spacing w:after="160" w:line="360" w:lineRule="auto"/>
              <w:rPr/>
            </w:pPr>
            <w:r w:rsidDel="00000000" w:rsidR="00000000" w:rsidRPr="00000000">
              <w:rPr>
                <w:rtl w:val="0"/>
              </w:rPr>
              <w:t xml:space="preserve">Cash and Equivalents</w:t>
            </w:r>
          </w:p>
        </w:tc>
        <w:tc>
          <w:tcPr/>
          <w:p w:rsidR="00000000" w:rsidDel="00000000" w:rsidP="00000000" w:rsidRDefault="00000000" w:rsidRPr="00000000" w14:paraId="00000075">
            <w:pPr>
              <w:spacing w:after="160" w:line="360" w:lineRule="auto"/>
              <w:rPr/>
            </w:pPr>
            <w:r w:rsidDel="00000000" w:rsidR="00000000" w:rsidRPr="00000000">
              <w:rPr>
                <w:rtl w:val="0"/>
              </w:rPr>
              <w:t xml:space="preserve">£100,000</w:t>
            </w:r>
          </w:p>
        </w:tc>
        <w:tc>
          <w:tcPr/>
          <w:p w:rsidR="00000000" w:rsidDel="00000000" w:rsidP="00000000" w:rsidRDefault="00000000" w:rsidRPr="00000000" w14:paraId="00000076">
            <w:pPr>
              <w:spacing w:after="160" w:line="360" w:lineRule="auto"/>
              <w:rPr/>
            </w:pPr>
            <w:r w:rsidDel="00000000" w:rsidR="00000000" w:rsidRPr="00000000">
              <w:rPr>
                <w:rtl w:val="0"/>
              </w:rPr>
              <w:t xml:space="preserve">£100,000</w:t>
            </w:r>
          </w:p>
        </w:tc>
      </w:tr>
      <w:tr>
        <w:trPr>
          <w:cantSplit w:val="0"/>
          <w:trHeight w:val="483" w:hRule="atLeast"/>
          <w:tblHeader w:val="0"/>
        </w:trPr>
        <w:tc>
          <w:tcPr/>
          <w:p w:rsidR="00000000" w:rsidDel="00000000" w:rsidP="00000000" w:rsidRDefault="00000000" w:rsidRPr="00000000" w14:paraId="00000077">
            <w:pPr>
              <w:spacing w:after="160" w:line="360" w:lineRule="auto"/>
              <w:rPr/>
            </w:pPr>
            <w:r w:rsidDel="00000000" w:rsidR="00000000" w:rsidRPr="00000000">
              <w:rPr>
                <w:rtl w:val="0"/>
              </w:rPr>
              <w:t xml:space="preserve">Accounts Receivable</w:t>
            </w:r>
          </w:p>
        </w:tc>
        <w:tc>
          <w:tcPr/>
          <w:p w:rsidR="00000000" w:rsidDel="00000000" w:rsidP="00000000" w:rsidRDefault="00000000" w:rsidRPr="00000000" w14:paraId="00000078">
            <w:pPr>
              <w:spacing w:after="160" w:line="360" w:lineRule="auto"/>
              <w:rPr/>
            </w:pPr>
            <w:r w:rsidDel="00000000" w:rsidR="00000000" w:rsidRPr="00000000">
              <w:rPr>
                <w:rtl w:val="0"/>
              </w:rPr>
              <w:t xml:space="preserve">£72,000</w:t>
            </w:r>
          </w:p>
        </w:tc>
        <w:tc>
          <w:tcPr/>
          <w:p w:rsidR="00000000" w:rsidDel="00000000" w:rsidP="00000000" w:rsidRDefault="00000000" w:rsidRPr="00000000" w14:paraId="00000079">
            <w:pPr>
              <w:spacing w:after="160" w:line="360" w:lineRule="auto"/>
              <w:rPr/>
            </w:pPr>
            <w:r w:rsidDel="00000000" w:rsidR="00000000" w:rsidRPr="00000000">
              <w:rPr>
                <w:rtl w:val="0"/>
              </w:rPr>
              <w:t xml:space="preserve">£64,800</w:t>
            </w:r>
          </w:p>
        </w:tc>
      </w:tr>
      <w:tr>
        <w:trPr>
          <w:cantSplit w:val="0"/>
          <w:trHeight w:val="483" w:hRule="atLeast"/>
          <w:tblHeader w:val="0"/>
        </w:trPr>
        <w:tc>
          <w:tcPr/>
          <w:p w:rsidR="00000000" w:rsidDel="00000000" w:rsidP="00000000" w:rsidRDefault="00000000" w:rsidRPr="00000000" w14:paraId="0000007A">
            <w:pPr>
              <w:spacing w:after="160" w:line="360" w:lineRule="auto"/>
              <w:rPr/>
            </w:pPr>
            <w:r w:rsidDel="00000000" w:rsidR="00000000" w:rsidRPr="00000000">
              <w:rPr>
                <w:rtl w:val="0"/>
              </w:rPr>
              <w:t xml:space="preserve">Property and Equipment</w:t>
            </w:r>
          </w:p>
        </w:tc>
        <w:tc>
          <w:tcPr/>
          <w:p w:rsidR="00000000" w:rsidDel="00000000" w:rsidP="00000000" w:rsidRDefault="00000000" w:rsidRPr="00000000" w14:paraId="0000007B">
            <w:pPr>
              <w:spacing w:after="160" w:line="360" w:lineRule="auto"/>
              <w:rPr/>
            </w:pPr>
            <w:r w:rsidDel="00000000" w:rsidR="00000000" w:rsidRPr="00000000">
              <w:rPr>
                <w:rtl w:val="0"/>
              </w:rPr>
              <w:t xml:space="preserve">£4,275,000</w:t>
            </w:r>
          </w:p>
        </w:tc>
        <w:tc>
          <w:tcPr/>
          <w:p w:rsidR="00000000" w:rsidDel="00000000" w:rsidP="00000000" w:rsidRDefault="00000000" w:rsidRPr="00000000" w14:paraId="0000007C">
            <w:pPr>
              <w:spacing w:after="160" w:line="360" w:lineRule="auto"/>
              <w:rPr/>
            </w:pPr>
            <w:r w:rsidDel="00000000" w:rsidR="00000000" w:rsidRPr="00000000">
              <w:rPr>
                <w:rtl w:val="0"/>
              </w:rPr>
              <w:t xml:space="preserve">£4,061,250</w:t>
            </w:r>
          </w:p>
        </w:tc>
      </w:tr>
      <w:tr>
        <w:trPr>
          <w:cantSplit w:val="0"/>
          <w:trHeight w:val="483" w:hRule="atLeast"/>
          <w:tblHeader w:val="0"/>
        </w:trPr>
        <w:tc>
          <w:tcPr/>
          <w:p w:rsidR="00000000" w:rsidDel="00000000" w:rsidP="00000000" w:rsidRDefault="00000000" w:rsidRPr="00000000" w14:paraId="0000007D">
            <w:pPr>
              <w:spacing w:after="160" w:line="360" w:lineRule="auto"/>
              <w:rPr/>
            </w:pPr>
            <w:r w:rsidDel="00000000" w:rsidR="00000000" w:rsidRPr="00000000">
              <w:rPr>
                <w:rtl w:val="0"/>
              </w:rPr>
              <w:t xml:space="preserve">Total Assets</w:t>
            </w:r>
          </w:p>
        </w:tc>
        <w:tc>
          <w:tcPr/>
          <w:p w:rsidR="00000000" w:rsidDel="00000000" w:rsidP="00000000" w:rsidRDefault="00000000" w:rsidRPr="00000000" w14:paraId="0000007E">
            <w:pPr>
              <w:spacing w:after="160" w:line="360" w:lineRule="auto"/>
              <w:rPr/>
            </w:pPr>
            <w:r w:rsidDel="00000000" w:rsidR="00000000" w:rsidRPr="00000000">
              <w:rPr>
                <w:rtl w:val="0"/>
              </w:rPr>
              <w:t xml:space="preserve">£4,447,000</w:t>
            </w:r>
          </w:p>
        </w:tc>
        <w:tc>
          <w:tcPr/>
          <w:p w:rsidR="00000000" w:rsidDel="00000000" w:rsidP="00000000" w:rsidRDefault="00000000" w:rsidRPr="00000000" w14:paraId="0000007F">
            <w:pPr>
              <w:spacing w:after="160" w:line="360" w:lineRule="auto"/>
              <w:rPr/>
            </w:pPr>
            <w:r w:rsidDel="00000000" w:rsidR="00000000" w:rsidRPr="00000000">
              <w:rPr>
                <w:rtl w:val="0"/>
              </w:rPr>
              <w:t xml:space="preserve">£4,226,050</w:t>
            </w:r>
          </w:p>
        </w:tc>
      </w:tr>
      <w:tr>
        <w:trPr>
          <w:cantSplit w:val="0"/>
          <w:trHeight w:val="483" w:hRule="atLeast"/>
          <w:tblHeader w:val="0"/>
        </w:trPr>
        <w:tc>
          <w:tcPr/>
          <w:p w:rsidR="00000000" w:rsidDel="00000000" w:rsidP="00000000" w:rsidRDefault="00000000" w:rsidRPr="00000000" w14:paraId="00000080">
            <w:pPr>
              <w:spacing w:after="160" w:line="360" w:lineRule="auto"/>
              <w:rPr/>
            </w:pPr>
            <w:r w:rsidDel="00000000" w:rsidR="00000000" w:rsidRPr="00000000">
              <w:rPr>
                <w:rtl w:val="0"/>
              </w:rPr>
              <w:t xml:space="preserve">Accounts Payable</w:t>
            </w:r>
          </w:p>
        </w:tc>
        <w:tc>
          <w:tcPr/>
          <w:p w:rsidR="00000000" w:rsidDel="00000000" w:rsidP="00000000" w:rsidRDefault="00000000" w:rsidRPr="00000000" w14:paraId="00000081">
            <w:pPr>
              <w:spacing w:after="160" w:line="360" w:lineRule="auto"/>
              <w:rPr/>
            </w:pPr>
            <w:r w:rsidDel="00000000" w:rsidR="00000000" w:rsidRPr="00000000">
              <w:rPr>
                <w:rtl w:val="0"/>
              </w:rPr>
              <w:t xml:space="preserve">£315,000</w:t>
            </w:r>
          </w:p>
        </w:tc>
        <w:tc>
          <w:tcPr/>
          <w:p w:rsidR="00000000" w:rsidDel="00000000" w:rsidP="00000000" w:rsidRDefault="00000000" w:rsidRPr="00000000" w14:paraId="00000082">
            <w:pPr>
              <w:spacing w:after="160" w:line="360" w:lineRule="auto"/>
              <w:rPr/>
            </w:pPr>
            <w:r w:rsidDel="00000000" w:rsidR="00000000" w:rsidRPr="00000000">
              <w:rPr>
                <w:rtl w:val="0"/>
              </w:rPr>
              <w:t xml:space="preserve">£330,750</w:t>
            </w:r>
          </w:p>
        </w:tc>
      </w:tr>
      <w:tr>
        <w:trPr>
          <w:cantSplit w:val="0"/>
          <w:trHeight w:val="483" w:hRule="atLeast"/>
          <w:tblHeader w:val="0"/>
        </w:trPr>
        <w:tc>
          <w:tcPr/>
          <w:p w:rsidR="00000000" w:rsidDel="00000000" w:rsidP="00000000" w:rsidRDefault="00000000" w:rsidRPr="00000000" w14:paraId="00000083">
            <w:pPr>
              <w:spacing w:after="160" w:line="360" w:lineRule="auto"/>
              <w:rPr/>
            </w:pPr>
            <w:r w:rsidDel="00000000" w:rsidR="00000000" w:rsidRPr="00000000">
              <w:rPr>
                <w:rtl w:val="0"/>
              </w:rPr>
              <w:t xml:space="preserve">Long-term Debt</w:t>
            </w:r>
          </w:p>
        </w:tc>
        <w:tc>
          <w:tcPr/>
          <w:p w:rsidR="00000000" w:rsidDel="00000000" w:rsidP="00000000" w:rsidRDefault="00000000" w:rsidRPr="00000000" w14:paraId="00000084">
            <w:pPr>
              <w:spacing w:after="160" w:line="360" w:lineRule="auto"/>
              <w:rPr/>
            </w:pPr>
            <w:r w:rsidDel="00000000" w:rsidR="00000000" w:rsidRPr="00000000">
              <w:rPr>
                <w:rtl w:val="0"/>
              </w:rPr>
              <w:t xml:space="preserve">£3,000,000</w:t>
            </w:r>
          </w:p>
        </w:tc>
        <w:tc>
          <w:tcPr/>
          <w:p w:rsidR="00000000" w:rsidDel="00000000" w:rsidP="00000000" w:rsidRDefault="00000000" w:rsidRPr="00000000" w14:paraId="00000085">
            <w:pPr>
              <w:spacing w:after="160" w:line="360" w:lineRule="auto"/>
              <w:rPr/>
            </w:pPr>
            <w:r w:rsidDel="00000000" w:rsidR="00000000" w:rsidRPr="00000000">
              <w:rPr>
                <w:rtl w:val="0"/>
              </w:rPr>
              <w:t xml:space="preserve">£3,000,000</w:t>
            </w:r>
          </w:p>
        </w:tc>
      </w:tr>
      <w:tr>
        <w:trPr>
          <w:cantSplit w:val="0"/>
          <w:trHeight w:val="470" w:hRule="atLeast"/>
          <w:tblHeader w:val="0"/>
        </w:trPr>
        <w:tc>
          <w:tcPr/>
          <w:p w:rsidR="00000000" w:rsidDel="00000000" w:rsidP="00000000" w:rsidRDefault="00000000" w:rsidRPr="00000000" w14:paraId="00000086">
            <w:pPr>
              <w:spacing w:after="160" w:line="360" w:lineRule="auto"/>
              <w:rPr/>
            </w:pPr>
            <w:r w:rsidDel="00000000" w:rsidR="00000000" w:rsidRPr="00000000">
              <w:rPr>
                <w:rtl w:val="0"/>
              </w:rPr>
              <w:t xml:space="preserve">Total Liabilities</w:t>
            </w:r>
          </w:p>
        </w:tc>
        <w:tc>
          <w:tcPr/>
          <w:p w:rsidR="00000000" w:rsidDel="00000000" w:rsidP="00000000" w:rsidRDefault="00000000" w:rsidRPr="00000000" w14:paraId="00000087">
            <w:pPr>
              <w:spacing w:after="160" w:line="360" w:lineRule="auto"/>
              <w:rPr/>
            </w:pPr>
            <w:r w:rsidDel="00000000" w:rsidR="00000000" w:rsidRPr="00000000">
              <w:rPr>
                <w:rtl w:val="0"/>
              </w:rPr>
              <w:t xml:space="preserve">£3,315,000</w:t>
            </w:r>
          </w:p>
        </w:tc>
        <w:tc>
          <w:tcPr/>
          <w:p w:rsidR="00000000" w:rsidDel="00000000" w:rsidP="00000000" w:rsidRDefault="00000000" w:rsidRPr="00000000" w14:paraId="00000088">
            <w:pPr>
              <w:spacing w:after="160" w:line="360" w:lineRule="auto"/>
              <w:rPr/>
            </w:pPr>
            <w:r w:rsidDel="00000000" w:rsidR="00000000" w:rsidRPr="00000000">
              <w:rPr>
                <w:rtl w:val="0"/>
              </w:rPr>
              <w:t xml:space="preserve">£3,330,750</w:t>
            </w:r>
          </w:p>
        </w:tc>
      </w:tr>
      <w:tr>
        <w:trPr>
          <w:cantSplit w:val="0"/>
          <w:trHeight w:val="483" w:hRule="atLeast"/>
          <w:tblHeader w:val="0"/>
        </w:trPr>
        <w:tc>
          <w:tcPr/>
          <w:p w:rsidR="00000000" w:rsidDel="00000000" w:rsidP="00000000" w:rsidRDefault="00000000" w:rsidRPr="00000000" w14:paraId="00000089">
            <w:pPr>
              <w:spacing w:after="160" w:line="360" w:lineRule="auto"/>
              <w:rPr/>
            </w:pPr>
            <w:r w:rsidDel="00000000" w:rsidR="00000000" w:rsidRPr="00000000">
              <w:rPr>
                <w:rtl w:val="0"/>
              </w:rPr>
              <w:t xml:space="preserve">Equity</w:t>
            </w:r>
          </w:p>
        </w:tc>
        <w:tc>
          <w:tcPr/>
          <w:p w:rsidR="00000000" w:rsidDel="00000000" w:rsidP="00000000" w:rsidRDefault="00000000" w:rsidRPr="00000000" w14:paraId="0000008A">
            <w:pPr>
              <w:spacing w:after="160" w:line="360" w:lineRule="auto"/>
              <w:rPr/>
            </w:pPr>
            <w:r w:rsidDel="00000000" w:rsidR="00000000" w:rsidRPr="00000000">
              <w:rPr>
                <w:rtl w:val="0"/>
              </w:rPr>
              <w:t xml:space="preserve">£1,132,000</w:t>
            </w:r>
          </w:p>
        </w:tc>
        <w:tc>
          <w:tcPr/>
          <w:p w:rsidR="00000000" w:rsidDel="00000000" w:rsidP="00000000" w:rsidRDefault="00000000" w:rsidRPr="00000000" w14:paraId="0000008B">
            <w:pPr>
              <w:spacing w:after="160" w:line="360" w:lineRule="auto"/>
              <w:rPr/>
            </w:pPr>
            <w:r w:rsidDel="00000000" w:rsidR="00000000" w:rsidRPr="00000000">
              <w:rPr>
                <w:rtl w:val="0"/>
              </w:rPr>
              <w:t xml:space="preserve">£895,300</w:t>
            </w:r>
          </w:p>
        </w:tc>
      </w:tr>
    </w:tbl>
    <w:p w:rsidR="00000000" w:rsidDel="00000000" w:rsidP="00000000" w:rsidRDefault="00000000" w:rsidRPr="00000000" w14:paraId="0000008C">
      <w:pPr>
        <w:rPr/>
      </w:pPr>
      <w:r w:rsidDel="00000000" w:rsidR="00000000" w:rsidRPr="00000000">
        <w:rPr>
          <w:rtl w:val="0"/>
        </w:rPr>
      </w:r>
    </w:p>
    <w:p w:rsidR="00000000" w:rsidDel="00000000" w:rsidP="00000000" w:rsidRDefault="00000000" w:rsidRPr="00000000" w14:paraId="0000008D">
      <w:pPr>
        <w:rPr/>
      </w:pPr>
      <w:r w:rsidDel="00000000" w:rsidR="00000000" w:rsidRPr="00000000">
        <w:rPr>
          <w:rtl w:val="0"/>
        </w:rPr>
        <w:t xml:space="preserve">The revenue will reduce by 10% per annum. it is expected that in 2024, the revenue will be £1,620,000 and in 2023, the amount mentioned will be £1,800,000. It drops down from £6,603,000 to £5,799,000 from 2021 to 2024, and finally drops down to £1,458,000 in 2025. Operating expenses are expected to rise to $188,250,000 for the year, a 5% annual escalation. Hence, operating costs for 2024 are expected to cost £2,415,000, which is more than the £2,300,000 cost estimated for 2023. Thus, for 2025, the specific amount for the operating expenses is calculated to be £2,535,750. Unchanged from the current level and assumed not to deplete further, it is estimated to be constant at £100,000 in 2024 and 2025. The expenditure on accounts receivable is expected to reduce by 10 per cent each year. So it is expected to be £72,000 in 2024 fallen from £80,000 in 2023 and finally again down to £64,800 in 2025. Its Property and Equipment is estimated to deplete by 5% each year. Therefore, it is estimated at £4,275,000 in 2024 and £4,061,250 in 2025. Cost reduction measures aimed at cutting on avoidable expenses and increasing on profitability by enhancing organisational efficiency through operational excellence. This can include making business processes shorter and more efficient, improving the management and organisation of the supply chain, and minimising overhead expenses (</w:t>
      </w:r>
      <w:r w:rsidDel="00000000" w:rsidR="00000000" w:rsidRPr="00000000">
        <w:rPr>
          <w:highlight w:val="white"/>
          <w:rtl w:val="0"/>
        </w:rPr>
        <w:t xml:space="preserve">Ekinil </w:t>
      </w:r>
      <w:r w:rsidDel="00000000" w:rsidR="00000000" w:rsidRPr="00000000">
        <w:rPr>
          <w:i w:val="1"/>
          <w:highlight w:val="white"/>
          <w:rtl w:val="0"/>
        </w:rPr>
        <w:t xml:space="preserve">et al., </w:t>
      </w:r>
      <w:r w:rsidDel="00000000" w:rsidR="00000000" w:rsidRPr="00000000">
        <w:rPr>
          <w:highlight w:val="white"/>
          <w:rtl w:val="0"/>
        </w:rPr>
        <w:t xml:space="preserve">2020; Foroudi, 2020</w:t>
      </w:r>
      <w:r w:rsidDel="00000000" w:rsidR="00000000" w:rsidRPr="00000000">
        <w:rPr>
          <w:rtl w:val="0"/>
        </w:rPr>
        <w:t xml:space="preserve">).</w:t>
      </w:r>
    </w:p>
    <w:p w:rsidR="00000000" w:rsidDel="00000000" w:rsidP="00000000" w:rsidRDefault="00000000" w:rsidRPr="00000000" w14:paraId="0000008E">
      <w:pPr>
        <w:pStyle w:val="Heading1"/>
        <w:numPr>
          <w:ilvl w:val="0"/>
          <w:numId w:val="2"/>
        </w:numPr>
        <w:spacing w:after="0" w:before="0" w:lineRule="auto"/>
        <w:ind w:left="432" w:hanging="432"/>
        <w:rPr/>
      </w:pPr>
      <w:bookmarkStart w:colFirst="0" w:colLast="0" w:name="_heading=h.1t3h5sf" w:id="17"/>
      <w:bookmarkEnd w:id="17"/>
      <w:r w:rsidDel="00000000" w:rsidR="00000000" w:rsidRPr="00000000">
        <w:rPr>
          <w:rtl w:val="0"/>
        </w:rPr>
        <w:t xml:space="preserve">Conclusion</w:t>
        <w:tab/>
        <w:tab/>
        <w:tab/>
      </w:r>
    </w:p>
    <w:p w:rsidR="00000000" w:rsidDel="00000000" w:rsidP="00000000" w:rsidRDefault="00000000" w:rsidRPr="00000000" w14:paraId="0000008F">
      <w:pPr>
        <w:rPr/>
      </w:pPr>
      <w:r w:rsidDel="00000000" w:rsidR="00000000" w:rsidRPr="00000000">
        <w:rPr>
          <w:rtl w:val="0"/>
        </w:rPr>
        <w:t xml:space="preserve">Regarding concluding this report, a successful turnaround necessitates a sustained commitment to these measures. By concentrating on guest experience, distinctiveness, and embracing new trends, Urban Heights may become a thriving force in the UK hotel market. By carefully examining these criteria and implementing suitable turnaround solutions based on the BCG matrix, Urban Heights can create a data-driven strategy to enhance its financial health and assure a long-term future in the UK hotel market. Urban Heights can restore its position as a flourishing destination in the UK hospitality environment by refocusing on cost reduction, income creation, a modern internet presence, and a dedication to the guest experience.</w:t>
      </w:r>
    </w:p>
    <w:p w:rsidR="00000000" w:rsidDel="00000000" w:rsidP="00000000" w:rsidRDefault="00000000" w:rsidRPr="00000000" w14:paraId="00000090">
      <w:pPr>
        <w:rPr/>
      </w:pPr>
      <w:r w:rsidDel="00000000" w:rsidR="00000000" w:rsidRPr="00000000">
        <w:rPr>
          <w:rtl w:val="0"/>
        </w:rPr>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r>
    </w:p>
    <w:p w:rsidR="00000000" w:rsidDel="00000000" w:rsidP="00000000" w:rsidRDefault="00000000" w:rsidRPr="00000000" w14:paraId="00000097">
      <w:pPr>
        <w:pStyle w:val="Heading1"/>
        <w:numPr>
          <w:ilvl w:val="0"/>
          <w:numId w:val="2"/>
        </w:numPr>
        <w:ind w:left="432" w:hanging="432"/>
        <w:rPr/>
      </w:pPr>
      <w:bookmarkStart w:colFirst="0" w:colLast="0" w:name="_heading=h.4d34og8" w:id="18"/>
      <w:bookmarkEnd w:id="18"/>
      <w:r w:rsidDel="00000000" w:rsidR="00000000" w:rsidRPr="00000000">
        <w:rPr>
          <w:rtl w:val="0"/>
        </w:rPr>
        <w:t xml:space="preserve">Recommendations</w:t>
      </w:r>
    </w:p>
    <w:p w:rsidR="00000000" w:rsidDel="00000000" w:rsidP="00000000" w:rsidRDefault="00000000" w:rsidRPr="00000000" w14:paraId="00000098">
      <w:pPr>
        <w:rPr/>
      </w:pPr>
      <w:r w:rsidDel="00000000" w:rsidR="00000000" w:rsidRPr="00000000">
        <w:rPr>
          <w:rtl w:val="0"/>
        </w:rPr>
        <w:t xml:space="preserve">The recommendations are as follows:</w:t>
      </w:r>
    </w:p>
    <w:p w:rsidR="00000000" w:rsidDel="00000000" w:rsidP="00000000" w:rsidRDefault="00000000" w:rsidRPr="00000000" w14:paraId="00000099">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plan should focus on attracting new customer segments based on Urban Heights' unique selling point</w:t>
      </w:r>
      <w:r w:rsidDel="00000000" w:rsidR="00000000" w:rsidRPr="00000000">
        <w:rPr>
          <w:rtl w:val="0"/>
        </w:rPr>
        <w:t xml:space="preserve">. It should use online travel platforms, social media marketing, partnerships with local businesses or event organisers, its historic charm, a focus on sustainability practices, or a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commitment to </w:t>
      </w:r>
      <w:r w:rsidDel="00000000" w:rsidR="00000000" w:rsidRPr="00000000">
        <w:rPr>
          <w:rtl w:val="0"/>
        </w:rPr>
        <w:t xml:space="preserve">personalised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guest experiences.</w:t>
      </w:r>
      <w:r w:rsidDel="00000000" w:rsidR="00000000" w:rsidRPr="00000000">
        <w:rPr>
          <w:rtl w:val="0"/>
        </w:rPr>
      </w:r>
    </w:p>
    <w:p w:rsidR="00000000" w:rsidDel="00000000" w:rsidP="00000000" w:rsidRDefault="00000000" w:rsidRPr="00000000" w14:paraId="0000009A">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hotel should also focus on </w:t>
      </w:r>
      <w:r w:rsidDel="00000000" w:rsidR="00000000" w:rsidRPr="00000000">
        <w:rPr>
          <w:rtl w:val="0"/>
        </w:rPr>
        <w:t xml:space="preserve">revamping offerings based on guest preferences and market trends.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could involve moderni</w:t>
      </w:r>
      <w:r w:rsidDel="00000000" w:rsidR="00000000" w:rsidRPr="00000000">
        <w:rPr>
          <w:rtl w:val="0"/>
        </w:rPr>
        <w:t xml:space="preserv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ing the restaurant menu, upgrading event facilities, or offering unique experiences like curated tours or spa services (Nain, 2018).</w:t>
      </w:r>
    </w:p>
    <w:p w:rsidR="00000000" w:rsidDel="00000000" w:rsidP="00000000" w:rsidRDefault="00000000" w:rsidRPr="00000000" w14:paraId="0000009B">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 well-trained and motivated staff is crucial for delivering exceptional guest service. Training </w:t>
      </w:r>
      <w:r w:rsidDel="00000000" w:rsidR="00000000" w:rsidRPr="00000000">
        <w:rPr>
          <w:rtl w:val="0"/>
        </w:rPr>
        <w:t xml:space="preserve">programmes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can focus on hospitality skills, communication, and handling guest requests effectively (Milton, 2024). </w:t>
      </w:r>
    </w:p>
    <w:p w:rsidR="00000000" w:rsidDel="00000000" w:rsidP="00000000" w:rsidRDefault="00000000" w:rsidRPr="00000000" w14:paraId="0000009C">
      <w:pPr>
        <w:rPr>
          <w:b w:val="1"/>
        </w:rPr>
      </w:pPr>
      <w:r w:rsidDel="00000000" w:rsidR="00000000" w:rsidRPr="00000000">
        <w:br w:type="page"/>
      </w:r>
      <w:r w:rsidDel="00000000" w:rsidR="00000000" w:rsidRPr="00000000">
        <w:rPr>
          <w:rtl w:val="0"/>
        </w:rPr>
      </w:r>
    </w:p>
    <w:p w:rsidR="00000000" w:rsidDel="00000000" w:rsidP="00000000" w:rsidRDefault="00000000" w:rsidRPr="00000000" w14:paraId="0000009D">
      <w:pPr>
        <w:pStyle w:val="Heading1"/>
        <w:numPr>
          <w:ilvl w:val="0"/>
          <w:numId w:val="2"/>
        </w:numPr>
        <w:spacing w:after="0" w:before="0" w:lineRule="auto"/>
        <w:ind w:left="432" w:hanging="432"/>
        <w:rPr/>
      </w:pPr>
      <w:bookmarkStart w:colFirst="0" w:colLast="0" w:name="_heading=h.2s8eyo1" w:id="19"/>
      <w:bookmarkEnd w:id="19"/>
      <w:r w:rsidDel="00000000" w:rsidR="00000000" w:rsidRPr="00000000">
        <w:rPr>
          <w:rtl w:val="0"/>
        </w:rPr>
        <w:t xml:space="preserve">References </w:t>
      </w:r>
    </w:p>
    <w:p w:rsidR="00000000" w:rsidDel="00000000" w:rsidP="00000000" w:rsidRDefault="00000000" w:rsidRPr="00000000" w14:paraId="0000009E">
      <w:pPr>
        <w:ind w:left="720" w:hanging="720"/>
        <w:rPr>
          <w:highlight w:val="white"/>
        </w:rPr>
      </w:pPr>
      <w:r w:rsidDel="00000000" w:rsidR="00000000" w:rsidRPr="00000000">
        <w:rPr>
          <w:highlight w:val="white"/>
          <w:rtl w:val="0"/>
        </w:rPr>
        <w:t xml:space="preserve">Alotaibi, E., 2020. Application of machine learning in the hotel industry: a critical review. </w:t>
      </w:r>
      <w:r w:rsidDel="00000000" w:rsidR="00000000" w:rsidRPr="00000000">
        <w:rPr>
          <w:i w:val="1"/>
          <w:highlight w:val="white"/>
          <w:rtl w:val="0"/>
        </w:rPr>
        <w:t xml:space="preserve">Journal of Association of Arab Universities for Tourism and Hospitality</w:t>
      </w:r>
      <w:r w:rsidDel="00000000" w:rsidR="00000000" w:rsidRPr="00000000">
        <w:rPr>
          <w:highlight w:val="white"/>
          <w:rtl w:val="0"/>
        </w:rPr>
        <w:t xml:space="preserve">, </w:t>
      </w:r>
      <w:r w:rsidDel="00000000" w:rsidR="00000000" w:rsidRPr="00000000">
        <w:rPr>
          <w:i w:val="1"/>
          <w:highlight w:val="white"/>
          <w:rtl w:val="0"/>
        </w:rPr>
        <w:t xml:space="preserve">18</w:t>
      </w:r>
      <w:r w:rsidDel="00000000" w:rsidR="00000000" w:rsidRPr="00000000">
        <w:rPr>
          <w:highlight w:val="white"/>
          <w:rtl w:val="0"/>
        </w:rPr>
        <w:t xml:space="preserve">(3), pp.78-96.</w:t>
      </w:r>
    </w:p>
    <w:p w:rsidR="00000000" w:rsidDel="00000000" w:rsidP="00000000" w:rsidRDefault="00000000" w:rsidRPr="00000000" w14:paraId="0000009F">
      <w:pPr>
        <w:spacing w:after="0" w:lineRule="auto"/>
        <w:ind w:left="720" w:hanging="720"/>
        <w:rPr/>
      </w:pPr>
      <w:r w:rsidDel="00000000" w:rsidR="00000000" w:rsidRPr="00000000">
        <w:rPr>
          <w:rtl w:val="0"/>
        </w:rPr>
        <w:t xml:space="preserve">Barrett, C.B., Reardon, T., Swinnen, J. and Zilberman, D., 2022. Agri-food value chain revolutions in low-and middle-income countries. </w:t>
      </w:r>
      <w:r w:rsidDel="00000000" w:rsidR="00000000" w:rsidRPr="00000000">
        <w:rPr>
          <w:i w:val="1"/>
          <w:rtl w:val="0"/>
        </w:rPr>
        <w:t xml:space="preserve">Journal of Economic Literature</w:t>
      </w:r>
      <w:r w:rsidDel="00000000" w:rsidR="00000000" w:rsidRPr="00000000">
        <w:rPr>
          <w:rtl w:val="0"/>
        </w:rPr>
        <w:t xml:space="preserve">, </w:t>
      </w:r>
      <w:r w:rsidDel="00000000" w:rsidR="00000000" w:rsidRPr="00000000">
        <w:rPr>
          <w:i w:val="1"/>
          <w:rtl w:val="0"/>
        </w:rPr>
        <w:t xml:space="preserve">60</w:t>
      </w:r>
      <w:r w:rsidDel="00000000" w:rsidR="00000000" w:rsidRPr="00000000">
        <w:rPr>
          <w:rtl w:val="0"/>
        </w:rPr>
        <w:t xml:space="preserve">(4), pp.1316-1377.</w:t>
      </w:r>
    </w:p>
    <w:p w:rsidR="00000000" w:rsidDel="00000000" w:rsidP="00000000" w:rsidRDefault="00000000" w:rsidRPr="00000000" w14:paraId="000000A0">
      <w:pPr>
        <w:ind w:left="720" w:hanging="720"/>
        <w:rPr>
          <w:highlight w:val="white"/>
        </w:rPr>
      </w:pPr>
      <w:r w:rsidDel="00000000" w:rsidR="00000000" w:rsidRPr="00000000">
        <w:rPr>
          <w:highlight w:val="white"/>
          <w:rtl w:val="0"/>
        </w:rPr>
        <w:t xml:space="preserve">Denford, S., Morton, K., Horwood, J., de Garang, R. and Yardley, L., 2021. Preventing within household transmission of Covid-19: is the provision of accommodation to support self-isolation feasible and acceptable?. </w:t>
      </w:r>
      <w:r w:rsidDel="00000000" w:rsidR="00000000" w:rsidRPr="00000000">
        <w:rPr>
          <w:i w:val="1"/>
          <w:highlight w:val="white"/>
          <w:rtl w:val="0"/>
        </w:rPr>
        <w:t xml:space="preserve">BMC Public Health</w:t>
      </w:r>
      <w:r w:rsidDel="00000000" w:rsidR="00000000" w:rsidRPr="00000000">
        <w:rPr>
          <w:highlight w:val="white"/>
          <w:rtl w:val="0"/>
        </w:rPr>
        <w:t xml:space="preserve">, </w:t>
      </w:r>
      <w:r w:rsidDel="00000000" w:rsidR="00000000" w:rsidRPr="00000000">
        <w:rPr>
          <w:i w:val="1"/>
          <w:highlight w:val="white"/>
          <w:rtl w:val="0"/>
        </w:rPr>
        <w:t xml:space="preserve">21</w:t>
      </w:r>
      <w:r w:rsidDel="00000000" w:rsidR="00000000" w:rsidRPr="00000000">
        <w:rPr>
          <w:highlight w:val="white"/>
          <w:rtl w:val="0"/>
        </w:rPr>
        <w:t xml:space="preserve">, pp.1-13.</w:t>
      </w:r>
    </w:p>
    <w:p w:rsidR="00000000" w:rsidDel="00000000" w:rsidP="00000000" w:rsidRDefault="00000000" w:rsidRPr="00000000" w14:paraId="000000A1">
      <w:pPr>
        <w:ind w:left="720" w:hanging="720"/>
        <w:rPr>
          <w:highlight w:val="white"/>
        </w:rPr>
      </w:pPr>
      <w:r w:rsidDel="00000000" w:rsidR="00000000" w:rsidRPr="00000000">
        <w:rPr>
          <w:highlight w:val="white"/>
          <w:rtl w:val="0"/>
        </w:rPr>
        <w:t xml:space="preserve">Ekinil, G., Provotorina, V., Petrenko, A. and Gorgadze, L., 2020. Innovative aspects of ensuring the environmental safety of hotel enterprises in the Rostov region. In </w:t>
      </w:r>
      <w:r w:rsidDel="00000000" w:rsidR="00000000" w:rsidRPr="00000000">
        <w:rPr>
          <w:i w:val="1"/>
          <w:highlight w:val="white"/>
          <w:rtl w:val="0"/>
        </w:rPr>
        <w:t xml:space="preserve">E3S Web of Conferences</w:t>
      </w:r>
      <w:r w:rsidDel="00000000" w:rsidR="00000000" w:rsidRPr="00000000">
        <w:rPr>
          <w:highlight w:val="white"/>
          <w:rtl w:val="0"/>
        </w:rPr>
        <w:t xml:space="preserve"> (Vol. 217, p. 05006). EDP Sciences.</w:t>
      </w:r>
    </w:p>
    <w:p w:rsidR="00000000" w:rsidDel="00000000" w:rsidP="00000000" w:rsidRDefault="00000000" w:rsidRPr="00000000" w14:paraId="000000A2">
      <w:pPr>
        <w:ind w:left="720" w:hanging="720"/>
        <w:rPr/>
      </w:pPr>
      <w:r w:rsidDel="00000000" w:rsidR="00000000" w:rsidRPr="00000000">
        <w:rPr>
          <w:highlight w:val="white"/>
          <w:rtl w:val="0"/>
        </w:rPr>
        <w:t xml:space="preserve">Floričić, T., 2020. Sustainable solutions in the hospitality industry and competitiveness context of “green hotels”. </w:t>
      </w:r>
      <w:r w:rsidDel="00000000" w:rsidR="00000000" w:rsidRPr="00000000">
        <w:rPr>
          <w:i w:val="1"/>
          <w:highlight w:val="white"/>
          <w:rtl w:val="0"/>
        </w:rPr>
        <w:t xml:space="preserve">Civil Engineering Journal</w:t>
      </w:r>
      <w:r w:rsidDel="00000000" w:rsidR="00000000" w:rsidRPr="00000000">
        <w:rPr>
          <w:highlight w:val="white"/>
          <w:rtl w:val="0"/>
        </w:rPr>
        <w:t xml:space="preserve">, </w:t>
      </w:r>
      <w:r w:rsidDel="00000000" w:rsidR="00000000" w:rsidRPr="00000000">
        <w:rPr>
          <w:i w:val="1"/>
          <w:highlight w:val="white"/>
          <w:rtl w:val="0"/>
        </w:rPr>
        <w:t xml:space="preserve">6</w:t>
      </w:r>
      <w:r w:rsidDel="00000000" w:rsidR="00000000" w:rsidRPr="00000000">
        <w:rPr>
          <w:highlight w:val="white"/>
          <w:rtl w:val="0"/>
        </w:rPr>
        <w:t xml:space="preserve">(6), pp.1104-1113.</w:t>
      </w:r>
      <w:r w:rsidDel="00000000" w:rsidR="00000000" w:rsidRPr="00000000">
        <w:rPr>
          <w:rtl w:val="0"/>
        </w:rPr>
      </w:r>
    </w:p>
    <w:p w:rsidR="00000000" w:rsidDel="00000000" w:rsidP="00000000" w:rsidRDefault="00000000" w:rsidRPr="00000000" w14:paraId="000000A3">
      <w:pPr>
        <w:ind w:left="720" w:hanging="720"/>
        <w:rPr>
          <w:highlight w:val="white"/>
        </w:rPr>
      </w:pPr>
      <w:r w:rsidDel="00000000" w:rsidR="00000000" w:rsidRPr="00000000">
        <w:rPr>
          <w:highlight w:val="white"/>
          <w:rtl w:val="0"/>
        </w:rPr>
        <w:t xml:space="preserve">Foroudi, P., 2020. Corporate brand strategy: drivers and outcomes of hotel industry’s brand orientation.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w:t>
      </w:r>
      <w:r w:rsidDel="00000000" w:rsidR="00000000" w:rsidRPr="00000000">
        <w:rPr>
          <w:i w:val="1"/>
          <w:highlight w:val="white"/>
          <w:rtl w:val="0"/>
        </w:rPr>
        <w:t xml:space="preserve">88</w:t>
      </w:r>
      <w:r w:rsidDel="00000000" w:rsidR="00000000" w:rsidRPr="00000000">
        <w:rPr>
          <w:highlight w:val="white"/>
          <w:rtl w:val="0"/>
        </w:rPr>
        <w:t xml:space="preserve">, p.102519.</w:t>
      </w:r>
    </w:p>
    <w:p w:rsidR="00000000" w:rsidDel="00000000" w:rsidP="00000000" w:rsidRDefault="00000000" w:rsidRPr="00000000" w14:paraId="000000A4">
      <w:pPr>
        <w:spacing w:after="0" w:lineRule="auto"/>
        <w:ind w:left="720" w:hanging="720"/>
        <w:rPr/>
      </w:pPr>
      <w:r w:rsidDel="00000000" w:rsidR="00000000" w:rsidRPr="00000000">
        <w:rPr>
          <w:rtl w:val="0"/>
        </w:rPr>
        <w:t xml:space="preserve">Fröhlich, H.P., 2023. International competitiveness: alternative macroeconomic strategies and changing perceptions in recent years. In </w:t>
      </w:r>
      <w:r w:rsidDel="00000000" w:rsidR="00000000" w:rsidRPr="00000000">
        <w:rPr>
          <w:i w:val="1"/>
          <w:rtl w:val="0"/>
        </w:rPr>
        <w:t xml:space="preserve">The Competitiveness of European Industry</w:t>
      </w:r>
      <w:r w:rsidDel="00000000" w:rsidR="00000000" w:rsidRPr="00000000">
        <w:rPr>
          <w:rtl w:val="0"/>
        </w:rPr>
        <w:t xml:space="preserve"> (pp. 21-40).</w:t>
      </w:r>
    </w:p>
    <w:p w:rsidR="00000000" w:rsidDel="00000000" w:rsidP="00000000" w:rsidRDefault="00000000" w:rsidRPr="00000000" w14:paraId="000000A5">
      <w:pPr>
        <w:ind w:left="720" w:hanging="720"/>
        <w:rPr/>
      </w:pPr>
      <w:r w:rsidDel="00000000" w:rsidR="00000000" w:rsidRPr="00000000">
        <w:rPr>
          <w:highlight w:val="white"/>
          <w:rtl w:val="0"/>
        </w:rPr>
        <w:t xml:space="preserve">Kaya, B., 2020. A hotel recommendation system based on customer location: a link prediction approach. </w:t>
      </w:r>
      <w:r w:rsidDel="00000000" w:rsidR="00000000" w:rsidRPr="00000000">
        <w:rPr>
          <w:i w:val="1"/>
          <w:highlight w:val="white"/>
          <w:rtl w:val="0"/>
        </w:rPr>
        <w:t xml:space="preserve">Multimedia Tools and Applications</w:t>
      </w:r>
      <w:r w:rsidDel="00000000" w:rsidR="00000000" w:rsidRPr="00000000">
        <w:rPr>
          <w:highlight w:val="white"/>
          <w:rtl w:val="0"/>
        </w:rPr>
        <w:t xml:space="preserve">, </w:t>
      </w:r>
      <w:r w:rsidDel="00000000" w:rsidR="00000000" w:rsidRPr="00000000">
        <w:rPr>
          <w:i w:val="1"/>
          <w:highlight w:val="white"/>
          <w:rtl w:val="0"/>
        </w:rPr>
        <w:t xml:space="preserve">79</w:t>
      </w:r>
      <w:r w:rsidDel="00000000" w:rsidR="00000000" w:rsidRPr="00000000">
        <w:rPr>
          <w:highlight w:val="white"/>
          <w:rtl w:val="0"/>
        </w:rPr>
        <w:t xml:space="preserve">(3), pp.1745-1758.</w:t>
      </w:r>
      <w:r w:rsidDel="00000000" w:rsidR="00000000" w:rsidRPr="00000000">
        <w:rPr>
          <w:rtl w:val="0"/>
        </w:rPr>
      </w:r>
    </w:p>
    <w:p w:rsidR="00000000" w:rsidDel="00000000" w:rsidP="00000000" w:rsidRDefault="00000000" w:rsidRPr="00000000" w14:paraId="000000A6">
      <w:pPr>
        <w:ind w:left="720" w:hanging="720"/>
        <w:rPr>
          <w:highlight w:val="white"/>
        </w:rPr>
      </w:pPr>
      <w:r w:rsidDel="00000000" w:rsidR="00000000" w:rsidRPr="00000000">
        <w:rPr>
          <w:highlight w:val="white"/>
          <w:rtl w:val="0"/>
        </w:rPr>
        <w:t xml:space="preserve">Kim, T. and Yun, S., 2022. Research framework built natural-based solutions (NBSs) as green hotels. </w:t>
      </w:r>
      <w:r w:rsidDel="00000000" w:rsidR="00000000" w:rsidRPr="00000000">
        <w:rPr>
          <w:i w:val="1"/>
          <w:highlight w:val="white"/>
          <w:rtl w:val="0"/>
        </w:rPr>
        <w:t xml:space="preserve">Sustainability</w:t>
      </w:r>
      <w:r w:rsidDel="00000000" w:rsidR="00000000" w:rsidRPr="00000000">
        <w:rPr>
          <w:highlight w:val="white"/>
          <w:rtl w:val="0"/>
        </w:rPr>
        <w:t xml:space="preserve">, </w:t>
      </w:r>
      <w:r w:rsidDel="00000000" w:rsidR="00000000" w:rsidRPr="00000000">
        <w:rPr>
          <w:i w:val="1"/>
          <w:highlight w:val="white"/>
          <w:rtl w:val="0"/>
        </w:rPr>
        <w:t xml:space="preserve">14</w:t>
      </w:r>
      <w:r w:rsidDel="00000000" w:rsidR="00000000" w:rsidRPr="00000000">
        <w:rPr>
          <w:highlight w:val="white"/>
          <w:rtl w:val="0"/>
        </w:rPr>
        <w:t xml:space="preserve">(7), p.4282.</w:t>
      </w:r>
    </w:p>
    <w:p w:rsidR="00000000" w:rsidDel="00000000" w:rsidP="00000000" w:rsidRDefault="00000000" w:rsidRPr="00000000" w14:paraId="000000A7">
      <w:pPr>
        <w:ind w:left="720" w:hanging="720"/>
        <w:rPr>
          <w:highlight w:val="white"/>
        </w:rPr>
      </w:pPr>
      <w:r w:rsidDel="00000000" w:rsidR="00000000" w:rsidRPr="00000000">
        <w:rPr>
          <w:highlight w:val="white"/>
          <w:rtl w:val="0"/>
        </w:rPr>
        <w:t xml:space="preserve">Milton, T., 2024. Artificial Intelligence Transforming Hotel Gastronomy: An In-depth Review of AI-driven Innovations in Menu Design, Food Preparation, and Customer Interaction, with a Focus on Sustainability and Future Trends in the Hospitality Industry. </w:t>
      </w:r>
      <w:r w:rsidDel="00000000" w:rsidR="00000000" w:rsidRPr="00000000">
        <w:rPr>
          <w:i w:val="1"/>
          <w:highlight w:val="white"/>
          <w:rtl w:val="0"/>
        </w:rPr>
        <w:t xml:space="preserve">International Journal for Multidimensional Research Perspectives</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(3), pp.47-61.</w:t>
      </w:r>
    </w:p>
    <w:p w:rsidR="00000000" w:rsidDel="00000000" w:rsidP="00000000" w:rsidRDefault="00000000" w:rsidRPr="00000000" w14:paraId="000000A8">
      <w:pPr>
        <w:ind w:left="720" w:hanging="720"/>
        <w:rPr/>
      </w:pPr>
      <w:r w:rsidDel="00000000" w:rsidR="00000000" w:rsidRPr="00000000">
        <w:rPr>
          <w:rtl w:val="0"/>
        </w:rPr>
        <w:t xml:space="preserve">Mohamad Said, N.H., Abdull Rahman, N.L., Abd Mutalib, H. and Badri Shah, N.S., 2021. Profitability performance analysis on the malaysian hotel industry during covid-19 pandemic. </w:t>
      </w:r>
      <w:r w:rsidDel="00000000" w:rsidR="00000000" w:rsidRPr="00000000">
        <w:rPr>
          <w:i w:val="1"/>
          <w:rtl w:val="0"/>
        </w:rPr>
        <w:t xml:space="preserve">Journal of Academia</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 pp.84-92.</w:t>
      </w:r>
    </w:p>
    <w:p w:rsidR="00000000" w:rsidDel="00000000" w:rsidP="00000000" w:rsidRDefault="00000000" w:rsidRPr="00000000" w14:paraId="000000A9">
      <w:pPr>
        <w:spacing w:after="0" w:lineRule="auto"/>
        <w:ind w:left="720" w:hanging="720"/>
        <w:rPr/>
      </w:pPr>
      <w:r w:rsidDel="00000000" w:rsidR="00000000" w:rsidRPr="00000000">
        <w:rPr>
          <w:rtl w:val="0"/>
        </w:rPr>
        <w:t xml:space="preserve">Mohamad Said, N.H., Abdull Rahman, N.L., Abd Mutalib, H. and Badri Shah, N.S., 2021. Profitability performance analysis on the malaysian hotel industry during covid-19 pandemic. </w:t>
      </w:r>
      <w:r w:rsidDel="00000000" w:rsidR="00000000" w:rsidRPr="00000000">
        <w:rPr>
          <w:i w:val="1"/>
          <w:rtl w:val="0"/>
        </w:rPr>
        <w:t xml:space="preserve">Journal of Academia</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 pp.84-92.</w:t>
      </w:r>
    </w:p>
    <w:p w:rsidR="00000000" w:rsidDel="00000000" w:rsidP="00000000" w:rsidRDefault="00000000" w:rsidRPr="00000000" w14:paraId="000000AA">
      <w:pPr>
        <w:spacing w:after="0" w:lineRule="auto"/>
        <w:ind w:left="720" w:hanging="720"/>
        <w:rPr/>
      </w:pPr>
      <w:r w:rsidDel="00000000" w:rsidR="00000000" w:rsidRPr="00000000">
        <w:rPr>
          <w:rtl w:val="0"/>
        </w:rPr>
        <w:t xml:space="preserve">Nain, A., 2018. A study on major challenges faced by hotel industry globally. </w:t>
      </w:r>
      <w:r w:rsidDel="00000000" w:rsidR="00000000" w:rsidRPr="00000000">
        <w:rPr>
          <w:i w:val="1"/>
          <w:rtl w:val="0"/>
        </w:rPr>
        <w:t xml:space="preserve">International Journal of Creative Research Thoughts</w:t>
      </w:r>
      <w:r w:rsidDel="00000000" w:rsidR="00000000" w:rsidRPr="00000000">
        <w:rPr>
          <w:rtl w:val="0"/>
        </w:rPr>
        <w:t xml:space="preserve">, </w:t>
      </w:r>
      <w:r w:rsidDel="00000000" w:rsidR="00000000" w:rsidRPr="00000000">
        <w:rPr>
          <w:i w:val="1"/>
          <w:rtl w:val="0"/>
        </w:rPr>
        <w:t xml:space="preserve">6</w:t>
      </w:r>
      <w:r w:rsidDel="00000000" w:rsidR="00000000" w:rsidRPr="00000000">
        <w:rPr>
          <w:rtl w:val="0"/>
        </w:rPr>
        <w:t xml:space="preserve">(1), pp.561-571.</w:t>
      </w:r>
    </w:p>
    <w:p w:rsidR="00000000" w:rsidDel="00000000" w:rsidP="00000000" w:rsidRDefault="00000000" w:rsidRPr="00000000" w14:paraId="000000AB">
      <w:pPr>
        <w:ind w:left="720" w:hanging="720"/>
        <w:rPr/>
      </w:pPr>
      <w:r w:rsidDel="00000000" w:rsidR="00000000" w:rsidRPr="00000000">
        <w:rPr>
          <w:highlight w:val="white"/>
          <w:rtl w:val="0"/>
        </w:rPr>
        <w:t xml:space="preserve">Neupane, R., 2015. Effects of coaching and mentoring on employee performance in the UK hotel industry. </w:t>
      </w:r>
      <w:r w:rsidDel="00000000" w:rsidR="00000000" w:rsidRPr="00000000">
        <w:rPr>
          <w:i w:val="1"/>
          <w:highlight w:val="white"/>
          <w:rtl w:val="0"/>
        </w:rPr>
        <w:t xml:space="preserve">International Journal of Social Sciences and Management</w:t>
      </w:r>
      <w:r w:rsidDel="00000000" w:rsidR="00000000" w:rsidRPr="00000000">
        <w:rPr>
          <w:highlight w:val="white"/>
          <w:rtl w:val="0"/>
        </w:rPr>
        <w:t xml:space="preserve">, </w:t>
      </w:r>
      <w:r w:rsidDel="00000000" w:rsidR="00000000" w:rsidRPr="00000000">
        <w:rPr>
          <w:i w:val="1"/>
          <w:highlight w:val="white"/>
          <w:rtl w:val="0"/>
        </w:rPr>
        <w:t xml:space="preserve">2</w:t>
      </w:r>
      <w:r w:rsidDel="00000000" w:rsidR="00000000" w:rsidRPr="00000000">
        <w:rPr>
          <w:highlight w:val="white"/>
          <w:rtl w:val="0"/>
        </w:rPr>
        <w:t xml:space="preserve">(2), pp.123-138.</w:t>
      </w:r>
      <w:r w:rsidDel="00000000" w:rsidR="00000000" w:rsidRPr="00000000">
        <w:rPr>
          <w:rtl w:val="0"/>
        </w:rPr>
      </w:r>
    </w:p>
    <w:p w:rsidR="00000000" w:rsidDel="00000000" w:rsidP="00000000" w:rsidRDefault="00000000" w:rsidRPr="00000000" w14:paraId="000000AC">
      <w:pPr>
        <w:ind w:left="720" w:hanging="720"/>
        <w:rPr>
          <w:highlight w:val="white"/>
        </w:rPr>
      </w:pPr>
      <w:r w:rsidDel="00000000" w:rsidR="00000000" w:rsidRPr="00000000">
        <w:rPr>
          <w:highlight w:val="white"/>
          <w:rtl w:val="0"/>
        </w:rPr>
        <w:t xml:space="preserve">Noone, B.M., 2016. Pricing for hotel revenue management: Evolution in an era of price transparency. </w:t>
      </w:r>
      <w:r w:rsidDel="00000000" w:rsidR="00000000" w:rsidRPr="00000000">
        <w:rPr>
          <w:i w:val="1"/>
          <w:highlight w:val="white"/>
          <w:rtl w:val="0"/>
        </w:rPr>
        <w:t xml:space="preserve">Journal of Revenue and Pricing Management</w:t>
      </w:r>
      <w:r w:rsidDel="00000000" w:rsidR="00000000" w:rsidRPr="00000000">
        <w:rPr>
          <w:highlight w:val="white"/>
          <w:rtl w:val="0"/>
        </w:rPr>
        <w:t xml:space="preserve">, </w:t>
      </w:r>
      <w:r w:rsidDel="00000000" w:rsidR="00000000" w:rsidRPr="00000000">
        <w:rPr>
          <w:i w:val="1"/>
          <w:highlight w:val="white"/>
          <w:rtl w:val="0"/>
        </w:rPr>
        <w:t xml:space="preserve">15</w:t>
      </w:r>
      <w:r w:rsidDel="00000000" w:rsidR="00000000" w:rsidRPr="00000000">
        <w:rPr>
          <w:highlight w:val="white"/>
          <w:rtl w:val="0"/>
        </w:rPr>
        <w:t xml:space="preserve">, pp.264-269.</w:t>
      </w:r>
    </w:p>
    <w:p w:rsidR="00000000" w:rsidDel="00000000" w:rsidP="00000000" w:rsidRDefault="00000000" w:rsidRPr="00000000" w14:paraId="000000AD">
      <w:pPr>
        <w:spacing w:after="0" w:lineRule="auto"/>
        <w:ind w:left="720" w:hanging="720"/>
        <w:rPr/>
      </w:pPr>
      <w:r w:rsidDel="00000000" w:rsidR="00000000" w:rsidRPr="00000000">
        <w:rPr>
          <w:rtl w:val="0"/>
        </w:rPr>
        <w:t xml:space="preserve">Rajabova, M., 2021. Creation of free economic zones in Bukhara: problems and solutions. </w:t>
      </w:r>
      <w:r w:rsidDel="00000000" w:rsidR="00000000" w:rsidRPr="00000000">
        <w:rPr>
          <w:i w:val="1"/>
          <w:rtl w:val="0"/>
        </w:rPr>
        <w:t xml:space="preserve">Центр научных публикаций (buxdu. uz)</w:t>
      </w:r>
      <w:r w:rsidDel="00000000" w:rsidR="00000000" w:rsidRPr="00000000">
        <w:rPr>
          <w:rtl w:val="0"/>
        </w:rPr>
        <w:t xml:space="preserve">, </w:t>
      </w:r>
      <w:r w:rsidDel="00000000" w:rsidR="00000000" w:rsidRPr="00000000">
        <w:rPr>
          <w:i w:val="1"/>
          <w:rtl w:val="0"/>
        </w:rPr>
        <w:t xml:space="preserve">7</w:t>
      </w:r>
      <w:r w:rsidDel="00000000" w:rsidR="00000000" w:rsidRPr="00000000">
        <w:rPr>
          <w:rtl w:val="0"/>
        </w:rPr>
        <w:t xml:space="preserve">(7).</w:t>
      </w:r>
    </w:p>
    <w:p w:rsidR="00000000" w:rsidDel="00000000" w:rsidP="00000000" w:rsidRDefault="00000000" w:rsidRPr="00000000" w14:paraId="000000AE">
      <w:pPr>
        <w:ind w:left="720" w:hanging="720"/>
        <w:rPr>
          <w:highlight w:val="white"/>
        </w:rPr>
      </w:pPr>
      <w:r w:rsidDel="00000000" w:rsidR="00000000" w:rsidRPr="00000000">
        <w:rPr>
          <w:highlight w:val="white"/>
          <w:rtl w:val="0"/>
        </w:rPr>
        <w:t xml:space="preserve">Salem, R., Bahadori-Jahromi, A., Mylona, A., Godfrey, P. and Cook, D., 2020. Energy performance and cost analysis for the nZEB retrofit of a typical UK hotel. </w:t>
      </w:r>
      <w:r w:rsidDel="00000000" w:rsidR="00000000" w:rsidRPr="00000000">
        <w:rPr>
          <w:i w:val="1"/>
          <w:highlight w:val="white"/>
          <w:rtl w:val="0"/>
        </w:rPr>
        <w:t xml:space="preserve">Journal of Building Engineering</w:t>
      </w:r>
      <w:r w:rsidDel="00000000" w:rsidR="00000000" w:rsidRPr="00000000">
        <w:rPr>
          <w:highlight w:val="white"/>
          <w:rtl w:val="0"/>
        </w:rPr>
        <w:t xml:space="preserve">, </w:t>
      </w:r>
      <w:r w:rsidDel="00000000" w:rsidR="00000000" w:rsidRPr="00000000">
        <w:rPr>
          <w:i w:val="1"/>
          <w:highlight w:val="white"/>
          <w:rtl w:val="0"/>
        </w:rPr>
        <w:t xml:space="preserve">31</w:t>
      </w:r>
      <w:r w:rsidDel="00000000" w:rsidR="00000000" w:rsidRPr="00000000">
        <w:rPr>
          <w:highlight w:val="white"/>
          <w:rtl w:val="0"/>
        </w:rPr>
        <w:t xml:space="preserve">, p.101403.</w:t>
      </w:r>
    </w:p>
    <w:p w:rsidR="00000000" w:rsidDel="00000000" w:rsidP="00000000" w:rsidRDefault="00000000" w:rsidRPr="00000000" w14:paraId="000000AF">
      <w:pPr>
        <w:spacing w:after="0" w:lineRule="auto"/>
        <w:ind w:left="720" w:hanging="720"/>
        <w:rPr/>
      </w:pPr>
      <w:r w:rsidDel="00000000" w:rsidR="00000000" w:rsidRPr="00000000">
        <w:rPr>
          <w:rtl w:val="0"/>
        </w:rPr>
        <w:t xml:space="preserve">Santos, L.L., Gomes, C., Malheiros, C. and Campos, F., 2022. Measuring the hotels' performance using profitability ratios. </w:t>
      </w:r>
      <w:r w:rsidDel="00000000" w:rsidR="00000000" w:rsidRPr="00000000">
        <w:rPr>
          <w:i w:val="1"/>
          <w:rtl w:val="0"/>
        </w:rPr>
        <w:t xml:space="preserve">Academy of Accounting and Financial Studies Journal</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(S6), pp.1-12.</w:t>
      </w:r>
    </w:p>
    <w:p w:rsidR="00000000" w:rsidDel="00000000" w:rsidP="00000000" w:rsidRDefault="00000000" w:rsidRPr="00000000" w14:paraId="000000B0">
      <w:pPr>
        <w:ind w:left="720" w:hanging="720"/>
        <w:rPr>
          <w:highlight w:val="white"/>
        </w:rPr>
      </w:pPr>
      <w:r w:rsidDel="00000000" w:rsidR="00000000" w:rsidRPr="00000000">
        <w:rPr>
          <w:highlight w:val="white"/>
          <w:rtl w:val="0"/>
        </w:rPr>
        <w:t xml:space="preserve">Watterson, A., 2020. COVID-19 in the UK and occupational health and safety: predictable not inevitable failures by government, and trade union and nongovernmental organization responses. </w:t>
      </w:r>
      <w:r w:rsidDel="00000000" w:rsidR="00000000" w:rsidRPr="00000000">
        <w:rPr>
          <w:i w:val="1"/>
          <w:highlight w:val="white"/>
          <w:rtl w:val="0"/>
        </w:rPr>
        <w:t xml:space="preserve">New Solutions: A Journal of Environmental and Occupational Health Policy</w:t>
      </w:r>
      <w:r w:rsidDel="00000000" w:rsidR="00000000" w:rsidRPr="00000000">
        <w:rPr>
          <w:highlight w:val="white"/>
          <w:rtl w:val="0"/>
        </w:rPr>
        <w:t xml:space="preserve">, </w:t>
      </w:r>
      <w:r w:rsidDel="00000000" w:rsidR="00000000" w:rsidRPr="00000000">
        <w:rPr>
          <w:i w:val="1"/>
          <w:highlight w:val="white"/>
          <w:rtl w:val="0"/>
        </w:rPr>
        <w:t xml:space="preserve">30</w:t>
      </w:r>
      <w:r w:rsidDel="00000000" w:rsidR="00000000" w:rsidRPr="00000000">
        <w:rPr>
          <w:highlight w:val="white"/>
          <w:rtl w:val="0"/>
        </w:rPr>
        <w:t xml:space="preserve">(2), pp.86-94.</w:t>
      </w:r>
    </w:p>
    <w:p w:rsidR="00000000" w:rsidDel="00000000" w:rsidP="00000000" w:rsidRDefault="00000000" w:rsidRPr="00000000" w14:paraId="000000B1">
      <w:pPr>
        <w:ind w:left="720" w:hanging="720"/>
        <w:rPr>
          <w:highlight w:val="white"/>
        </w:rPr>
      </w:pPr>
      <w:r w:rsidDel="00000000" w:rsidR="00000000" w:rsidRPr="00000000">
        <w:rPr>
          <w:highlight w:val="white"/>
          <w:rtl w:val="0"/>
        </w:rPr>
        <w:t xml:space="preserve">Yuan, X., Liu, Y. and Bucknall, R., 2021. Optimised MOPSO with the grey relationship analysis for the multi-criteria objective energy dispatch of a novel SOFC-solar hybrid CCHP residential system in the UK. </w:t>
      </w:r>
      <w:r w:rsidDel="00000000" w:rsidR="00000000" w:rsidRPr="00000000">
        <w:rPr>
          <w:i w:val="1"/>
          <w:highlight w:val="white"/>
          <w:rtl w:val="0"/>
        </w:rPr>
        <w:t xml:space="preserve">Energy Conversion and Management</w:t>
      </w:r>
      <w:r w:rsidDel="00000000" w:rsidR="00000000" w:rsidRPr="00000000">
        <w:rPr>
          <w:highlight w:val="white"/>
          <w:rtl w:val="0"/>
        </w:rPr>
        <w:t xml:space="preserve">, </w:t>
      </w:r>
      <w:r w:rsidDel="00000000" w:rsidR="00000000" w:rsidRPr="00000000">
        <w:rPr>
          <w:i w:val="1"/>
          <w:highlight w:val="white"/>
          <w:rtl w:val="0"/>
        </w:rPr>
        <w:t xml:space="preserve">243</w:t>
      </w:r>
      <w:r w:rsidDel="00000000" w:rsidR="00000000" w:rsidRPr="00000000">
        <w:rPr>
          <w:highlight w:val="white"/>
          <w:rtl w:val="0"/>
        </w:rPr>
        <w:t xml:space="preserve">, p.114406.</w:t>
      </w:r>
    </w:p>
    <w:sectPr>
      <w:headerReference r:id="rId9" w:type="default"/>
      <w:headerReference r:id="rId10" w:type="first"/>
      <w:footerReference r:id="rId11" w:type="default"/>
      <w:footerReference r:id="rId12" w:type="first"/>
      <w:pgSz w:h="16838" w:w="11906" w:orient="portrait"/>
      <w:pgMar w:bottom="1440" w:top="1440" w:left="1440" w:right="1440" w:header="706" w:footer="706"/>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Times New Roman"/>
  <w:font w:name="Arial"/>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0"/>
        <w:i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1134"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2">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1039"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w:t>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B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 w:val="left" w:leader="none" w:pos="8280"/>
      </w:tabs>
      <w:spacing w:after="0" w:before="0" w:line="240" w:lineRule="auto"/>
      <w:ind w:left="0" w:right="-613"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1"/>
        <w:i w:val="0"/>
        <w:smallCaps w:val="0"/>
        <w:strike w:val="0"/>
        <w:color w:val="000000"/>
        <w:sz w:val="36"/>
        <w:szCs w:val="36"/>
        <w:u w:val="none"/>
        <w:shd w:fill="auto" w:val="clear"/>
        <w:vertAlign w:val="baseline"/>
        <w:rtl w:val="0"/>
      </w:rPr>
      <w:t xml:space="preserve">                                                             </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432" w:hanging="432"/>
      </w:pPr>
      <w:rPr/>
    </w:lvl>
    <w:lvl w:ilvl="1">
      <w:start w:val="1"/>
      <w:numFmt w:val="decimal"/>
      <w:lvlText w:val="%1.%2"/>
      <w:lvlJc w:val="left"/>
      <w:pPr>
        <w:ind w:left="576" w:hanging="576"/>
      </w:pPr>
      <w:rPr/>
    </w:lvl>
    <w:lvl w:ilvl="2">
      <w:start w:val="1"/>
      <w:numFmt w:val="decimal"/>
      <w:lvlText w:val="%1.%2.%3"/>
      <w:lvlJc w:val="left"/>
      <w:pPr>
        <w:ind w:left="720" w:hanging="720"/>
      </w:pPr>
      <w:rPr/>
    </w:lvl>
    <w:lvl w:ilvl="3">
      <w:start w:val="1"/>
      <w:numFmt w:val="decimal"/>
      <w:lvlText w:val="%1.%2.%3.%4"/>
      <w:lvlJc w:val="left"/>
      <w:pPr>
        <w:ind w:left="864" w:hanging="864"/>
      </w:pPr>
      <w:rPr/>
    </w:lvl>
    <w:lvl w:ilvl="4">
      <w:start w:val="1"/>
      <w:numFmt w:val="decimal"/>
      <w:lvlText w:val="%1.%2.%3.%4.%5"/>
      <w:lvlJc w:val="left"/>
      <w:pPr>
        <w:ind w:left="1008" w:hanging="1008"/>
      </w:pPr>
      <w:rPr/>
    </w:lvl>
    <w:lvl w:ilvl="5">
      <w:start w:val="1"/>
      <w:numFmt w:val="decimal"/>
      <w:lvlText w:val="%1.%2.%3.%4.%5.%6"/>
      <w:lvlJc w:val="left"/>
      <w:pPr>
        <w:ind w:left="1152" w:hanging="1152"/>
      </w:pPr>
      <w:rPr/>
    </w:lvl>
    <w:lvl w:ilvl="6">
      <w:start w:val="1"/>
      <w:numFmt w:val="decimal"/>
      <w:lvlText w:val="%1.%2.%3.%4.%5.%6.%7"/>
      <w:lvlJc w:val="left"/>
      <w:pPr>
        <w:ind w:left="1296" w:hanging="1296"/>
      </w:pPr>
      <w:rPr/>
    </w:lvl>
    <w:lvl w:ilvl="7">
      <w:start w:val="1"/>
      <w:numFmt w:val="decimal"/>
      <w:lvlText w:val="%1.%2.%3.%4.%5.%6.%7.%8"/>
      <w:lvlJc w:val="left"/>
      <w:pPr>
        <w:ind w:left="1440" w:hanging="1440"/>
      </w:pPr>
      <w:rPr/>
    </w:lvl>
    <w:lvl w:ilvl="8">
      <w:start w:val="1"/>
      <w:numFmt w:val="decimal"/>
      <w:lvlText w:val="%1.%2.%3.%4.%5.%6.%7.%8.%9"/>
      <w:lvlJc w:val="left"/>
      <w:pPr>
        <w:ind w:left="1584" w:hanging="1584"/>
      </w:pPr>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after="16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360" w:lineRule="auto"/>
      <w:ind w:left="432" w:hanging="432"/>
    </w:pPr>
    <w:rPr>
      <w:b w:val="1"/>
    </w:rPr>
  </w:style>
  <w:style w:type="paragraph" w:styleId="Heading2">
    <w:name w:val="heading 2"/>
    <w:basedOn w:val="Normal"/>
    <w:next w:val="Normal"/>
    <w:pPr>
      <w:keepNext w:val="1"/>
      <w:keepLines w:val="1"/>
      <w:spacing w:after="120" w:before="160" w:lineRule="auto"/>
      <w:ind w:left="576" w:hanging="576"/>
    </w:pPr>
    <w:rPr>
      <w:b w:val="1"/>
    </w:rPr>
  </w:style>
  <w:style w:type="paragraph" w:styleId="Heading3">
    <w:name w:val="heading 3"/>
    <w:basedOn w:val="Normal"/>
    <w:next w:val="Normal"/>
    <w:pPr>
      <w:keepNext w:val="1"/>
      <w:keepLines w:val="1"/>
      <w:spacing w:after="0" w:before="40" w:lineRule="auto"/>
      <w:ind w:left="720" w:hanging="720"/>
    </w:pPr>
    <w:rPr>
      <w:b w:val="1"/>
      <w:i w:val="1"/>
      <w:highlight w:val="white"/>
    </w:rPr>
  </w:style>
  <w:style w:type="paragraph" w:styleId="Heading4">
    <w:name w:val="heading 4"/>
    <w:basedOn w:val="Normal"/>
    <w:next w:val="Normal"/>
    <w:pPr>
      <w:keepNext w:val="1"/>
      <w:keepLines w:val="1"/>
      <w:spacing w:after="0" w:before="40" w:lineRule="auto"/>
      <w:ind w:left="864" w:hanging="864"/>
    </w:pPr>
    <w:rPr>
      <w:rFonts w:ascii="Calibri" w:cs="Calibri" w:eastAsia="Calibri" w:hAnsi="Calibri"/>
      <w:i w:val="1"/>
      <w:color w:val="2e75b5"/>
    </w:rPr>
  </w:style>
  <w:style w:type="paragraph" w:styleId="Heading5">
    <w:name w:val="heading 5"/>
    <w:basedOn w:val="Normal"/>
    <w:next w:val="Normal"/>
    <w:pPr>
      <w:keepNext w:val="1"/>
      <w:keepLines w:val="1"/>
      <w:spacing w:after="0" w:before="40" w:lineRule="auto"/>
      <w:ind w:left="1008" w:hanging="1008"/>
    </w:pPr>
    <w:rPr>
      <w:rFonts w:ascii="Calibri" w:cs="Calibri" w:eastAsia="Calibri" w:hAnsi="Calibri"/>
      <w:color w:val="2e75b5"/>
    </w:rPr>
  </w:style>
  <w:style w:type="paragraph" w:styleId="Heading6">
    <w:name w:val="heading 6"/>
    <w:basedOn w:val="Normal"/>
    <w:next w:val="Normal"/>
    <w:pPr>
      <w:keepNext w:val="1"/>
      <w:keepLines w:val="1"/>
      <w:spacing w:after="0" w:before="40" w:lineRule="auto"/>
      <w:ind w:left="1152" w:hanging="1152"/>
    </w:pPr>
    <w:rPr>
      <w:rFonts w:ascii="Calibri" w:cs="Calibri" w:eastAsia="Calibri" w:hAnsi="Calibri"/>
      <w:color w:val="1e4d78"/>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rsid w:val="006918E1"/>
  </w:style>
  <w:style w:type="paragraph" w:styleId="Heading1">
    <w:name w:val="heading 1"/>
    <w:basedOn w:val="Normal"/>
    <w:next w:val="Normal"/>
    <w:link w:val="Heading1Char"/>
    <w:uiPriority w:val="9"/>
    <w:qFormat w:val="1"/>
    <w:rsid w:val="00BE18E0"/>
    <w:pPr>
      <w:keepNext w:val="1"/>
      <w:keepLines w:val="1"/>
      <w:numPr>
        <w:numId w:val="7"/>
      </w:numPr>
      <w:spacing w:after="120" w:before="360"/>
      <w:outlineLvl w:val="0"/>
    </w:pPr>
    <w:rPr>
      <w:rFonts w:eastAsiaTheme="majorEastAsia"/>
      <w:b w:val="1"/>
      <w:szCs w:val="32"/>
    </w:rPr>
  </w:style>
  <w:style w:type="paragraph" w:styleId="Heading2">
    <w:name w:val="heading 2"/>
    <w:basedOn w:val="Normal"/>
    <w:next w:val="Normal"/>
    <w:link w:val="Heading2Char"/>
    <w:uiPriority w:val="9"/>
    <w:unhideWhenUsed w:val="1"/>
    <w:qFormat w:val="1"/>
    <w:rsid w:val="00BE18E0"/>
    <w:pPr>
      <w:keepNext w:val="1"/>
      <w:keepLines w:val="1"/>
      <w:numPr>
        <w:ilvl w:val="1"/>
        <w:numId w:val="7"/>
      </w:numPr>
      <w:spacing w:after="120" w:before="160"/>
      <w:outlineLvl w:val="1"/>
    </w:pPr>
    <w:rPr>
      <w:rFonts w:eastAsiaTheme="majorEastAsia"/>
      <w:b w:val="1"/>
      <w:szCs w:val="26"/>
    </w:rPr>
  </w:style>
  <w:style w:type="paragraph" w:styleId="Heading3">
    <w:name w:val="heading 3"/>
    <w:basedOn w:val="Normal"/>
    <w:next w:val="Normal"/>
    <w:link w:val="Heading3Char"/>
    <w:uiPriority w:val="9"/>
    <w:unhideWhenUsed w:val="1"/>
    <w:qFormat w:val="1"/>
    <w:rsid w:val="00EB6EB6"/>
    <w:pPr>
      <w:keepNext w:val="1"/>
      <w:keepLines w:val="1"/>
      <w:numPr>
        <w:ilvl w:val="2"/>
        <w:numId w:val="7"/>
      </w:numPr>
      <w:spacing w:after="0" w:before="40"/>
      <w:outlineLvl w:val="2"/>
    </w:pPr>
    <w:rPr>
      <w:rFonts w:cs="Times New Roman" w:eastAsiaTheme="majorEastAsia"/>
      <w:b w:val="1"/>
      <w:bCs w:val="1"/>
      <w:i w:val="1"/>
      <w:iCs w:val="1"/>
      <w:szCs w:val="24"/>
      <w:shd w:color="auto" w:fill="ffffff" w:val="clear"/>
    </w:rPr>
  </w:style>
  <w:style w:type="paragraph" w:styleId="Heading4">
    <w:name w:val="heading 4"/>
    <w:basedOn w:val="Normal"/>
    <w:next w:val="Normal"/>
    <w:link w:val="Heading4Char"/>
    <w:uiPriority w:val="9"/>
    <w:semiHidden w:val="1"/>
    <w:unhideWhenUsed w:val="1"/>
    <w:qFormat w:val="1"/>
    <w:rsid w:val="00D978DC"/>
    <w:pPr>
      <w:keepNext w:val="1"/>
      <w:keepLines w:val="1"/>
      <w:numPr>
        <w:ilvl w:val="3"/>
        <w:numId w:val="7"/>
      </w:numPr>
      <w:spacing w:after="0" w:before="40"/>
      <w:outlineLvl w:val="3"/>
    </w:pPr>
    <w:rPr>
      <w:rFonts w:asciiTheme="majorHAnsi" w:cstheme="majorBidi" w:eastAsiaTheme="majorEastAsia" w:hAnsiTheme="majorHAnsi"/>
      <w:i w:val="1"/>
      <w:iCs w:val="1"/>
      <w:color w:val="2e74b5" w:themeColor="accent1" w:themeShade="0000BF"/>
    </w:rPr>
  </w:style>
  <w:style w:type="paragraph" w:styleId="Heading5">
    <w:name w:val="heading 5"/>
    <w:basedOn w:val="Normal"/>
    <w:next w:val="Normal"/>
    <w:link w:val="Heading5Char"/>
    <w:uiPriority w:val="9"/>
    <w:semiHidden w:val="1"/>
    <w:unhideWhenUsed w:val="1"/>
    <w:qFormat w:val="1"/>
    <w:rsid w:val="00D978DC"/>
    <w:pPr>
      <w:keepNext w:val="1"/>
      <w:keepLines w:val="1"/>
      <w:numPr>
        <w:ilvl w:val="4"/>
        <w:numId w:val="7"/>
      </w:numPr>
      <w:spacing w:after="0" w:before="40"/>
      <w:outlineLvl w:val="4"/>
    </w:pPr>
    <w:rPr>
      <w:rFonts w:asciiTheme="majorHAnsi" w:cstheme="majorBidi" w:eastAsiaTheme="majorEastAsia" w:hAnsiTheme="majorHAnsi"/>
      <w:color w:val="2e74b5" w:themeColor="accent1" w:themeShade="0000BF"/>
    </w:rPr>
  </w:style>
  <w:style w:type="paragraph" w:styleId="Heading6">
    <w:name w:val="heading 6"/>
    <w:basedOn w:val="Normal"/>
    <w:next w:val="Normal"/>
    <w:link w:val="Heading6Char"/>
    <w:uiPriority w:val="9"/>
    <w:semiHidden w:val="1"/>
    <w:unhideWhenUsed w:val="1"/>
    <w:qFormat w:val="1"/>
    <w:rsid w:val="00D978DC"/>
    <w:pPr>
      <w:keepNext w:val="1"/>
      <w:keepLines w:val="1"/>
      <w:numPr>
        <w:ilvl w:val="5"/>
        <w:numId w:val="7"/>
      </w:numPr>
      <w:spacing w:after="0" w:before="40"/>
      <w:outlineLvl w:val="5"/>
    </w:pPr>
    <w:rPr>
      <w:rFonts w:asciiTheme="majorHAnsi" w:cstheme="majorBidi" w:eastAsiaTheme="majorEastAsia" w:hAnsiTheme="majorHAnsi"/>
      <w:color w:val="1f4d78" w:themeColor="accent1" w:themeShade="00007F"/>
    </w:rPr>
  </w:style>
  <w:style w:type="paragraph" w:styleId="Heading7">
    <w:name w:val="heading 7"/>
    <w:basedOn w:val="Normal"/>
    <w:next w:val="Normal"/>
    <w:link w:val="Heading7Char"/>
    <w:uiPriority w:val="9"/>
    <w:semiHidden w:val="1"/>
    <w:unhideWhenUsed w:val="1"/>
    <w:qFormat w:val="1"/>
    <w:rsid w:val="00D978DC"/>
    <w:pPr>
      <w:keepNext w:val="1"/>
      <w:keepLines w:val="1"/>
      <w:numPr>
        <w:ilvl w:val="6"/>
        <w:numId w:val="7"/>
      </w:numPr>
      <w:spacing w:after="0" w:before="40"/>
      <w:outlineLvl w:val="6"/>
    </w:pPr>
    <w:rPr>
      <w:rFonts w:asciiTheme="majorHAnsi" w:cstheme="majorBidi" w:eastAsiaTheme="majorEastAsia" w:hAnsiTheme="majorHAnsi"/>
      <w:i w:val="1"/>
      <w:iCs w:val="1"/>
      <w:color w:val="1f4d78" w:themeColor="accent1" w:themeShade="00007F"/>
    </w:rPr>
  </w:style>
  <w:style w:type="paragraph" w:styleId="Heading8">
    <w:name w:val="heading 8"/>
    <w:basedOn w:val="Normal"/>
    <w:next w:val="Normal"/>
    <w:link w:val="Heading8Char"/>
    <w:uiPriority w:val="9"/>
    <w:semiHidden w:val="1"/>
    <w:unhideWhenUsed w:val="1"/>
    <w:qFormat w:val="1"/>
    <w:rsid w:val="00D978DC"/>
    <w:pPr>
      <w:keepNext w:val="1"/>
      <w:keepLines w:val="1"/>
      <w:numPr>
        <w:ilvl w:val="7"/>
        <w:numId w:val="7"/>
      </w:numPr>
      <w:spacing w:after="0" w:before="40"/>
      <w:outlineLvl w:val="7"/>
    </w:pPr>
    <w:rPr>
      <w:rFonts w:asciiTheme="majorHAnsi" w:cstheme="majorBidi" w:eastAsiaTheme="majorEastAsia" w:hAnsiTheme="majorHAnsi"/>
      <w:color w:val="272727" w:themeColor="text1" w:themeTint="0000D8"/>
      <w:sz w:val="21"/>
      <w:szCs w:val="21"/>
    </w:rPr>
  </w:style>
  <w:style w:type="paragraph" w:styleId="Heading9">
    <w:name w:val="heading 9"/>
    <w:basedOn w:val="Normal"/>
    <w:next w:val="Normal"/>
    <w:link w:val="Heading9Char"/>
    <w:uiPriority w:val="9"/>
    <w:semiHidden w:val="1"/>
    <w:unhideWhenUsed w:val="1"/>
    <w:qFormat w:val="1"/>
    <w:rsid w:val="00D978DC"/>
    <w:pPr>
      <w:keepNext w:val="1"/>
      <w:keepLines w:val="1"/>
      <w:numPr>
        <w:ilvl w:val="8"/>
        <w:numId w:val="7"/>
      </w:numPr>
      <w:spacing w:after="0" w:before="40"/>
      <w:outlineLvl w:val="8"/>
    </w:pPr>
    <w:rPr>
      <w:rFonts w:asciiTheme="majorHAnsi" w:cstheme="majorBidi" w:eastAsiaTheme="majorEastAsia" w:hAnsiTheme="majorHAnsi"/>
      <w:i w:val="1"/>
      <w:iCs w:val="1"/>
      <w:color w:val="272727" w:themeColor="text1" w:themeTint="0000D8"/>
      <w:sz w:val="21"/>
      <w:szCs w:val="21"/>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BE18E0"/>
    <w:rPr>
      <w:rFonts w:eastAsiaTheme="majorEastAsia"/>
      <w:b w:val="1"/>
      <w:szCs w:val="32"/>
    </w:rPr>
  </w:style>
  <w:style w:type="character" w:styleId="Heading2Char" w:customStyle="1">
    <w:name w:val="Heading 2 Char"/>
    <w:basedOn w:val="DefaultParagraphFont"/>
    <w:link w:val="Heading2"/>
    <w:uiPriority w:val="9"/>
    <w:rsid w:val="00BE18E0"/>
    <w:rPr>
      <w:rFonts w:eastAsiaTheme="majorEastAsia"/>
      <w:b w:val="1"/>
      <w:szCs w:val="26"/>
    </w:rPr>
  </w:style>
  <w:style w:type="character" w:styleId="Heading3Char" w:customStyle="1">
    <w:name w:val="Heading 3 Char"/>
    <w:basedOn w:val="DefaultParagraphFont"/>
    <w:link w:val="Heading3"/>
    <w:uiPriority w:val="9"/>
    <w:rsid w:val="00EB6EB6"/>
    <w:rPr>
      <w:rFonts w:cs="Times New Roman" w:eastAsiaTheme="majorEastAsia"/>
      <w:b w:val="1"/>
      <w:bCs w:val="1"/>
      <w:i w:val="1"/>
      <w:iCs w:val="1"/>
      <w:szCs w:val="24"/>
    </w:rPr>
  </w:style>
  <w:style w:type="character" w:styleId="Heading4Char" w:customStyle="1">
    <w:name w:val="Heading 4 Char"/>
    <w:basedOn w:val="DefaultParagraphFont"/>
    <w:link w:val="Heading4"/>
    <w:uiPriority w:val="9"/>
    <w:semiHidden w:val="1"/>
    <w:rsid w:val="00D978DC"/>
    <w:rPr>
      <w:rFonts w:asciiTheme="majorHAnsi" w:cstheme="majorBidi" w:eastAsiaTheme="majorEastAsia" w:hAnsiTheme="majorHAnsi"/>
      <w:i w:val="1"/>
      <w:iCs w:val="1"/>
      <w:color w:val="2e74b5" w:themeColor="accent1" w:themeShade="0000BF"/>
    </w:rPr>
  </w:style>
  <w:style w:type="character" w:styleId="Heading5Char" w:customStyle="1">
    <w:name w:val="Heading 5 Char"/>
    <w:basedOn w:val="DefaultParagraphFont"/>
    <w:link w:val="Heading5"/>
    <w:uiPriority w:val="9"/>
    <w:semiHidden w:val="1"/>
    <w:rsid w:val="00D978DC"/>
    <w:rPr>
      <w:rFonts w:asciiTheme="majorHAnsi" w:cstheme="majorBidi" w:eastAsiaTheme="majorEastAsia" w:hAnsiTheme="majorHAnsi"/>
      <w:color w:val="2e74b5" w:themeColor="accent1" w:themeShade="0000BF"/>
    </w:rPr>
  </w:style>
  <w:style w:type="character" w:styleId="Heading6Char" w:customStyle="1">
    <w:name w:val="Heading 6 Char"/>
    <w:basedOn w:val="DefaultParagraphFont"/>
    <w:link w:val="Heading6"/>
    <w:uiPriority w:val="9"/>
    <w:semiHidden w:val="1"/>
    <w:rsid w:val="00D978DC"/>
    <w:rPr>
      <w:rFonts w:asciiTheme="majorHAnsi" w:cstheme="majorBidi" w:eastAsiaTheme="majorEastAsia" w:hAnsiTheme="majorHAnsi"/>
      <w:color w:val="1f4d78" w:themeColor="accent1" w:themeShade="00007F"/>
    </w:rPr>
  </w:style>
  <w:style w:type="character" w:styleId="Heading7Char" w:customStyle="1">
    <w:name w:val="Heading 7 Char"/>
    <w:basedOn w:val="DefaultParagraphFont"/>
    <w:link w:val="Heading7"/>
    <w:uiPriority w:val="9"/>
    <w:semiHidden w:val="1"/>
    <w:rsid w:val="00D978DC"/>
    <w:rPr>
      <w:rFonts w:asciiTheme="majorHAnsi" w:cstheme="majorBidi" w:eastAsiaTheme="majorEastAsia" w:hAnsiTheme="majorHAnsi"/>
      <w:i w:val="1"/>
      <w:iCs w:val="1"/>
      <w:color w:val="1f4d78" w:themeColor="accent1" w:themeShade="00007F"/>
    </w:rPr>
  </w:style>
  <w:style w:type="character" w:styleId="Heading8Char" w:customStyle="1">
    <w:name w:val="Heading 8 Char"/>
    <w:basedOn w:val="DefaultParagraphFont"/>
    <w:link w:val="Heading8"/>
    <w:uiPriority w:val="9"/>
    <w:semiHidden w:val="1"/>
    <w:rsid w:val="00D978DC"/>
    <w:rPr>
      <w:rFonts w:asciiTheme="majorHAnsi" w:cstheme="majorBidi" w:eastAsiaTheme="majorEastAsia" w:hAnsiTheme="majorHAnsi"/>
      <w:color w:val="272727" w:themeColor="text1" w:themeTint="0000D8"/>
      <w:sz w:val="21"/>
      <w:szCs w:val="21"/>
    </w:rPr>
  </w:style>
  <w:style w:type="character" w:styleId="Heading9Char" w:customStyle="1">
    <w:name w:val="Heading 9 Char"/>
    <w:basedOn w:val="DefaultParagraphFont"/>
    <w:link w:val="Heading9"/>
    <w:uiPriority w:val="9"/>
    <w:semiHidden w:val="1"/>
    <w:rsid w:val="00D978DC"/>
    <w:rPr>
      <w:rFonts w:asciiTheme="majorHAnsi" w:cstheme="majorBidi" w:eastAsiaTheme="majorEastAsia" w:hAnsiTheme="majorHAnsi"/>
      <w:i w:val="1"/>
      <w:iCs w:val="1"/>
      <w:color w:val="272727" w:themeColor="text1" w:themeTint="0000D8"/>
      <w:sz w:val="21"/>
      <w:szCs w:val="21"/>
    </w:rPr>
  </w:style>
  <w:style w:type="paragraph" w:styleId="ListParagraph">
    <w:name w:val="List Paragraph"/>
    <w:basedOn w:val="Normal"/>
    <w:uiPriority w:val="34"/>
    <w:qFormat w:val="1"/>
    <w:rsid w:val="009F2C60"/>
    <w:pPr>
      <w:ind w:left="720"/>
      <w:contextualSpacing w:val="1"/>
    </w:pPr>
  </w:style>
  <w:style w:type="paragraph" w:styleId="TOCHeading">
    <w:name w:val="TOC Heading"/>
    <w:basedOn w:val="Heading1"/>
    <w:next w:val="Normal"/>
    <w:uiPriority w:val="39"/>
    <w:unhideWhenUsed w:val="1"/>
    <w:qFormat w:val="1"/>
    <w:rsid w:val="00C14C2D"/>
    <w:pPr>
      <w:numPr>
        <w:numId w:val="0"/>
      </w:numPr>
      <w:spacing w:after="0" w:before="240" w:line="259" w:lineRule="auto"/>
      <w:jc w:val="left"/>
      <w:outlineLvl w:val="9"/>
    </w:pPr>
    <w:rPr>
      <w:rFonts w:asciiTheme="majorHAnsi" w:cstheme="majorBidi" w:hAnsiTheme="majorHAnsi"/>
      <w:b w:val="0"/>
      <w:color w:val="2e74b5" w:themeColor="accent1" w:themeShade="0000BF"/>
      <w:sz w:val="32"/>
    </w:rPr>
  </w:style>
  <w:style w:type="paragraph" w:styleId="TOC1">
    <w:name w:val="toc 1"/>
    <w:basedOn w:val="Normal"/>
    <w:next w:val="Normal"/>
    <w:autoRedefine w:val="1"/>
    <w:uiPriority w:val="39"/>
    <w:unhideWhenUsed w:val="1"/>
    <w:rsid w:val="00C14C2D"/>
    <w:pPr>
      <w:spacing w:after="100"/>
    </w:pPr>
  </w:style>
  <w:style w:type="paragraph" w:styleId="TOC2">
    <w:name w:val="toc 2"/>
    <w:basedOn w:val="Normal"/>
    <w:next w:val="Normal"/>
    <w:autoRedefine w:val="1"/>
    <w:uiPriority w:val="39"/>
    <w:unhideWhenUsed w:val="1"/>
    <w:rsid w:val="00C14C2D"/>
    <w:pPr>
      <w:spacing w:after="100"/>
      <w:ind w:left="240"/>
    </w:pPr>
  </w:style>
  <w:style w:type="paragraph" w:styleId="TOC3">
    <w:name w:val="toc 3"/>
    <w:basedOn w:val="Normal"/>
    <w:next w:val="Normal"/>
    <w:autoRedefine w:val="1"/>
    <w:uiPriority w:val="39"/>
    <w:unhideWhenUsed w:val="1"/>
    <w:rsid w:val="00C14C2D"/>
    <w:pPr>
      <w:spacing w:after="100"/>
      <w:ind w:left="480"/>
    </w:pPr>
  </w:style>
  <w:style w:type="character" w:styleId="Hyperlink">
    <w:name w:val="Hyperlink"/>
    <w:basedOn w:val="DefaultParagraphFont"/>
    <w:uiPriority w:val="99"/>
    <w:unhideWhenUsed w:val="1"/>
    <w:rsid w:val="00C14C2D"/>
    <w:rPr>
      <w:color w:val="0563c1" w:themeColor="hyperlink"/>
      <w:u w:val="single"/>
    </w:rPr>
  </w:style>
  <w:style w:type="table" w:styleId="GridTable5Dark-Accent31" w:customStyle="1">
    <w:name w:val="Grid Table 5 Dark - Accent 31"/>
    <w:basedOn w:val="TableNormal"/>
    <w:uiPriority w:val="50"/>
    <w:rsid w:val="00A20389"/>
    <w:pPr>
      <w:spacing w:after="0" w:line="240" w:lineRule="auto"/>
    </w:pPr>
    <w:tblPr>
      <w:tblStyleRowBandSize w:val="1"/>
      <w:tblStyleColBandSize w:val="1"/>
      <w:tblBorders>
        <w:top w:color="ffffff" w:space="0" w:sz="4" w:themeColor="background1" w:val="single"/>
        <w:left w:color="ffffff" w:space="0" w:sz="4" w:themeColor="background1" w:val="single"/>
        <w:bottom w:color="ffffff" w:space="0" w:sz="4" w:themeColor="background1" w:val="single"/>
        <w:right w:color="ffffff" w:space="0" w:sz="4" w:themeColor="background1" w:val="single"/>
        <w:insideH w:color="ffffff" w:space="0" w:sz="4" w:themeColor="background1" w:val="single"/>
        <w:insideV w:color="ffffff" w:space="0" w:sz="4" w:themeColor="background1" w:val="single"/>
      </w:tblBorders>
    </w:tblPr>
    <w:tcPr>
      <w:shd w:color="auto" w:fill="ededed" w:themeFill="accent3" w:themeFillTint="000033" w:val="clear"/>
    </w:tcPr>
    <w:tblStylePr w:type="firstRow">
      <w:rPr>
        <w:b w:val="1"/>
        <w:bCs w:val="1"/>
        <w:color w:val="ffffff" w:themeColor="background1"/>
      </w:rPr>
      <w:tblPr/>
      <w:tcPr>
        <w:tcBorders>
          <w:top w:color="ffffff" w:space="0" w:sz="4" w:themeColor="background1" w:val="single"/>
          <w:left w:color="ffffff" w:space="0" w:sz="4" w:themeColor="background1" w:val="single"/>
          <w:right w:color="ffffff" w:space="0" w:sz="4" w:themeColor="background1" w:val="single"/>
          <w:insideH w:space="0" w:sz="0" w:val="nil"/>
          <w:insideV w:space="0" w:sz="0" w:val="nil"/>
        </w:tcBorders>
        <w:shd w:color="auto" w:fill="a5a5a5" w:themeFill="accent3" w:val="clear"/>
      </w:tcPr>
    </w:tblStylePr>
    <w:tblStylePr w:type="lastRow">
      <w:rPr>
        <w:b w:val="1"/>
        <w:bCs w:val="1"/>
        <w:color w:val="ffffff" w:themeColor="background1"/>
      </w:rPr>
      <w:tblPr/>
      <w:tcPr>
        <w:tcBorders>
          <w:left w:color="ffffff" w:space="0" w:sz="4" w:themeColor="background1" w:val="single"/>
          <w:bottom w:color="ffffff" w:space="0" w:sz="4" w:themeColor="background1" w:val="single"/>
          <w:right w:color="ffffff" w:space="0" w:sz="4" w:themeColor="background1" w:val="single"/>
          <w:insideH w:space="0" w:sz="0" w:val="nil"/>
          <w:insideV w:space="0" w:sz="0" w:val="nil"/>
        </w:tcBorders>
        <w:shd w:color="auto" w:fill="a5a5a5" w:themeFill="accent3" w:val="clear"/>
      </w:tcPr>
    </w:tblStylePr>
    <w:tblStylePr w:type="firstCol">
      <w:rPr>
        <w:b w:val="1"/>
        <w:bCs w:val="1"/>
        <w:color w:val="ffffff" w:themeColor="background1"/>
      </w:rPr>
      <w:tblPr/>
      <w:tcPr>
        <w:tcBorders>
          <w:top w:color="ffffff" w:space="0" w:sz="4" w:themeColor="background1" w:val="single"/>
          <w:left w:color="ffffff" w:space="0" w:sz="4" w:themeColor="background1" w:val="single"/>
          <w:bottom w:color="ffffff" w:space="0" w:sz="4" w:themeColor="background1" w:val="single"/>
          <w:insideV w:space="0" w:sz="0" w:val="nil"/>
        </w:tcBorders>
        <w:shd w:color="auto" w:fill="a5a5a5" w:themeFill="accent3" w:val="clear"/>
      </w:tcPr>
    </w:tblStylePr>
    <w:tblStylePr w:type="lastCol">
      <w:rPr>
        <w:b w:val="1"/>
        <w:bCs w:val="1"/>
        <w:color w:val="ffffff" w:themeColor="background1"/>
      </w:rPr>
      <w:tblPr/>
      <w:tcPr>
        <w:tcBorders>
          <w:top w:color="ffffff" w:space="0" w:sz="4" w:themeColor="background1" w:val="single"/>
          <w:bottom w:color="ffffff" w:space="0" w:sz="4" w:themeColor="background1" w:val="single"/>
          <w:right w:color="ffffff" w:space="0" w:sz="4" w:themeColor="background1" w:val="single"/>
          <w:insideV w:space="0" w:sz="0" w:val="nil"/>
        </w:tcBorders>
        <w:shd w:color="auto" w:fill="a5a5a5" w:themeFill="accent3" w:val="clear"/>
      </w:tcPr>
    </w:tblStylePr>
    <w:tblStylePr w:type="band1Vert">
      <w:tblPr/>
      <w:tcPr>
        <w:shd w:color="auto" w:fill="dbdbdb" w:themeFill="accent3" w:themeFillTint="000066" w:val="clear"/>
      </w:tcPr>
    </w:tblStylePr>
    <w:tblStylePr w:type="band1Horz">
      <w:tblPr/>
      <w:tcPr>
        <w:shd w:color="auto" w:fill="dbdbdb" w:themeFill="accent3" w:themeFillTint="000066" w:val="clear"/>
      </w:tcPr>
    </w:tblStylePr>
  </w:style>
  <w:style w:type="character" w:styleId="CommentReference">
    <w:name w:val="annotation reference"/>
    <w:basedOn w:val="DefaultParagraphFont"/>
    <w:uiPriority w:val="99"/>
    <w:semiHidden w:val="1"/>
    <w:unhideWhenUsed w:val="1"/>
    <w:rsid w:val="00A21B2C"/>
    <w:rPr>
      <w:sz w:val="16"/>
      <w:szCs w:val="16"/>
    </w:rPr>
  </w:style>
  <w:style w:type="paragraph" w:styleId="CommentText">
    <w:name w:val="annotation text"/>
    <w:basedOn w:val="Normal"/>
    <w:link w:val="CommentTextChar"/>
    <w:uiPriority w:val="99"/>
    <w:unhideWhenUsed w:val="1"/>
    <w:rsid w:val="00A21B2C"/>
    <w:pPr>
      <w:spacing w:line="240" w:lineRule="auto"/>
    </w:pPr>
    <w:rPr>
      <w:sz w:val="20"/>
      <w:szCs w:val="20"/>
    </w:rPr>
  </w:style>
  <w:style w:type="character" w:styleId="CommentTextChar" w:customStyle="1">
    <w:name w:val="Comment Text Char"/>
    <w:basedOn w:val="DefaultParagraphFont"/>
    <w:link w:val="CommentText"/>
    <w:uiPriority w:val="99"/>
    <w:rsid w:val="00A21B2C"/>
    <w:rPr>
      <w:sz w:val="20"/>
      <w:szCs w:val="20"/>
    </w:rPr>
  </w:style>
  <w:style w:type="paragraph" w:styleId="CommentSubject">
    <w:name w:val="annotation subject"/>
    <w:basedOn w:val="CommentText"/>
    <w:next w:val="CommentText"/>
    <w:link w:val="CommentSubjectChar"/>
    <w:uiPriority w:val="99"/>
    <w:semiHidden w:val="1"/>
    <w:unhideWhenUsed w:val="1"/>
    <w:rsid w:val="00A21B2C"/>
    <w:rPr>
      <w:b w:val="1"/>
      <w:bCs w:val="1"/>
    </w:rPr>
  </w:style>
  <w:style w:type="character" w:styleId="CommentSubjectChar" w:customStyle="1">
    <w:name w:val="Comment Subject Char"/>
    <w:basedOn w:val="CommentTextChar"/>
    <w:link w:val="CommentSubject"/>
    <w:uiPriority w:val="99"/>
    <w:semiHidden w:val="1"/>
    <w:rsid w:val="00A21B2C"/>
    <w:rPr>
      <w:b w:val="1"/>
      <w:bCs w:val="1"/>
      <w:sz w:val="20"/>
      <w:szCs w:val="20"/>
    </w:rPr>
  </w:style>
  <w:style w:type="table" w:styleId="TableGrid">
    <w:name w:val="Table Grid"/>
    <w:basedOn w:val="TableNormal"/>
    <w:uiPriority w:val="39"/>
    <w:rsid w:val="00C555B4"/>
    <w:pPr>
      <w:spacing w:after="0" w:line="240" w:lineRule="auto"/>
      <w:jc w:val="left"/>
    </w:pPr>
    <w:rPr>
      <w:rFonts w:asciiTheme="minorHAnsi" w:cstheme="minorBidi" w:hAnsiTheme="minorHAnsi"/>
      <w:sz w:val="22"/>
    </w:r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BalloonText">
    <w:name w:val="Balloon Text"/>
    <w:basedOn w:val="Normal"/>
    <w:link w:val="BalloonTextChar"/>
    <w:uiPriority w:val="99"/>
    <w:semiHidden w:val="1"/>
    <w:unhideWhenUsed w:val="1"/>
    <w:rsid w:val="00C03EB0"/>
    <w:pPr>
      <w:spacing w:after="0" w:line="240" w:lineRule="auto"/>
    </w:pPr>
    <w:rPr>
      <w:rFonts w:ascii="Segoe UI" w:cs="Segoe UI" w:hAnsi="Segoe UI"/>
      <w:sz w:val="18"/>
      <w:szCs w:val="18"/>
    </w:rPr>
  </w:style>
  <w:style w:type="character" w:styleId="BalloonTextChar" w:customStyle="1">
    <w:name w:val="Balloon Text Char"/>
    <w:basedOn w:val="DefaultParagraphFont"/>
    <w:link w:val="BalloonText"/>
    <w:uiPriority w:val="99"/>
    <w:semiHidden w:val="1"/>
    <w:rsid w:val="00C03EB0"/>
    <w:rPr>
      <w:rFonts w:ascii="Segoe UI" w:cs="Segoe UI" w:hAnsi="Segoe UI"/>
      <w:sz w:val="18"/>
      <w:szCs w:val="18"/>
    </w:rPr>
  </w:style>
  <w:style w:type="paragraph" w:styleId="Caption">
    <w:name w:val="caption"/>
    <w:basedOn w:val="Normal"/>
    <w:next w:val="Normal"/>
    <w:uiPriority w:val="35"/>
    <w:unhideWhenUsed w:val="1"/>
    <w:qFormat w:val="1"/>
    <w:rsid w:val="00937B26"/>
    <w:pPr>
      <w:spacing w:after="200" w:line="240" w:lineRule="auto"/>
    </w:pPr>
    <w:rPr>
      <w:b w:val="1"/>
      <w:bCs w:val="1"/>
      <w:color w:val="5b9bd5" w:themeColor="accent1"/>
      <w:sz w:val="18"/>
      <w:szCs w:val="18"/>
    </w:rPr>
  </w:style>
  <w:style w:type="paragraph" w:styleId="NormalWeb">
    <w:name w:val="Normal (Web)"/>
    <w:basedOn w:val="Normal"/>
    <w:uiPriority w:val="99"/>
    <w:semiHidden w:val="1"/>
    <w:unhideWhenUsed w:val="1"/>
    <w:rsid w:val="001E3249"/>
    <w:pPr>
      <w:spacing w:after="100" w:afterAutospacing="1" w:before="100" w:beforeAutospacing="1" w:line="240" w:lineRule="auto"/>
      <w:jc w:val="left"/>
    </w:pPr>
    <w:rPr>
      <w:rFonts w:cs="Times New Roman" w:eastAsia="Times New Roman"/>
      <w:szCs w:val="24"/>
    </w:rPr>
  </w:style>
  <w:style w:type="character" w:styleId="UnresolvedMention1" w:customStyle="1">
    <w:name w:val="Unresolved Mention1"/>
    <w:basedOn w:val="DefaultParagraphFont"/>
    <w:uiPriority w:val="99"/>
    <w:semiHidden w:val="1"/>
    <w:unhideWhenUsed w:val="1"/>
    <w:rsid w:val="00556FD7"/>
    <w:rPr>
      <w:color w:val="605e5c"/>
      <w:shd w:color="auto" w:fill="e1dfdd" w:val="clear"/>
    </w:rPr>
  </w:style>
  <w:style w:type="paragraph" w:styleId="NoSpacing">
    <w:name w:val="No Spacing"/>
    <w:uiPriority w:val="1"/>
    <w:qFormat w:val="1"/>
    <w:rsid w:val="00CD1937"/>
    <w:pPr>
      <w:spacing w:after="0" w:line="240" w:lineRule="auto"/>
    </w:pPr>
  </w:style>
  <w:style w:type="table" w:styleId="GridTable1Light-Accent2">
    <w:name w:val="Grid Table 1 Light Accent 2"/>
    <w:basedOn w:val="TableNormal"/>
    <w:uiPriority w:val="46"/>
    <w:rsid w:val="003714D1"/>
    <w:pPr>
      <w:spacing w:after="0" w:line="240" w:lineRule="auto"/>
    </w:pPr>
    <w:tblPr>
      <w:tblStyleRowBandSize w:val="1"/>
      <w:tblStyleColBandSize w:val="1"/>
      <w:tblBorders>
        <w:top w:color="f7caac" w:space="0" w:sz="4" w:themeColor="accent2" w:themeTint="000066" w:val="single"/>
        <w:left w:color="f7caac" w:space="0" w:sz="4" w:themeColor="accent2" w:themeTint="000066" w:val="single"/>
        <w:bottom w:color="f7caac" w:space="0" w:sz="4" w:themeColor="accent2" w:themeTint="000066" w:val="single"/>
        <w:right w:color="f7caac" w:space="0" w:sz="4" w:themeColor="accent2" w:themeTint="000066" w:val="single"/>
        <w:insideH w:color="f7caac" w:space="0" w:sz="4" w:themeColor="accent2" w:themeTint="000066" w:val="single"/>
        <w:insideV w:color="f7caac" w:space="0" w:sz="4" w:themeColor="accent2" w:themeTint="000066" w:val="single"/>
      </w:tblBorders>
    </w:tblPr>
    <w:tblStylePr w:type="firstRow">
      <w:rPr>
        <w:b w:val="1"/>
        <w:bCs w:val="1"/>
      </w:rPr>
      <w:tblPr/>
      <w:tcPr>
        <w:tcBorders>
          <w:bottom w:color="f4b083" w:space="0" w:sz="12" w:themeColor="accent2" w:themeTint="000099" w:val="single"/>
        </w:tcBorders>
      </w:tcPr>
    </w:tblStylePr>
    <w:tblStylePr w:type="lastRow">
      <w:rPr>
        <w:b w:val="1"/>
        <w:bCs w:val="1"/>
      </w:rPr>
      <w:tblPr/>
      <w:tcPr>
        <w:tcBorders>
          <w:top w:color="f4b083" w:space="0" w:sz="2" w:themeColor="accent2" w:themeTint="000099" w:val="double"/>
        </w:tcBorders>
      </w:tcPr>
    </w:tblStylePr>
    <w:tblStylePr w:type="firstCol">
      <w:rPr>
        <w:b w:val="1"/>
        <w:bCs w:val="1"/>
      </w:rPr>
    </w:tblStylePr>
    <w:tblStylePr w:type="lastCol">
      <w:rPr>
        <w:b w:val="1"/>
        <w:bCs w:val="1"/>
      </w:rPr>
    </w:tblStylePr>
  </w:style>
  <w:style w:type="table" w:styleId="GridTable2-Accent2">
    <w:name w:val="Grid Table 2 Accent 2"/>
    <w:basedOn w:val="TableNormal"/>
    <w:uiPriority w:val="47"/>
    <w:rsid w:val="003714D1"/>
    <w:pPr>
      <w:spacing w:after="0" w:line="240" w:lineRule="auto"/>
    </w:pPr>
    <w:tblPr>
      <w:tblStyleRowBandSize w:val="1"/>
      <w:tblStyleColBandSize w:val="1"/>
      <w:tblBorders>
        <w:top w:color="f4b083" w:space="0" w:sz="2" w:themeColor="accent2" w:themeTint="000099" w:val="single"/>
        <w:bottom w:color="f4b083" w:space="0" w:sz="2" w:themeColor="accent2" w:themeTint="000099" w:val="single"/>
        <w:insideH w:color="f4b083" w:space="0" w:sz="2" w:themeColor="accent2" w:themeTint="000099" w:val="single"/>
        <w:insideV w:color="f4b083" w:space="0" w:sz="2" w:themeColor="accent2" w:themeTint="000099" w:val="single"/>
      </w:tblBorders>
    </w:tblPr>
    <w:tblStylePr w:type="firstRow">
      <w:rPr>
        <w:b w:val="1"/>
        <w:bCs w:val="1"/>
      </w:rPr>
      <w:tblPr/>
      <w:tcPr>
        <w:tcBorders>
          <w:top w:space="0" w:sz="0" w:val="nil"/>
          <w:bottom w:color="f4b083" w:space="0" w:sz="12" w:themeColor="accent2" w:themeTint="000099" w:val="single"/>
          <w:insideH w:space="0" w:sz="0" w:val="nil"/>
          <w:insideV w:space="0" w:sz="0" w:val="nil"/>
        </w:tcBorders>
        <w:shd w:color="auto" w:fill="ffffff" w:themeFill="background1" w:val="clear"/>
      </w:tcPr>
    </w:tblStylePr>
    <w:tblStylePr w:type="lastRow">
      <w:rPr>
        <w:b w:val="1"/>
        <w:bCs w:val="1"/>
      </w:rPr>
      <w:tblPr/>
      <w:tcPr>
        <w:tcBorders>
          <w:top w:color="f4b083" w:space="0" w:sz="2" w:themeColor="accent2" w:themeTint="000099" w:val="double"/>
          <w:bottom w:space="0" w:sz="0" w:val="nil"/>
          <w:insideH w:space="0" w:sz="0" w:val="nil"/>
          <w:insideV w:space="0" w:sz="0" w:val="nil"/>
        </w:tcBorders>
        <w:shd w:color="auto" w:fill="ffffff" w:themeFill="background1" w:val="clear"/>
      </w:tcPr>
    </w:tblStylePr>
    <w:tblStylePr w:type="firstCol">
      <w:rPr>
        <w:b w:val="1"/>
        <w:bCs w:val="1"/>
      </w:rPr>
    </w:tblStylePr>
    <w:tblStylePr w:type="lastCol">
      <w:rPr>
        <w:b w:val="1"/>
        <w:bCs w:val="1"/>
      </w:rPr>
    </w:tblStylePr>
    <w:tblStylePr w:type="band1Vert">
      <w:tblPr/>
      <w:tcPr>
        <w:shd w:color="auto" w:fill="fbe4d5" w:themeFill="accent2" w:themeFillTint="000033" w:val="clear"/>
      </w:tcPr>
    </w:tblStylePr>
    <w:tblStylePr w:type="band1Horz">
      <w:tblPr/>
      <w:tcPr>
        <w:shd w:color="auto" w:fill="fbe4d5" w:themeFill="accent2" w:themeFillTint="000033" w:val="clear"/>
      </w:tcPr>
    </w:tblStylePr>
  </w:style>
  <w:style w:type="table" w:styleId="GridTable3-Accent2">
    <w:name w:val="Grid Table 3 Accent 2"/>
    <w:basedOn w:val="TableNormal"/>
    <w:uiPriority w:val="48"/>
    <w:rsid w:val="003714D1"/>
    <w:pPr>
      <w:spacing w:after="0" w:line="240" w:lineRule="auto"/>
    </w:pPr>
    <w:tblPr>
      <w:tblStyleRowBandSize w:val="1"/>
      <w:tblStyleColBandSize w:val="1"/>
      <w:tblBorders>
        <w:top w:color="f4b083" w:space="0" w:sz="4" w:themeColor="accent2" w:themeTint="000099" w:val="single"/>
        <w:left w:color="f4b083" w:space="0" w:sz="4" w:themeColor="accent2" w:themeTint="000099" w:val="single"/>
        <w:bottom w:color="f4b083" w:space="0" w:sz="4" w:themeColor="accent2" w:themeTint="000099" w:val="single"/>
        <w:right w:color="f4b083" w:space="0" w:sz="4" w:themeColor="accent2" w:themeTint="000099" w:val="single"/>
        <w:insideH w:color="f4b083" w:space="0" w:sz="4" w:themeColor="accent2" w:themeTint="000099" w:val="single"/>
        <w:insideV w:color="f4b083" w:space="0" w:sz="4" w:themeColor="accent2"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fbe4d5" w:themeFill="accent2" w:themeFillTint="000033" w:val="clear"/>
      </w:tcPr>
    </w:tblStylePr>
    <w:tblStylePr w:type="band1Horz">
      <w:tblPr/>
      <w:tcPr>
        <w:shd w:color="auto" w:fill="fbe4d5" w:themeFill="accent2" w:themeFillTint="000033" w:val="clear"/>
      </w:tcPr>
    </w:tblStylePr>
    <w:tblStylePr w:type="neCell">
      <w:tblPr/>
      <w:tcPr>
        <w:tcBorders>
          <w:bottom w:color="f4b083" w:space="0" w:sz="4" w:themeColor="accent2" w:themeTint="000099" w:val="single"/>
        </w:tcBorders>
      </w:tcPr>
    </w:tblStylePr>
    <w:tblStylePr w:type="nwCell">
      <w:tblPr/>
      <w:tcPr>
        <w:tcBorders>
          <w:bottom w:color="f4b083" w:space="0" w:sz="4" w:themeColor="accent2" w:themeTint="000099" w:val="single"/>
        </w:tcBorders>
      </w:tcPr>
    </w:tblStylePr>
    <w:tblStylePr w:type="seCell">
      <w:tblPr/>
      <w:tcPr>
        <w:tcBorders>
          <w:top w:color="f4b083" w:space="0" w:sz="4" w:themeColor="accent2" w:themeTint="000099" w:val="single"/>
        </w:tcBorders>
      </w:tcPr>
    </w:tblStylePr>
    <w:tblStylePr w:type="swCell">
      <w:tblPr/>
      <w:tcPr>
        <w:tcBorders>
          <w:top w:color="f4b083" w:space="0" w:sz="4" w:themeColor="accent2" w:themeTint="000099" w:val="single"/>
        </w:tcBorders>
      </w:tcPr>
    </w:tblStylePr>
  </w:style>
  <w:style w:type="character" w:styleId="css-1saizt3" w:customStyle="1">
    <w:name w:val="css-1saizt3"/>
    <w:basedOn w:val="DefaultParagraphFont"/>
    <w:rsid w:val="00A16EFF"/>
  </w:style>
  <w:style w:type="character" w:styleId="css-ppxtlp" w:customStyle="1">
    <w:name w:val="css-ppxtlp"/>
    <w:basedOn w:val="DefaultParagraphFont"/>
    <w:rsid w:val="00A16EFF"/>
  </w:style>
  <w:style w:type="character" w:styleId="css-1b6omqv" w:customStyle="1">
    <w:name w:val="css-1b6omqv"/>
    <w:basedOn w:val="DefaultParagraphFont"/>
    <w:rsid w:val="00A16EFF"/>
  </w:style>
  <w:style w:type="character" w:styleId="css-19j1a75" w:customStyle="1">
    <w:name w:val="css-19j1a75"/>
    <w:basedOn w:val="DefaultParagraphFont"/>
    <w:rsid w:val="00A16EFF"/>
  </w:style>
  <w:style w:type="character" w:styleId="css-k5flys" w:customStyle="1">
    <w:name w:val="css-k5flys"/>
    <w:basedOn w:val="DefaultParagraphFont"/>
    <w:rsid w:val="00A16EFF"/>
  </w:style>
  <w:style w:type="character" w:styleId="jobsearch-indeedapplybutton-newdesign" w:customStyle="1">
    <w:name w:val="jobsearch-indeedapplybutton-newdesign"/>
    <w:basedOn w:val="DefaultParagraphFont"/>
    <w:rsid w:val="00A16EFF"/>
  </w:style>
  <w:style w:type="paragraph" w:styleId="Header">
    <w:name w:val="header"/>
    <w:basedOn w:val="Normal"/>
    <w:link w:val="HeaderChar"/>
    <w:uiPriority w:val="99"/>
    <w:unhideWhenUsed w:val="1"/>
    <w:rsid w:val="0098278B"/>
    <w:pPr>
      <w:tabs>
        <w:tab w:val="center" w:pos="4513"/>
        <w:tab w:val="right" w:pos="9026"/>
      </w:tabs>
      <w:spacing w:after="0" w:line="240" w:lineRule="auto"/>
      <w:jc w:val="left"/>
    </w:pPr>
    <w:rPr>
      <w:rFonts w:asciiTheme="minorHAnsi" w:cstheme="minorBidi" w:hAnsiTheme="minorHAnsi"/>
      <w:sz w:val="22"/>
      <w:lang w:val="en-GB"/>
    </w:rPr>
  </w:style>
  <w:style w:type="character" w:styleId="HeaderChar" w:customStyle="1">
    <w:name w:val="Header Char"/>
    <w:basedOn w:val="DefaultParagraphFont"/>
    <w:link w:val="Header"/>
    <w:uiPriority w:val="99"/>
    <w:rsid w:val="0098278B"/>
    <w:rPr>
      <w:rFonts w:asciiTheme="minorHAnsi" w:cstheme="minorBidi" w:hAnsiTheme="minorHAnsi"/>
      <w:sz w:val="22"/>
      <w:lang w:val="en-GB"/>
    </w:rPr>
  </w:style>
  <w:style w:type="paragraph" w:styleId="Footer">
    <w:name w:val="footer"/>
    <w:basedOn w:val="Normal"/>
    <w:link w:val="FooterChar"/>
    <w:uiPriority w:val="99"/>
    <w:unhideWhenUsed w:val="1"/>
    <w:rsid w:val="0098278B"/>
    <w:pPr>
      <w:tabs>
        <w:tab w:val="center" w:pos="4513"/>
        <w:tab w:val="right" w:pos="9026"/>
      </w:tabs>
      <w:spacing w:after="0" w:line="240" w:lineRule="auto"/>
      <w:jc w:val="left"/>
    </w:pPr>
    <w:rPr>
      <w:rFonts w:asciiTheme="minorHAnsi" w:cstheme="minorBidi" w:hAnsiTheme="minorHAnsi"/>
      <w:sz w:val="22"/>
      <w:lang w:val="en-GB"/>
    </w:rPr>
  </w:style>
  <w:style w:type="character" w:styleId="FooterChar" w:customStyle="1">
    <w:name w:val="Footer Char"/>
    <w:basedOn w:val="DefaultParagraphFont"/>
    <w:link w:val="Footer"/>
    <w:uiPriority w:val="99"/>
    <w:rsid w:val="0098278B"/>
    <w:rPr>
      <w:rFonts w:asciiTheme="minorHAnsi" w:cstheme="minorBidi" w:hAnsiTheme="minorHAnsi"/>
      <w:sz w:val="22"/>
      <w:lang w:val="en-GB"/>
    </w:rPr>
  </w:style>
  <w:style w:type="character" w:styleId="PlaceholderText">
    <w:name w:val="Placeholder Text"/>
    <w:basedOn w:val="DefaultParagraphFont"/>
    <w:uiPriority w:val="99"/>
    <w:semiHidden w:val="1"/>
    <w:rsid w:val="0098278B"/>
    <w:rPr>
      <w:color w:val="808080"/>
    </w:rPr>
  </w:style>
  <w:style w:type="table" w:styleId="GridTable3-Accent3">
    <w:name w:val="Grid Table 3 Accent 3"/>
    <w:basedOn w:val="TableNormal"/>
    <w:uiPriority w:val="48"/>
    <w:rsid w:val="00457233"/>
    <w:pPr>
      <w:spacing w:after="0" w:line="240" w:lineRule="auto"/>
    </w:pPr>
    <w:tblPr>
      <w:tblStyleRowBandSize w:val="1"/>
      <w:tblStyleColBandSize w:val="1"/>
      <w:tblBorders>
        <w:top w:color="c9c9c9" w:space="0" w:sz="4" w:themeColor="accent3" w:themeTint="000099" w:val="single"/>
        <w:left w:color="c9c9c9" w:space="0" w:sz="4" w:themeColor="accent3" w:themeTint="000099" w:val="single"/>
        <w:bottom w:color="c9c9c9" w:space="0" w:sz="4" w:themeColor="accent3" w:themeTint="000099" w:val="single"/>
        <w:right w:color="c9c9c9" w:space="0" w:sz="4" w:themeColor="accent3" w:themeTint="000099" w:val="single"/>
        <w:insideH w:color="c9c9c9" w:space="0" w:sz="4" w:themeColor="accent3" w:themeTint="000099" w:val="single"/>
        <w:insideV w:color="c9c9c9" w:space="0" w:sz="4" w:themeColor="accent3" w:themeTint="000099" w:val="single"/>
      </w:tblBorders>
    </w:tblPr>
    <w:tblStylePr w:type="firstRow">
      <w:rPr>
        <w:b w:val="1"/>
        <w:bCs w:val="1"/>
      </w:rPr>
      <w:tblPr/>
      <w:tcPr>
        <w:tcBorders>
          <w:top w:space="0" w:sz="0" w:val="nil"/>
          <w:left w:space="0" w:sz="0" w:val="nil"/>
          <w:right w:space="0" w:sz="0" w:val="nil"/>
          <w:insideH w:space="0" w:sz="0" w:val="nil"/>
          <w:insideV w:space="0" w:sz="0" w:val="nil"/>
        </w:tcBorders>
        <w:shd w:color="auto" w:fill="ffffff" w:themeFill="background1" w:val="clear"/>
      </w:tcPr>
    </w:tblStylePr>
    <w:tblStylePr w:type="lastRow">
      <w:rPr>
        <w:b w:val="1"/>
        <w:bCs w:val="1"/>
      </w:rPr>
      <w:tblPr/>
      <w:tcPr>
        <w:tcBorders>
          <w:left w:space="0" w:sz="0" w:val="nil"/>
          <w:bottom w:space="0" w:sz="0" w:val="nil"/>
          <w:right w:space="0" w:sz="0" w:val="nil"/>
          <w:insideH w:space="0" w:sz="0" w:val="nil"/>
          <w:insideV w:space="0" w:sz="0" w:val="nil"/>
        </w:tcBorders>
        <w:shd w:color="auto" w:fill="ffffff" w:themeFill="background1" w:val="clear"/>
      </w:tcPr>
    </w:tblStylePr>
    <w:tblStylePr w:type="firstCol">
      <w:pPr>
        <w:jc w:val="right"/>
      </w:pPr>
      <w:rPr>
        <w:i w:val="1"/>
        <w:iCs w:val="1"/>
      </w:rPr>
      <w:tblPr/>
      <w:tcPr>
        <w:tcBorders>
          <w:top w:space="0" w:sz="0" w:val="nil"/>
          <w:left w:space="0" w:sz="0" w:val="nil"/>
          <w:bottom w:space="0" w:sz="0" w:val="nil"/>
          <w:insideH w:space="0" w:sz="0" w:val="nil"/>
          <w:insideV w:space="0" w:sz="0" w:val="nil"/>
        </w:tcBorders>
        <w:shd w:color="auto" w:fill="ffffff" w:themeFill="background1" w:val="clear"/>
      </w:tcPr>
    </w:tblStylePr>
    <w:tblStylePr w:type="lastCol">
      <w:rPr>
        <w:i w:val="1"/>
        <w:iCs w:val="1"/>
      </w:rPr>
      <w:tblPr/>
      <w:tcPr>
        <w:tcBorders>
          <w:top w:space="0" w:sz="0" w:val="nil"/>
          <w:bottom w:space="0" w:sz="0" w:val="nil"/>
          <w:right w:space="0" w:sz="0" w:val="nil"/>
          <w:insideH w:space="0" w:sz="0" w:val="nil"/>
          <w:insideV w:space="0" w:sz="0" w:val="nil"/>
        </w:tcBorders>
        <w:shd w:color="auto" w:fill="ffffff" w:themeFill="background1" w:val="clear"/>
      </w:tcPr>
    </w:tblStylePr>
    <w:tblStylePr w:type="band1Vert">
      <w:tblPr/>
      <w:tcPr>
        <w:shd w:color="auto" w:fill="ededed" w:themeFill="accent3" w:themeFillTint="000033" w:val="clear"/>
      </w:tcPr>
    </w:tblStylePr>
    <w:tblStylePr w:type="band1Horz">
      <w:tblPr/>
      <w:tcPr>
        <w:shd w:color="auto" w:fill="ededed" w:themeFill="accent3" w:themeFillTint="000033" w:val="clear"/>
      </w:tcPr>
    </w:tblStylePr>
    <w:tblStylePr w:type="neCell">
      <w:tblPr/>
      <w:tcPr>
        <w:tcBorders>
          <w:bottom w:color="c9c9c9" w:space="0" w:sz="4" w:themeColor="accent3" w:themeTint="000099" w:val="single"/>
        </w:tcBorders>
      </w:tcPr>
    </w:tblStylePr>
    <w:tblStylePr w:type="nwCell">
      <w:tblPr/>
      <w:tcPr>
        <w:tcBorders>
          <w:bottom w:color="c9c9c9" w:space="0" w:sz="4" w:themeColor="accent3" w:themeTint="000099" w:val="single"/>
        </w:tcBorders>
      </w:tcPr>
    </w:tblStylePr>
    <w:tblStylePr w:type="seCell">
      <w:tblPr/>
      <w:tcPr>
        <w:tcBorders>
          <w:top w:color="c9c9c9" w:space="0" w:sz="4" w:themeColor="accent3" w:themeTint="000099" w:val="single"/>
        </w:tcBorders>
      </w:tcPr>
    </w:tblStylePr>
    <w:tblStylePr w:type="swCell">
      <w:tblPr/>
      <w:tcPr>
        <w:tcBorders>
          <w:top w:color="c9c9c9" w:space="0" w:sz="4" w:themeColor="accent3" w:themeTint="000099" w:val="single"/>
        </w:tcBorders>
      </w:tcPr>
    </w:tblStyle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jc w:val="left"/>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tcPr>
      <w:shd w:fill="ededed" w:val="clear"/>
    </w:tcPr>
    <w:tblStylePr w:type="band1Horz">
      <w:tcPr>
        <w:shd w:fill="dbdbdb" w:val="clear"/>
      </w:tcPr>
    </w:tblStylePr>
    <w:tblStylePr w:type="band1Vert">
      <w:tcPr>
        <w:shd w:fill="dbdbdb"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a5a5a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a5a5a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a5a5a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a5a5a5" w:val="clear"/>
      </w:tcPr>
    </w:tblStylePr>
  </w:style>
  <w:style w:type="table" w:styleId="Table2">
    <w:basedOn w:val="TableNormal"/>
    <w:pPr>
      <w:spacing w:after="0" w:line="240" w:lineRule="auto"/>
      <w:jc w:val="left"/>
    </w:pPr>
    <w:rPr>
      <w:rFonts w:ascii="Calibri" w:cs="Calibri" w:eastAsia="Calibri" w:hAnsi="Calibri"/>
      <w:sz w:val="22"/>
      <w:szCs w:val="22"/>
    </w:rPr>
    <w:tblPr>
      <w:tblStyleRowBandSize w:val="1"/>
      <w:tblStyleColBandSize w:val="1"/>
      <w:tblCellMar>
        <w:top w:w="0.0" w:type="dxa"/>
        <w:left w:w="115.0" w:type="dxa"/>
        <w:bottom w:w="0.0" w:type="dxa"/>
        <w:right w:w="115.0" w:type="dxa"/>
      </w:tblCellMar>
    </w:tblPr>
    <w:tcPr>
      <w:shd w:fill="ededed" w:val="clear"/>
    </w:tcPr>
    <w:tblStylePr w:type="band1Horz">
      <w:tcPr>
        <w:shd w:fill="dbdbdb" w:val="clear"/>
      </w:tcPr>
    </w:tblStylePr>
    <w:tblStylePr w:type="band1Vert">
      <w:tcPr>
        <w:shd w:fill="dbdbdb" w:val="clear"/>
      </w:tcPr>
    </w:tblStylePr>
    <w:tblStylePr w:type="firstCol">
      <w:rPr>
        <w:b w:val="1"/>
        <w:color w:val="ffffff"/>
      </w:rPr>
      <w:tcPr>
        <w:tcBorders>
          <w:top w:color="ffffff" w:space="0" w:sz="4" w:val="single"/>
          <w:left w:color="ffffff" w:space="0" w:sz="4" w:val="single"/>
          <w:bottom w:color="ffffff" w:space="0" w:sz="4" w:val="single"/>
          <w:insideV w:color="000000" w:space="0" w:sz="0" w:val="nil"/>
        </w:tcBorders>
        <w:shd w:fill="a5a5a5" w:val="clear"/>
      </w:tcPr>
    </w:tblStylePr>
    <w:tblStylePr w:type="firstRow">
      <w:rPr>
        <w:b w:val="1"/>
        <w:color w:val="ffffff"/>
      </w:rPr>
      <w:tcPr>
        <w:tcBorders>
          <w:top w:color="ffffff" w:space="0" w:sz="4" w:val="single"/>
          <w:left w:color="ffffff" w:space="0" w:sz="4" w:val="single"/>
          <w:right w:color="ffffff" w:space="0" w:sz="4" w:val="single"/>
          <w:insideH w:color="000000" w:space="0" w:sz="0" w:val="nil"/>
          <w:insideV w:color="000000" w:space="0" w:sz="0" w:val="nil"/>
        </w:tcBorders>
        <w:shd w:fill="a5a5a5" w:val="clear"/>
      </w:tcPr>
    </w:tblStylePr>
    <w:tblStylePr w:type="lastCol">
      <w:rPr>
        <w:b w:val="1"/>
        <w:color w:val="ffffff"/>
      </w:rPr>
      <w:tcPr>
        <w:tcBorders>
          <w:top w:color="ffffff" w:space="0" w:sz="4" w:val="single"/>
          <w:bottom w:color="ffffff" w:space="0" w:sz="4" w:val="single"/>
          <w:right w:color="ffffff" w:space="0" w:sz="4" w:val="single"/>
          <w:insideV w:color="000000" w:space="0" w:sz="0" w:val="nil"/>
        </w:tcBorders>
        <w:shd w:fill="a5a5a5" w:val="clear"/>
      </w:tcPr>
    </w:tblStylePr>
    <w:tblStylePr w:type="lastRow">
      <w:rPr>
        <w:b w:val="1"/>
        <w:color w:val="ffffff"/>
      </w:rPr>
      <w:tcPr>
        <w:tcBorders>
          <w:left w:color="ffffff" w:space="0" w:sz="4" w:val="single"/>
          <w:bottom w:color="ffffff" w:space="0" w:sz="4" w:val="single"/>
          <w:right w:color="ffffff" w:space="0" w:sz="4" w:val="single"/>
          <w:insideH w:color="000000" w:space="0" w:sz="0" w:val="nil"/>
          <w:insideV w:color="000000" w:space="0" w:sz="0" w:val="nil"/>
        </w:tcBorders>
        <w:shd w:fill="a5a5a5"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eader" Target="header2.xml"/><Relationship Id="rId12" Type="http://schemas.openxmlformats.org/officeDocument/2006/relationships/footer" Target="footer2.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 Id="rId8" Type="http://schemas.openxmlformats.org/officeDocument/2006/relationships/image" Target="media/image2.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T7QzrWEBPXtMZlc/x84G9EWlsYg==">CgMxLjAyCGguZ2pkZ3hzMg5oLncweGx6OHZ6N2xqbDIOaC40NzllcnAycmU3djgyDmguNjA1cXp1ZTg2bzNoMg5oLnY4cGJncGF4Z3dlODIOaC5udHNlODBjcTF5NnEyDmgubncxMWVnbGx5ejVzMg5oLmxjZXcxZnBoMHRkaTIOaC55dm01a2luNjNudnYyDmgubmxidzV3emY0c2JhMg1oLndiYjdoYXJ5N3phMgloLjMwajB6bGwyCWguMWZvYjl0ZTIJaC4zem55c2g3MgloLjJldDkycDAyCGgudHlqY3d0MgloLjNkeTZ2a20yCWguMXQzaDVzZjIJaC40ZDM0b2c4MgloLjJzOGV5bzE4AHIhMS1tMklDbnpCMS1FVmNJanNZYjRqSFBhSE56TlFXZVJV</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2024-06-03T08:15:00Z</dcterms:created>
  <dc:creator>abc</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781762ec186bb8fbb460d7e8ca1f3b608da7e7a9ddb962eac1378a0560737e74</vt:lpwstr>
  </property>
  <property fmtid="{D5CDD505-2E9C-101B-9397-08002B2CF9AE}" pid="3" name="MSIP_Label_defa4170-0d19-0005-0004-bc88714345d2_ActionId">
    <vt:lpwstr>a27c88eb-4fb5-4514-b9e6-92f67646d47d</vt:lpwstr>
  </property>
  <property fmtid="{D5CDD505-2E9C-101B-9397-08002B2CF9AE}" pid="4" name="MSIP_Label_defa4170-0d19-0005-0004-bc88714345d2_ContentBits">
    <vt:lpwstr>0</vt:lpwstr>
  </property>
  <property fmtid="{D5CDD505-2E9C-101B-9397-08002B2CF9AE}" pid="5" name="MSIP_Label_defa4170-0d19-0005-0004-bc88714345d2_Enabled">
    <vt:lpwstr>true</vt:lpwstr>
  </property>
  <property fmtid="{D5CDD505-2E9C-101B-9397-08002B2CF9AE}" pid="6" name="MSIP_Label_defa4170-0d19-0005-0004-bc88714345d2_Method">
    <vt:lpwstr>Standard</vt:lpwstr>
  </property>
  <property fmtid="{D5CDD505-2E9C-101B-9397-08002B2CF9AE}" pid="7" name="MSIP_Label_defa4170-0d19-0005-0004-bc88714345d2_Name">
    <vt:lpwstr>defa4170-0d19-0005-0004-bc88714345d2</vt:lpwstr>
  </property>
  <property fmtid="{D5CDD505-2E9C-101B-9397-08002B2CF9AE}" pid="8" name="MSIP_Label_defa4170-0d19-0005-0004-bc88714345d2_SetDate">
    <vt:lpwstr>2024-02-02T07:27:03Z</vt:lpwstr>
  </property>
  <property fmtid="{D5CDD505-2E9C-101B-9397-08002B2CF9AE}" pid="9" name="MSIP_Label_defa4170-0d19-0005-0004-bc88714345d2_SiteId">
    <vt:lpwstr>c28dec81-3961-40fc-9144-5da40491e2a8</vt:lpwstr>
  </property>
</Properties>
</file>