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p>
    <w:p>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 Reshaping Samsung's Strategic Direction: Delivering Innovative Customer Care for Resilience and Competitive Advantage</w:t>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Name:</w:t>
      </w:r>
      <w:r>
        <w:rPr>
          <w:rFonts w:hint="eastAsia" w:ascii="Times New Roman" w:hAnsi="Times New Roman" w:cs="Times New Roman"/>
          <w:sz w:val="24"/>
          <w:szCs w:val="24"/>
        </w:rPr>
        <w:t>Strategic Management (BMMB7013)</w:t>
      </w:r>
    </w:p>
    <w:p>
      <w:pPr>
        <w:spacing w:line="480" w:lineRule="auto"/>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Name:</w:t>
      </w:r>
      <w:r>
        <w:rPr>
          <w:rFonts w:hint="eastAsia" w:ascii="Times New Roman" w:hAnsi="Times New Roman" w:eastAsia="宋体" w:cs="Times New Roman"/>
          <w:sz w:val="24"/>
          <w:szCs w:val="24"/>
          <w:lang w:val="en-US" w:eastAsia="zh-CN"/>
        </w:rPr>
        <w:t>Suibin Yang</w:t>
      </w:r>
    </w:p>
    <w:p>
      <w:pPr>
        <w:spacing w:line="480" w:lineRule="auto"/>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Student Number:</w:t>
      </w:r>
      <w:r>
        <w:rPr>
          <w:rFonts w:hint="eastAsia" w:ascii="Times New Roman" w:hAnsi="Times New Roman" w:eastAsia="宋体" w:cs="Times New Roman"/>
          <w:sz w:val="24"/>
          <w:szCs w:val="24"/>
          <w:lang w:val="en-US" w:eastAsia="zh-CN"/>
        </w:rPr>
        <w:t>2227824</w:t>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bookmarkStart w:id="56" w:name="_GoBack"/>
      <w:bookmarkEnd w:id="56"/>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rPr>
          <w:rFonts w:ascii="Times New Roman" w:hAnsi="Times New Roman" w:cs="Times New Roman"/>
          <w:sz w:val="24"/>
          <w:szCs w:val="24"/>
        </w:rPr>
      </w:pPr>
    </w:p>
    <w:sdt>
      <w:sdtPr>
        <w:rPr>
          <w:b/>
        </w:rPr>
        <w:id w:val="-1279944524"/>
        <w:docPartObj>
          <w:docPartGallery w:val="Table of Contents"/>
          <w:docPartUnique/>
        </w:docPartObj>
      </w:sdtPr>
      <w:sdtEndPr>
        <w:rPr>
          <w:rFonts w:ascii="Times New Roman" w:hAnsi="Times New Roman" w:cs="Times New Roman" w:eastAsiaTheme="minorHAnsi"/>
          <w:b w:val="0"/>
          <w:bCs/>
          <w:color w:val="auto"/>
          <w:sz w:val="24"/>
          <w:szCs w:val="24"/>
        </w:rPr>
      </w:sdtEndPr>
      <w:sdtContent>
        <w:p>
          <w:pPr>
            <w:pStyle w:val="22"/>
            <w:jc w:val="center"/>
            <w:rPr>
              <w:b/>
            </w:rPr>
          </w:pPr>
          <w:r>
            <w:rPr>
              <w:b/>
            </w:rPr>
            <w:t>Contents</w:t>
          </w:r>
        </w:p>
        <w:p>
          <w:pPr>
            <w:pStyle w:val="9"/>
            <w:tabs>
              <w:tab w:val="right" w:leader="dot" w:pos="9350"/>
            </w:tabs>
            <w:spacing w:line="360" w:lineRule="auto"/>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"_Toc140164982" </w:instrText>
          </w:r>
          <w:r>
            <w:fldChar w:fldCharType="separate"/>
          </w:r>
          <w:r>
            <w:rPr>
              <w:rStyle w:val="16"/>
              <w:rFonts w:ascii="Times New Roman" w:hAnsi="Times New Roman" w:cs="Times New Roman"/>
              <w:sz w:val="24"/>
              <w:szCs w:val="24"/>
            </w:rPr>
            <w:t>List of Figures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_Toc140164982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"_Toc140164983" </w:instrText>
          </w:r>
          <w:r>
            <w:fldChar w:fldCharType="separate"/>
          </w:r>
          <w:r>
            <w:rPr>
              <w:rStyle w:val="16"/>
              <w:rFonts w:ascii="Times New Roman" w:hAnsi="Times New Roman" w:cs="Times New Roman"/>
              <w:sz w:val="24"/>
              <w:szCs w:val="24"/>
            </w:rPr>
            <w:t>List of Tables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660"/>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"_Toc140164984" </w:instrText>
          </w:r>
          <w:r>
            <w:fldChar w:fldCharType="separate"/>
          </w:r>
          <w:r>
            <w:rPr>
              <w:rStyle w:val="16"/>
              <w:rFonts w:ascii="Times New Roman" w:hAnsi="Times New Roman" w:cs="Times New Roman" w:eastAsiaTheme="majorEastAsia"/>
              <w:sz w:val="24"/>
              <w:szCs w:val="24"/>
            </w:rPr>
            <w:t>1.0</w:t>
          </w:r>
          <w:r>
            <w:rPr>
              <w:rFonts w:ascii="Times New Roman" w:hAnsi="Times New Roman" w:cs="Times New Roman" w:eastAsiaTheme="minorEastAsia"/>
              <w:sz w:val="24"/>
              <w:szCs w:val="24"/>
            </w:rPr>
            <w:tab/>
          </w:r>
          <w:r>
            <w:rPr>
              <w:rStyle w:val="16"/>
              <w:rFonts w:ascii="Times New Roman" w:hAnsi="Times New Roman" w:cs="Times New Roman" w:eastAsiaTheme="majorEastAsia"/>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660"/>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"_Toc140164985" </w:instrText>
          </w:r>
          <w:r>
            <w:fldChar w:fldCharType="separate"/>
          </w:r>
          <w:r>
            <w:rPr>
              <w:rStyle w:val="16"/>
              <w:rFonts w:ascii="Times New Roman" w:hAnsi="Times New Roman" w:cs="Times New Roman"/>
              <w:sz w:val="24"/>
              <w:szCs w:val="24"/>
            </w:rPr>
            <w:t>2.0</w:t>
          </w:r>
          <w:r>
            <w:rPr>
              <w:rFonts w:ascii="Times New Roman" w:hAnsi="Times New Roman" w:cs="Times New Roman" w:eastAsiaTheme="minorEastAsia"/>
              <w:sz w:val="24"/>
              <w:szCs w:val="24"/>
            </w:rPr>
            <w:tab/>
          </w:r>
          <w:r>
            <w:rPr>
              <w:rStyle w:val="16"/>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"_Toc140164986" </w:instrText>
          </w:r>
          <w:r>
            <w:fldChar w:fldCharType="separate"/>
          </w:r>
          <w:r>
            <w:rPr>
              <w:rStyle w:val="16"/>
              <w:rFonts w:ascii="Times New Roman" w:hAnsi="Times New Roman" w:cs="Times New Roman"/>
              <w:sz w:val="24"/>
              <w:szCs w:val="24"/>
            </w:rPr>
            <w:t>2. 1 Report Remit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"_Toc140164987" </w:instrText>
          </w:r>
          <w:r>
            <w:fldChar w:fldCharType="separate"/>
          </w:r>
          <w:r>
            <w:rPr>
              <w:rStyle w:val="16"/>
              <w:rFonts w:ascii="Times New Roman" w:hAnsi="Times New Roman" w:cs="Times New Roman"/>
              <w:sz w:val="24"/>
              <w:szCs w:val="24"/>
            </w:rPr>
            <w:t>2.2 Background of the Organization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"_Toc140164988" </w:instrText>
          </w:r>
          <w:r>
            <w:fldChar w:fldCharType="separate"/>
          </w:r>
          <w:r>
            <w:rPr>
              <w:rStyle w:val="16"/>
              <w:rFonts w:ascii="Times New Roman" w:hAnsi="Times New Roman" w:cs="Times New Roman"/>
              <w:sz w:val="24"/>
              <w:szCs w:val="24"/>
            </w:rPr>
            <w:t>2.3 Definition of Major Concepts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"_Toc140164989" </w:instrText>
          </w:r>
          <w:r>
            <w:fldChar w:fldCharType="separate"/>
          </w:r>
          <w:r>
            <w:rPr>
              <w:rStyle w:val="16"/>
              <w:rFonts w:ascii="Times New Roman" w:hAnsi="Times New Roman" w:cs="Times New Roman"/>
              <w:sz w:val="24"/>
              <w:szCs w:val="24"/>
            </w:rPr>
            <w:t>3.0 Theoretical Framework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_Toc140164989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"_Toc140164990" </w:instrText>
          </w:r>
          <w:r>
            <w:fldChar w:fldCharType="separate"/>
          </w:r>
          <w:r>
            <w:rPr>
              <w:rStyle w:val="16"/>
              <w:rFonts w:ascii="Times New Roman" w:hAnsi="Times New Roman" w:cs="Times New Roman"/>
              <w:sz w:val="24"/>
              <w:szCs w:val="24"/>
            </w:rPr>
            <w:t>3.1 Definition of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"_Toc140164991" </w:instrText>
          </w:r>
          <w:r>
            <w:fldChar w:fldCharType="separate"/>
          </w:r>
          <w:r>
            <w:rPr>
              <w:rStyle w:val="16"/>
              <w:rFonts w:ascii="Times New Roman" w:hAnsi="Times New Roman" w:cs="Times New Roman"/>
              <w:sz w:val="24"/>
              <w:szCs w:val="24"/>
            </w:rPr>
            <w:t>3.2 Strategic Management Tools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"_Toc140164992" </w:instrText>
          </w:r>
          <w:r>
            <w:fldChar w:fldCharType="separate"/>
          </w:r>
          <w:r>
            <w:rPr>
              <w:rStyle w:val="16"/>
              <w:rFonts w:ascii="Times New Roman" w:hAnsi="Times New Roman" w:cs="Times New Roman"/>
              <w:sz w:val="24"/>
              <w:szCs w:val="24"/>
            </w:rPr>
            <w:t>4.0 External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_Toc140164992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"_Toc140164993" </w:instrText>
          </w:r>
          <w:r>
            <w:fldChar w:fldCharType="separate"/>
          </w:r>
          <w:r>
            <w:rPr>
              <w:rStyle w:val="16"/>
              <w:rFonts w:ascii="Times New Roman" w:hAnsi="Times New Roman" w:cs="Times New Roman"/>
              <w:sz w:val="24"/>
              <w:szCs w:val="24"/>
            </w:rPr>
            <w:t>4.1 PESTLE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"_Toc140164994" </w:instrText>
          </w:r>
          <w:r>
            <w:fldChar w:fldCharType="separate"/>
          </w:r>
          <w:r>
            <w:rPr>
              <w:rStyle w:val="16"/>
              <w:rFonts w:ascii="Times New Roman" w:hAnsi="Times New Roman" w:cs="Times New Roman"/>
              <w:sz w:val="24"/>
              <w:szCs w:val="24"/>
            </w:rPr>
            <w:t>4.2 Porter's Five Forces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_Toc140164994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"_Toc140164995" </w:instrText>
          </w:r>
          <w:r>
            <w:fldChar w:fldCharType="separate"/>
          </w:r>
          <w:r>
            <w:rPr>
              <w:rStyle w:val="16"/>
              <w:rFonts w:ascii="Times New Roman" w:hAnsi="Times New Roman" w:cs="Times New Roman"/>
              <w:sz w:val="24"/>
              <w:szCs w:val="24"/>
            </w:rPr>
            <w:t>4.2. 1 Implication for Samsung's Customer Care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"_Toc140164996" </w:instrText>
          </w:r>
          <w:r>
            <w:fldChar w:fldCharType="separate"/>
          </w:r>
          <w:r>
            <w:rPr>
              <w:rStyle w:val="16"/>
              <w:rFonts w:ascii="Times New Roman" w:hAnsi="Times New Roman" w:cs="Times New Roman"/>
              <w:sz w:val="24"/>
              <w:szCs w:val="24"/>
            </w:rPr>
            <w:t>4.2. 2 Alignment with Strategic Management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_Toc140164996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"_Toc140164997" </w:instrText>
          </w:r>
          <w:r>
            <w:fldChar w:fldCharType="separate"/>
          </w:r>
          <w:r>
            <w:rPr>
              <w:rStyle w:val="16"/>
              <w:rFonts w:ascii="Times New Roman" w:hAnsi="Times New Roman" w:cs="Times New Roman"/>
              <w:sz w:val="24"/>
              <w:szCs w:val="24"/>
            </w:rPr>
            <w:t>5.0 Internal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_Toc140164997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"_Toc140164998" </w:instrText>
          </w:r>
          <w:r>
            <w:fldChar w:fldCharType="separate"/>
          </w:r>
          <w:r>
            <w:rPr>
              <w:rStyle w:val="16"/>
              <w:rFonts w:ascii="Times New Roman" w:hAnsi="Times New Roman" w:cs="Times New Roman"/>
              <w:sz w:val="24"/>
              <w:szCs w:val="24"/>
            </w:rPr>
            <w:t>5.1 Resource-Based View (RBV.)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_Toc140164998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"_Toc140164999" </w:instrText>
          </w:r>
          <w:r>
            <w:fldChar w:fldCharType="separate"/>
          </w:r>
          <w:r>
            <w:rPr>
              <w:rStyle w:val="16"/>
              <w:rFonts w:ascii="Times New Roman" w:hAnsi="Times New Roman" w:cs="Times New Roman"/>
              <w:sz w:val="24"/>
              <w:szCs w:val="24"/>
            </w:rPr>
            <w:t>5.1.1 Samsung's Competitive Advantage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_Toc140164999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"_Toc140165000" </w:instrText>
          </w:r>
          <w:r>
            <w:fldChar w:fldCharType="separate"/>
          </w:r>
          <w:r>
            <w:rPr>
              <w:rStyle w:val="16"/>
              <w:rFonts w:ascii="Times New Roman" w:hAnsi="Times New Roman" w:cs="Times New Roman"/>
              <w:sz w:val="24"/>
              <w:szCs w:val="24"/>
            </w:rPr>
            <w:t>5.2 Value Chain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_Toc140165000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"_Toc140165001" </w:instrText>
          </w:r>
          <w:r>
            <w:fldChar w:fldCharType="separate"/>
          </w:r>
          <w:r>
            <w:rPr>
              <w:rStyle w:val="16"/>
              <w:rFonts w:ascii="Times New Roman" w:hAnsi="Times New Roman" w:cs="Times New Roman"/>
              <w:sz w:val="24"/>
              <w:szCs w:val="24"/>
            </w:rPr>
            <w:t>6.0 Evaluation of Strategic Options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_Toc140165001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"_Toc140165002" </w:instrText>
          </w:r>
          <w:r>
            <w:fldChar w:fldCharType="separate"/>
          </w:r>
          <w:r>
            <w:rPr>
              <w:rStyle w:val="16"/>
              <w:rFonts w:ascii="Times New Roman" w:hAnsi="Times New Roman" w:cs="Times New Roman"/>
              <w:sz w:val="24"/>
              <w:szCs w:val="24"/>
            </w:rPr>
            <w:t>6.1 Ansoff Matrix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_Toc140165002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"_Toc140165003" </w:instrText>
          </w:r>
          <w:r>
            <w:fldChar w:fldCharType="separate"/>
          </w:r>
          <w:r>
            <w:rPr>
              <w:rStyle w:val="16"/>
              <w:rFonts w:ascii="Times New Roman" w:hAnsi="Times New Roman" w:cs="Times New Roman"/>
              <w:sz w:val="24"/>
              <w:szCs w:val="24"/>
            </w:rPr>
            <w:t>6.2 SWOT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_Toc140165003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"_Toc140165004" </w:instrText>
          </w:r>
          <w:r>
            <w:fldChar w:fldCharType="separate"/>
          </w:r>
          <w:r>
            <w:rPr>
              <w:rStyle w:val="16"/>
              <w:rFonts w:ascii="Times New Roman" w:hAnsi="Times New Roman" w:cs="Times New Roman"/>
              <w:sz w:val="24"/>
              <w:szCs w:val="24"/>
            </w:rPr>
            <w:t>6.3 Bowman's Strategy Clock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_Toc140165004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"_Toc140165005" </w:instrText>
          </w:r>
          <w:r>
            <w:fldChar w:fldCharType="separate"/>
          </w:r>
          <w:r>
            <w:rPr>
              <w:rStyle w:val="16"/>
              <w:rFonts w:ascii="Times New Roman" w:hAnsi="Times New Roman" w:cs="Times New Roman"/>
              <w:sz w:val="24"/>
              <w:szCs w:val="24"/>
            </w:rPr>
            <w:t>7.0 Conclusions and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_Toc140165005 \h </w:instrText>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"_Toc140165006" </w:instrText>
          </w:r>
          <w:r>
            <w:fldChar w:fldCharType="separate"/>
          </w:r>
          <w:r>
            <w:rPr>
              <w:rStyle w:val="16"/>
              <w:rFonts w:ascii="Times New Roman" w:hAnsi="Times New Roman" w:cs="Times New Roman"/>
              <w:sz w:val="24"/>
              <w:szCs w:val="24"/>
            </w:rPr>
            <w:t>7.1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_Toc140165006 \h </w:instrText>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"_Toc140165007" </w:instrText>
          </w:r>
          <w:r>
            <w:fldChar w:fldCharType="separate"/>
          </w:r>
          <w:r>
            <w:rPr>
              <w:rStyle w:val="16"/>
              <w:rFonts w:ascii="Times New Roman" w:hAnsi="Times New Roman" w:cs="Times New Roman"/>
              <w:sz w:val="24"/>
              <w:szCs w:val="24"/>
            </w:rPr>
            <w:t>7.2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_Toc140165007 \h </w:instrText>
          </w:r>
          <w:r>
            <w:rPr>
              <w:rFonts w:ascii="Times New Roman" w:hAnsi="Times New Roman" w:cs="Times New Roman"/>
              <w:sz w:val="24"/>
              <w:szCs w:val="24"/>
            </w:rPr>
            <w:fldChar w:fldCharType="separate"/>
          </w:r>
          <w:r>
            <w:rPr>
              <w:rFonts w:ascii="Times New Roman" w:hAnsi="Times New Roman" w:cs="Times New Roman"/>
              <w:sz w:val="24"/>
              <w:szCs w:val="24"/>
            </w:rPr>
            <w:t>27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"_Toc140165008" </w:instrText>
          </w:r>
          <w:r>
            <w:fldChar w:fldCharType="separate"/>
          </w:r>
          <w:r>
            <w:rPr>
              <w:rStyle w:val="16"/>
              <w:rFonts w:ascii="Times New Roman" w:hAnsi="Times New Roman" w:cs="Times New Roman"/>
              <w:sz w:val="24"/>
              <w:szCs w:val="24"/>
            </w:rPr>
            <w:t>8.0 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_Toc140165008 \h </w:instrText>
          </w:r>
          <w:r>
            <w:rPr>
              <w:rFonts w:ascii="Times New Roman" w:hAnsi="Times New Roman" w:cs="Times New Roman"/>
              <w:sz w:val="24"/>
              <w:szCs w:val="24"/>
            </w:rPr>
            <w:fldChar w:fldCharType="separate"/>
          </w:r>
          <w:r>
            <w:rPr>
              <w:rFonts w:ascii="Times New Roman" w:hAnsi="Times New Roman" w:cs="Times New Roman"/>
              <w:sz w:val="24"/>
              <w:szCs w:val="24"/>
            </w:rPr>
            <w:t>29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rPr>
              <w:rFonts w:ascii="Times New Roman" w:hAnsi="Times New Roman" w:cs="Times New Roman"/>
              <w:sz w:val="24"/>
              <w:szCs w:val="24"/>
            </w:rPr>
          </w:pPr>
          <w:r>
            <w:rPr>
              <w:rFonts w:ascii="Times New Roman" w:hAnsi="Times New Roman" w:cs="Times New Roman"/>
              <w:bCs/>
              <w:sz w:val="24"/>
              <w:szCs w:val="24"/>
            </w:rPr>
            <w:fldChar w:fldCharType="end"/>
          </w:r>
        </w:p>
        <w:p>
          <w:pPr>
            <w:spacing w:line="360" w:lineRule="auto"/>
            <w:rPr>
              <w:rFonts w:ascii="Times New Roman" w:hAnsi="Times New Roman" w:cs="Times New Roman"/>
              <w:sz w:val="24"/>
              <w:szCs w:val="24"/>
            </w:rPr>
          </w:pPr>
        </w:p>
      </w:sdtContent>
    </w:sdt>
    <w:p>
      <w:pPr>
        <w:pStyle w:val="2"/>
        <w:spacing w:line="360" w:lineRule="auto"/>
        <w:jc w:val="center"/>
        <w:rPr>
          <w:rFonts w:ascii="Times New Roman" w:hAnsi="Times New Roman" w:cs="Times New Roman"/>
          <w:b/>
          <w:sz w:val="24"/>
          <w:szCs w:val="24"/>
        </w:rPr>
      </w:pPr>
      <w:bookmarkStart w:id="0" w:name="_Toc140164982"/>
      <w:r>
        <w:rPr>
          <w:rFonts w:ascii="Times New Roman" w:hAnsi="Times New Roman" w:cs="Times New Roman"/>
          <w:b/>
          <w:sz w:val="24"/>
          <w:szCs w:val="24"/>
        </w:rPr>
        <w:t>List of Figures</w:t>
      </w:r>
      <w:bookmarkEnd w:id="0"/>
    </w:p>
    <w:p>
      <w:pPr>
        <w:pStyle w:val="10"/>
        <w:tabs>
          <w:tab w:val="right" w:leader="dot" w:pos="9350"/>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r>
        <w:fldChar w:fldCharType="begin"/>
      </w:r>
      <w:r>
        <w:instrText xml:space="preserve"> HYPERLINK \l "_Toc140164857" </w:instrText>
      </w:r>
      <w:r>
        <w:fldChar w:fldCharType="separate"/>
      </w:r>
      <w:r>
        <w:rPr>
          <w:rStyle w:val="16"/>
          <w:rFonts w:ascii="Times New Roman" w:hAnsi="Times New Roman" w:cs="Times New Roman"/>
          <w:sz w:val="24"/>
          <w:szCs w:val="24"/>
        </w:rPr>
        <w:t>Figure 1: Ansoff Matrix (source: Hanlon (2021)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_Toc140164857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rPr>
          <w:rFonts w:ascii="Times New Roman" w:hAnsi="Times New Roman" w:cs="Times New Roman"/>
          <w:sz w:val="24"/>
          <w:szCs w:val="24"/>
        </w:rPr>
      </w:pPr>
      <w:r>
        <w:fldChar w:fldCharType="begin"/>
      </w:r>
      <w:r>
        <w:instrText xml:space="preserve"> HYPERLINK \l "_Toc140164858" </w:instrText>
      </w:r>
      <w:r>
        <w:fldChar w:fldCharType="separate"/>
      </w:r>
      <w:r>
        <w:rPr>
          <w:rStyle w:val="16"/>
          <w:rFonts w:ascii="Times New Roman" w:hAnsi="Times New Roman" w:cs="Times New Roman"/>
          <w:sz w:val="24"/>
          <w:szCs w:val="24"/>
        </w:rPr>
        <w:t>Figure 2: Bowman's Strategy Clock (Source: Francis, 2014)</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_Toc140164858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fldChar w:fldCharType="end"/>
      </w: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"Table" </w:instrText>
      </w:r>
      <w:r>
        <w:rPr>
          <w:rFonts w:ascii="Times New Roman" w:hAnsi="Times New Roman" w:cs="Times New Roman"/>
          <w:sz w:val="24"/>
          <w:szCs w:val="24"/>
        </w:rPr>
        <w:fldChar w:fldCharType="separate"/>
      </w:r>
    </w:p>
    <w:p>
      <w:pPr>
        <w:pStyle w:val="2"/>
        <w:spacing w:line="360" w:lineRule="auto"/>
        <w:jc w:val="center"/>
        <w:rPr>
          <w:rFonts w:ascii="Times New Roman" w:hAnsi="Times New Roman" w:cs="Times New Roman"/>
          <w:b/>
          <w:sz w:val="24"/>
          <w:szCs w:val="24"/>
        </w:rPr>
      </w:pPr>
      <w:bookmarkStart w:id="1" w:name="_Toc140164983"/>
      <w:r>
        <w:rPr>
          <w:rFonts w:ascii="Times New Roman" w:hAnsi="Times New Roman" w:cs="Times New Roman"/>
          <w:b/>
          <w:sz w:val="24"/>
          <w:szCs w:val="24"/>
        </w:rPr>
        <w:t>List of Tables</w:t>
      </w:r>
      <w:bookmarkEnd w:id="1"/>
    </w:p>
    <w:p>
      <w:pPr>
        <w:pStyle w:val="10"/>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"_Toc140164915" </w:instrText>
      </w:r>
      <w:r>
        <w:fldChar w:fldCharType="separate"/>
      </w:r>
      <w:r>
        <w:rPr>
          <w:rStyle w:val="16"/>
          <w:rFonts w:ascii="Times New Roman" w:hAnsi="Times New Roman" w:cs="Times New Roman"/>
          <w:sz w:val="24"/>
          <w:szCs w:val="24"/>
        </w:rPr>
        <w:t>Table 1: Samsung’s PESTEL Analysis (Own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_Toc140164915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"_Toc140164916" </w:instrText>
      </w:r>
      <w:r>
        <w:fldChar w:fldCharType="separate"/>
      </w:r>
      <w:r>
        <w:rPr>
          <w:rStyle w:val="16"/>
          <w:rFonts w:ascii="Times New Roman" w:hAnsi="Times New Roman" w:cs="Times New Roman"/>
          <w:sz w:val="24"/>
          <w:szCs w:val="24"/>
        </w:rPr>
        <w:t>Table 2: Samsung's Porter's Five Forces (Own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_Toc140164916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"_Toc140164917" </w:instrText>
      </w:r>
      <w:r>
        <w:fldChar w:fldCharType="separate"/>
      </w:r>
      <w:r>
        <w:rPr>
          <w:rStyle w:val="16"/>
          <w:rFonts w:ascii="Times New Roman" w:hAnsi="Times New Roman" w:cs="Times New Roman"/>
          <w:sz w:val="24"/>
          <w:szCs w:val="24"/>
        </w:rPr>
        <w:t>Table 3: Resource-Based View for Samsung (Own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_Toc140164917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"_Toc140164918" </w:instrText>
      </w:r>
      <w:r>
        <w:fldChar w:fldCharType="separate"/>
      </w:r>
      <w:r>
        <w:rPr>
          <w:rStyle w:val="16"/>
          <w:rFonts w:ascii="Times New Roman" w:hAnsi="Times New Roman" w:cs="Times New Roman"/>
          <w:sz w:val="24"/>
          <w:szCs w:val="24"/>
        </w:rPr>
        <w:t>Table 4: Value chain analysis of Samsung (Own Assessment)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_Toc140164918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350"/>
        </w:tabs>
        <w:spacing w:line="360" w:lineRule="auto"/>
        <w:rPr>
          <w:rFonts w:ascii="Times New Roman" w:hAnsi="Times New Roman" w:cs="Times New Roman" w:eastAsiaTheme="minorEastAsia"/>
          <w:sz w:val="24"/>
          <w:szCs w:val="24"/>
        </w:rPr>
      </w:pPr>
      <w:r>
        <w:fldChar w:fldCharType="begin"/>
      </w:r>
      <w:r>
        <w:instrText xml:space="preserve"> HYPERLINK \l "_Toc140164919" </w:instrText>
      </w:r>
      <w:r>
        <w:fldChar w:fldCharType="separate"/>
      </w:r>
      <w:r>
        <w:rPr>
          <w:rStyle w:val="16"/>
          <w:rFonts w:ascii="Times New Roman" w:hAnsi="Times New Roman" w:cs="Times New Roman"/>
          <w:sz w:val="24"/>
          <w:szCs w:val="24"/>
        </w:rPr>
        <w:t>Table 5: Samsung's SWOT Analysis (Source: Parker, 2019).</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_Toc140164919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fldChar w:fldCharType="end"/>
      </w: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pStyle w:val="23"/>
        <w:keepNext/>
        <w:keepLines/>
        <w:numPr>
          <w:ilvl w:val="0"/>
          <w:numId w:val="1"/>
        </w:numPr>
        <w:spacing w:before="240" w:after="0"/>
        <w:outlineLvl w:val="0"/>
        <w:rPr>
          <w:rFonts w:ascii="Times New Roman" w:hAnsi="Times New Roman" w:cs="Times New Roman" w:eastAsiaTheme="majorEastAsia"/>
          <w:b/>
          <w:color w:val="2E75B6" w:themeColor="accent1" w:themeShade="BF"/>
          <w:sz w:val="24"/>
          <w:szCs w:val="24"/>
        </w:rPr>
      </w:pPr>
      <w:bookmarkStart w:id="2" w:name="_Toc140164984"/>
      <w:bookmarkStart w:id="3" w:name="_Toc139729483"/>
      <w:r>
        <w:rPr>
          <w:rFonts w:ascii="Times New Roman" w:hAnsi="Times New Roman" w:cs="Times New Roman" w:eastAsiaTheme="majorEastAsia"/>
          <w:b/>
          <w:color w:val="2E75B6" w:themeColor="accent1" w:themeShade="BF"/>
          <w:sz w:val="24"/>
          <w:szCs w:val="24"/>
        </w:rPr>
        <w:t>Executive Summary</w:t>
      </w:r>
      <w:bookmarkEnd w:id="2"/>
      <w:bookmarkEnd w:id="3"/>
    </w:p>
    <w:p>
      <w:pPr>
        <w:spacing w:line="480" w:lineRule="auto"/>
        <w:jc w:val="both"/>
        <w:rPr>
          <w:rFonts w:ascii="Times New Roman" w:hAnsi="Times New Roman" w:cs="Times New Roman"/>
          <w:sz w:val="24"/>
          <w:szCs w:val="24"/>
        </w:rPr>
      </w:pPr>
      <w:r>
        <w:rPr>
          <w:rFonts w:ascii="Times New Roman" w:hAnsi="Times New Roman" w:cs="Times New Roman"/>
          <w:sz w:val="24"/>
          <w:szCs w:val="24"/>
        </w:rPr>
        <w:t>This paper summarizes the major findings, strategic alternatives analysis, and suggestions for Samsung's customer service strategy. It uses ideas and frameworks from strategic management to back up its findings. The PESTLE analysis, Porter's Five Forces analysis, RBV analysis, and value chain analysis are only a few methods used to examine Samsung's external and internal surroundings. The Ansoff Matrix and techniques like SWOT analysis and Bowman's Strategy Clock are used to assess potential strategies. The report concludes with suggestions for how Samsung may adjust its strategy to better serve its customers through cutting-edge care methods while strengthening its position as an industry leader. References to applicable strategic management theories back up the analysis and recommendations.</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r>
        <w:rPr>
          <w:rFonts w:ascii="Times New Roman" w:hAnsi="Times New Roman" w:cs="Times New Roman"/>
          <w:sz w:val="24"/>
          <w:szCs w:val="24"/>
        </w:rPr>
        <w:t>‘</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pStyle w:val="2"/>
        <w:numPr>
          <w:ilvl w:val="0"/>
          <w:numId w:val="1"/>
        </w:numPr>
        <w:rPr>
          <w:rFonts w:ascii="Times New Roman" w:hAnsi="Times New Roman" w:cs="Times New Roman"/>
          <w:b/>
          <w:sz w:val="24"/>
          <w:szCs w:val="24"/>
        </w:rPr>
      </w:pPr>
      <w:bookmarkStart w:id="4" w:name="_Toc140164985"/>
      <w:bookmarkStart w:id="5" w:name="_Toc139729484"/>
      <w:r>
        <w:rPr>
          <w:rFonts w:ascii="Times New Roman" w:hAnsi="Times New Roman" w:cs="Times New Roman"/>
          <w:b/>
          <w:sz w:val="24"/>
          <w:szCs w:val="24"/>
        </w:rPr>
        <w:t>Introduction</w:t>
      </w:r>
      <w:bookmarkEnd w:id="4"/>
      <w:bookmarkEnd w:id="5"/>
    </w:p>
    <w:p>
      <w:pPr>
        <w:pStyle w:val="3"/>
        <w:rPr>
          <w:rFonts w:ascii="Times New Roman" w:hAnsi="Times New Roman" w:cs="Times New Roman"/>
          <w:sz w:val="24"/>
          <w:szCs w:val="24"/>
        </w:rPr>
      </w:pPr>
      <w:bookmarkStart w:id="6" w:name="_Toc140164986"/>
      <w:r>
        <w:rPr>
          <w:rFonts w:ascii="Times New Roman" w:hAnsi="Times New Roman" w:cs="Times New Roman"/>
          <w:sz w:val="24"/>
          <w:szCs w:val="24"/>
        </w:rPr>
        <w:t>2. 1 Report Remit</w:t>
      </w:r>
      <w:bookmarkEnd w:id="6"/>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report aims to analyze and recommend strategic moves for Samsung to better serve its customers via innovation, maintain its resilience, and preserve its competitive edge.</w:t>
      </w:r>
    </w:p>
    <w:p>
      <w:pPr>
        <w:pStyle w:val="3"/>
      </w:pPr>
      <w:bookmarkStart w:id="7" w:name="_Toc140164987"/>
      <w:r>
        <w:t>2.2 Background of the Organization</w:t>
      </w:r>
      <w:bookmarkEnd w:id="7"/>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Samsung is a South Korean multinational company with headquarters in Samsung Town, Seoul. It is the largest South Korean chaebol (business conglomerate) and consists of multiple connected enterprises, most of which are integrated under the Samsung name. Lee Byung-chul started Samsung in 1938 as a trade enterprise. The corporation spent the following three decades expanding into new markets, such as the food processing, textile, insurance, securities, and retail sectors (Lee et al., 2019). Samsung first joined the electronics market in the 1960s, and since then they have become a global powerhouse. Samsung is now a major player in the global electronics industry, producing a wide range of products from smartphones and TVs to semiconductors and household appliances. Samsung has a presence in more than 80 countries throughout the world. It has a market valuation of over $2 trillion and more than 300,000 employees (companiesmarketcap.com, n.d.). One of the most valuable brands in the world, Samsung plays a significant role in the global economy. In the context of this report, Samsung is the organization that is being analyzed. In light of the epidemic and the changing business landscape, the research will analyze Samsung's customer service approach and make recommendations for improvement.</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Key aspects of Samsung's background that are pertinent to this study are as follows:</w:t>
      </w:r>
    </w:p>
    <w:p>
      <w:pPr>
        <w:pStyle w:val="2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Samsung enjoys a stellar reputation as an established brand throughout the world.</w:t>
      </w:r>
    </w:p>
    <w:p>
      <w:pPr>
        <w:pStyle w:val="2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Samsung is a dominant force in the global electronic device market.</w:t>
      </w:r>
    </w:p>
    <w:p>
      <w:pPr>
        <w:pStyle w:val="2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Samsung has a rich legacy of pioneering new technologies.</w:t>
      </w:r>
    </w:p>
    <w:p>
      <w:pPr>
        <w:pStyle w:val="2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The competition from other worldwide brands is getting tougher for Samsung.</w:t>
      </w:r>
    </w:p>
    <w:p>
      <w:pPr>
        <w:pStyle w:val="2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Samsung's profits have taken a major hit because of the epidemic (Kang et al., 2021).</w:t>
      </w:r>
    </w:p>
    <w:p>
      <w:pPr>
        <w:pStyle w:val="23"/>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The business world is changing as more customers want tailored and easy interactions with brands.</w:t>
      </w:r>
    </w:p>
    <w:p>
      <w:pPr>
        <w:pStyle w:val="3"/>
      </w:pPr>
      <w:bookmarkStart w:id="8" w:name="_Toc140164988"/>
      <w:r>
        <w:t>2.3 Definition of Major Concepts</w:t>
      </w:r>
      <w:bookmarkEnd w:id="8"/>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Customer service: The provision of service to customers before, during, and after a purchase. Strategic management: The process of developing and implementing a plan for achieving an organization's goals. </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Innovation: The introduction of new products, services, or processes. Innovation can be a key driver of growth and competitive advantage.</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Resilience: The ability to recover quickly from a setback or challenge. </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Competitive edge: The factors that give an organization an advantage over its competitors. </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Customer-centric: An approach to business that puts the customer at the center of everything the company does.</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Hyper-personalized: Tailored to the specific needs of an individual customer.</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Shifting market conditions: Changes in the way that customers buy and use products and services.</w:t>
      </w:r>
    </w:p>
    <w:p>
      <w:pPr>
        <w:pStyle w:val="23"/>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Rapid technological development: The rapid pace at which new technologies are being developed and adopted.</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pStyle w:val="2"/>
        <w:jc w:val="center"/>
        <w:rPr>
          <w:rFonts w:ascii="Times New Roman" w:hAnsi="Times New Roman" w:cs="Times New Roman"/>
          <w:b/>
          <w:sz w:val="24"/>
          <w:szCs w:val="24"/>
        </w:rPr>
      </w:pPr>
      <w:bookmarkStart w:id="9" w:name="_Toc139729485"/>
      <w:bookmarkStart w:id="10" w:name="_Toc140164989"/>
      <w:r>
        <w:rPr>
          <w:rFonts w:ascii="Times New Roman" w:hAnsi="Times New Roman" w:cs="Times New Roman"/>
          <w:b/>
          <w:sz w:val="24"/>
          <w:szCs w:val="24"/>
        </w:rPr>
        <w:t>3.0 Theoretical Framework</w:t>
      </w:r>
      <w:bookmarkEnd w:id="9"/>
      <w:bookmarkEnd w:id="10"/>
    </w:p>
    <w:p>
      <w:pPr>
        <w:pStyle w:val="3"/>
        <w:rPr>
          <w:rFonts w:ascii="Times New Roman" w:hAnsi="Times New Roman" w:cs="Times New Roman"/>
          <w:sz w:val="24"/>
          <w:szCs w:val="24"/>
        </w:rPr>
      </w:pPr>
      <w:bookmarkStart w:id="11" w:name="_Toc140164990"/>
      <w:bookmarkStart w:id="12" w:name="_Toc139729486"/>
      <w:r>
        <w:rPr>
          <w:rFonts w:ascii="Times New Roman" w:hAnsi="Times New Roman" w:cs="Times New Roman"/>
          <w:sz w:val="24"/>
          <w:szCs w:val="24"/>
        </w:rPr>
        <w:t>3.1 Definition of Strategy</w:t>
      </w:r>
      <w:bookmarkEnd w:id="11"/>
      <w:bookmarkEnd w:id="12"/>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Strategy is a crucial notion in strategic management, and numerous viewpoints and definitions have developed from strategic management theorists. A company's strategy combines activities and decisions in light of its external environment to establish what it wants to accomplish and how it plans to get there (Johnson et al., 2017). Mintzberg (1994) presented ten distinct schools of thought on strategy, with the overarching idea that strategy includes well-thought-out intentions and the unanticipated, emerging patterns resulting from an organization's interactions with its external environment. Strategic planning is an essential component of cutting-edge customer service. Organizations must move beyond traditional customer service and adopt customer-centric strategies in response to the hyperconnected and fast-changing digital ecosystem (Mckinsey.com, n.d.). Finding out what customers want ahead of time is a crucial part of any smart customer service strategy. This is in addition to creating unique and custom solutions and providing consistent interactions across channels.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For businesses to create and implement customer care programs that increase customer happiness, loyalty, and advocacy in the age of hyper-personalization, they need a strategic map (McKinsey.com, n.d.). Organizations may differentiate themselves and create a lasting competitive edge by carefully aligning their resources, competencies, and technology with consumer expectations. The strategy helps firms make educated decisions about resource allocation, process design, technology adoption, and employee engagement. The strategy helps companies predict market trends, understand consumer behavior, and improve their customer care products to stay ahead of the competition.</w:t>
      </w:r>
    </w:p>
    <w:p>
      <w:pPr>
        <w:pStyle w:val="3"/>
        <w:rPr>
          <w:rFonts w:ascii="Times New Roman" w:hAnsi="Times New Roman" w:cs="Times New Roman"/>
          <w:sz w:val="24"/>
          <w:szCs w:val="24"/>
        </w:rPr>
      </w:pPr>
      <w:bookmarkStart w:id="13" w:name="_Toc139729487"/>
      <w:bookmarkStart w:id="14" w:name="_Toc140164991"/>
      <w:r>
        <w:rPr>
          <w:rFonts w:ascii="Times New Roman" w:hAnsi="Times New Roman" w:cs="Times New Roman"/>
          <w:sz w:val="24"/>
          <w:szCs w:val="24"/>
        </w:rPr>
        <w:t>3.2 Strategic Management Tools</w:t>
      </w:r>
      <w:bookmarkEnd w:id="13"/>
      <w:bookmarkEnd w:id="14"/>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Analysis and evaluation of Samsung's strategy orientation rely heavily on strategic management techniques. These resources give methodical frameworks for scanning the market for potential opportunities and risks, as well as for weighing pros and cons before settling on a course of action. Samsung may improve the quality of its strategic decisions by making use of strategic management tools to better understand its internal capabilities, external market dynamics, and strategic choices (Grant, 2015). Porter's Five Forces is a useful framework for assessing Samsung's strategic position in the market. This model is useful for evaluating the extent to which Samsung faces competition in its market. It looks at the competitive intensity of the market, the number of potential competitors, the bargaining power of suppliers and buyers, and the availability of replacement goods and services. Samsung may get insight into the industry's attractiveness, risks and difficulties, and opportunities to strengthen its competitive position by completing a Five Forces research (Porter, 1980).</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Ansoff Matrix is another useful tool when considering Samsung's strategic possibilities. The model divides business approaches into four quadrants: focusing on the market, expanding into new markets, creating new products, and diversifying into other areas (Loredana, 2016). Growing a company's market share with already established items is called market penetration while expanding into new areas is called market development. When developing a product, the focus is on penetrating existing markets; when diversifying, the focus is on penetrating new markets. The Ansoff Matrix has helped Samsung evaluate growth initiatives and determine whether or not they are in line with the company's long-term goals (Grant, 2015). SWOT analysis and the Value Chain Analysis are two other methods that can help Samsung in addition to Porter's Five Forces and the Ansoff Matrix. By analyzing the company's internal and external opportunities and threats using the SWOT framework, Samsung may better understand its strategic position (Johnson et al., 2017). In order to optimize costs and generate value, Samsung uses the Value Chain Analysis to distinguish between core and auxiliary functions inside its business. Samsung may use strategic management techniques to analyze its strategic direction, find areas for improvement, and explore strategic solutions for sustainable development and competitive advantage. These instruments provide a systematic framework for conducting a strategic analysis to ensure business decisions are well-informed and in line with the company's goals and resources.</w:t>
      </w: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pStyle w:val="2"/>
        <w:jc w:val="center"/>
        <w:rPr>
          <w:rFonts w:ascii="Times New Roman" w:hAnsi="Times New Roman" w:cs="Times New Roman"/>
          <w:b/>
          <w:sz w:val="24"/>
          <w:szCs w:val="24"/>
        </w:rPr>
      </w:pPr>
      <w:bookmarkStart w:id="15" w:name="_Toc139729488"/>
      <w:bookmarkStart w:id="16" w:name="_Toc140164992"/>
      <w:r>
        <w:rPr>
          <w:rFonts w:ascii="Times New Roman" w:hAnsi="Times New Roman" w:cs="Times New Roman"/>
          <w:b/>
          <w:sz w:val="24"/>
          <w:szCs w:val="24"/>
        </w:rPr>
        <w:t>4.0 External Analysis</w:t>
      </w:r>
      <w:bookmarkEnd w:id="15"/>
      <w:bookmarkEnd w:id="16"/>
    </w:p>
    <w:p>
      <w:pPr>
        <w:pStyle w:val="3"/>
        <w:rPr>
          <w:rFonts w:ascii="Times New Roman" w:hAnsi="Times New Roman" w:cs="Times New Roman"/>
          <w:sz w:val="24"/>
          <w:szCs w:val="24"/>
        </w:rPr>
      </w:pPr>
      <w:bookmarkStart w:id="17" w:name="_Toc140164993"/>
      <w:bookmarkStart w:id="18" w:name="_Toc139729489"/>
      <w:r>
        <w:rPr>
          <w:rFonts w:ascii="Times New Roman" w:hAnsi="Times New Roman" w:cs="Times New Roman"/>
          <w:sz w:val="24"/>
          <w:szCs w:val="24"/>
        </w:rPr>
        <w:t>4.1 PESTLE Analysis</w:t>
      </w:r>
      <w:bookmarkEnd w:id="17"/>
      <w:bookmarkEnd w:id="18"/>
    </w:p>
    <w:tbl>
      <w:tblPr>
        <w:tblStyle w:val="13"/>
        <w:tblW w:w="9795" w:type="dxa"/>
        <w:tblCellSpacing w:w="15" w:type="dxa"/>
        <w:tblInd w:w="0"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tblLayout w:type="autofit"/>
        <w:tblCellMar>
          <w:top w:w="15" w:type="dxa"/>
          <w:left w:w="15" w:type="dxa"/>
          <w:bottom w:w="15" w:type="dxa"/>
          <w:right w:w="15" w:type="dxa"/>
        </w:tblCellMar>
      </w:tblPr>
      <w:tblGrid>
        <w:gridCol w:w="1522"/>
        <w:gridCol w:w="4082"/>
        <w:gridCol w:w="4191"/>
      </w:tblGrid>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Factors</w:t>
            </w:r>
          </w:p>
        </w:tc>
        <w:tc>
          <w:tcPr>
            <w:tcW w:w="0" w:type="auto"/>
            <w:tcBorders>
              <w:top w:val="single" w:color="D9D9E3" w:sz="6"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Description</w:t>
            </w:r>
          </w:p>
        </w:tc>
        <w:tc>
          <w:tcPr>
            <w:tcW w:w="0" w:type="auto"/>
            <w:tcBorders>
              <w:top w:val="single" w:color="D9D9E3" w:sz="6"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Link to Strategic Management Theories/Concepts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Political</w:t>
            </w:r>
          </w:p>
        </w:tc>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Government regulations, stability, and policies related to customer protection and data privacy may impact Samsung's customer care strategy.</w:t>
            </w:r>
          </w:p>
        </w:tc>
        <w:tc>
          <w:tcPr>
            <w:tcW w:w="0" w:type="auto"/>
            <w:tcBorders>
              <w:top w:val="single" w:color="D9D9E3" w:sz="2"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Stakeholder theory: Governments and regulators are important stakeholders who shape the external environment for Samsung's customer care operations.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Economic</w:t>
            </w:r>
          </w:p>
        </w:tc>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Economic conditions, inflation, exchange rates, and consumer purchasing power influence Samsung's customer care strategy.</w:t>
            </w:r>
          </w:p>
        </w:tc>
        <w:tc>
          <w:tcPr>
            <w:tcW w:w="0" w:type="auto"/>
            <w:tcBorders>
              <w:top w:val="single" w:color="D9D9E3" w:sz="2"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Porter's Diamond Model: Insights into national competitiveness factors that influence Samsung's ability to deliver customer care services effectively and efficiently.</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Sociocultural</w:t>
            </w:r>
          </w:p>
        </w:tc>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Societal and cultural factors such as demographic trends, social norms, cultural values, and consumer behavior patterns impact Samsung's customer care strategy.</w:t>
            </w:r>
          </w:p>
        </w:tc>
        <w:tc>
          <w:tcPr>
            <w:tcW w:w="0" w:type="auto"/>
            <w:tcBorders>
              <w:top w:val="single" w:color="D9D9E3" w:sz="2"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Consumer behavior theories: Understanding how social and cultural factors shape customer preferences and expectations in the customer care domain.</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Technological</w:t>
            </w:r>
          </w:p>
        </w:tc>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Technological advancements and innovations, such as digital technologies, automation, artificial intelligence, and data analytics, affect Samsung's customer care strategy.</w:t>
            </w:r>
          </w:p>
        </w:tc>
        <w:tc>
          <w:tcPr>
            <w:tcW w:w="0" w:type="auto"/>
            <w:tcBorders>
              <w:top w:val="single" w:color="D9D9E3" w:sz="2"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Resource-based view (RBV) theory: Technological capabilities and resources as critical factors in delivering innovative and personalized customer care experiences.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Legal</w:t>
            </w:r>
          </w:p>
        </w:tc>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Legal and regulatory factors influence Samsung's customer care strategy, including consumer protection laws, data privacy regulations, intellectual property rights, and employment laws.</w:t>
            </w:r>
          </w:p>
        </w:tc>
        <w:tc>
          <w:tcPr>
            <w:tcW w:w="0" w:type="auto"/>
            <w:tcBorders>
              <w:top w:val="single" w:color="D9D9E3" w:sz="2"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Strategic compliance management: Aligning customer care practices with legal requirements and ethical standards to mitigate risks and maintain customer trust.</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Environmental</w:t>
            </w:r>
          </w:p>
        </w:tc>
        <w:tc>
          <w:tcPr>
            <w:tcW w:w="0" w:type="auto"/>
            <w:tcBorders>
              <w:top w:val="single" w:color="D9D9E3" w:sz="2" w:space="0"/>
              <w:left w:val="single" w:color="D9D9E3" w:sz="6" w:space="0"/>
              <w:bottom w:val="single" w:color="D9D9E3" w:sz="6" w:space="0"/>
              <w:right w:val="single" w:color="D9D9E3" w:sz="2"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Environmental factors such as sustainability, climate change, environmental regulations, and corporate social responsibility impact Samsung's customer care strategy.</w:t>
            </w:r>
          </w:p>
        </w:tc>
        <w:tc>
          <w:tcPr>
            <w:tcW w:w="0" w:type="auto"/>
            <w:tcBorders>
              <w:top w:val="single" w:color="D9D9E3" w:sz="2" w:space="0"/>
              <w:left w:val="single" w:color="D9D9E3" w:sz="6" w:space="0"/>
              <w:bottom w:val="single" w:color="D9D9E3" w:sz="6" w:space="0"/>
              <w:right w:val="single" w:color="D9D9E3" w:sz="6" w:space="0"/>
            </w:tcBorders>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Triple bottom line approach: Balancing environmental sustainability, social responsibility, and financial performance in shaping Samsung's customer care strategy.</w:t>
            </w:r>
          </w:p>
        </w:tc>
      </w:tr>
    </w:tbl>
    <w:p>
      <w:pPr>
        <w:pStyle w:val="5"/>
        <w:rPr>
          <w:rFonts w:ascii="Times New Roman" w:hAnsi="Times New Roman" w:cs="Times New Roman"/>
          <w:vanish/>
          <w:sz w:val="24"/>
          <w:szCs w:val="24"/>
        </w:rPr>
      </w:pPr>
      <w:bookmarkStart w:id="19" w:name="_Toc140164915"/>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Samsung’s PESTEL Analysis (Own Assessment)</w:t>
      </w:r>
      <w:bookmarkEnd w:id="19"/>
      <w:r>
        <w:rPr>
          <w:rFonts w:ascii="Times New Roman" w:hAnsi="Times New Roman" w:cs="Times New Roman"/>
          <w:sz w:val="24"/>
          <w:szCs w:val="24"/>
        </w:rPr>
        <w:t xml:space="preserve"> </w:t>
      </w:r>
      <w:r>
        <w:rPr>
          <w:rFonts w:ascii="Times New Roman" w:hAnsi="Times New Roman" w:cs="Times New Roman"/>
          <w:vanish/>
          <w:sz w:val="24"/>
          <w:szCs w:val="24"/>
        </w:rPr>
        <w:t>Bottom of Form</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b/>
          <w:sz w:val="24"/>
          <w:szCs w:val="24"/>
        </w:rPr>
      </w:pPr>
      <w:r>
        <w:rPr>
          <w:rFonts w:ascii="Times New Roman" w:hAnsi="Times New Roman" w:cs="Times New Roman"/>
          <w:b/>
          <w:sz w:val="24"/>
          <w:szCs w:val="24"/>
        </w:rPr>
        <w:t>Political Factors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Political factors significantly influence Samsung's customer care strategy. Government regulations and policies related to customer protection and data privacy play a vital role in shaping how Samsung interacts with its customers. For instance, strict data privacy regulations, such as the General Data Protection Regulation (GDPR), have necessitated organizations like Samsung to enhance their data handling and protection practices (Saroha and Diwan, 2020). This link to stakeholder theory highlights the importance of compliance and alignment with legal requirements to ensure customer trust and satisfaction, as governments and regulators are crucial stakeholders.</w:t>
      </w:r>
    </w:p>
    <w:p>
      <w:pPr>
        <w:spacing w:line="480" w:lineRule="auto"/>
        <w:jc w:val="both"/>
        <w:rPr>
          <w:rFonts w:ascii="Times New Roman" w:hAnsi="Times New Roman" w:cs="Times New Roman"/>
          <w:b/>
          <w:sz w:val="24"/>
          <w:szCs w:val="24"/>
        </w:rPr>
      </w:pPr>
      <w:r>
        <w:rPr>
          <w:rFonts w:ascii="Times New Roman" w:hAnsi="Times New Roman" w:cs="Times New Roman"/>
          <w:b/>
          <w:sz w:val="24"/>
          <w:szCs w:val="24"/>
        </w:rPr>
        <w:t>Economic Factors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Economic conditions and trends impact Samsung's customer care strategy. Fluctuations in economic growth, inflation rates, exchange rates, and consumer purchasing power influence customer behaviors and expectations. In times of economic downturn, customers may prioritize cost-effective solutions and expect efficient customer care services. Understanding these factors can help Samsung align its customer care offerings with customer needs. Porter's Diamond Model offers insights into national competitiveness factors that influence Samsung's ability to deliver customer care services effectively and efficiently (Fang et al., 2018). By considering economic factors, Samsung can make informed decisions on resource allocation, pricing strategies, and service level agreements to ensure customer satisfaction and maintain competitiveness (Liu et al., 2020).</w:t>
      </w:r>
    </w:p>
    <w:p>
      <w:pPr>
        <w:spacing w:line="480" w:lineRule="auto"/>
        <w:jc w:val="both"/>
        <w:rPr>
          <w:rFonts w:ascii="Times New Roman" w:hAnsi="Times New Roman" w:cs="Times New Roman"/>
          <w:b/>
          <w:sz w:val="24"/>
          <w:szCs w:val="24"/>
        </w:rPr>
      </w:pPr>
      <w:r>
        <w:rPr>
          <w:rFonts w:ascii="Times New Roman" w:hAnsi="Times New Roman" w:cs="Times New Roman"/>
          <w:b/>
          <w:sz w:val="24"/>
          <w:szCs w:val="24"/>
        </w:rPr>
        <w:t>Sociocultural Factors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Sociocultural factors significantly impact Samsung's customer care strategy. Demographic shifts, societal standards, cultural values, and consumer behaviour patterns shape consumer preferences and expectations. For instance, certain cultures value face-to-face connection with customer service representatives, while others prefer self-service choices. For Samsung's customer service to hit home with its demographic, the company needs a deep understanding of these variables. Sociocultural influences on customer demands and expectations in the customer care area may be better understood with the help of consumer behavior theories like the theory of planned behavior and the cultural aspects theory (Liobikien et al., 2016; Smith and Bond, 2020). By taking into account a wide range of sociocultural aspects, Samsung can provide experiences that are in line with the tastes and cultural values of its various consumer segments.</w:t>
      </w:r>
    </w:p>
    <w:p>
      <w:pPr>
        <w:spacing w:line="480" w:lineRule="auto"/>
        <w:jc w:val="both"/>
        <w:rPr>
          <w:rFonts w:ascii="Times New Roman" w:hAnsi="Times New Roman" w:cs="Times New Roman"/>
          <w:b/>
          <w:sz w:val="24"/>
          <w:szCs w:val="24"/>
        </w:rPr>
      </w:pPr>
      <w:r>
        <w:rPr>
          <w:rFonts w:ascii="Times New Roman" w:hAnsi="Times New Roman" w:cs="Times New Roman"/>
          <w:b/>
          <w:sz w:val="24"/>
          <w:szCs w:val="24"/>
        </w:rPr>
        <w:t>Technological Factors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Samsung's approach to customer service has been drastically altered due to technological developments. With digital technology, automation, artificial intelligence, and data analytics, Samsung can provide cutting-edge and individualised customer service. Using technology, Samsung can improve self-service choices, offer real-time help, and customize interactions with clients. According to the resource-based view (RBV) hypothesis (Gupta et al., 2018), technological capabilities and resources are particularly important in gaining a competitive edge. Chatbots, AI-powered assistants, and omnichannel communication platforms are all examples of technology that Samsung's upper management should invest in to improve customer service. This will allow Samsung to provide excellent customer support and win their loyalty.</w:t>
      </w:r>
    </w:p>
    <w:p>
      <w:pPr>
        <w:spacing w:line="480" w:lineRule="auto"/>
        <w:jc w:val="both"/>
        <w:rPr>
          <w:rFonts w:ascii="Times New Roman" w:hAnsi="Times New Roman" w:cs="Times New Roman"/>
          <w:b/>
          <w:sz w:val="24"/>
          <w:szCs w:val="24"/>
        </w:rPr>
      </w:pPr>
      <w:r>
        <w:rPr>
          <w:rFonts w:ascii="Times New Roman" w:hAnsi="Times New Roman" w:cs="Times New Roman"/>
          <w:b/>
          <w:sz w:val="24"/>
          <w:szCs w:val="24"/>
        </w:rPr>
        <w:t> Legal Factors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Legal and regulatory considerations heavily influence Samsung's approach to customer service. Laws about consumer protection, data privacy, intellectual property rights, and employment influence Samsung's interactions with clients and the quality of its customer service. Maintaining client confidence and avoiding legal risks depend on your company's compliance with these rules and regulations. Aligning customer service processes with legal and ethical norms is a key focus of strategic compliance management (Jin et al., 2021). By anticipatorily addressing legal considerations, Samsung can safeguard itself and its customers by ensuring that its customer service strategy and procedures align with applicable laws.</w:t>
      </w:r>
    </w:p>
    <w:p>
      <w:pPr>
        <w:spacing w:line="480" w:lineRule="auto"/>
        <w:jc w:val="both"/>
        <w:rPr>
          <w:rFonts w:ascii="Times New Roman" w:hAnsi="Times New Roman" w:cs="Times New Roman"/>
          <w:b/>
          <w:sz w:val="24"/>
          <w:szCs w:val="24"/>
        </w:rPr>
      </w:pPr>
      <w:r>
        <w:rPr>
          <w:rFonts w:ascii="Times New Roman" w:hAnsi="Times New Roman" w:cs="Times New Roman"/>
          <w:b/>
          <w:sz w:val="24"/>
          <w:szCs w:val="24"/>
        </w:rPr>
        <w:t>Environmental Factors</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Environmental factors play a role in shaping Samsung's customer care strategy. Sustainability, climate change, environmental regulations, and the company's commitment to corporate social responsibility impact how Samsung delivers customer care experiences. The triple-bottom-line approach highlights the importance of environmental sustainability, social responsibility, and financial performance in shaping Samsung's customer care strategy (Isil and Hernke, 2017). By considering environmental factors, Samsung can align its customer care initiatives with its sustainability goals, implement eco-friendly practices, and engage in socially responsible actions, creating a positive brand image and enhancing customer trust.</w:t>
      </w:r>
    </w:p>
    <w:p>
      <w:pPr>
        <w:pStyle w:val="3"/>
        <w:rPr>
          <w:rFonts w:ascii="Times New Roman" w:hAnsi="Times New Roman" w:cs="Times New Roman"/>
          <w:sz w:val="24"/>
          <w:szCs w:val="24"/>
        </w:rPr>
      </w:pPr>
      <w:bookmarkStart w:id="20" w:name="_Toc139729490"/>
      <w:bookmarkStart w:id="21" w:name="_Toc140164994"/>
      <w:r>
        <w:rPr>
          <w:rFonts w:ascii="Times New Roman" w:hAnsi="Times New Roman" w:cs="Times New Roman"/>
          <w:sz w:val="24"/>
          <w:szCs w:val="24"/>
        </w:rPr>
        <w:t>4.2 Porter's Five Forces Analysis</w:t>
      </w:r>
      <w:bookmarkEnd w:id="20"/>
      <w:bookmarkEnd w:id="21"/>
    </w:p>
    <w:tbl>
      <w:tblPr>
        <w:tblStyle w:val="13"/>
        <w:tblW w:w="9795" w:type="dxa"/>
        <w:tblCellSpacing w:w="15" w:type="dxa"/>
        <w:tblInd w:w="0"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1990"/>
        <w:gridCol w:w="7805"/>
      </w:tblGrid>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F7F7F8"/>
            <w:vAlign w:val="bottom"/>
          </w:tcPr>
          <w:p>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Competitive Forces</w:t>
            </w:r>
          </w:p>
        </w:tc>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Description</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Bargaining Power of Suppliers</w:t>
            </w:r>
          </w:p>
        </w:tc>
        <w:tc>
          <w:tcPr>
            <w:tcW w:w="0" w:type="auto"/>
            <w:tcBorders>
              <w:top w:val="single" w:color="D9D9E3" w:sz="2" w:space="0"/>
              <w:left w:val="single" w:color="D9D9E3" w:sz="6" w:space="0"/>
              <w:bottom w:val="single" w:color="D9D9E3" w:sz="6" w:space="0"/>
              <w:right w:val="single" w:color="D9D9E3" w:sz="6"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Samsung's suppliers of customer care technologies, software, and services may have significant bargaining power due to their unique offerings or limited competition (Jia, 2022). This can impact Samsung's ability to negotiate favorable terms and prices for these resources. Moreover, changes in supplier relationships can affect the quality and availability of customer care tools and solutions.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Bargaining Power of Buyers</w:t>
            </w:r>
          </w:p>
        </w:tc>
        <w:tc>
          <w:tcPr>
            <w:tcW w:w="0" w:type="auto"/>
            <w:tcBorders>
              <w:top w:val="single" w:color="D9D9E3" w:sz="2" w:space="0"/>
              <w:left w:val="single" w:color="D9D9E3" w:sz="6" w:space="0"/>
              <w:bottom w:val="single" w:color="D9D9E3" w:sz="6" w:space="0"/>
              <w:right w:val="single" w:color="D9D9E3" w:sz="6"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Buyers of Samsung's products, such as end consumers and businesses, may have considerable bargaining power. They can demand high-quality customer care services, personalized experiences, and competitive pricing. This can pressure Samsung to invest in robust customer care capabilities and maintain customer satisfaction to retain and attract customers.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Threat of New Entrants</w:t>
            </w:r>
          </w:p>
        </w:tc>
        <w:tc>
          <w:tcPr>
            <w:tcW w:w="0" w:type="auto"/>
            <w:tcBorders>
              <w:top w:val="single" w:color="D9D9E3" w:sz="2" w:space="0"/>
              <w:left w:val="single" w:color="D9D9E3" w:sz="6" w:space="0"/>
              <w:bottom w:val="single" w:color="D9D9E3" w:sz="6" w:space="0"/>
              <w:right w:val="single" w:color="D9D9E3" w:sz="6"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Electronics companies like Samsung face little competition in customer care. Brands with large client bases, economies of scale, and customer care infrastructure investments benefit. New companies or disruptors might threaten Samsung's consumers if they offer better customer care.</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The threat of Substitute Products or Services</w:t>
            </w:r>
          </w:p>
        </w:tc>
        <w:tc>
          <w:tcPr>
            <w:tcW w:w="0" w:type="auto"/>
            <w:tcBorders>
              <w:top w:val="single" w:color="D9D9E3" w:sz="2" w:space="0"/>
              <w:left w:val="single" w:color="D9D9E3" w:sz="6" w:space="0"/>
              <w:bottom w:val="single" w:color="D9D9E3" w:sz="6" w:space="0"/>
              <w:right w:val="single" w:color="D9D9E3" w:sz="6"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The threat of substitute products or services for Samsung's customer care strategy exists, particularly as technology evolves. Customers may seek alternative channels or platforms for customer support, such as online communities or third-party repair services (Jia, 2022). Samsung must ensure its customer care offerings remain competitive and compelling to prevent customers from switching to substitutes.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The Intensity of Competitive Rivalry</w:t>
            </w:r>
          </w:p>
        </w:tc>
        <w:tc>
          <w:tcPr>
            <w:tcW w:w="0" w:type="auto"/>
            <w:tcBorders>
              <w:top w:val="single" w:color="D9D9E3" w:sz="2" w:space="0"/>
              <w:left w:val="single" w:color="D9D9E3" w:sz="6" w:space="0"/>
              <w:bottom w:val="single" w:color="D9D9E3" w:sz="6" w:space="0"/>
              <w:right w:val="single" w:color="D9D9E3" w:sz="6" w:space="0"/>
            </w:tcBorders>
            <w:shd w:val="clear" w:color="auto" w:fill="F7F7F8"/>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The electronics industry is highly competitive, with numerous players vying for market share and customer loyalty. Competitors like Apple, Huawei, and Xiaomi offer customer care programs to differentiate themselves. To stay ahead of the competition, Samsung must constantly improve its customer service, distinguish its products, and create exceptional customer experiences.</w:t>
            </w:r>
          </w:p>
        </w:tc>
      </w:tr>
    </w:tbl>
    <w:p>
      <w:pPr>
        <w:pStyle w:val="5"/>
        <w:keepNext/>
        <w:jc w:val="both"/>
        <w:rPr>
          <w:rFonts w:ascii="Times New Roman" w:hAnsi="Times New Roman" w:cs="Times New Roman"/>
          <w:sz w:val="24"/>
          <w:szCs w:val="24"/>
        </w:rPr>
      </w:pPr>
      <w:bookmarkStart w:id="22" w:name="_Toc140164916"/>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Samsung's Porter's Five Forces (Own Assessment)</w:t>
      </w:r>
      <w:bookmarkEnd w:id="22"/>
      <w:r>
        <w:rPr>
          <w:rFonts w:ascii="Times New Roman" w:hAnsi="Times New Roman" w:cs="Times New Roman"/>
          <w:sz w:val="24"/>
          <w:szCs w:val="24"/>
        </w:rPr>
        <w:t xml:space="preserve"> </w:t>
      </w:r>
    </w:p>
    <w:p>
      <w:pPr>
        <w:pStyle w:val="4"/>
        <w:rPr>
          <w:rFonts w:ascii="Times New Roman" w:hAnsi="Times New Roman" w:cs="Times New Roman"/>
        </w:rPr>
      </w:pPr>
      <w:bookmarkStart w:id="23" w:name="_Toc139729491"/>
      <w:bookmarkStart w:id="24" w:name="_Toc140164995"/>
      <w:r>
        <w:rPr>
          <w:rFonts w:ascii="Times New Roman" w:hAnsi="Times New Roman" w:cs="Times New Roman"/>
        </w:rPr>
        <w:t>4.2. 1 Implication for Samsung's Customer Care Strategy</w:t>
      </w:r>
      <w:bookmarkEnd w:id="23"/>
      <w:bookmarkEnd w:id="24"/>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results of Porter's Five Forces research have major ramifications for Samsung's approach to customer service. The dynamics and difficulties Samsung experiences in providing customer service may be better understood by assessing the competitive pressures within the sector. Samsung will be affected in the following ways:</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Supplier Management and Partnerships:</w:t>
      </w:r>
      <w:r>
        <w:rPr>
          <w:rFonts w:ascii="Times New Roman" w:hAnsi="Times New Roman" w:cs="Times New Roman"/>
          <w:sz w:val="24"/>
          <w:szCs w:val="24"/>
        </w:rPr>
        <w:t xml:space="preserve"> Given the potential bargaining power of suppliers, Samsung needs to effectively manage supplier relationships to secure favorable terms and ensure a reliable supply of customer care technologies, software, and services (Mckinsey.com, n.d.). Strategic partnerships and collaborations with key suppliers can give Samsung access to innovative solutions and competitive advantages.</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Customer Satisfaction and Retention:</w:t>
      </w:r>
      <w:r>
        <w:rPr>
          <w:rFonts w:ascii="Times New Roman" w:hAnsi="Times New Roman" w:cs="Times New Roman"/>
          <w:sz w:val="24"/>
          <w:szCs w:val="24"/>
        </w:rPr>
        <w:t xml:space="preserve"> Samsung must prioritize customer happiness and retention in light of the increased negotiating power of purchasers. Maintaining a loyal client base requires Samsung to put resources toward providing support that goes above and beyond what customers expect. To achieve this goal of client retention, it is necessary to provide individualized assistance, swift problem-solving, and proactive communication.</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Innovation and Differentiation:</w:t>
      </w:r>
      <w:r>
        <w:rPr>
          <w:rFonts w:ascii="Times New Roman" w:hAnsi="Times New Roman" w:cs="Times New Roman"/>
          <w:sz w:val="24"/>
          <w:szCs w:val="24"/>
        </w:rPr>
        <w:t xml:space="preserve"> In order to maintain market dominance in the face of intense competition and a relatively low risk of new entrants, Samsung must constantly develop and implement novel approaches to customer service. AI, automation, and data analytics are just a few examples of cutting-edge technology that Samsung may use to improve its customer service and offer differentiated, high-value offerings (McKinsey.com, n.d.).</w:t>
      </w:r>
    </w:p>
    <w:p>
      <w:pPr>
        <w:numPr>
          <w:ilvl w:val="0"/>
          <w:numId w:val="4"/>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Monitoring and Addressing Substitutes:</w:t>
      </w:r>
      <w:r>
        <w:rPr>
          <w:rFonts w:ascii="Times New Roman" w:hAnsi="Times New Roman" w:cs="Times New Roman"/>
          <w:sz w:val="24"/>
          <w:szCs w:val="24"/>
        </w:rPr>
        <w:t xml:space="preserve"> Samsung must guard its customer service business aggressively against competition from newcomers. Samsung can stay competitive and reduce the risk of consumers migrating to alternatives by adapting its customer care offerings in response to preferences and trends. To achieve this goal, businesses might put money into self-service digital tools, online support groups, or collaborations with external service providers (McKinsey.com, n.d.).</w:t>
      </w:r>
    </w:p>
    <w:p>
      <w:pPr>
        <w:pStyle w:val="4"/>
        <w:rPr>
          <w:rFonts w:ascii="Times New Roman" w:hAnsi="Times New Roman" w:cs="Times New Roman"/>
        </w:rPr>
      </w:pPr>
      <w:bookmarkStart w:id="25" w:name="_Toc139729492"/>
      <w:bookmarkStart w:id="26" w:name="_Toc140164996"/>
      <w:r>
        <w:rPr>
          <w:rFonts w:ascii="Times New Roman" w:hAnsi="Times New Roman" w:cs="Times New Roman"/>
        </w:rPr>
        <w:t>4.2. 2 Alignment with Strategic Management Theories</w:t>
      </w:r>
      <w:bookmarkEnd w:id="25"/>
      <w:bookmarkEnd w:id="26"/>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analysis supports the resource-based view (RBV) and competitive advantage strategic management theories. RBV stresses resources and capabilities for competitive advantage (Cuthbertson and Furseth, 2022). Samsung can use its supplier contacts, customer base, and technological knowledge to improve customer service and stand out from the competition. The product differentiation strategy and the theory of competitive advantage advocate constant innovation and differentiation to obtain a competitive advantage, which the analysis supports. Samsung may improve its strategic position in customer care, coordinate its resources, and establish distinctive customer care skills that offer value for consumers and differentiate it from competitors by addressing Porter's Five Forces (Tintara and Respati, 2020). Porter's Five Forces study illustrates Samsung's customer care approach and competitive landscape. Samsung can leverage its strengths, eliminate risks, and gain a sustainable competitive advantage in customer service by comprehending the consequences and aligning with strategic management theories.</w:t>
      </w: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spacing w:line="480" w:lineRule="auto"/>
        <w:ind w:firstLine="720"/>
        <w:jc w:val="both"/>
        <w:rPr>
          <w:rFonts w:ascii="Times New Roman" w:hAnsi="Times New Roman" w:cs="Times New Roman"/>
          <w:sz w:val="24"/>
          <w:szCs w:val="24"/>
        </w:rPr>
      </w:pPr>
    </w:p>
    <w:p>
      <w:pPr>
        <w:pStyle w:val="2"/>
        <w:jc w:val="center"/>
        <w:rPr>
          <w:rFonts w:ascii="Times New Roman" w:hAnsi="Times New Roman" w:cs="Times New Roman"/>
          <w:b/>
          <w:sz w:val="24"/>
          <w:szCs w:val="24"/>
        </w:rPr>
      </w:pPr>
      <w:bookmarkStart w:id="27" w:name="_Toc139729493"/>
      <w:bookmarkStart w:id="28" w:name="_Toc140164997"/>
      <w:r>
        <w:rPr>
          <w:rFonts w:ascii="Times New Roman" w:hAnsi="Times New Roman" w:cs="Times New Roman"/>
          <w:b/>
          <w:sz w:val="24"/>
          <w:szCs w:val="24"/>
        </w:rPr>
        <w:t>5.0 Internal Analysis</w:t>
      </w:r>
      <w:bookmarkEnd w:id="27"/>
      <w:bookmarkEnd w:id="28"/>
    </w:p>
    <w:p>
      <w:pPr>
        <w:pStyle w:val="3"/>
        <w:rPr>
          <w:rFonts w:ascii="Times New Roman" w:hAnsi="Times New Roman" w:cs="Times New Roman"/>
          <w:sz w:val="24"/>
          <w:szCs w:val="24"/>
        </w:rPr>
      </w:pPr>
      <w:bookmarkStart w:id="29" w:name="_Toc139729494"/>
      <w:bookmarkStart w:id="30" w:name="_Toc140164998"/>
      <w:r>
        <w:rPr>
          <w:rFonts w:ascii="Times New Roman" w:hAnsi="Times New Roman" w:cs="Times New Roman"/>
          <w:sz w:val="24"/>
          <w:szCs w:val="24"/>
        </w:rPr>
        <w:t>5.1 Resource-Based View (RBV.) Analysis</w:t>
      </w:r>
      <w:bookmarkEnd w:id="29"/>
      <w:bookmarkEnd w:id="30"/>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Resource Based View (RBV) analyzes the firm's internal resources and capabilities to evaluate its competitive advantage (Bamford et al., 2023; Konthong, 2016). Despite a stable external environment, OLED technology is causing market instability in the "electronics and computing" business. RBV can find valuable, rare, inimitable, and non-substitutable (VRIN) resources that give Samsung a competitive edge.</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90"/>
        <w:gridCol w:w="2002"/>
        <w:gridCol w:w="1424"/>
        <w:gridCol w:w="1440"/>
        <w:gridCol w:w="1447"/>
        <w:gridCol w:w="14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Resources</w:t>
            </w:r>
          </w:p>
        </w:tc>
        <w:tc>
          <w:tcPr>
            <w:tcW w:w="6313" w:type="dxa"/>
            <w:gridSpan w:val="4"/>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VRIN characteristics (High-5, Low-1)</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Competitive </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advantage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Valuable </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Rare </w:t>
            </w:r>
          </w:p>
          <w:p>
            <w:pPr>
              <w:spacing w:after="0" w:line="480" w:lineRule="auto"/>
              <w:jc w:val="both"/>
              <w:rPr>
                <w:rFonts w:ascii="Times New Roman" w:hAnsi="Times New Roman" w:cs="Times New Roman"/>
                <w:sz w:val="24"/>
                <w:szCs w:val="24"/>
              </w:rPr>
            </w:pP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Inimitable</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Non-substitutable</w:t>
            </w:r>
          </w:p>
        </w:tc>
        <w:tc>
          <w:tcPr>
            <w:tcW w:w="1447" w:type="dxa"/>
          </w:tcPr>
          <w:p>
            <w:pPr>
              <w:spacing w:after="0" w:line="48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Technological Capabilities</w:t>
            </w: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Human Capital</w:t>
            </w: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Brand Reputation</w:t>
            </w: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Customer Base</w:t>
            </w: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Data Analytics Capabilities</w:t>
            </w: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9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Customer Feedback Mechanisms</w:t>
            </w:r>
          </w:p>
        </w:tc>
        <w:tc>
          <w:tcPr>
            <w:tcW w:w="2002"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424"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0"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447"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Yes</w:t>
            </w:r>
          </w:p>
        </w:tc>
      </w:tr>
    </w:tbl>
    <w:p>
      <w:pPr>
        <w:pStyle w:val="5"/>
        <w:keepNext/>
        <w:jc w:val="both"/>
        <w:rPr>
          <w:rFonts w:ascii="Times New Roman" w:hAnsi="Times New Roman" w:cs="Times New Roman"/>
          <w:sz w:val="24"/>
          <w:szCs w:val="24"/>
        </w:rPr>
      </w:pPr>
      <w:bookmarkStart w:id="31" w:name="_Toc140164917"/>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t>: Resource-Based View for Samsung (Own Assessment)</w:t>
      </w:r>
      <w:bookmarkEnd w:id="31"/>
      <w:r>
        <w:rPr>
          <w:rFonts w:ascii="Times New Roman" w:hAnsi="Times New Roman" w:cs="Times New Roman"/>
          <w:sz w:val="24"/>
          <w:szCs w:val="24"/>
        </w:rPr>
        <w:t xml:space="preserve"> </w:t>
      </w:r>
    </w:p>
    <w:p>
      <w:pPr>
        <w:pStyle w:val="4"/>
        <w:rPr>
          <w:rFonts w:ascii="Times New Roman" w:hAnsi="Times New Roman" w:cs="Times New Roman"/>
        </w:rPr>
      </w:pPr>
      <w:bookmarkStart w:id="32" w:name="_Toc139729495"/>
      <w:bookmarkStart w:id="33" w:name="_Toc140164999"/>
      <w:r>
        <w:rPr>
          <w:rFonts w:ascii="Times New Roman" w:hAnsi="Times New Roman" w:cs="Times New Roman"/>
        </w:rPr>
        <w:t>5.1.1 Samsung's Competitive Advantage</w:t>
      </w:r>
      <w:bookmarkEnd w:id="32"/>
      <w:bookmarkEnd w:id="33"/>
      <w:r>
        <w:rPr>
          <w:rFonts w:ascii="Times New Roman" w:hAnsi="Times New Roman" w:cs="Times New Roman"/>
        </w:rPr>
        <w:t xml:space="preserve">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Because of a number of factors, Samsung now enjoys a significant advantage over its rivals. To begin, it has a significant technological edge that sets it apart in the industry. The company's ability to invest in research and development and in technological expertise results in the consistent introduction of cutting-edge products and services (Seo et al., 2019). Samsung's ability to innovate and stay on the cutting edge of technology has allowed the firm to give excellent customer service. Two such instances are the company's OLED innovations and the integration of AI and IoT. Samsung can better meet the needs of its consumers and respond to the ever-shifting demands of the market thanks to this technological advantage. Additionally, Samsung's brand quality is crucial to the company's competitive edge. Customers recognize and respect the company's brand name as one they can rely on. As a result of Samsung's commitment to excellence, dependability, and customer satisfaction, the value of the Samsung brand has risen (Razdan, 2017). Samsung has an edge over its rivals because people have a positive association with the company and its products. When consumers have a positive opinion of Samsung, they are more likely to purchase the company's products and services (Barney, 1991).</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Samsung also has a competitive edge because of its enormous and devoted consumer base. Over time, the organization has amassed a sizable clientele that includes both individuals and corporations (Razdan, 2017). With such a large client base, Samsung has a solid basis for retaining customers and generating repeat business. Because of this, Samsung may use its current client relationships to upsell and cross-sell more products and services to its existing customer base. Customers that have faith in the Samsung brand are more likely to buy from the company, and this, in turn, improves customer service since Samsung is better able to cater to its customers' individual tastes (Atashfaraz &amp; Abadi, 2016).</w:t>
      </w:r>
    </w:p>
    <w:p>
      <w:pPr>
        <w:pStyle w:val="3"/>
        <w:rPr>
          <w:rFonts w:ascii="Times New Roman" w:hAnsi="Times New Roman" w:cs="Times New Roman"/>
          <w:sz w:val="24"/>
          <w:szCs w:val="24"/>
        </w:rPr>
      </w:pPr>
      <w:bookmarkStart w:id="34" w:name="_Toc139729496"/>
      <w:bookmarkStart w:id="35" w:name="_Toc140165000"/>
      <w:r>
        <w:rPr>
          <w:rFonts w:ascii="Times New Roman" w:hAnsi="Times New Roman" w:cs="Times New Roman"/>
          <w:sz w:val="24"/>
          <w:szCs w:val="24"/>
        </w:rPr>
        <w:t>5.2 Value Chain Analysis</w:t>
      </w:r>
      <w:bookmarkEnd w:id="34"/>
      <w:bookmarkEnd w:id="35"/>
    </w:p>
    <w:tbl>
      <w:tblPr>
        <w:tblStyle w:val="13"/>
        <w:tblW w:w="9795" w:type="dxa"/>
        <w:tblCellSpacing w:w="15" w:type="dxa"/>
        <w:tblInd w:w="0"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Layout w:type="autofit"/>
        <w:tblCellMar>
          <w:top w:w="15" w:type="dxa"/>
          <w:left w:w="15" w:type="dxa"/>
          <w:bottom w:w="15" w:type="dxa"/>
          <w:right w:w="15" w:type="dxa"/>
        </w:tblCellMar>
      </w:tblPr>
      <w:tblGrid>
        <w:gridCol w:w="9795"/>
      </w:tblGrid>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PrEx>
        <w:trPr>
          <w:tblHeader/>
          <w:tblCellSpacing w:w="15" w:type="dxa"/>
        </w:trPr>
        <w:tc>
          <w:tcPr>
            <w:tcW w:w="0" w:type="auto"/>
            <w:tcBorders>
              <w:top w:val="single" w:color="D9D9E3" w:sz="6"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Value Chain Analysis for Samsung's Customer Care Operations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b/>
                <w:bCs/>
                <w:sz w:val="24"/>
                <w:szCs w:val="24"/>
              </w:rPr>
              <w:t>Primary Activities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Inbound Logistics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Operations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Outbound Logistics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Marketing and Sales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Service</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b/>
                <w:bCs/>
                <w:sz w:val="24"/>
                <w:szCs w:val="24"/>
              </w:rPr>
              <w:t>Support Activities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Procurement</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Technology Development</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Human Resource Management</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Firm Infrastructure</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b/>
                <w:bCs/>
                <w:sz w:val="24"/>
                <w:szCs w:val="24"/>
              </w:rPr>
              <w:t>Strategic Benefits of Value Chain Analysis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 Identifying cost-efficiency opportunities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 Identifying areas of competitive advantage</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 Improving process efficiency</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 Enhancing customer value</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b/>
                <w:bCs/>
                <w:sz w:val="24"/>
                <w:szCs w:val="24"/>
              </w:rPr>
              <w:t>Alignment with Strategic Management Theories</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 Resource-Based View (RBV.)</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shd w:val="clear" w:color="auto" w:fill="F7F7F8"/>
        </w:tblPrEx>
        <w:trPr>
          <w:tblCellSpacing w:w="15" w:type="dxa"/>
        </w:trPr>
        <w:tc>
          <w:tcPr>
            <w:tcW w:w="0" w:type="auto"/>
            <w:tcBorders>
              <w:top w:val="single" w:color="D9D9E3" w:sz="2" w:space="0"/>
              <w:left w:val="single" w:color="D9D9E3" w:sz="6" w:space="0"/>
              <w:bottom w:val="single" w:color="D9D9E3" w:sz="6" w:space="0"/>
              <w:right w:val="single" w:color="D9D9E3" w:sz="6" w:space="0"/>
            </w:tcBorders>
            <w:shd w:val="clear" w:color="auto" w:fill="F7F7F8"/>
            <w:vAlign w:val="bottom"/>
          </w:tcPr>
          <w:p>
            <w:pPr>
              <w:spacing w:line="480" w:lineRule="auto"/>
              <w:jc w:val="both"/>
              <w:rPr>
                <w:rFonts w:ascii="Times New Roman" w:hAnsi="Times New Roman" w:cs="Times New Roman"/>
                <w:sz w:val="24"/>
                <w:szCs w:val="24"/>
              </w:rPr>
            </w:pPr>
            <w:r>
              <w:rPr>
                <w:rFonts w:ascii="Times New Roman" w:hAnsi="Times New Roman" w:cs="Times New Roman"/>
                <w:sz w:val="24"/>
                <w:szCs w:val="24"/>
              </w:rPr>
              <w:t>- Differentiation Strategy</w:t>
            </w:r>
          </w:p>
        </w:tc>
      </w:tr>
    </w:tbl>
    <w:p>
      <w:pPr>
        <w:pStyle w:val="5"/>
        <w:keepNext/>
        <w:jc w:val="both"/>
        <w:rPr>
          <w:rFonts w:ascii="Times New Roman" w:hAnsi="Times New Roman" w:cs="Times New Roman"/>
          <w:sz w:val="24"/>
          <w:szCs w:val="24"/>
        </w:rPr>
      </w:pPr>
      <w:bookmarkStart w:id="36" w:name="_Toc140164918"/>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t>: Value chain analysis of Samsung (Own Assessment)</w:t>
      </w:r>
      <w:bookmarkEnd w:id="36"/>
      <w:r>
        <w:rPr>
          <w:rFonts w:ascii="Times New Roman" w:hAnsi="Times New Roman" w:cs="Times New Roman"/>
          <w:sz w:val="24"/>
          <w:szCs w:val="24"/>
        </w:rPr>
        <w:t xml:space="preserve"> </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Value chain analysis helps analyze Samsung's primary customer service and support activities. Samsung can understand the complete customer care process by breaking down the value chain. Samsung's customer care value chain centres on incoming logistics, operations, outbound logistics, marketing and sales, and service (Endrődi-Kovács et al., 2018). These tasks include resource management, customer service, issue resolution, and timely assistance. Samsung can improve customer care by assessing each major action, streamlining procedures, and improving efficiency. Samsung's customer service operations depend on both main and support activities. Technological platforms and software systems must be procured, and technological development keeps Samsung at the forefront of customer service developments (Endrődi-Kovács et al., 2018). HR management recruits, trains, and retains qualified workers that provide excellent customer service. The infrastructure supports operations and ongoing development (Loukis et al., 2019). Samsung can improve customer service and integrate it with strategic management by addressing each support action.</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Value chain analysis helps Samsung uncover cost savings, competitive advantages, operational inefficiencies, and methods to improve customer value. Samsung can reduce costs and optimize logistics and operations (Endrődi-Kovács et al., 2018). Samsung can separate itself from the competition through innovative technological development and excellent service interactions, according to the report. Samsung can streamline operations and improve customer service by reducing bottlenecks. Value chain analysis helps Samsung match its customer service approach with consumer preferences and expectations, increasing customer value.</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Value chain analysis supports resource-based view (RBV) and differentiation strategies. The RBV stresses the importance of scarce resources for competitive advantage (Bonchek &amp; Bapat, 2018). Value chain analysis helps Samsung discover and use its valuable resources in each value chain activity, keeping its customer care operations competitive. The differentiation approach creates distinct customer value. Value chain analysis helps Samsung differentiate itself by identifying activities like customized service and fast issue resolution.</w:t>
      </w:r>
    </w:p>
    <w:p>
      <w:pPr>
        <w:spacing w:line="480" w:lineRule="auto"/>
        <w:ind w:firstLine="720"/>
        <w:jc w:val="both"/>
        <w:rPr>
          <w:rFonts w:ascii="Times New Roman" w:hAnsi="Times New Roman" w:cs="Times New Roman"/>
          <w:sz w:val="24"/>
          <w:szCs w:val="24"/>
        </w:rPr>
      </w:pPr>
    </w:p>
    <w:p>
      <w:pPr>
        <w:pStyle w:val="2"/>
        <w:jc w:val="center"/>
        <w:rPr>
          <w:rFonts w:ascii="Times New Roman" w:hAnsi="Times New Roman" w:cs="Times New Roman"/>
          <w:b/>
          <w:sz w:val="24"/>
          <w:szCs w:val="24"/>
        </w:rPr>
      </w:pPr>
      <w:bookmarkStart w:id="37" w:name="_Toc140165001"/>
      <w:bookmarkStart w:id="38" w:name="_Toc139729497"/>
      <w:r>
        <w:rPr>
          <w:rFonts w:ascii="Times New Roman" w:hAnsi="Times New Roman" w:cs="Times New Roman"/>
          <w:b/>
          <w:sz w:val="24"/>
          <w:szCs w:val="24"/>
        </w:rPr>
        <w:t>6.0 Evaluation of Strategic Options</w:t>
      </w:r>
      <w:bookmarkEnd w:id="37"/>
      <w:bookmarkEnd w:id="38"/>
    </w:p>
    <w:p>
      <w:pPr>
        <w:pStyle w:val="3"/>
        <w:rPr>
          <w:rFonts w:ascii="Times New Roman" w:hAnsi="Times New Roman" w:cs="Times New Roman"/>
          <w:sz w:val="24"/>
          <w:szCs w:val="24"/>
        </w:rPr>
      </w:pPr>
      <w:bookmarkStart w:id="39" w:name="_Toc140165002"/>
      <w:bookmarkStart w:id="40" w:name="_Toc139729498"/>
      <w:r>
        <w:rPr>
          <w:rFonts w:ascii="Times New Roman" w:hAnsi="Times New Roman" w:cs="Times New Roman"/>
          <w:sz w:val="24"/>
          <w:szCs w:val="24"/>
        </w:rPr>
        <w:t>6.1 Ansoff Matrix</w:t>
      </w:r>
      <w:bookmarkEnd w:id="39"/>
      <w:bookmarkEnd w:id="40"/>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evaluating strategic options for Samsung's customer care, the Ansoff Matrix provides a valuable framework to assess different growth strategies. Developed by Igor Ansoff, the matrix helps organizations analyze their options based on two dimensions: products/services (existing or new) and markets (existing or new) (Loredana, 2016).</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highlight w:val="yellow"/>
        </w:rPr>
        <w:drawing>
          <wp:inline distT="0" distB="0" distL="0" distR="0">
            <wp:extent cx="5276850" cy="5403215"/>
            <wp:effectExtent l="0" t="0" r="0" b="6985"/>
            <wp:docPr id="1" name="Picture 1"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Ansoff Model [Marketing strategy matrix] | Smart Insigh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284171" cy="5410859"/>
                    </a:xfrm>
                    <a:prstGeom prst="rect">
                      <a:avLst/>
                    </a:prstGeom>
                    <a:noFill/>
                    <a:ln>
                      <a:noFill/>
                    </a:ln>
                  </pic:spPr>
                </pic:pic>
              </a:graphicData>
            </a:graphic>
          </wp:inline>
        </w:drawing>
      </w:r>
    </w:p>
    <w:p>
      <w:pPr>
        <w:pStyle w:val="5"/>
        <w:jc w:val="both"/>
        <w:rPr>
          <w:rFonts w:ascii="Times New Roman" w:hAnsi="Times New Roman" w:cs="Times New Roman"/>
          <w:sz w:val="24"/>
          <w:szCs w:val="24"/>
        </w:rPr>
      </w:pPr>
      <w:bookmarkStart w:id="41" w:name="_Toc140164857"/>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t>: Ansoff Matrix (source: Hanlon (2021)</w:t>
      </w:r>
      <w:bookmarkEnd w:id="41"/>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the Ansoff Matrix, market penetration is the initial strategic choice. Focusing on current items and consumers increases market share. Samsung might improve its customer care offerings, increase its presence inside its present markets, and get a greater market share (Cardoso, 2017). Market penetration maximizes consumer value by using existing resources and skills. The second option is market development, which involves reaching new customer segments or entering new geographic markets with existing products. Samsung may increase its domestic or international customer care offerings. Samsung may try to attract new types of customers or enter unexplored areas. Expanding markets help businesses acquire new clients and provide additional streams of revenue. The third choice is product development, which centres on providing new offerings to current clientele. Samsung has the potential to be a pioneer in the industry by introducing ground-breaking approaches to customer service, including sophisticated self-help portals and individualized AI-powered support lines. The strategy's goals are to better serve customers, boost customer loyalty, and make the most of current clientele.</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Finally, diversification entails penetrating fresh markets with an expansion of existing offerings. This choice may be riskier, but it allows Samsung to try something new in terms of customer service, such as expanding into neighboring areas or providing more services. Through diversification, Samsung is able to broaden its business's reach and lessen its reliance on any one market or product line (Wilyanto et al., 2023). Because it provides a framework for systematically evaluating expansion initiatives, the Ansoff Matrix is applicable to Samsung's situation. Samsung may evaluate the risks, advantages, and resource needs of each strategy choice by looking at market penetration, market development, product development, and diversification. This research helps Samsung go in the direction it has to go to provide cutting-edge customer service, strengthen its defenses, and keep its competitive edge in the long run.</w:t>
      </w:r>
    </w:p>
    <w:p>
      <w:pPr>
        <w:pStyle w:val="3"/>
        <w:rPr>
          <w:rFonts w:ascii="Times New Roman" w:hAnsi="Times New Roman" w:cs="Times New Roman"/>
          <w:sz w:val="24"/>
          <w:szCs w:val="24"/>
        </w:rPr>
      </w:pPr>
      <w:bookmarkStart w:id="42" w:name="_Toc139729499"/>
      <w:bookmarkStart w:id="43" w:name="_Toc140165003"/>
      <w:r>
        <w:rPr>
          <w:rFonts w:ascii="Times New Roman" w:hAnsi="Times New Roman" w:cs="Times New Roman"/>
          <w:sz w:val="24"/>
          <w:szCs w:val="24"/>
        </w:rPr>
        <w:t>6.2 SWOT Analysis</w:t>
      </w:r>
      <w:bookmarkEnd w:id="42"/>
      <w:bookmarkEnd w:id="43"/>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5"/>
        <w:gridCol w:w="46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Strengths</w:t>
            </w:r>
          </w:p>
        </w:tc>
        <w:tc>
          <w:tcPr>
            <w:tcW w:w="4675" w:type="dxa"/>
          </w:tcPr>
          <w:p>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Strong brand reputation</w:t>
            </w: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Outdated technology platforms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Advanced technological capabilities</w:t>
            </w: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Limited customer feedback mechanisms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Skilled workforce</w:t>
            </w: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Potential gaps in service offerings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Large and loyal customer base</w:t>
            </w:r>
          </w:p>
        </w:tc>
        <w:tc>
          <w:tcPr>
            <w:tcW w:w="4675" w:type="dxa"/>
          </w:tcPr>
          <w:p>
            <w:pPr>
              <w:spacing w:after="0" w:line="48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Robust infrastructure</w:t>
            </w:r>
          </w:p>
        </w:tc>
        <w:tc>
          <w:tcPr>
            <w:tcW w:w="4675" w:type="dxa"/>
          </w:tcPr>
          <w:p>
            <w:pPr>
              <w:spacing w:after="0" w:line="48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4675" w:type="dxa"/>
          </w:tcPr>
          <w:p>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Opportunities</w:t>
            </w:r>
          </w:p>
        </w:tc>
        <w:tc>
          <w:tcPr>
            <w:tcW w:w="4675" w:type="dxa"/>
          </w:tcPr>
          <w:p>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Growing demand for personalized customer experiences</w:t>
            </w: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Increasing competition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Advancements in AI and automation</w:t>
            </w: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Evolving customer expectations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Expansion of digital channels</w:t>
            </w: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Regulatory changes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4675" w:type="dxa"/>
          </w:tcPr>
          <w:p>
            <w:pPr>
              <w:spacing w:after="0" w:line="480" w:lineRule="auto"/>
              <w:jc w:val="both"/>
              <w:rPr>
                <w:rFonts w:ascii="Times New Roman" w:hAnsi="Times New Roman" w:cs="Times New Roman"/>
                <w:b/>
                <w:sz w:val="24"/>
                <w:szCs w:val="24"/>
              </w:rPr>
            </w:pPr>
          </w:p>
        </w:tc>
        <w:tc>
          <w:tcPr>
            <w:tcW w:w="4675" w:type="dxa"/>
          </w:tcPr>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Economic uncertainties</w:t>
            </w:r>
          </w:p>
        </w:tc>
      </w:tr>
    </w:tbl>
    <w:p>
      <w:pPr>
        <w:pStyle w:val="5"/>
        <w:keepNext/>
        <w:spacing w:line="480" w:lineRule="auto"/>
        <w:jc w:val="both"/>
        <w:rPr>
          <w:rFonts w:ascii="Times New Roman" w:hAnsi="Times New Roman" w:cs="Times New Roman"/>
          <w:sz w:val="24"/>
          <w:szCs w:val="24"/>
        </w:rPr>
      </w:pPr>
      <w:bookmarkStart w:id="44" w:name="_Toc140164919"/>
      <w:r>
        <w:rPr>
          <w:rFonts w:ascii="Times New Roman" w:hAnsi="Times New Roman" w:cs="Times New Roman"/>
          <w:sz w:val="24"/>
          <w:szCs w:val="24"/>
        </w:rPr>
        <w:t xml:space="preserve">Table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Table \* ARABIC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t>: Samsung's SWOT Analysis (Source: Parker, 2019).</w:t>
      </w:r>
      <w:bookmarkEnd w:id="44"/>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Samsung's customer service strategy is impacted by both internal and external factors; by completing a SWOT analysis, the company may acquire a thorough grasp of both. By analyzing its own strengths, weaknesses, opportunities, and threats, Samsung may determine which strategic moves would be most beneficial. It serves as a basis for making informed decisions and influencing Samsung's strategic direction for offering innovative customer service, improving resilience, and sustaining a competitive edge.</w:t>
      </w:r>
    </w:p>
    <w:p>
      <w:pPr>
        <w:pStyle w:val="3"/>
        <w:rPr>
          <w:rFonts w:ascii="Times New Roman" w:hAnsi="Times New Roman" w:cs="Times New Roman"/>
          <w:sz w:val="24"/>
          <w:szCs w:val="24"/>
        </w:rPr>
      </w:pPr>
      <w:bookmarkStart w:id="45" w:name="_Toc139729500"/>
      <w:bookmarkStart w:id="46" w:name="_Toc140165004"/>
      <w:r>
        <w:rPr>
          <w:rFonts w:ascii="Times New Roman" w:hAnsi="Times New Roman" w:cs="Times New Roman"/>
          <w:sz w:val="24"/>
          <w:szCs w:val="24"/>
        </w:rPr>
        <w:t>6.3 Bowman's Strategy Clock</w:t>
      </w:r>
      <w:bookmarkEnd w:id="45"/>
      <w:bookmarkEnd w:id="46"/>
      <w:r>
        <w:rPr>
          <w:rFonts w:ascii="Times New Roman" w:hAnsi="Times New Roman" w:cs="Times New Roman"/>
          <w:sz w:val="24"/>
          <w:szCs w:val="24"/>
        </w:rPr>
        <w:t xml:space="preserve"> </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6267450" cy="2371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6267450" cy="2371725"/>
                    </a:xfrm>
                    <a:prstGeom prst="rect">
                      <a:avLst/>
                    </a:prstGeom>
                    <a:noFill/>
                  </pic:spPr>
                </pic:pic>
              </a:graphicData>
            </a:graphic>
          </wp:inline>
        </w:drawing>
      </w:r>
    </w:p>
    <w:p>
      <w:pPr>
        <w:pStyle w:val="5"/>
        <w:jc w:val="both"/>
        <w:rPr>
          <w:rFonts w:ascii="Times New Roman" w:hAnsi="Times New Roman" w:cs="Times New Roman"/>
          <w:sz w:val="24"/>
          <w:szCs w:val="24"/>
        </w:rPr>
      </w:pPr>
      <w:bookmarkStart w:id="47" w:name="_Toc140164858"/>
      <w:r>
        <w:rPr>
          <w:rFonts w:ascii="Times New Roman" w:hAnsi="Times New Roman" w:cs="Times New Roman"/>
          <w:sz w:val="24"/>
          <w:szCs w:val="24"/>
        </w:rPr>
        <w:t xml:space="preserve">Figure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SEQ Figure \* ARABIC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t>: Bowman's Strategy Clock (Source: Francis, 2014)</w:t>
      </w:r>
      <w:bookmarkEnd w:id="47"/>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Samsung may utilize Bowman's Strategy Clock to evaluate customer service strategies. The strategy clock (Villagrasa et al., 2023) offers eight options, from low price/poor value to high price/high value. Each method has its own market position and benefits. Bowman's Strategy Clock helps Samsung improve its customer assistance by assessing its products' cost and value. Samsung may use this data to assess its market position and determine how to enhance it.</w:t>
      </w:r>
    </w:p>
    <w:p>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previously shown diagram places Samsung in the "hybrid" competitive quadrant. Pricing and product differentiation help the company compete. Samsung has a wide range of inexpensive products. However, it offers several unique products and services. For instance, Samsung's Galaxy smartphones combine cutting-edge technology with exquisite design. Samsung has competitors in all four market corners, according to the illustration. Samsung's competitors compete on price and distinctive features. Samsung's competitors adopt a "hybrid" business model. The data shows that Samsung's Bowman's Clock Strategy has paid off thus far. The company is competitive in all four categories and offers a variety of goods and services to meet client needs.</w:t>
      </w:r>
    </w:p>
    <w:p>
      <w:pPr>
        <w:pStyle w:val="2"/>
        <w:jc w:val="center"/>
        <w:rPr>
          <w:rFonts w:ascii="Times New Roman" w:hAnsi="Times New Roman" w:cs="Times New Roman"/>
          <w:b/>
          <w:sz w:val="24"/>
          <w:szCs w:val="24"/>
        </w:rPr>
      </w:pPr>
      <w:bookmarkStart w:id="48" w:name="_Toc139729501"/>
      <w:bookmarkStart w:id="49" w:name="_Toc140165005"/>
      <w:r>
        <w:rPr>
          <w:rFonts w:ascii="Times New Roman" w:hAnsi="Times New Roman" w:cs="Times New Roman"/>
          <w:b/>
          <w:sz w:val="24"/>
          <w:szCs w:val="24"/>
        </w:rPr>
        <w:t>7.0 Conclusions and Recommendations</w:t>
      </w:r>
      <w:bookmarkEnd w:id="48"/>
      <w:bookmarkEnd w:id="49"/>
    </w:p>
    <w:p>
      <w:pPr>
        <w:pStyle w:val="3"/>
        <w:rPr>
          <w:rFonts w:ascii="Times New Roman" w:hAnsi="Times New Roman" w:cs="Times New Roman"/>
          <w:sz w:val="24"/>
          <w:szCs w:val="24"/>
        </w:rPr>
      </w:pPr>
      <w:bookmarkStart w:id="50" w:name="_Toc140165006"/>
      <w:bookmarkStart w:id="51" w:name="_Toc139729502"/>
      <w:r>
        <w:rPr>
          <w:rFonts w:ascii="Times New Roman" w:hAnsi="Times New Roman" w:cs="Times New Roman"/>
          <w:sz w:val="24"/>
          <w:szCs w:val="24"/>
        </w:rPr>
        <w:t>7.1 Conclusion</w:t>
      </w:r>
      <w:bookmarkEnd w:id="50"/>
      <w:bookmarkEnd w:id="51"/>
    </w:p>
    <w:p>
      <w:pPr>
        <w:spacing w:line="480" w:lineRule="auto"/>
        <w:jc w:val="both"/>
        <w:rPr>
          <w:rFonts w:ascii="Times New Roman" w:hAnsi="Times New Roman" w:cs="Times New Roman"/>
          <w:sz w:val="24"/>
          <w:szCs w:val="24"/>
        </w:rPr>
      </w:pPr>
      <w:r>
        <w:rPr>
          <w:rFonts w:ascii="Times New Roman" w:hAnsi="Times New Roman" w:cs="Times New Roman"/>
          <w:sz w:val="24"/>
          <w:szCs w:val="24"/>
        </w:rPr>
        <w:t>After conducting a thorough strategic analysis of Samsung's customer care strategy, several key findings emerge, integrating theoretical frameworks and concepts from strategic management:</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External Analysis</w:t>
      </w:r>
      <w:r>
        <w:rPr>
          <w:rFonts w:ascii="Times New Roman" w:hAnsi="Times New Roman" w:cs="Times New Roman"/>
          <w:sz w:val="24"/>
          <w:szCs w:val="24"/>
        </w:rPr>
        <w:t>: The PESTLE research showed that technical progress, shifting consumer tastes, and new regulations all have an impact on Samsung's external environment. These outside forces highlight the need for Samsung to adjust its customer service approach to keep ahead of the competition and fulfil the shifting requirements of its customers.</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Internal Analysis</w:t>
      </w:r>
      <w:r>
        <w:rPr>
          <w:rFonts w:ascii="Times New Roman" w:hAnsi="Times New Roman" w:cs="Times New Roman"/>
          <w:sz w:val="24"/>
          <w:szCs w:val="24"/>
        </w:rPr>
        <w:t>: The RBV analysis highlighted Samsung's most significant assets, such as the company's reputable name and highly trained personnel. These internal qualities serve as a platform for providing unique customer care experiences and increasing competitiveness.</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Strategic Options</w:t>
      </w:r>
      <w:r>
        <w:rPr>
          <w:rFonts w:ascii="Times New Roman" w:hAnsi="Times New Roman" w:cs="Times New Roman"/>
          <w:sz w:val="24"/>
          <w:szCs w:val="24"/>
        </w:rPr>
        <w:t>: Market penetration, market expansion, product development, and diversification were the four strategic alternatives for Samsung's customer service offered by the Ansoff Matrix research. By considering these alternatives, Samsung may select the best growth strategy to increase its consumer base, launch innovative products, and enter untapped areas.</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Competitive Positioning</w:t>
      </w:r>
      <w:r>
        <w:rPr>
          <w:rFonts w:ascii="Times New Roman" w:hAnsi="Times New Roman" w:cs="Times New Roman"/>
          <w:sz w:val="24"/>
          <w:szCs w:val="24"/>
        </w:rPr>
        <w:t>: One key takeaway from Porter's Five Forces is how intense competition is in the customer service sector. Technology, brand recognition, and a sizable client base give Samsung an edge in the market. Samsung can set itself apart and secure its place in the market by capitalizing on these qualities.</w:t>
      </w:r>
    </w:p>
    <w:p>
      <w:pPr>
        <w:numPr>
          <w:ilvl w:val="0"/>
          <w:numId w:val="5"/>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Value Chain Analysis</w:t>
      </w:r>
      <w:r>
        <w:rPr>
          <w:rFonts w:ascii="Times New Roman" w:hAnsi="Times New Roman" w:cs="Times New Roman"/>
          <w:sz w:val="24"/>
          <w:szCs w:val="24"/>
        </w:rPr>
        <w:t>: Primary and secondary activities associated with Samsung's customer service operations were isolated using a value chain analysis. It outlined ways in which Samsung may boost productivity, provide more value to customers, and harmonize its customer service strategy with strategic management ideas like the relative value proposition (RBV) and the differentiation strategy.</w:t>
      </w:r>
    </w:p>
    <w:p>
      <w:pPr>
        <w:spacing w:line="480" w:lineRule="auto"/>
        <w:jc w:val="both"/>
        <w:rPr>
          <w:rFonts w:ascii="Times New Roman" w:hAnsi="Times New Roman" w:cs="Times New Roman"/>
          <w:sz w:val="24"/>
          <w:szCs w:val="24"/>
        </w:rPr>
      </w:pPr>
      <w:r>
        <w:rPr>
          <w:rFonts w:ascii="Times New Roman" w:hAnsi="Times New Roman" w:cs="Times New Roman"/>
          <w:sz w:val="24"/>
          <w:szCs w:val="24"/>
        </w:rPr>
        <w:t>The strategic research concludes that Samsung can benefit from a shift in strategy that would allow it to better provide cutting-edge customer service, as well as strengthen its position in the market and gain a competitive edge. To improve its customer service offerings, stand out in the market, and keep up with consumers' ever-changing expectations, Samsung must capitalize on its strengths, rectify its shortcomings, seize external chances, and guard against dangers. When it comes to making strategic decisions and guaranteeing long-term success in the customer service business, having a firm theoretical basis is essential.</w:t>
      </w:r>
    </w:p>
    <w:p>
      <w:pPr>
        <w:pStyle w:val="3"/>
        <w:rPr>
          <w:rFonts w:ascii="Times New Roman" w:hAnsi="Times New Roman" w:cs="Times New Roman"/>
          <w:sz w:val="24"/>
          <w:szCs w:val="24"/>
        </w:rPr>
      </w:pPr>
      <w:bookmarkStart w:id="52" w:name="_Toc139729503"/>
      <w:bookmarkStart w:id="53" w:name="_Toc140165007"/>
      <w:r>
        <w:rPr>
          <w:rFonts w:ascii="Times New Roman" w:hAnsi="Times New Roman" w:cs="Times New Roman"/>
          <w:sz w:val="24"/>
          <w:szCs w:val="24"/>
        </w:rPr>
        <w:t>7.2 Recommendations</w:t>
      </w:r>
      <w:bookmarkEnd w:id="52"/>
      <w:bookmarkEnd w:id="53"/>
    </w:p>
    <w:p>
      <w:pPr>
        <w:spacing w:line="480" w:lineRule="auto"/>
        <w:jc w:val="both"/>
        <w:rPr>
          <w:rFonts w:ascii="Times New Roman" w:hAnsi="Times New Roman" w:cs="Times New Roman"/>
          <w:sz w:val="24"/>
          <w:szCs w:val="24"/>
        </w:rPr>
      </w:pPr>
      <w:r>
        <w:rPr>
          <w:rFonts w:ascii="Times New Roman" w:hAnsi="Times New Roman" w:cs="Times New Roman"/>
          <w:sz w:val="24"/>
          <w:szCs w:val="24"/>
        </w:rPr>
        <w:t>Based on the strategic analysis and in consideration of strategic management theories, the following recommendations are proposed for Samsung's innovative customer care strategy, aiming to enhance its future resilience and sustainable competitive advantage:</w:t>
      </w:r>
    </w:p>
    <w:p>
      <w:pPr>
        <w:numPr>
          <w:ilvl w:val="0"/>
          <w:numId w:val="6"/>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Embrace Hyperpersonalization</w:t>
      </w:r>
      <w:r>
        <w:rPr>
          <w:rFonts w:ascii="Times New Roman" w:hAnsi="Times New Roman" w:cs="Times New Roman"/>
          <w:sz w:val="24"/>
          <w:szCs w:val="24"/>
        </w:rPr>
        <w:t>: Samsung should prioritize hyper-personalization in its customer care strategy. By leveraging data analytics, AI, and machine learning technologies, Samsung can deliver personalized experiences tailored to individual customer preferences, needs, and behaviours (Mckinsey.com, n.d.). This approach aligns with the concept of customer-centricity and the resource-based view (RBV), as it allows Samsung to leverage its data resources and technological capabilities to create a unique competitive advantage.</w:t>
      </w:r>
    </w:p>
    <w:p>
      <w:pPr>
        <w:numPr>
          <w:ilvl w:val="0"/>
          <w:numId w:val="6"/>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Invest in Seamless Multichannel Support</w:t>
      </w:r>
      <w:r>
        <w:rPr>
          <w:rFonts w:ascii="Times New Roman" w:hAnsi="Times New Roman" w:cs="Times New Roman"/>
          <w:sz w:val="24"/>
          <w:szCs w:val="24"/>
        </w:rPr>
        <w:t>: Samsung should invest in developing a seamless multichannel support system that allows customers to interact with the brand through various channels, such as phone, email, chat, social media, and self-service platforms (Massi et al., 2023). This approach aligns with the differentiation strategy and the customer experience management perspective, as it enables Samsung to provide consistent and convenient customer care experiences across different touchpoints, enhancing customer satisfaction and loyalty.</w:t>
      </w:r>
    </w:p>
    <w:p>
      <w:pPr>
        <w:numPr>
          <w:ilvl w:val="0"/>
          <w:numId w:val="6"/>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Build a Collaborative Ecosystem</w:t>
      </w:r>
      <w:r>
        <w:rPr>
          <w:rFonts w:ascii="Times New Roman" w:hAnsi="Times New Roman" w:cs="Times New Roman"/>
          <w:sz w:val="24"/>
          <w:szCs w:val="24"/>
        </w:rPr>
        <w:t>: Samsung should establish strategic partnerships and collaborations with other organizations, such as technology providers, service providers, and industry experts, to create a collaborative ecosystem for customer care innovation (Furr and Shipilov, 2018). This approach aligns with the open innovation concept and the RBV, as it enables Samsung to access external resources, knowledge, and expertise to fuel innovation, enhance service offerings, and gain a competitive advantage.</w:t>
      </w:r>
    </w:p>
    <w:p>
      <w:pPr>
        <w:numPr>
          <w:ilvl w:val="0"/>
          <w:numId w:val="6"/>
        </w:numPr>
        <w:spacing w:line="480" w:lineRule="auto"/>
        <w:jc w:val="both"/>
        <w:rPr>
          <w:rFonts w:ascii="Times New Roman" w:hAnsi="Times New Roman" w:cs="Times New Roman"/>
          <w:sz w:val="24"/>
          <w:szCs w:val="24"/>
        </w:rPr>
      </w:pPr>
      <w:r>
        <w:rPr>
          <w:rFonts w:ascii="Times New Roman" w:hAnsi="Times New Roman" w:cs="Times New Roman"/>
          <w:b/>
          <w:bCs/>
          <w:sz w:val="24"/>
          <w:szCs w:val="24"/>
        </w:rPr>
        <w:t>Continuous Monitoring and Adaptation</w:t>
      </w:r>
      <w:r>
        <w:rPr>
          <w:rFonts w:ascii="Times New Roman" w:hAnsi="Times New Roman" w:cs="Times New Roman"/>
          <w:sz w:val="24"/>
          <w:szCs w:val="24"/>
        </w:rPr>
        <w:t>: Samsung should establish a robust system for continuously monitoring and adapting its customer care strategy in response to changing customer needs, market dynamics, and technological advancements (Batra 2017). This approach aligns with the strategic agility perspective, as it allows Samsung to proactively adapt its strategies, processes, and technologies to stay relevant, maintain resilience, and seize emerging opportunities in the customer care landscape.</w:t>
      </w: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pStyle w:val="2"/>
        <w:jc w:val="center"/>
        <w:rPr>
          <w:rFonts w:ascii="Times New Roman" w:hAnsi="Times New Roman" w:cs="Times New Roman"/>
          <w:b/>
          <w:sz w:val="24"/>
          <w:szCs w:val="24"/>
        </w:rPr>
      </w:pPr>
      <w:bookmarkStart w:id="54" w:name="_Toc139729504"/>
      <w:bookmarkStart w:id="55" w:name="_Toc140165008"/>
      <w:r>
        <w:rPr>
          <w:rFonts w:ascii="Times New Roman" w:hAnsi="Times New Roman" w:cs="Times New Roman"/>
          <w:b/>
          <w:sz w:val="24"/>
          <w:szCs w:val="24"/>
        </w:rPr>
        <w:t>8.0 References</w:t>
      </w:r>
      <w:bookmarkEnd w:id="54"/>
      <w:bookmarkEnd w:id="55"/>
    </w:p>
    <w:p>
      <w:pPr>
        <w:spacing w:line="480" w:lineRule="auto"/>
        <w:jc w:val="both"/>
        <w:rPr>
          <w:rFonts w:ascii="Times New Roman" w:hAnsi="Times New Roman" w:cs="Times New Roman"/>
          <w:sz w:val="24"/>
          <w:szCs w:val="24"/>
        </w:rPr>
      </w:pP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Atashfaraz, M. and Abadi, MHHS, 2016. Impact of E-Service innovation on brand equality and customer loyality in Samsung international corporation. Procedia Economics and Finance, 36, pp.327-335.</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Bamford, D., Forrester, P. and Reid, I., 2023. Essential guide to operations management: concepts and case notes. Taylor &amp; Francis.</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Barney, J. (1991). Firm resources and sustained competitive advantage. Journal of management, 17(1), 99-120.</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Batra, M.M., 2017. Customer experience-an emerging frontier in customer service excellence. In Competition Forum (Vol. 15, No. 1, pp. 198-207). American Society for Competitiveness.</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Bonchek, M., &amp; Bapat, V. (2018). The most successful brands focus on users—not buyers. Harvard Business Review, 2(07).</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Cardoso, E. A. R. P. (2017). Examining the differences of the internationalization strategies of two of the major brands in the smartphone industry-Apple inc. versus Samsung electronics (Doctoral dissertation).</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Cuthbertson, R.W. and Furseth, P.I., 2022. Digital services and competitive advantage: Strengthening the links between RBV, KBV, and innovation. Journal of Business Research, 152, pp.168-176.</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Endrődi-Kovács, V., Kutasi, G. and Magasházi, A., 2018. Visegrád group expertise and position in the Samsung global value chain: A case study of Samsung Electronics in the V4 countries. Central European Business Review, 7(1), p.14.</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Fang, K., Zhou, Y., Wang, S., Ye, R. and Guo, S., 2018. Assessing national renewable energy competitiveness of the G20: A revised Porter's Diamond Model. Renewable and Sustainable Energy Reviews, 93, pp.719-731.</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Francis, A. (2014) Bowman's Strategy Clock, MBA Knowledge Base. Available at: https://www.mbaknol.com/strategic-management/bowmans-strategy-clock/ (Accessed: July 8, 2023).</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Furr, N. and Shipilov, A., 2018. Building the right ecosystem for innovation. M.I.T. Sloan Management Review, 59(4), pp.59-64.</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Grant, R.M., (2015), Contemporary Strategy Analysis: Texts and Cases 9th edition</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Gupta, G., Tan, K.T.L., Ee, YS and Phang, C.S.C., 2018. Resource-based view of information systems: Sustainable and transient competitive advantage perspectives. Australasian Journal of Information Systems, 22.</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Hanlon, A. (2021) The Ansoff Model, Smart Insights. Available at: https://www.smartinsights.com/marketing-planning/create-a-marketing-plan/ansoff-model/ (Accessed: July 13, 2023).</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Isil, O. and Hernke, M.T., 2017. The triple bottom line: A critical review from a transdisciplinary perspective. Business Strategy and the Environment, 26(8), pp.1235-1251.</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Jia, M., 2022. Analysis on the Internationalization Strategy of Samsung Group. Accounting and Corporate Management, 4(6), pp.1-5.</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Jin, L., Chen, C., Li, Y., Wang, X. and Cheng, Y., 2021. How to promote compliance management in the electricity market? An analysis based on the evolutionary game model. Frontiers in Environmental Science, 9, p.655080.</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Johnson, G., Whittington, R., Scholes, K., Angwin, D., Regnér, P. and Fréry, F., 2017. Stratégique (traduction adaptée de EXPLORING SRATEGY Text and Cases, 11 ème édition, publiée par Pearson Education Limited). Montreuil: Editions Pearson.</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Kang, J., Diao, Z. and Zanini, M.T., 2021. Business-to-business marketing responses to COVID-19 crisis: a business process perspective. Marketing Intelligence &amp; Planning, 39(3), pp.454-468.</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Konthong, K., Suwan-natada, P. and Sompong, A., 2016. The investigation of ERP and E-business effects in Thailand: A resource based view. Journal of Business and Retail Management Research, 11(1).</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Lee, C., Kang, S.K., Kim, H. and Kim, I., 2019. Background and activities of the samsung ombudsperson commission in korea. Journal of Preventive Medicine and Public Health, 52(4), p.265.</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Liobikienė, G., Mandravickaitė, J. and Bernatonienė, J., 2016. Theory of planned behavior approach to understand the green purchasing behavior in the EU: A cross-cultural study. Ecological Economics, 125, pp.38-46.</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Liu, C., Wang, S. and Jia, G., 2020. Exploring e-commerce big data and customer-perceived value: An empirical study on chinese online customers. Sustainability, 12(20), p.8649.</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Loredana, E.M., 2016. The use of Ansoff matrix in the field of business. In MATEC Web of Conferences (Vol. 44, p. 01006).</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Loukis, E., Janssen, M. and Mintchev, I., 2019. Determinants of software-as-a-service benefits and impact on firm performance. Decision Support Systems, 117, pp.38-47.</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Massi, M., Piancatelli, C. and Vocino, A., 2023. Authentic omnichannel: Providing consumers with a seamless brand experience through authenticity. Psychology &amp; Marketing.</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Mintzberg, H., 1994. Rethinking strategic planning part I: Pitfalls and fallacies. Long range planning, 27(3), pp.12-21.</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Parker, B. (2019) Samsung SWOT Analysis 2023, Business Strategy Hub. Available at: https://bstrategyhub.com/swot-analysis-of-samsung-2019-samsung-swot-analysis/ (Accessed: July 13, 2023).</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Porter, M. E. (1980). Competitive strategy: Techniques for analyzing industries and competitors. New York: Free Press.</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Razdan, V. (2017) Home page, Doi.org. unknown. Available at: https://doi.org/ (Accessed: July 8, 2023).</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Samsung (005930.KS) - Market capitalization (no date) Companiesmarketcap.com. Available at: https://companiesmarketcap.com/samsung/marketcap/ (Accessed: July 13, 2023).</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Saroha, R. and Diwan, S.P., 2020. Development of an empirical framework of customer loyalty in the mobile telecommunications sector. Journal of Strategic Marketing, 28(8), pp.659-680.</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Seo, E.Y., Choung, J.Y. and Hwang, H.R., 2019. The changing patterns of knowledge production of catch-up firms during the forging-ahead period: case study of Samsung Electronics Co.(SEC). IEEE Transactions on Engineering Management, 66(4), pp.621-635.</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Smith, P.B. and Bond, M.H., 2020. Cultural dimensions theory. Encyclopedia of Personality and Individual Differences, pp.970-976.</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Song, J., Lee, K. and Khanna, T., 2016. Dynamic capabilities at Samsung: Optimizing internal co-opetition. California Management Review, 58(4), pp.118-140.</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 xml:space="preserve">The care of one: Hyperpersonalization of customer care. (n.d.). Retrieved June 1, 2023, from Mckinsey.com website: </w:t>
      </w:r>
      <w:r>
        <w:fldChar w:fldCharType="begin"/>
      </w:r>
      <w:r>
        <w:instrText xml:space="preserve"> HYPERLINK "https://www.mckinsey.com/capabilities/operations/our-insights/the-care-of-one-hyperpersonalization-of-customer-care" </w:instrText>
      </w:r>
      <w:r>
        <w:fldChar w:fldCharType="separate"/>
      </w:r>
      <w:r>
        <w:rPr>
          <w:rFonts w:ascii="Times New Roman" w:hAnsi="Times New Roman" w:cs="Times New Roman" w:eastAsiaTheme="minorEastAsia"/>
          <w:color w:val="0563C1" w:themeColor="hyperlink"/>
          <w:kern w:val="2"/>
          <w:sz w:val="24"/>
          <w:szCs w:val="24"/>
          <w:u w:val="single"/>
          <w:lang w:eastAsia="zh-CN"/>
          <w14:textFill>
            <w14:solidFill>
              <w14:schemeClr w14:val="hlink"/>
            </w14:solidFill>
          </w14:textFill>
        </w:rPr>
        <w:t>https://www.mckinsey.com/capabilities/operations/our-insights/the-care-of-one-hyperpersonalization-of-customer-care</w:t>
      </w:r>
      <w:r>
        <w:rPr>
          <w:rFonts w:ascii="Times New Roman" w:hAnsi="Times New Roman" w:cs="Times New Roman" w:eastAsiaTheme="minorEastAsia"/>
          <w:color w:val="0563C1" w:themeColor="hyperlink"/>
          <w:kern w:val="2"/>
          <w:sz w:val="24"/>
          <w:szCs w:val="24"/>
          <w:u w:val="single"/>
          <w:lang w:eastAsia="zh-CN"/>
          <w14:textFill>
            <w14:solidFill>
              <w14:schemeClr w14:val="hlink"/>
            </w14:solidFill>
          </w14:textFill>
        </w:rPr>
        <w:fldChar w:fldCharType="end"/>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Tintara, I.D.G.W. and Respati, N.N., 2020. The effect of product differentiation, service differentiation, and image differentiation on competitive advantage. Am. J. Humanit. Soc. Sci. Res, 4, pp.316-321.</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Villagrasa, J., Sánchez, F. and Donaldson, C., 2023. HOW TO WIND THE STRATEGIC CLOCK: A BEST PRACTICE EXAMPLE SHOWING THE DYNAMIC PROCESS THAT UNDERLIES. In INTED2023 Proceedings (pp. 943-955). IATED.</w:t>
      </w:r>
    </w:p>
    <w:p>
      <w:pPr>
        <w:widowControl w:val="0"/>
        <w:spacing w:after="0" w:line="480" w:lineRule="auto"/>
        <w:ind w:left="720" w:hanging="720"/>
        <w:jc w:val="both"/>
        <w:rPr>
          <w:rFonts w:ascii="Times New Roman" w:hAnsi="Times New Roman" w:cs="Times New Roman" w:eastAsiaTheme="minorEastAsia"/>
          <w:kern w:val="2"/>
          <w:sz w:val="24"/>
          <w:szCs w:val="24"/>
          <w:lang w:eastAsia="zh-CN"/>
        </w:rPr>
      </w:pPr>
      <w:r>
        <w:rPr>
          <w:rFonts w:ascii="Times New Roman" w:hAnsi="Times New Roman" w:cs="Times New Roman" w:eastAsiaTheme="minorEastAsia"/>
          <w:kern w:val="2"/>
          <w:sz w:val="24"/>
          <w:szCs w:val="24"/>
          <w:lang w:eastAsia="zh-CN"/>
        </w:rPr>
        <w:t>Wilyanto, A., Renaldi, A.J., Valentina, E., Richmond, R., Melinda, R. and Fatyandri, A.N., 2023. ANALISIS BUSINESS LEVEL STRATEGY DAN DIVERSIFICATION PERUSAHAAN SAMSUNG. PROMOSI (Jurnal Pendidikan Ekonomi), 11(1).</w:t>
      </w: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Courier New">
    <w:panose1 w:val="02070309020205020404"/>
    <w:charset w:val="00"/>
    <w:family w:val="modern"/>
    <w:pitch w:val="default"/>
    <w:sig w:usb0="E0002EFF" w:usb1="C0007843"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89379985"/>
      <w:docPartObj>
        <w:docPartGallery w:val="AutoText"/>
      </w:docPartObj>
    </w:sdtPr>
    <w:sdtContent>
      <w:p>
        <w:pPr>
          <w:pStyle w:val="8"/>
          <w:jc w:val="right"/>
        </w:pPr>
        <w:r>
          <w:fldChar w:fldCharType="begin"/>
        </w:r>
        <w:r>
          <w:instrText xml:space="preserve"> PAGE   \* MERGEFORMAT </w:instrText>
        </w:r>
        <w:r>
          <w:fldChar w:fldCharType="separate"/>
        </w:r>
        <w:r>
          <w:t>3</w:t>
        </w:r>
        <w:r>
          <w:fldChar w:fldCharType="end"/>
        </w:r>
      </w:p>
    </w:sdtContent>
  </w:sdt>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E83B77"/>
    <w:multiLevelType w:val="multilevel"/>
    <w:tmpl w:val="10E83B77"/>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19EC3761"/>
    <w:multiLevelType w:val="multilevel"/>
    <w:tmpl w:val="19EC3761"/>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A89683B"/>
    <w:multiLevelType w:val="multilevel"/>
    <w:tmpl w:val="3A89683B"/>
    <w:lvl w:ilvl="0" w:tentative="0">
      <w:start w:val="1"/>
      <w:numFmt w:val="bullet"/>
      <w:lvlText w:val=""/>
      <w:lvlJc w:val="left"/>
      <w:pPr>
        <w:ind w:left="1440" w:hanging="360"/>
      </w:pPr>
      <w:rPr>
        <w:rFonts w:hint="default" w:ascii="Symbol" w:hAnsi="Symbol"/>
      </w:rPr>
    </w:lvl>
    <w:lvl w:ilvl="1" w:tentative="0">
      <w:start w:val="1"/>
      <w:numFmt w:val="bullet"/>
      <w:lvlText w:val="o"/>
      <w:lvlJc w:val="left"/>
      <w:pPr>
        <w:ind w:left="2160" w:hanging="360"/>
      </w:pPr>
      <w:rPr>
        <w:rFonts w:hint="default" w:ascii="Courier New" w:hAnsi="Courier New" w:cs="Courier New"/>
      </w:rPr>
    </w:lvl>
    <w:lvl w:ilvl="2" w:tentative="0">
      <w:start w:val="1"/>
      <w:numFmt w:val="bullet"/>
      <w:lvlText w:val=""/>
      <w:lvlJc w:val="left"/>
      <w:pPr>
        <w:ind w:left="2880" w:hanging="360"/>
      </w:pPr>
      <w:rPr>
        <w:rFonts w:hint="default" w:ascii="Wingdings" w:hAnsi="Wingdings"/>
      </w:rPr>
    </w:lvl>
    <w:lvl w:ilvl="3" w:tentative="0">
      <w:start w:val="1"/>
      <w:numFmt w:val="bullet"/>
      <w:lvlText w:val=""/>
      <w:lvlJc w:val="left"/>
      <w:pPr>
        <w:ind w:left="3600" w:hanging="360"/>
      </w:pPr>
      <w:rPr>
        <w:rFonts w:hint="default" w:ascii="Symbol" w:hAnsi="Symbol"/>
      </w:rPr>
    </w:lvl>
    <w:lvl w:ilvl="4" w:tentative="0">
      <w:start w:val="1"/>
      <w:numFmt w:val="bullet"/>
      <w:lvlText w:val="o"/>
      <w:lvlJc w:val="left"/>
      <w:pPr>
        <w:ind w:left="4320" w:hanging="360"/>
      </w:pPr>
      <w:rPr>
        <w:rFonts w:hint="default" w:ascii="Courier New" w:hAnsi="Courier New" w:cs="Courier New"/>
      </w:rPr>
    </w:lvl>
    <w:lvl w:ilvl="5" w:tentative="0">
      <w:start w:val="1"/>
      <w:numFmt w:val="bullet"/>
      <w:lvlText w:val=""/>
      <w:lvlJc w:val="left"/>
      <w:pPr>
        <w:ind w:left="5040" w:hanging="360"/>
      </w:pPr>
      <w:rPr>
        <w:rFonts w:hint="default" w:ascii="Wingdings" w:hAnsi="Wingdings"/>
      </w:rPr>
    </w:lvl>
    <w:lvl w:ilvl="6" w:tentative="0">
      <w:start w:val="1"/>
      <w:numFmt w:val="bullet"/>
      <w:lvlText w:val=""/>
      <w:lvlJc w:val="left"/>
      <w:pPr>
        <w:ind w:left="5760" w:hanging="360"/>
      </w:pPr>
      <w:rPr>
        <w:rFonts w:hint="default" w:ascii="Symbol" w:hAnsi="Symbol"/>
      </w:rPr>
    </w:lvl>
    <w:lvl w:ilvl="7" w:tentative="0">
      <w:start w:val="1"/>
      <w:numFmt w:val="bullet"/>
      <w:lvlText w:val="o"/>
      <w:lvlJc w:val="left"/>
      <w:pPr>
        <w:ind w:left="6480" w:hanging="360"/>
      </w:pPr>
      <w:rPr>
        <w:rFonts w:hint="default" w:ascii="Courier New" w:hAnsi="Courier New" w:cs="Courier New"/>
      </w:rPr>
    </w:lvl>
    <w:lvl w:ilvl="8" w:tentative="0">
      <w:start w:val="1"/>
      <w:numFmt w:val="bullet"/>
      <w:lvlText w:val=""/>
      <w:lvlJc w:val="left"/>
      <w:pPr>
        <w:ind w:left="7200" w:hanging="360"/>
      </w:pPr>
      <w:rPr>
        <w:rFonts w:hint="default" w:ascii="Wingdings" w:hAnsi="Wingdings"/>
      </w:rPr>
    </w:lvl>
  </w:abstractNum>
  <w:abstractNum w:abstractNumId="3">
    <w:nsid w:val="3AF86E58"/>
    <w:multiLevelType w:val="multilevel"/>
    <w:tmpl w:val="3AF86E58"/>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42091153"/>
    <w:multiLevelType w:val="multilevel"/>
    <w:tmpl w:val="42091153"/>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5">
    <w:nsid w:val="72BF5AEA"/>
    <w:multiLevelType w:val="multilevel"/>
    <w:tmpl w:val="72BF5AEA"/>
    <w:lvl w:ilvl="0" w:tentative="0">
      <w:start w:val="1"/>
      <w:numFmt w:val="decimal"/>
      <w:lvlText w:val="%1.0"/>
      <w:lvlJc w:val="left"/>
      <w:pPr>
        <w:ind w:left="1440" w:hanging="720"/>
      </w:pPr>
      <w:rPr>
        <w:rFonts w:hint="default"/>
      </w:rPr>
    </w:lvl>
    <w:lvl w:ilvl="1" w:tentative="0">
      <w:start w:val="1"/>
      <w:numFmt w:val="decimal"/>
      <w:lvlText w:val="%1.%2"/>
      <w:lvlJc w:val="left"/>
      <w:pPr>
        <w:ind w:left="2160" w:hanging="720"/>
      </w:pPr>
      <w:rPr>
        <w:rFonts w:hint="default"/>
      </w:rPr>
    </w:lvl>
    <w:lvl w:ilvl="2" w:tentative="0">
      <w:start w:val="1"/>
      <w:numFmt w:val="decimal"/>
      <w:lvlText w:val="%1.%2.%3"/>
      <w:lvlJc w:val="left"/>
      <w:pPr>
        <w:ind w:left="2880" w:hanging="720"/>
      </w:pPr>
      <w:rPr>
        <w:rFonts w:hint="default"/>
      </w:rPr>
    </w:lvl>
    <w:lvl w:ilvl="3" w:tentative="0">
      <w:start w:val="1"/>
      <w:numFmt w:val="decimal"/>
      <w:lvlText w:val="%1.%2.%3.%4"/>
      <w:lvlJc w:val="left"/>
      <w:pPr>
        <w:ind w:left="3960" w:hanging="1080"/>
      </w:pPr>
      <w:rPr>
        <w:rFonts w:hint="default"/>
      </w:rPr>
    </w:lvl>
    <w:lvl w:ilvl="4" w:tentative="0">
      <w:start w:val="1"/>
      <w:numFmt w:val="decimal"/>
      <w:lvlText w:val="%1.%2.%3.%4.%5"/>
      <w:lvlJc w:val="left"/>
      <w:pPr>
        <w:ind w:left="5040" w:hanging="1440"/>
      </w:pPr>
      <w:rPr>
        <w:rFonts w:hint="default"/>
      </w:rPr>
    </w:lvl>
    <w:lvl w:ilvl="5" w:tentative="0">
      <w:start w:val="1"/>
      <w:numFmt w:val="decimal"/>
      <w:lvlText w:val="%1.%2.%3.%4.%5.%6"/>
      <w:lvlJc w:val="left"/>
      <w:pPr>
        <w:ind w:left="5760" w:hanging="1440"/>
      </w:pPr>
      <w:rPr>
        <w:rFonts w:hint="default"/>
      </w:rPr>
    </w:lvl>
    <w:lvl w:ilvl="6" w:tentative="0">
      <w:start w:val="1"/>
      <w:numFmt w:val="decimal"/>
      <w:lvlText w:val="%1.%2.%3.%4.%5.%6.%7"/>
      <w:lvlJc w:val="left"/>
      <w:pPr>
        <w:ind w:left="6840" w:hanging="1800"/>
      </w:pPr>
      <w:rPr>
        <w:rFonts w:hint="default"/>
      </w:rPr>
    </w:lvl>
    <w:lvl w:ilvl="7" w:tentative="0">
      <w:start w:val="1"/>
      <w:numFmt w:val="decimal"/>
      <w:lvlText w:val="%1.%2.%3.%4.%5.%6.%7.%8"/>
      <w:lvlJc w:val="left"/>
      <w:pPr>
        <w:ind w:left="7560" w:hanging="1800"/>
      </w:pPr>
      <w:rPr>
        <w:rFonts w:hint="default"/>
      </w:rPr>
    </w:lvl>
    <w:lvl w:ilvl="8" w:tentative="0">
      <w:start w:val="1"/>
      <w:numFmt w:val="decimal"/>
      <w:lvlText w:val="%1.%2.%3.%4.%5.%6.%7.%8.%9"/>
      <w:lvlJc w:val="left"/>
      <w:pPr>
        <w:ind w:left="8640" w:hanging="2160"/>
      </w:pPr>
      <w:rPr>
        <w:rFonts w:hint="default"/>
      </w:rPr>
    </w:lvl>
  </w:abstractNum>
  <w:num w:numId="1">
    <w:abstractNumId w:val="5"/>
  </w:num>
  <w:num w:numId="2">
    <w:abstractNumId w:val="2"/>
  </w:num>
  <w:num w:numId="3">
    <w:abstractNumId w:val="1"/>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AYCIxMzYxNDE0NTQzNTIyUdpeDU4uLM/DyQApNaACaOA7YsAAAA"/>
    <w:docVar w:name="commondata" w:val="eyJoZGlkIjoiNzg4ZTU2NjZkMjM1MzZkOWRmYWNlODRkY2YyYTAwZWMifQ=="/>
  </w:docVars>
  <w:rsids>
    <w:rsidRoot w:val="00AA0755"/>
    <w:rsid w:val="00002D6A"/>
    <w:rsid w:val="0002772B"/>
    <w:rsid w:val="00042442"/>
    <w:rsid w:val="00061D77"/>
    <w:rsid w:val="00070771"/>
    <w:rsid w:val="00075CDB"/>
    <w:rsid w:val="000D1F62"/>
    <w:rsid w:val="000D341F"/>
    <w:rsid w:val="000D52B2"/>
    <w:rsid w:val="000D5BAF"/>
    <w:rsid w:val="000E0A62"/>
    <w:rsid w:val="000E27ED"/>
    <w:rsid w:val="000E6BD5"/>
    <w:rsid w:val="00107D60"/>
    <w:rsid w:val="001264D7"/>
    <w:rsid w:val="00130540"/>
    <w:rsid w:val="001418BA"/>
    <w:rsid w:val="00145B8B"/>
    <w:rsid w:val="00154CE3"/>
    <w:rsid w:val="0016640A"/>
    <w:rsid w:val="00187F78"/>
    <w:rsid w:val="0019160D"/>
    <w:rsid w:val="00192FD8"/>
    <w:rsid w:val="001A06FE"/>
    <w:rsid w:val="001E36D3"/>
    <w:rsid w:val="001E6300"/>
    <w:rsid w:val="00204A9D"/>
    <w:rsid w:val="002068EC"/>
    <w:rsid w:val="0021234F"/>
    <w:rsid w:val="002136E4"/>
    <w:rsid w:val="00217E81"/>
    <w:rsid w:val="00221F48"/>
    <w:rsid w:val="00222D14"/>
    <w:rsid w:val="00252AFD"/>
    <w:rsid w:val="00256914"/>
    <w:rsid w:val="00257A6E"/>
    <w:rsid w:val="00265193"/>
    <w:rsid w:val="00267A08"/>
    <w:rsid w:val="0027010D"/>
    <w:rsid w:val="00275931"/>
    <w:rsid w:val="00280F93"/>
    <w:rsid w:val="002812B3"/>
    <w:rsid w:val="002927E4"/>
    <w:rsid w:val="002A57F1"/>
    <w:rsid w:val="002B0A8B"/>
    <w:rsid w:val="002C1ADB"/>
    <w:rsid w:val="002E51D1"/>
    <w:rsid w:val="00315D59"/>
    <w:rsid w:val="0032250E"/>
    <w:rsid w:val="00324CEE"/>
    <w:rsid w:val="003470B7"/>
    <w:rsid w:val="0035604D"/>
    <w:rsid w:val="003623E8"/>
    <w:rsid w:val="003635DC"/>
    <w:rsid w:val="0036671C"/>
    <w:rsid w:val="003705CB"/>
    <w:rsid w:val="003749DA"/>
    <w:rsid w:val="0037651C"/>
    <w:rsid w:val="00380EE0"/>
    <w:rsid w:val="00392DB2"/>
    <w:rsid w:val="003A259B"/>
    <w:rsid w:val="003B55FF"/>
    <w:rsid w:val="003B57FC"/>
    <w:rsid w:val="003C13AC"/>
    <w:rsid w:val="003C7095"/>
    <w:rsid w:val="003C782E"/>
    <w:rsid w:val="003D5A4D"/>
    <w:rsid w:val="003F6E1B"/>
    <w:rsid w:val="00403534"/>
    <w:rsid w:val="00405FE6"/>
    <w:rsid w:val="004117B5"/>
    <w:rsid w:val="00413660"/>
    <w:rsid w:val="00436227"/>
    <w:rsid w:val="00437DFB"/>
    <w:rsid w:val="00444AF5"/>
    <w:rsid w:val="00460297"/>
    <w:rsid w:val="00465F8D"/>
    <w:rsid w:val="00483491"/>
    <w:rsid w:val="00484A7E"/>
    <w:rsid w:val="0048599B"/>
    <w:rsid w:val="004934FC"/>
    <w:rsid w:val="004A636D"/>
    <w:rsid w:val="004C4F91"/>
    <w:rsid w:val="004C5B19"/>
    <w:rsid w:val="004C626F"/>
    <w:rsid w:val="004D0E51"/>
    <w:rsid w:val="00511E5E"/>
    <w:rsid w:val="00527B51"/>
    <w:rsid w:val="00571056"/>
    <w:rsid w:val="005A3A33"/>
    <w:rsid w:val="005A4E2A"/>
    <w:rsid w:val="005C74FB"/>
    <w:rsid w:val="005E0B26"/>
    <w:rsid w:val="005E122E"/>
    <w:rsid w:val="00602795"/>
    <w:rsid w:val="00636EAA"/>
    <w:rsid w:val="00643B93"/>
    <w:rsid w:val="00652189"/>
    <w:rsid w:val="0065653F"/>
    <w:rsid w:val="00657517"/>
    <w:rsid w:val="0067421C"/>
    <w:rsid w:val="00685E92"/>
    <w:rsid w:val="00693911"/>
    <w:rsid w:val="00694165"/>
    <w:rsid w:val="00697E73"/>
    <w:rsid w:val="006D07A6"/>
    <w:rsid w:val="006D210E"/>
    <w:rsid w:val="00703935"/>
    <w:rsid w:val="0070514F"/>
    <w:rsid w:val="00717C85"/>
    <w:rsid w:val="00723DF9"/>
    <w:rsid w:val="0072583E"/>
    <w:rsid w:val="00735B13"/>
    <w:rsid w:val="00761442"/>
    <w:rsid w:val="00772928"/>
    <w:rsid w:val="0077489A"/>
    <w:rsid w:val="00783A3E"/>
    <w:rsid w:val="007849BE"/>
    <w:rsid w:val="00795C9C"/>
    <w:rsid w:val="007D1895"/>
    <w:rsid w:val="007E7558"/>
    <w:rsid w:val="0081478D"/>
    <w:rsid w:val="00825206"/>
    <w:rsid w:val="00831229"/>
    <w:rsid w:val="00860853"/>
    <w:rsid w:val="00863C78"/>
    <w:rsid w:val="0087101C"/>
    <w:rsid w:val="008824E8"/>
    <w:rsid w:val="00885DDE"/>
    <w:rsid w:val="008D443C"/>
    <w:rsid w:val="008D782C"/>
    <w:rsid w:val="008E6C03"/>
    <w:rsid w:val="008F105C"/>
    <w:rsid w:val="0090521D"/>
    <w:rsid w:val="00905472"/>
    <w:rsid w:val="00937A60"/>
    <w:rsid w:val="009531F6"/>
    <w:rsid w:val="00956363"/>
    <w:rsid w:val="0099267C"/>
    <w:rsid w:val="00997E9E"/>
    <w:rsid w:val="009B4867"/>
    <w:rsid w:val="009E5F76"/>
    <w:rsid w:val="009F4C5E"/>
    <w:rsid w:val="00A14DD8"/>
    <w:rsid w:val="00A417E8"/>
    <w:rsid w:val="00A47F75"/>
    <w:rsid w:val="00A57B01"/>
    <w:rsid w:val="00A610B2"/>
    <w:rsid w:val="00A63C2E"/>
    <w:rsid w:val="00A8725E"/>
    <w:rsid w:val="00A905C2"/>
    <w:rsid w:val="00A916C2"/>
    <w:rsid w:val="00AA0755"/>
    <w:rsid w:val="00AA0822"/>
    <w:rsid w:val="00AB1579"/>
    <w:rsid w:val="00AB1A2C"/>
    <w:rsid w:val="00AD0A5A"/>
    <w:rsid w:val="00AD1220"/>
    <w:rsid w:val="00AE343D"/>
    <w:rsid w:val="00AE5F89"/>
    <w:rsid w:val="00AE6590"/>
    <w:rsid w:val="00AF0D5A"/>
    <w:rsid w:val="00AF6AE0"/>
    <w:rsid w:val="00B44428"/>
    <w:rsid w:val="00B50AD5"/>
    <w:rsid w:val="00B61286"/>
    <w:rsid w:val="00B647BA"/>
    <w:rsid w:val="00B8034F"/>
    <w:rsid w:val="00B91702"/>
    <w:rsid w:val="00B9569E"/>
    <w:rsid w:val="00B97DF4"/>
    <w:rsid w:val="00BB5310"/>
    <w:rsid w:val="00BC4B61"/>
    <w:rsid w:val="00BD48F0"/>
    <w:rsid w:val="00BD4D0E"/>
    <w:rsid w:val="00BD6471"/>
    <w:rsid w:val="00BE186C"/>
    <w:rsid w:val="00BE5E18"/>
    <w:rsid w:val="00C11F3F"/>
    <w:rsid w:val="00C211C8"/>
    <w:rsid w:val="00C223D7"/>
    <w:rsid w:val="00C23BF6"/>
    <w:rsid w:val="00C33415"/>
    <w:rsid w:val="00C41A03"/>
    <w:rsid w:val="00C4313D"/>
    <w:rsid w:val="00C46B6D"/>
    <w:rsid w:val="00C54A46"/>
    <w:rsid w:val="00C6293E"/>
    <w:rsid w:val="00C81685"/>
    <w:rsid w:val="00C87FAE"/>
    <w:rsid w:val="00C918E8"/>
    <w:rsid w:val="00C94132"/>
    <w:rsid w:val="00C94DB8"/>
    <w:rsid w:val="00CA0CEE"/>
    <w:rsid w:val="00CA78D4"/>
    <w:rsid w:val="00CC1BFA"/>
    <w:rsid w:val="00CC1D34"/>
    <w:rsid w:val="00CC7E5E"/>
    <w:rsid w:val="00CE4D23"/>
    <w:rsid w:val="00CF549B"/>
    <w:rsid w:val="00D02FAB"/>
    <w:rsid w:val="00D12979"/>
    <w:rsid w:val="00D13173"/>
    <w:rsid w:val="00D15949"/>
    <w:rsid w:val="00D21F95"/>
    <w:rsid w:val="00D237D2"/>
    <w:rsid w:val="00D30F7F"/>
    <w:rsid w:val="00D41B0E"/>
    <w:rsid w:val="00D4760C"/>
    <w:rsid w:val="00D515AA"/>
    <w:rsid w:val="00D54676"/>
    <w:rsid w:val="00D617D0"/>
    <w:rsid w:val="00D9322E"/>
    <w:rsid w:val="00DB5D39"/>
    <w:rsid w:val="00DC4576"/>
    <w:rsid w:val="00DE3B48"/>
    <w:rsid w:val="00DE411F"/>
    <w:rsid w:val="00DE7359"/>
    <w:rsid w:val="00DF0F90"/>
    <w:rsid w:val="00E05972"/>
    <w:rsid w:val="00E077B2"/>
    <w:rsid w:val="00E166EE"/>
    <w:rsid w:val="00E216E7"/>
    <w:rsid w:val="00E3449F"/>
    <w:rsid w:val="00E4108D"/>
    <w:rsid w:val="00E50635"/>
    <w:rsid w:val="00E558EC"/>
    <w:rsid w:val="00E643D3"/>
    <w:rsid w:val="00E70DB0"/>
    <w:rsid w:val="00E730F7"/>
    <w:rsid w:val="00E933B9"/>
    <w:rsid w:val="00E97D11"/>
    <w:rsid w:val="00E97F5D"/>
    <w:rsid w:val="00EA0A27"/>
    <w:rsid w:val="00EA73F2"/>
    <w:rsid w:val="00EB1B56"/>
    <w:rsid w:val="00EB5333"/>
    <w:rsid w:val="00EC70C8"/>
    <w:rsid w:val="00ED6A07"/>
    <w:rsid w:val="00EE2451"/>
    <w:rsid w:val="00EE36E1"/>
    <w:rsid w:val="00EE5443"/>
    <w:rsid w:val="00EF5586"/>
    <w:rsid w:val="00F0664D"/>
    <w:rsid w:val="00F11E3F"/>
    <w:rsid w:val="00F214D7"/>
    <w:rsid w:val="00F338CB"/>
    <w:rsid w:val="00F34AF0"/>
    <w:rsid w:val="00F4568F"/>
    <w:rsid w:val="00F55A63"/>
    <w:rsid w:val="00F64BC6"/>
    <w:rsid w:val="00FE1BA5"/>
    <w:rsid w:val="00FF0059"/>
    <w:rsid w:val="00FF2D48"/>
    <w:rsid w:val="08431A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9"/>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0"/>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21"/>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5">
    <w:name w:val="Default Paragraph Font"/>
    <w:unhideWhenUsed/>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basedOn w:val="1"/>
    <w:next w:val="1"/>
    <w:unhideWhenUsed/>
    <w:uiPriority w:val="39"/>
    <w:pPr>
      <w:spacing w:after="100"/>
      <w:ind w:left="440"/>
    </w:pPr>
  </w:style>
  <w:style w:type="paragraph" w:styleId="7">
    <w:name w:val="footer"/>
    <w:basedOn w:val="1"/>
    <w:link w:val="18"/>
    <w:unhideWhenUsed/>
    <w:uiPriority w:val="99"/>
    <w:pPr>
      <w:tabs>
        <w:tab w:val="center" w:pos="4680"/>
        <w:tab w:val="right" w:pos="9360"/>
      </w:tabs>
      <w:spacing w:after="0" w:line="240" w:lineRule="auto"/>
    </w:pPr>
  </w:style>
  <w:style w:type="paragraph" w:styleId="8">
    <w:name w:val="header"/>
    <w:basedOn w:val="1"/>
    <w:link w:val="17"/>
    <w:unhideWhenUsed/>
    <w:uiPriority w:val="99"/>
    <w:pPr>
      <w:tabs>
        <w:tab w:val="center" w:pos="4680"/>
        <w:tab w:val="right" w:pos="9360"/>
      </w:tabs>
      <w:spacing w:after="0" w:line="240" w:lineRule="auto"/>
    </w:pPr>
  </w:style>
  <w:style w:type="paragraph" w:styleId="9">
    <w:name w:val="toc 1"/>
    <w:basedOn w:val="1"/>
    <w:next w:val="1"/>
    <w:unhideWhenUsed/>
    <w:qFormat/>
    <w:uiPriority w:val="39"/>
    <w:pPr>
      <w:spacing w:after="100"/>
    </w:pPr>
  </w:style>
  <w:style w:type="paragraph" w:styleId="10">
    <w:name w:val="table of figures"/>
    <w:basedOn w:val="1"/>
    <w:next w:val="1"/>
    <w:unhideWhenUsed/>
    <w:uiPriority w:val="99"/>
    <w:pPr>
      <w:spacing w:after="0"/>
    </w:pPr>
  </w:style>
  <w:style w:type="paragraph" w:styleId="11">
    <w:name w:val="toc 2"/>
    <w:basedOn w:val="1"/>
    <w:next w:val="1"/>
    <w:unhideWhenUsed/>
    <w:uiPriority w:val="39"/>
    <w:pPr>
      <w:spacing w:after="100"/>
      <w:ind w:left="220"/>
    </w:pPr>
  </w:style>
  <w:style w:type="paragraph" w:styleId="12">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14">
    <w:name w:val="Table Grid"/>
    <w:basedOn w:val="1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Hyperlink"/>
    <w:basedOn w:val="15"/>
    <w:unhideWhenUsed/>
    <w:uiPriority w:val="99"/>
    <w:rPr>
      <w:color w:val="0563C1" w:themeColor="hyperlink"/>
      <w:u w:val="single"/>
      <w14:textFill>
        <w14:solidFill>
          <w14:schemeClr w14:val="hlink"/>
        </w14:solidFill>
      </w14:textFill>
    </w:rPr>
  </w:style>
  <w:style w:type="character" w:customStyle="1" w:styleId="17">
    <w:name w:val="Header Char"/>
    <w:basedOn w:val="15"/>
    <w:link w:val="8"/>
    <w:uiPriority w:val="99"/>
  </w:style>
  <w:style w:type="character" w:customStyle="1" w:styleId="18">
    <w:name w:val="Footer Char"/>
    <w:basedOn w:val="15"/>
    <w:link w:val="7"/>
    <w:uiPriority w:val="99"/>
  </w:style>
  <w:style w:type="character" w:customStyle="1" w:styleId="19">
    <w:name w:val="Heading 1 Char"/>
    <w:basedOn w:val="15"/>
    <w:link w:val="2"/>
    <w:uiPriority w:val="9"/>
    <w:rPr>
      <w:rFonts w:asciiTheme="majorHAnsi" w:hAnsiTheme="majorHAnsi" w:eastAsiaTheme="majorEastAsia" w:cstheme="majorBidi"/>
      <w:color w:val="2E75B6" w:themeColor="accent1" w:themeShade="BF"/>
      <w:sz w:val="32"/>
      <w:szCs w:val="32"/>
    </w:rPr>
  </w:style>
  <w:style w:type="character" w:customStyle="1" w:styleId="20">
    <w:name w:val="Heading 2 Char"/>
    <w:basedOn w:val="15"/>
    <w:link w:val="3"/>
    <w:uiPriority w:val="9"/>
    <w:rPr>
      <w:rFonts w:asciiTheme="majorHAnsi" w:hAnsiTheme="majorHAnsi" w:eastAsiaTheme="majorEastAsia" w:cstheme="majorBidi"/>
      <w:color w:val="2E75B6" w:themeColor="accent1" w:themeShade="BF"/>
      <w:sz w:val="26"/>
      <w:szCs w:val="26"/>
    </w:rPr>
  </w:style>
  <w:style w:type="character" w:customStyle="1" w:styleId="21">
    <w:name w:val="Heading 3 Char"/>
    <w:basedOn w:val="15"/>
    <w:link w:val="4"/>
    <w:uiPriority w:val="9"/>
    <w:rPr>
      <w:rFonts w:asciiTheme="majorHAnsi" w:hAnsiTheme="majorHAnsi" w:eastAsiaTheme="majorEastAsia" w:cstheme="majorBidi"/>
      <w:color w:val="1F4E79" w:themeColor="accent1" w:themeShade="80"/>
      <w:sz w:val="24"/>
      <w:szCs w:val="24"/>
    </w:rPr>
  </w:style>
  <w:style w:type="paragraph" w:customStyle="1" w:styleId="22">
    <w:name w:val="TOC Heading"/>
    <w:basedOn w:val="2"/>
    <w:next w:val="1"/>
    <w:unhideWhenUsed/>
    <w:qFormat/>
    <w:uiPriority w:val="39"/>
    <w:pPr>
      <w:outlineLvl w:val="9"/>
    </w:pPr>
  </w:style>
  <w:style w:type="paragraph" w:styleId="23">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B69A037-9365-4FF9-93B5-A2D0D6AD5447}">
  <ds:schemaRefs/>
</ds:datastoreItem>
</file>

<file path=docProps/app.xml><?xml version="1.0" encoding="utf-8"?>
<Properties xmlns="http://schemas.openxmlformats.org/officeDocument/2006/extended-properties" xmlns:vt="http://schemas.openxmlformats.org/officeDocument/2006/docPropsVTypes">
  <Template>Normal</Template>
  <Pages>33</Pages>
  <Words>6123</Words>
  <Characters>38579</Characters>
  <Lines>336</Lines>
  <Paragraphs>94</Paragraphs>
  <TotalTime>196</TotalTime>
  <ScaleCrop>false</ScaleCrop>
  <LinksUpToDate>false</LinksUpToDate>
  <CharactersWithSpaces>44482</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2023-07-08T11:37:00Z</dcterms:created>
  <dc:creator>Lyn</dc:creator>
  <cp:lastModifiedBy>小杨</cp:lastModifiedBy>
  <dcterms:modified xsi:type="dcterms:W3CDTF">2023-07-16T11:50:55Z</dcterms:modified>
  <cp:revision>247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9A553127691D4A7193DF01695A401858_12</vt:lpwstr>
  </property>
</Properties>
</file>