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C8EB20" w14:textId="7B00BF70" w:rsidR="00F14008" w:rsidRPr="00F14008" w:rsidRDefault="00F14008">
      <w:pPr>
        <w:rPr>
          <w:u w:val="single"/>
        </w:rPr>
      </w:pPr>
      <w:r w:rsidRPr="00F14008">
        <w:rPr>
          <w:u w:val="single"/>
        </w:rPr>
        <w:t xml:space="preserve">Independent Project: </w:t>
      </w:r>
    </w:p>
    <w:p w14:paraId="66BD1CE7" w14:textId="5CE015FE" w:rsidR="00F14008" w:rsidRDefault="00F14008">
      <w:pPr>
        <w:rPr>
          <w:u w:val="single"/>
        </w:rPr>
      </w:pPr>
      <w:r w:rsidRPr="00F14008">
        <w:rPr>
          <w:u w:val="single"/>
        </w:rPr>
        <w:t xml:space="preserve">Ovid’s </w:t>
      </w:r>
      <w:r w:rsidRPr="00F14008">
        <w:rPr>
          <w:i/>
          <w:u w:val="single"/>
        </w:rPr>
        <w:t>Ars Amatoria</w:t>
      </w:r>
      <w:r w:rsidRPr="00F14008">
        <w:rPr>
          <w:u w:val="single"/>
        </w:rPr>
        <w:t xml:space="preserve">: A Response to Scholarship Investigating </w:t>
      </w:r>
      <w:r w:rsidR="001D6D80">
        <w:rPr>
          <w:u w:val="single"/>
        </w:rPr>
        <w:t>w</w:t>
      </w:r>
      <w:r w:rsidR="00A05212">
        <w:rPr>
          <w:u w:val="single"/>
        </w:rPr>
        <w:t xml:space="preserve">hat Impacts </w:t>
      </w:r>
      <w:r w:rsidRPr="00F14008">
        <w:rPr>
          <w:u w:val="single"/>
        </w:rPr>
        <w:t>Academic Interpretation.</w:t>
      </w:r>
    </w:p>
    <w:p w14:paraId="5BF1C1ED" w14:textId="3E89FE5D" w:rsidR="003C46BE" w:rsidRPr="003C46BE" w:rsidRDefault="003C46BE">
      <w:pPr>
        <w:rPr>
          <w:sz w:val="24"/>
          <w:u w:val="single"/>
        </w:rPr>
      </w:pPr>
      <w:r w:rsidRPr="003C46BE">
        <w:rPr>
          <w:sz w:val="24"/>
          <w:u w:val="single"/>
        </w:rPr>
        <w:t xml:space="preserve">Introduction: </w:t>
      </w:r>
    </w:p>
    <w:p w14:paraId="547814CA" w14:textId="42795B02" w:rsidR="00347AE1" w:rsidRDefault="00F14008">
      <w:r>
        <w:t>Translating, reading and interpreting texts, both ancient and modern, are all key elements of exploring antiquity</w:t>
      </w:r>
      <w:r w:rsidR="005630E3">
        <w:t>,</w:t>
      </w:r>
      <w:r>
        <w:t xml:space="preserve"> especially for the academic classicist. As a long standing and </w:t>
      </w:r>
      <w:r w:rsidR="005630E3">
        <w:t>historic discipline Classics has a unique origin and backgroun</w:t>
      </w:r>
      <w:r w:rsidR="00767D55">
        <w:t>d</w:t>
      </w:r>
      <w:r w:rsidR="00275173">
        <w:t xml:space="preserve"> </w:t>
      </w:r>
      <w:r w:rsidR="009711F8">
        <w:t xml:space="preserve">which can be </w:t>
      </w:r>
      <w:r w:rsidR="00275173">
        <w:t>trac</w:t>
      </w:r>
      <w:r w:rsidR="009711F8">
        <w:t>ed</w:t>
      </w:r>
      <w:r w:rsidR="00275173">
        <w:t xml:space="preserve"> back decades</w:t>
      </w:r>
      <w:r w:rsidR="005630E3">
        <w:t>.</w:t>
      </w:r>
      <w:r w:rsidR="00275173">
        <w:rPr>
          <w:rStyle w:val="FootnoteReference"/>
        </w:rPr>
        <w:footnoteReference w:id="1"/>
      </w:r>
      <w:r w:rsidR="005630E3">
        <w:t xml:space="preserve"> As a result of this </w:t>
      </w:r>
      <w:r w:rsidR="00767D55">
        <w:t>rich history</w:t>
      </w:r>
      <w:r w:rsidR="00275173">
        <w:t>,</w:t>
      </w:r>
      <w:r w:rsidR="00767D55">
        <w:t xml:space="preserve"> Classics as a field of study </w:t>
      </w:r>
      <w:r w:rsidR="005630E3">
        <w:t>has</w:t>
      </w:r>
      <w:r w:rsidR="00767D55">
        <w:t xml:space="preserve"> been shaped, developed and continuously impacted</w:t>
      </w:r>
      <w:r w:rsidR="00BE5EAD">
        <w:t>,</w:t>
      </w:r>
      <w:r w:rsidR="00767D55">
        <w:t xml:space="preserve"> by </w:t>
      </w:r>
      <w:r w:rsidR="00275173">
        <w:t xml:space="preserve">the </w:t>
      </w:r>
      <w:r w:rsidR="005630E3">
        <w:t>attitudes and ideologies</w:t>
      </w:r>
      <w:r w:rsidR="00275173">
        <w:t xml:space="preserve"> of prior eras. </w:t>
      </w:r>
      <w:r w:rsidR="0026648D">
        <w:t xml:space="preserve">Whilst it is important to reflect upon and even incorporate these preceding perspectives, we must also continue to enhance the subject with new discoveries, ideas and approaches. A crucial component of </w:t>
      </w:r>
      <w:r w:rsidR="009711F8">
        <w:t>this consistent enhancement is scholarly research, writing and debate. The way in which scholars, past and present, establish and abide by imposed rules and regulations for each of these features</w:t>
      </w:r>
      <w:r w:rsidR="007C7B9B">
        <w:t>,</w:t>
      </w:r>
      <w:r w:rsidR="00347AE1">
        <w:t xml:space="preserve"> may indeed b</w:t>
      </w:r>
      <w:r w:rsidR="00186AC7">
        <w:t>e</w:t>
      </w:r>
      <w:r w:rsidR="00347AE1">
        <w:t xml:space="preserve"> influenced by a number of external and internal </w:t>
      </w:r>
      <w:r w:rsidR="00A05212">
        <w:t>factors</w:t>
      </w:r>
      <w:r w:rsidR="00347AE1">
        <w:t xml:space="preserve">. </w:t>
      </w:r>
    </w:p>
    <w:p w14:paraId="67836CCD" w14:textId="1F7A84D0" w:rsidR="00BD25E0" w:rsidRDefault="00347AE1">
      <w:r>
        <w:t xml:space="preserve">The focus of the following discussion </w:t>
      </w:r>
      <w:r w:rsidR="001D6D80">
        <w:t>includes an</w:t>
      </w:r>
      <w:r>
        <w:t xml:space="preserve"> analys</w:t>
      </w:r>
      <w:r w:rsidR="001D6D80">
        <w:t>is of</w:t>
      </w:r>
      <w:r>
        <w:t xml:space="preserve"> a sample of scholarship in the format of reviews</w:t>
      </w:r>
      <w:r w:rsidR="008245E7">
        <w:t>,</w:t>
      </w:r>
      <w:r w:rsidR="00304D4D" w:rsidRPr="00304D4D">
        <w:t xml:space="preserve"> </w:t>
      </w:r>
      <w:r w:rsidR="00304D4D">
        <w:t>which have been selected through a process of critical inclusion and exclusion criteria.</w:t>
      </w:r>
      <w:r>
        <w:t xml:space="preserve"> Th</w:t>
      </w:r>
      <w:r w:rsidR="001D6D80">
        <w:t xml:space="preserve">is analysis </w:t>
      </w:r>
      <w:r>
        <w:t>investigate</w:t>
      </w:r>
      <w:r w:rsidR="001D6D80">
        <w:t>s</w:t>
      </w:r>
      <w:r>
        <w:t xml:space="preserve"> how the </w:t>
      </w:r>
      <w:r w:rsidR="00304D4D">
        <w:t>reviewers</w:t>
      </w:r>
      <w:r>
        <w:t xml:space="preserve"> included may imply or display </w:t>
      </w:r>
      <w:r w:rsidR="00304D4D">
        <w:t xml:space="preserve">opinions </w:t>
      </w:r>
      <w:r w:rsidR="00FB1DF5">
        <w:t>and</w:t>
      </w:r>
      <w:r w:rsidR="00304D4D">
        <w:t xml:space="preserve"> critiques</w:t>
      </w:r>
      <w:r w:rsidR="00490662">
        <w:t xml:space="preserve">. As a result, it </w:t>
      </w:r>
      <w:r w:rsidR="001D6D80">
        <w:t xml:space="preserve">is </w:t>
      </w:r>
      <w:r w:rsidR="00490662">
        <w:t>possible to</w:t>
      </w:r>
      <w:r w:rsidR="00304D4D">
        <w:t xml:space="preserve"> expose certain </w:t>
      </w:r>
      <w:r w:rsidR="00A05212">
        <w:t>influences</w:t>
      </w:r>
      <w:r w:rsidR="00490662">
        <w:t xml:space="preserve"> represented </w:t>
      </w:r>
      <w:r w:rsidR="00304D4D">
        <w:t xml:space="preserve">either </w:t>
      </w:r>
      <w:r w:rsidR="00490662">
        <w:t>by</w:t>
      </w:r>
      <w:r w:rsidR="00304D4D">
        <w:t xml:space="preserve"> the individual themselves</w:t>
      </w:r>
      <w:r w:rsidR="002B7242">
        <w:t>,</w:t>
      </w:r>
      <w:r w:rsidR="00304D4D">
        <w:t xml:space="preserve"> or the discipline as a whole. </w:t>
      </w:r>
      <w:r w:rsidR="00490662">
        <w:t>Following this</w:t>
      </w:r>
      <w:r w:rsidR="001D6D80">
        <w:t>,</w:t>
      </w:r>
      <w:r w:rsidR="00490662">
        <w:t xml:space="preserve"> conclusions </w:t>
      </w:r>
      <w:r w:rsidR="001D6D80">
        <w:t xml:space="preserve">are </w:t>
      </w:r>
      <w:r w:rsidR="00490662">
        <w:t xml:space="preserve">drawn regarding the </w:t>
      </w:r>
      <w:r w:rsidR="00C961C1">
        <w:t>practice</w:t>
      </w:r>
      <w:r w:rsidR="00490662">
        <w:t xml:space="preserve"> of scholarship and the expectation of objectivity, which will be argued as impossible to achieve. Once this has been </w:t>
      </w:r>
      <w:r w:rsidR="00FB1DF5">
        <w:t xml:space="preserve">accomplished </w:t>
      </w:r>
      <w:r w:rsidR="00490662">
        <w:t xml:space="preserve">it is then necessary to consider </w:t>
      </w:r>
      <w:r w:rsidR="00FB1DF5">
        <w:t>how we might</w:t>
      </w:r>
      <w:r w:rsidR="00490662">
        <w:t xml:space="preserve"> </w:t>
      </w:r>
      <w:r w:rsidR="00FB1DF5">
        <w:t>refine</w:t>
      </w:r>
      <w:r w:rsidR="00490662">
        <w:t xml:space="preserve"> the academic process</w:t>
      </w:r>
      <w:r w:rsidR="00FB1DF5">
        <w:t>.</w:t>
      </w:r>
      <w:r w:rsidR="00490662">
        <w:t xml:space="preserve"> </w:t>
      </w:r>
      <w:r w:rsidR="00FB1DF5">
        <w:t>I</w:t>
      </w:r>
      <w:r w:rsidR="00490662">
        <w:t>n doing so</w:t>
      </w:r>
      <w:r w:rsidR="00FB1DF5">
        <w:t xml:space="preserve"> we must</w:t>
      </w:r>
      <w:r w:rsidR="00490662">
        <w:t xml:space="preserve"> investigate alternative methodologies for writing and engaging with scholarship</w:t>
      </w:r>
      <w:r w:rsidR="00FB1DF5">
        <w:t>, many of which are recent developments and are therefore still being constructed</w:t>
      </w:r>
      <w:r w:rsidR="00490662">
        <w:t xml:space="preserve">. </w:t>
      </w:r>
    </w:p>
    <w:p w14:paraId="1F0B8110" w14:textId="77777777" w:rsidR="006F6F3C" w:rsidRPr="00E538C5" w:rsidRDefault="006F6F3C"/>
    <w:p w14:paraId="541712A1" w14:textId="62FF7D69" w:rsidR="00BD25E0" w:rsidRPr="006A0EF0" w:rsidRDefault="00AB1086">
      <w:pPr>
        <w:rPr>
          <w:i/>
          <w:sz w:val="24"/>
        </w:rPr>
      </w:pPr>
      <w:r w:rsidRPr="006A0EF0">
        <w:rPr>
          <w:sz w:val="24"/>
          <w:u w:val="single"/>
        </w:rPr>
        <w:t>Part One: Primary Text Motivation:</w:t>
      </w:r>
    </w:p>
    <w:p w14:paraId="0C885EEA" w14:textId="2D607DAC" w:rsidR="00F504A5" w:rsidRPr="00BD25E0" w:rsidRDefault="00F504A5" w:rsidP="00F504A5">
      <w:r>
        <w:t>In order to collect a sample for analysis</w:t>
      </w:r>
      <w:r w:rsidR="00C953FF">
        <w:t>,</w:t>
      </w:r>
      <w:r>
        <w:t xml:space="preserve"> it is necessary to cho</w:t>
      </w:r>
      <w:r w:rsidR="00186AC7">
        <w:t>o</w:t>
      </w:r>
      <w:r>
        <w:t xml:space="preserve">se one primary ancient text as the focus of </w:t>
      </w:r>
      <w:r w:rsidR="00BE5AC8">
        <w:t xml:space="preserve">the reviewed </w:t>
      </w:r>
      <w:r>
        <w:t>scholarship. The motivation for making said choice must be justified.</w:t>
      </w:r>
      <w:r w:rsidRPr="00F504A5">
        <w:t xml:space="preserve"> </w:t>
      </w:r>
      <w:r>
        <w:t xml:space="preserve">The reviewed work must in some way relate to Ovid’s </w:t>
      </w:r>
      <w:r>
        <w:rPr>
          <w:i/>
        </w:rPr>
        <w:t>Ars Amatoria</w:t>
      </w:r>
      <w:r>
        <w:t>, a choice made following the resurgence of Ovidian attention in scholarship and the nature of mixed reception to the work.</w:t>
      </w:r>
      <w:r>
        <w:rPr>
          <w:rStyle w:val="FootnoteReference"/>
        </w:rPr>
        <w:footnoteReference w:id="2"/>
      </w:r>
    </w:p>
    <w:p w14:paraId="6D8C7091" w14:textId="0A37B3BB" w:rsidR="003D2D77" w:rsidRPr="009B6EBD" w:rsidRDefault="00D46FF8">
      <w:r>
        <w:rPr>
          <w:i/>
        </w:rPr>
        <w:t>Ars Amatoria</w:t>
      </w:r>
      <w:r>
        <w:t xml:space="preserve"> as an </w:t>
      </w:r>
      <w:r w:rsidR="00EC020E">
        <w:t>ancient work</w:t>
      </w:r>
      <w:r w:rsidR="00EC020E" w:rsidRPr="00EC020E">
        <w:t xml:space="preserve"> </w:t>
      </w:r>
      <w:r>
        <w:t>has often found itself at the forefront of controversy</w:t>
      </w:r>
      <w:r w:rsidR="00D15F37">
        <w:t xml:space="preserve"> </w:t>
      </w:r>
      <w:r w:rsidR="00EC020E">
        <w:t>along with Ovid</w:t>
      </w:r>
      <w:r>
        <w:t xml:space="preserve"> </w:t>
      </w:r>
      <w:r w:rsidR="00D15F37">
        <w:t xml:space="preserve">himself, </w:t>
      </w:r>
      <w:r w:rsidR="00F235D4">
        <w:t xml:space="preserve">leading up to and following on from his </w:t>
      </w:r>
      <w:r w:rsidR="008E3DFC">
        <w:t>exile</w:t>
      </w:r>
      <w:r>
        <w:t>.</w:t>
      </w:r>
      <w:r>
        <w:rPr>
          <w:rStyle w:val="FootnoteReference"/>
        </w:rPr>
        <w:footnoteReference w:id="3"/>
      </w:r>
      <w:r>
        <w:t xml:space="preserve"> </w:t>
      </w:r>
      <w:r w:rsidR="00F235D4">
        <w:t>It has not always been afforded a great deal of scholarly attention as identified by Steven Green when he notes that it has, “suffered relative neglect”.</w:t>
      </w:r>
      <w:r w:rsidR="00F235D4">
        <w:rPr>
          <w:rStyle w:val="FootnoteReference"/>
        </w:rPr>
        <w:footnoteReference w:id="4"/>
      </w:r>
      <w:r w:rsidR="00F235D4">
        <w:t xml:space="preserve"> It is quite likely this stems from t</w:t>
      </w:r>
      <w:r w:rsidR="008E3DFC">
        <w:t>he text present</w:t>
      </w:r>
      <w:r w:rsidR="00F235D4">
        <w:t>ing</w:t>
      </w:r>
      <w:r w:rsidR="008E3DFC">
        <w:t xml:space="preserve"> itself as a guide to becoming, “skilled in love”</w:t>
      </w:r>
      <w:r w:rsidR="00F235D4">
        <w:t>.</w:t>
      </w:r>
      <w:r w:rsidR="00F235D4">
        <w:rPr>
          <w:rStyle w:val="FootnoteReference"/>
        </w:rPr>
        <w:footnoteReference w:id="5"/>
      </w:r>
      <w:r w:rsidR="00F235D4">
        <w:t xml:space="preserve"> Because of this it i</w:t>
      </w:r>
      <w:r w:rsidR="008E3DFC">
        <w:t>ncludes topics which have previously made audiences, particular</w:t>
      </w:r>
      <w:r w:rsidR="00186AC7">
        <w:t xml:space="preserve">ly </w:t>
      </w:r>
      <w:r w:rsidR="008E3DFC">
        <w:t>those that prioritise religious morality, uncomfortable or even embarrassed</w:t>
      </w:r>
      <w:r w:rsidR="00B069A2">
        <w:t>.</w:t>
      </w:r>
    </w:p>
    <w:p w14:paraId="1BD21FFB" w14:textId="64EB4DD9" w:rsidR="00C961C1" w:rsidRDefault="00443B6E">
      <w:r>
        <w:t>Starting with</w:t>
      </w:r>
      <w:r w:rsidR="00D46FF8">
        <w:t xml:space="preserve"> ancient disapproval and censorship</w:t>
      </w:r>
      <w:r w:rsidR="00D77CA6">
        <w:t>,</w:t>
      </w:r>
      <w:r w:rsidR="008E3DFC">
        <w:t xml:space="preserve"> the </w:t>
      </w:r>
      <w:r w:rsidR="008E3DFC">
        <w:rPr>
          <w:i/>
        </w:rPr>
        <w:t>Ars Amatoria</w:t>
      </w:r>
      <w:r w:rsidR="008E3DFC">
        <w:t xml:space="preserve"> has been subject to imposed changes and critiques solely based upon widespread societal values.</w:t>
      </w:r>
      <w:r w:rsidR="008E3DFC">
        <w:rPr>
          <w:rStyle w:val="FootnoteReference"/>
        </w:rPr>
        <w:footnoteReference w:id="6"/>
      </w:r>
      <w:r w:rsidR="008E3DFC">
        <w:t xml:space="preserve"> </w:t>
      </w:r>
      <w:r w:rsidR="00F44286">
        <w:t>R</w:t>
      </w:r>
      <w:r w:rsidR="008E3DFC">
        <w:t xml:space="preserve">eception of the text, and the desire to suppress aspects of it that </w:t>
      </w:r>
      <w:r w:rsidR="00490662">
        <w:t>were</w:t>
      </w:r>
      <w:r w:rsidR="008E3DFC">
        <w:t xml:space="preserve"> deemed unacceptable, continued during the renaissance </w:t>
      </w:r>
      <w:r w:rsidR="008E3DFC">
        <w:lastRenderedPageBreak/>
        <w:t>when careful translations included omissions, reductions and erasure</w:t>
      </w:r>
      <w:r w:rsidR="00490662">
        <w:t xml:space="preserve"> of the original text.</w:t>
      </w:r>
      <w:r>
        <w:rPr>
          <w:rStyle w:val="FootnoteReference"/>
        </w:rPr>
        <w:footnoteReference w:id="7"/>
      </w:r>
      <w:r w:rsidR="00AA0E3E">
        <w:t xml:space="preserve"> </w:t>
      </w:r>
      <w:r w:rsidR="00B069A2">
        <w:t xml:space="preserve">From the </w:t>
      </w:r>
      <w:r w:rsidR="00186AC7">
        <w:t>seventeenth</w:t>
      </w:r>
      <w:r w:rsidR="00B069A2">
        <w:t xml:space="preserve"> century onwards, the </w:t>
      </w:r>
      <w:r w:rsidR="00B069A2">
        <w:rPr>
          <w:i/>
        </w:rPr>
        <w:t xml:space="preserve">Ars Amatoria </w:t>
      </w:r>
      <w:r w:rsidR="00B069A2">
        <w:t>was labelled as an erotic and scandalous work</w:t>
      </w:r>
      <w:r w:rsidR="00186AC7">
        <w:t xml:space="preserve">. </w:t>
      </w:r>
      <w:r w:rsidR="006D45E2">
        <w:t>These l</w:t>
      </w:r>
      <w:r w:rsidR="00186AC7">
        <w:t>abels</w:t>
      </w:r>
      <w:r w:rsidR="00B069A2">
        <w:t xml:space="preserve"> then went on to be exploited in the twentieth century.</w:t>
      </w:r>
      <w:r w:rsidR="00B069A2">
        <w:rPr>
          <w:rStyle w:val="FootnoteReference"/>
        </w:rPr>
        <w:footnoteReference w:id="8"/>
      </w:r>
      <w:r w:rsidR="00B069A2">
        <w:t xml:space="preserve"> </w:t>
      </w:r>
      <w:r w:rsidR="00490662">
        <w:t xml:space="preserve">Even up to more recent years the reception of </w:t>
      </w:r>
      <w:r w:rsidR="00490662">
        <w:rPr>
          <w:i/>
        </w:rPr>
        <w:t xml:space="preserve">Ars Amatoria </w:t>
      </w:r>
      <w:r w:rsidR="00490662">
        <w:t>frequently considers it as, “not moral”.</w:t>
      </w:r>
      <w:r w:rsidR="00490662">
        <w:rPr>
          <w:rStyle w:val="FootnoteReference"/>
        </w:rPr>
        <w:footnoteReference w:id="9"/>
      </w:r>
      <w:r w:rsidR="00C961C1">
        <w:t xml:space="preserve"> </w:t>
      </w:r>
    </w:p>
    <w:p w14:paraId="5BF5F807" w14:textId="5BBDEDD4" w:rsidR="00C961C1" w:rsidRPr="00384C58" w:rsidRDefault="00C961C1">
      <w:pPr>
        <w:rPr>
          <w:rFonts w:cstheme="minorHAnsi"/>
          <w:szCs w:val="20"/>
          <w:shd w:val="clear" w:color="auto" w:fill="FFFFFF"/>
        </w:rPr>
      </w:pPr>
      <w:r>
        <w:t xml:space="preserve">Despite reservations regarding the subject of the </w:t>
      </w:r>
      <w:r>
        <w:rPr>
          <w:i/>
        </w:rPr>
        <w:t>Ars Amatoria</w:t>
      </w:r>
      <w:r w:rsidR="00EE3241">
        <w:rPr>
          <w:i/>
        </w:rPr>
        <w:t>,</w:t>
      </w:r>
      <w:r>
        <w:t xml:space="preserve"> scholars have still been </w:t>
      </w:r>
      <w:r w:rsidR="00F235D4">
        <w:t>able to appreciate it as a significant and valuable contribution to ancient literary genius.</w:t>
      </w:r>
      <w:r w:rsidR="004A7439">
        <w:t xml:space="preserve"> When identified as an intentional parody of the didactic genre</w:t>
      </w:r>
      <w:r w:rsidR="005D1593">
        <w:t>,</w:t>
      </w:r>
      <w:r w:rsidR="004A7439">
        <w:t xml:space="preserve"> the work was limited to being read as a form of literary experimentation and divertissement</w:t>
      </w:r>
      <w:r w:rsidR="005D1593">
        <w:t>,</w:t>
      </w:r>
      <w:r w:rsidR="004A7439">
        <w:t xml:space="preserve"> which served only to show Ovid’s humour.</w:t>
      </w:r>
      <w:r w:rsidR="004A7439">
        <w:rPr>
          <w:rStyle w:val="FootnoteReference"/>
        </w:rPr>
        <w:footnoteReference w:id="10"/>
      </w:r>
      <w:r w:rsidR="004A7439">
        <w:t xml:space="preserve"> However this perception changed rather rapidly during the 1970’s when scholars began to investigate a potentially deeper meaning hidden </w:t>
      </w:r>
      <w:r w:rsidR="005D50E9">
        <w:t>within. The idea that the poems used humour as a method of conveying a subtle commentary on Roman principles, restrictions and constraint surrounding love and relationships under the Augustan regime, began to form.</w:t>
      </w:r>
      <w:r w:rsidR="005D50E9">
        <w:rPr>
          <w:rStyle w:val="FootnoteReference"/>
        </w:rPr>
        <w:footnoteReference w:id="11"/>
      </w:r>
      <w:r w:rsidR="005D50E9">
        <w:t xml:space="preserve"> This argument was supported and strengthened by a number of scholarly </w:t>
      </w:r>
      <w:r w:rsidR="005D50E9" w:rsidRPr="00384C58">
        <w:t>works which attempted to uncover the potentially political aims of Ovid. Examples of such works include</w:t>
      </w:r>
      <w:r w:rsidR="00D3357E" w:rsidRPr="00384C58">
        <w:t>, ‘</w:t>
      </w:r>
      <w:r w:rsidR="00D3357E" w:rsidRPr="00ED5FBB">
        <w:rPr>
          <w:i/>
        </w:rPr>
        <w:t xml:space="preserve">Omnia </w:t>
      </w:r>
      <w:proofErr w:type="spellStart"/>
      <w:r w:rsidR="00D3357E" w:rsidRPr="00ED5FBB">
        <w:rPr>
          <w:i/>
        </w:rPr>
        <w:t>vincit</w:t>
      </w:r>
      <w:proofErr w:type="spellEnd"/>
      <w:r w:rsidR="00D3357E" w:rsidRPr="00ED5FBB">
        <w:rPr>
          <w:i/>
        </w:rPr>
        <w:t xml:space="preserve"> </w:t>
      </w:r>
      <w:proofErr w:type="spellStart"/>
      <w:r w:rsidR="00D3357E" w:rsidRPr="00ED5FBB">
        <w:rPr>
          <w:i/>
        </w:rPr>
        <w:t>amor</w:t>
      </w:r>
      <w:proofErr w:type="spellEnd"/>
      <w:r w:rsidR="00D3357E" w:rsidRPr="00ED5FBB">
        <w:rPr>
          <w:i/>
        </w:rPr>
        <w:t>. Incongruity and the limitations of structure in Ovid’s elegiac poetry</w:t>
      </w:r>
      <w:r w:rsidR="00D3357E" w:rsidRPr="00384C58">
        <w:t>’,</w:t>
      </w:r>
      <w:r w:rsidR="00D3357E" w:rsidRPr="00384C58">
        <w:rPr>
          <w:rStyle w:val="FootnoteReference"/>
        </w:rPr>
        <w:footnoteReference w:id="12"/>
      </w:r>
      <w:r w:rsidR="00D3357E" w:rsidRPr="00384C58">
        <w:t xml:space="preserve"> and, </w:t>
      </w:r>
      <w:r w:rsidR="00D3357E" w:rsidRPr="00384C58">
        <w:rPr>
          <w:rFonts w:cstheme="minorHAnsi"/>
          <w:szCs w:val="20"/>
        </w:rPr>
        <w:t>‘</w:t>
      </w:r>
      <w:r w:rsidR="00D3357E" w:rsidRPr="00ED5FBB">
        <w:rPr>
          <w:rFonts w:cstheme="minorHAnsi"/>
          <w:i/>
          <w:szCs w:val="20"/>
          <w:shd w:val="clear" w:color="auto" w:fill="FFFFFF"/>
        </w:rPr>
        <w:t>Ovid's Ars Amatoria. The lover as cultural ideal’</w:t>
      </w:r>
      <w:r w:rsidR="00D3357E" w:rsidRPr="00384C58">
        <w:rPr>
          <w:rFonts w:cstheme="minorHAnsi"/>
          <w:szCs w:val="20"/>
          <w:shd w:val="clear" w:color="auto" w:fill="FFFFFF"/>
        </w:rPr>
        <w:t>.</w:t>
      </w:r>
      <w:r w:rsidR="00D3357E" w:rsidRPr="00384C58">
        <w:rPr>
          <w:rStyle w:val="FootnoteReference"/>
          <w:rFonts w:cstheme="minorHAnsi"/>
          <w:szCs w:val="20"/>
          <w:shd w:val="clear" w:color="auto" w:fill="FFFFFF"/>
        </w:rPr>
        <w:footnoteReference w:id="13"/>
      </w:r>
    </w:p>
    <w:p w14:paraId="0A575F19" w14:textId="2637956D" w:rsidR="00DD62F9" w:rsidRDefault="00057F71">
      <w:pPr>
        <w:rPr>
          <w:rFonts w:cstheme="minorHAnsi"/>
          <w:szCs w:val="20"/>
          <w:shd w:val="clear" w:color="auto" w:fill="FFFFFF"/>
        </w:rPr>
      </w:pPr>
      <w:r w:rsidRPr="00384C58">
        <w:rPr>
          <w:rFonts w:cstheme="minorHAnsi"/>
          <w:szCs w:val="20"/>
          <w:shd w:val="clear" w:color="auto" w:fill="FFFFFF"/>
        </w:rPr>
        <w:t xml:space="preserve">It is clear to see then that the </w:t>
      </w:r>
      <w:r w:rsidRPr="00384C58">
        <w:rPr>
          <w:rFonts w:cstheme="minorHAnsi"/>
          <w:i/>
          <w:szCs w:val="20"/>
          <w:shd w:val="clear" w:color="auto" w:fill="FFFFFF"/>
        </w:rPr>
        <w:t xml:space="preserve">Ars Amatoria </w:t>
      </w:r>
      <w:r w:rsidRPr="00384C58">
        <w:rPr>
          <w:rFonts w:cstheme="minorHAnsi"/>
          <w:szCs w:val="20"/>
          <w:shd w:val="clear" w:color="auto" w:fill="FFFFFF"/>
        </w:rPr>
        <w:t>has always been a difficult text for scholars to approach. Reception of the work has</w:t>
      </w:r>
      <w:r w:rsidR="00160FBA">
        <w:rPr>
          <w:rFonts w:cstheme="minorHAnsi"/>
          <w:szCs w:val="20"/>
          <w:shd w:val="clear" w:color="auto" w:fill="FFFFFF"/>
        </w:rPr>
        <w:t xml:space="preserve"> therefore</w:t>
      </w:r>
      <w:r w:rsidRPr="00384C58">
        <w:rPr>
          <w:rFonts w:cstheme="minorHAnsi"/>
          <w:szCs w:val="20"/>
          <w:shd w:val="clear" w:color="auto" w:fill="FFFFFF"/>
        </w:rPr>
        <w:t xml:space="preserve"> been in a continuous state of variability. </w:t>
      </w:r>
      <w:r w:rsidR="003D2D77" w:rsidRPr="00384C58">
        <w:rPr>
          <w:rFonts w:cstheme="minorHAnsi"/>
          <w:szCs w:val="20"/>
          <w:shd w:val="clear" w:color="auto" w:fill="FFFFFF"/>
        </w:rPr>
        <w:t xml:space="preserve">How the text has been interpreted has drastically </w:t>
      </w:r>
      <w:r w:rsidR="00D06522" w:rsidRPr="00384C58">
        <w:rPr>
          <w:rFonts w:cstheme="minorHAnsi"/>
          <w:szCs w:val="20"/>
          <w:shd w:val="clear" w:color="auto" w:fill="FFFFFF"/>
        </w:rPr>
        <w:t>undergone much</w:t>
      </w:r>
      <w:r w:rsidR="003D2D77" w:rsidRPr="00384C58">
        <w:rPr>
          <w:rFonts w:cstheme="minorHAnsi"/>
          <w:szCs w:val="20"/>
          <w:shd w:val="clear" w:color="auto" w:fill="FFFFFF"/>
        </w:rPr>
        <w:t xml:space="preserve"> reconstruct</w:t>
      </w:r>
      <w:r w:rsidR="008059C6">
        <w:rPr>
          <w:rFonts w:cstheme="minorHAnsi"/>
          <w:szCs w:val="20"/>
          <w:shd w:val="clear" w:color="auto" w:fill="FFFFFF"/>
        </w:rPr>
        <w:t>ion,</w:t>
      </w:r>
      <w:r w:rsidR="003D2D77" w:rsidRPr="00384C58">
        <w:rPr>
          <w:rFonts w:cstheme="minorHAnsi"/>
          <w:szCs w:val="20"/>
          <w:shd w:val="clear" w:color="auto" w:fill="FFFFFF"/>
        </w:rPr>
        <w:t xml:space="preserve"> over a rather </w:t>
      </w:r>
      <w:r w:rsidR="00384C58">
        <w:rPr>
          <w:rFonts w:cstheme="minorHAnsi"/>
          <w:szCs w:val="20"/>
          <w:shd w:val="clear" w:color="auto" w:fill="FFFFFF"/>
        </w:rPr>
        <w:t>extended</w:t>
      </w:r>
      <w:r w:rsidR="003D2D77" w:rsidRPr="00384C58">
        <w:rPr>
          <w:rFonts w:cstheme="minorHAnsi"/>
          <w:szCs w:val="20"/>
          <w:shd w:val="clear" w:color="auto" w:fill="FFFFFF"/>
        </w:rPr>
        <w:t xml:space="preserve"> span of time</w:t>
      </w:r>
      <w:r w:rsidR="008059C6">
        <w:rPr>
          <w:rFonts w:cstheme="minorHAnsi"/>
          <w:szCs w:val="20"/>
          <w:shd w:val="clear" w:color="auto" w:fill="FFFFFF"/>
        </w:rPr>
        <w:t>,</w:t>
      </w:r>
      <w:r w:rsidR="003D2D77" w:rsidRPr="00384C58">
        <w:rPr>
          <w:rFonts w:cstheme="minorHAnsi"/>
          <w:szCs w:val="20"/>
          <w:shd w:val="clear" w:color="auto" w:fill="FFFFFF"/>
        </w:rPr>
        <w:t xml:space="preserve"> repeatedly.  Whilst initially it was seen as a morally depraved work that is no longer the case. Not only has the meaning of the text undergone gradual alter</w:t>
      </w:r>
      <w:r w:rsidR="001D6D80">
        <w:rPr>
          <w:rFonts w:cstheme="minorHAnsi"/>
          <w:szCs w:val="20"/>
          <w:shd w:val="clear" w:color="auto" w:fill="FFFFFF"/>
        </w:rPr>
        <w:t>ation</w:t>
      </w:r>
      <w:r w:rsidR="003D2D77" w:rsidRPr="00384C58">
        <w:rPr>
          <w:rFonts w:cstheme="minorHAnsi"/>
          <w:szCs w:val="20"/>
          <w:shd w:val="clear" w:color="auto" w:fill="FFFFFF"/>
        </w:rPr>
        <w:t xml:space="preserve"> but also the appreciation and apparent worthiness of it. Even in the last few decades scholars have argued the text is to be</w:t>
      </w:r>
      <w:r w:rsidRPr="00384C58">
        <w:rPr>
          <w:rFonts w:cstheme="minorHAnsi"/>
          <w:szCs w:val="20"/>
          <w:shd w:val="clear" w:color="auto" w:fill="FFFFFF"/>
        </w:rPr>
        <w:t xml:space="preserve"> seen as a comedic </w:t>
      </w:r>
      <w:r w:rsidR="003D2D77" w:rsidRPr="00384C58">
        <w:rPr>
          <w:rFonts w:cstheme="minorHAnsi"/>
          <w:szCs w:val="20"/>
          <w:shd w:val="clear" w:color="auto" w:fill="FFFFFF"/>
        </w:rPr>
        <w:t xml:space="preserve">and clever parody, deeply meaningful social commentary </w:t>
      </w:r>
      <w:r w:rsidR="005116AE">
        <w:rPr>
          <w:rFonts w:cstheme="minorHAnsi"/>
          <w:szCs w:val="20"/>
          <w:shd w:val="clear" w:color="auto" w:fill="FFFFFF"/>
        </w:rPr>
        <w:t xml:space="preserve">regarding Republican Rome </w:t>
      </w:r>
      <w:r w:rsidR="003D2D77" w:rsidRPr="00384C58">
        <w:rPr>
          <w:rFonts w:cstheme="minorHAnsi"/>
          <w:szCs w:val="20"/>
          <w:shd w:val="clear" w:color="auto" w:fill="FFFFFF"/>
        </w:rPr>
        <w:t>and</w:t>
      </w:r>
      <w:r w:rsidR="001966DE">
        <w:rPr>
          <w:rFonts w:cstheme="minorHAnsi"/>
          <w:szCs w:val="20"/>
          <w:shd w:val="clear" w:color="auto" w:fill="FFFFFF"/>
        </w:rPr>
        <w:t xml:space="preserve"> most recently as a way to navigate, “traditional notions of gender”.</w:t>
      </w:r>
      <w:r w:rsidR="001966DE">
        <w:rPr>
          <w:rStyle w:val="FootnoteReference"/>
          <w:rFonts w:cstheme="minorHAnsi"/>
          <w:szCs w:val="20"/>
          <w:shd w:val="clear" w:color="auto" w:fill="FFFFFF"/>
        </w:rPr>
        <w:footnoteReference w:id="14"/>
      </w:r>
    </w:p>
    <w:p w14:paraId="56BE9B58" w14:textId="4CA8B826" w:rsidR="00DD62F9" w:rsidRDefault="00DD62F9">
      <w:pPr>
        <w:rPr>
          <w:rFonts w:cstheme="minorHAnsi"/>
          <w:szCs w:val="20"/>
          <w:shd w:val="clear" w:color="auto" w:fill="FFFFFF"/>
        </w:rPr>
      </w:pPr>
      <w:r>
        <w:rPr>
          <w:rFonts w:cstheme="minorHAnsi"/>
          <w:szCs w:val="20"/>
          <w:shd w:val="clear" w:color="auto" w:fill="FFFFFF"/>
        </w:rPr>
        <w:t xml:space="preserve">Already it is evident that the way in which scholars practice and engage in academic writing is hugely influenced by the time period, societal values and prior approaches alike. By using the </w:t>
      </w:r>
      <w:r>
        <w:rPr>
          <w:rFonts w:cstheme="minorHAnsi"/>
          <w:i/>
          <w:szCs w:val="20"/>
          <w:shd w:val="clear" w:color="auto" w:fill="FFFFFF"/>
        </w:rPr>
        <w:t xml:space="preserve">Ars Amatoria </w:t>
      </w:r>
      <w:r>
        <w:rPr>
          <w:rFonts w:cstheme="minorHAnsi"/>
          <w:szCs w:val="20"/>
          <w:shd w:val="clear" w:color="auto" w:fill="FFFFFF"/>
        </w:rPr>
        <w:t xml:space="preserve">as the central focus for the reviews to be included in the sample analysis it is likely further examples of subjectivity and external </w:t>
      </w:r>
      <w:r w:rsidR="00A05212">
        <w:rPr>
          <w:rFonts w:cstheme="minorHAnsi"/>
          <w:szCs w:val="20"/>
          <w:shd w:val="clear" w:color="auto" w:fill="FFFFFF"/>
        </w:rPr>
        <w:t xml:space="preserve">factors </w:t>
      </w:r>
      <w:r>
        <w:rPr>
          <w:rFonts w:cstheme="minorHAnsi"/>
          <w:szCs w:val="20"/>
          <w:shd w:val="clear" w:color="auto" w:fill="FFFFFF"/>
        </w:rPr>
        <w:t xml:space="preserve">will be discovered. </w:t>
      </w:r>
      <w:r w:rsidR="004D74DE">
        <w:rPr>
          <w:rFonts w:cstheme="minorHAnsi"/>
          <w:szCs w:val="20"/>
          <w:shd w:val="clear" w:color="auto" w:fill="FFFFFF"/>
        </w:rPr>
        <w:t xml:space="preserve">It is worth noting here that the very nature of this selection is in itself bias as it increases the likelihood of a desired and complimentary outcome. </w:t>
      </w:r>
    </w:p>
    <w:p w14:paraId="1CF778CB" w14:textId="44B7F1A8" w:rsidR="004D74DE" w:rsidRDefault="004D74DE">
      <w:pPr>
        <w:rPr>
          <w:rFonts w:cstheme="minorHAnsi"/>
          <w:szCs w:val="20"/>
          <w:shd w:val="clear" w:color="auto" w:fill="FFFFFF"/>
        </w:rPr>
      </w:pPr>
    </w:p>
    <w:p w14:paraId="5FBE9A50" w14:textId="1DC089A8" w:rsidR="006A0EF0" w:rsidRPr="006A0EF0" w:rsidRDefault="006A0EF0">
      <w:pPr>
        <w:rPr>
          <w:rFonts w:cstheme="minorHAnsi"/>
          <w:sz w:val="24"/>
          <w:szCs w:val="20"/>
          <w:u w:val="single"/>
          <w:shd w:val="clear" w:color="auto" w:fill="FFFFFF"/>
        </w:rPr>
      </w:pPr>
      <w:r w:rsidRPr="006A0EF0">
        <w:rPr>
          <w:rFonts w:cstheme="minorHAnsi"/>
          <w:sz w:val="24"/>
          <w:szCs w:val="20"/>
          <w:u w:val="single"/>
          <w:shd w:val="clear" w:color="auto" w:fill="FFFFFF"/>
        </w:rPr>
        <w:t xml:space="preserve">Part Two: Sample </w:t>
      </w:r>
      <w:r w:rsidR="00872AD8">
        <w:rPr>
          <w:rFonts w:cstheme="minorHAnsi"/>
          <w:sz w:val="24"/>
          <w:szCs w:val="20"/>
          <w:u w:val="single"/>
          <w:shd w:val="clear" w:color="auto" w:fill="FFFFFF"/>
        </w:rPr>
        <w:t xml:space="preserve">Justification and </w:t>
      </w:r>
      <w:r w:rsidR="00590EF2">
        <w:rPr>
          <w:rFonts w:cstheme="minorHAnsi"/>
          <w:sz w:val="24"/>
          <w:szCs w:val="20"/>
          <w:u w:val="single"/>
          <w:shd w:val="clear" w:color="auto" w:fill="FFFFFF"/>
        </w:rPr>
        <w:t>Criteria</w:t>
      </w:r>
      <w:r>
        <w:rPr>
          <w:rFonts w:cstheme="minorHAnsi"/>
          <w:sz w:val="24"/>
          <w:szCs w:val="20"/>
          <w:u w:val="single"/>
          <w:shd w:val="clear" w:color="auto" w:fill="FFFFFF"/>
        </w:rPr>
        <w:t>:</w:t>
      </w:r>
    </w:p>
    <w:p w14:paraId="40FF65D6" w14:textId="20F29E28" w:rsidR="00C23AA1" w:rsidRDefault="00C23AA1" w:rsidP="00C23AA1">
      <w:pPr>
        <w:rPr>
          <w:rFonts w:cstheme="minorHAnsi"/>
          <w:szCs w:val="20"/>
          <w:shd w:val="clear" w:color="auto" w:fill="FFFFFF"/>
        </w:rPr>
      </w:pPr>
      <w:r>
        <w:rPr>
          <w:rFonts w:cstheme="minorHAnsi"/>
          <w:szCs w:val="20"/>
          <w:shd w:val="clear" w:color="auto" w:fill="FFFFFF"/>
        </w:rPr>
        <w:t>It is essential to justify the choice of using reviews to identify what potentially impacts scholarly interpretations. Reviews offer a unique opportunity to investigate the response of specific scholars</w:t>
      </w:r>
      <w:r w:rsidRPr="00C23AA1">
        <w:rPr>
          <w:rFonts w:cstheme="minorHAnsi"/>
          <w:szCs w:val="20"/>
          <w:shd w:val="clear" w:color="auto" w:fill="FFFFFF"/>
        </w:rPr>
        <w:t xml:space="preserve"> </w:t>
      </w:r>
      <w:r>
        <w:rPr>
          <w:rFonts w:cstheme="minorHAnsi"/>
          <w:szCs w:val="20"/>
          <w:shd w:val="clear" w:color="auto" w:fill="FFFFFF"/>
        </w:rPr>
        <w:t xml:space="preserve">to scholarship and their personal perspective’s. Often times reviews are written in the first person and can be littered with opinions and comments that might be missing from traditional scholarly debate. Reviews, such as those included in the sample, prefer to give short overviews, quick critiques and general recommendations. This is preferable to arguments written in long and complicated journal format for the purposes of this analysis due to the concise and direct manner in </w:t>
      </w:r>
      <w:r>
        <w:rPr>
          <w:rFonts w:cstheme="minorHAnsi"/>
          <w:szCs w:val="20"/>
          <w:shd w:val="clear" w:color="auto" w:fill="FFFFFF"/>
        </w:rPr>
        <w:lastRenderedPageBreak/>
        <w:t xml:space="preserve">which opinions are expressed. Thus, they can be extremely useful as a tool for gathering a general idea of the opinions and approaches that are accepted at the time of publication. At the same time reviews can also show that which has been rejected by majority scholarship. Therefore, providing a well-rounded overview of discussions within scholarship at the time of publication. Compiling reviews shows trends in acceptance and rejection of ideas which can be used to identify the changing of influences between certain time periods. </w:t>
      </w:r>
    </w:p>
    <w:p w14:paraId="61BE29C7" w14:textId="30F7AF93" w:rsidR="00FE2DE7" w:rsidRDefault="00FE2DE7">
      <w:pPr>
        <w:rPr>
          <w:rFonts w:cstheme="minorHAnsi"/>
          <w:szCs w:val="20"/>
          <w:shd w:val="clear" w:color="auto" w:fill="FFFFFF"/>
        </w:rPr>
      </w:pPr>
      <w:r>
        <w:rPr>
          <w:rFonts w:cstheme="minorHAnsi"/>
          <w:szCs w:val="20"/>
          <w:shd w:val="clear" w:color="auto" w:fill="FFFFFF"/>
        </w:rPr>
        <w:t>Before the analysis can take place, it is necessary to outline the critical inclusion and exclusion criteria established for making the sample selection. In order to be included in the sample of scholarship the work must be</w:t>
      </w:r>
      <w:r w:rsidRPr="00B83151">
        <w:rPr>
          <w:rFonts w:cstheme="minorHAnsi"/>
          <w:szCs w:val="20"/>
          <w:shd w:val="clear" w:color="auto" w:fill="FFFFFF"/>
        </w:rPr>
        <w:t xml:space="preserve"> </w:t>
      </w:r>
      <w:r>
        <w:rPr>
          <w:rFonts w:cstheme="minorHAnsi"/>
          <w:szCs w:val="20"/>
          <w:shd w:val="clear" w:color="auto" w:fill="FFFFFF"/>
        </w:rPr>
        <w:t>written in English</w:t>
      </w:r>
      <w:r w:rsidR="00947A77">
        <w:rPr>
          <w:rFonts w:cstheme="minorHAnsi"/>
          <w:szCs w:val="20"/>
          <w:shd w:val="clear" w:color="auto" w:fill="FFFFFF"/>
        </w:rPr>
        <w:t>,</w:t>
      </w:r>
      <w:r>
        <w:rPr>
          <w:rFonts w:cstheme="minorHAnsi"/>
          <w:szCs w:val="20"/>
          <w:shd w:val="clear" w:color="auto" w:fill="FFFFFF"/>
        </w:rPr>
        <w:t xml:space="preserve"> or translated to English</w:t>
      </w:r>
      <w:r w:rsidR="00947A77">
        <w:rPr>
          <w:rFonts w:cstheme="minorHAnsi"/>
          <w:szCs w:val="20"/>
          <w:shd w:val="clear" w:color="auto" w:fill="FFFFFF"/>
        </w:rPr>
        <w:t>,</w:t>
      </w:r>
      <w:r>
        <w:rPr>
          <w:rFonts w:cstheme="minorHAnsi"/>
          <w:szCs w:val="20"/>
          <w:shd w:val="clear" w:color="auto" w:fill="FFFFFF"/>
        </w:rPr>
        <w:t xml:space="preserve"> to allow full access without language barriers as a non-multilingual researcher. It must also be written in the genre of a review, which was justified previously. To keep the sample focused on the specific topic outlined, as well as to maintain a level of manageability, it must be under two thousand words and published between 1990 to present (2019). To make certain that all of the reviews included are verified, academic and peer-reviewed</w:t>
      </w:r>
      <w:r w:rsidR="00947A77">
        <w:rPr>
          <w:rFonts w:cstheme="minorHAnsi"/>
          <w:szCs w:val="20"/>
          <w:shd w:val="clear" w:color="auto" w:fill="FFFFFF"/>
        </w:rPr>
        <w:t>,</w:t>
      </w:r>
      <w:r>
        <w:rPr>
          <w:rFonts w:cstheme="minorHAnsi"/>
          <w:szCs w:val="20"/>
          <w:shd w:val="clear" w:color="auto" w:fill="FFFFFF"/>
        </w:rPr>
        <w:t xml:space="preserve"> as well as easily accessible</w:t>
      </w:r>
      <w:r w:rsidR="00947A77">
        <w:rPr>
          <w:rFonts w:cstheme="minorHAnsi"/>
          <w:szCs w:val="20"/>
          <w:shd w:val="clear" w:color="auto" w:fill="FFFFFF"/>
        </w:rPr>
        <w:t>,</w:t>
      </w:r>
      <w:r>
        <w:rPr>
          <w:rFonts w:cstheme="minorHAnsi"/>
          <w:szCs w:val="20"/>
          <w:shd w:val="clear" w:color="auto" w:fill="FFFFFF"/>
        </w:rPr>
        <w:t xml:space="preserve"> they must have been published online to Bryn </w:t>
      </w:r>
      <w:proofErr w:type="spellStart"/>
      <w:r>
        <w:rPr>
          <w:rFonts w:cstheme="minorHAnsi"/>
          <w:szCs w:val="20"/>
          <w:shd w:val="clear" w:color="auto" w:fill="FFFFFF"/>
        </w:rPr>
        <w:t>Mawr</w:t>
      </w:r>
      <w:proofErr w:type="spellEnd"/>
      <w:r>
        <w:rPr>
          <w:rFonts w:cstheme="minorHAnsi"/>
          <w:szCs w:val="20"/>
          <w:shd w:val="clear" w:color="auto" w:fill="FFFFFF"/>
        </w:rPr>
        <w:t xml:space="preserve"> Classical Review.</w:t>
      </w:r>
    </w:p>
    <w:p w14:paraId="2FE1965C" w14:textId="2917687B" w:rsidR="00FE2DE7" w:rsidRDefault="00872AD8">
      <w:pPr>
        <w:rPr>
          <w:rFonts w:cstheme="minorHAnsi"/>
          <w:szCs w:val="20"/>
          <w:shd w:val="clear" w:color="auto" w:fill="FFFFFF"/>
        </w:rPr>
      </w:pPr>
      <w:r>
        <w:rPr>
          <w:rFonts w:cstheme="minorHAnsi"/>
          <w:szCs w:val="20"/>
          <w:shd w:val="clear" w:color="auto" w:fill="FFFFFF"/>
        </w:rPr>
        <w:t xml:space="preserve">In the interest of transparency, it is prudent to supply an overview of the sample collected as a result of this criteria. </w:t>
      </w:r>
      <w:r w:rsidR="00F167F5">
        <w:rPr>
          <w:rFonts w:cstheme="minorHAnsi"/>
          <w:szCs w:val="20"/>
          <w:shd w:val="clear" w:color="auto" w:fill="FFFFFF"/>
        </w:rPr>
        <w:t>The total number of reviews included in the sample is thirteen. Of this</w:t>
      </w:r>
      <w:r w:rsidR="00947A77">
        <w:rPr>
          <w:rFonts w:cstheme="minorHAnsi"/>
          <w:szCs w:val="20"/>
          <w:shd w:val="clear" w:color="auto" w:fill="FFFFFF"/>
        </w:rPr>
        <w:t>,</w:t>
      </w:r>
      <w:r w:rsidR="00F167F5">
        <w:rPr>
          <w:rFonts w:cstheme="minorHAnsi"/>
          <w:szCs w:val="20"/>
          <w:shd w:val="clear" w:color="auto" w:fill="FFFFFF"/>
        </w:rPr>
        <w:t xml:space="preserve"> eight are reviews authored by males, five by females. </w:t>
      </w:r>
      <w:r w:rsidR="005F1A3D">
        <w:rPr>
          <w:rFonts w:cstheme="minorHAnsi"/>
          <w:szCs w:val="20"/>
          <w:shd w:val="clear" w:color="auto" w:fill="FFFFFF"/>
        </w:rPr>
        <w:t xml:space="preserve">The majority of the sample comes from </w:t>
      </w:r>
      <w:r w:rsidR="00F167F5">
        <w:rPr>
          <w:rFonts w:cstheme="minorHAnsi"/>
          <w:szCs w:val="20"/>
          <w:shd w:val="clear" w:color="auto" w:fill="FFFFFF"/>
        </w:rPr>
        <w:t>scholars based and published in the United States of America adding to a total of eight. Two were written and published by U</w:t>
      </w:r>
      <w:r w:rsidR="001D6D80">
        <w:rPr>
          <w:rFonts w:cstheme="minorHAnsi"/>
          <w:szCs w:val="20"/>
          <w:shd w:val="clear" w:color="auto" w:fill="FFFFFF"/>
        </w:rPr>
        <w:t xml:space="preserve">nited Kingdom </w:t>
      </w:r>
      <w:r w:rsidR="00F167F5">
        <w:rPr>
          <w:rFonts w:cstheme="minorHAnsi"/>
          <w:szCs w:val="20"/>
          <w:shd w:val="clear" w:color="auto" w:fill="FFFFFF"/>
        </w:rPr>
        <w:t>based author</w:t>
      </w:r>
      <w:r w:rsidR="001D6D80">
        <w:rPr>
          <w:rFonts w:cstheme="minorHAnsi"/>
          <w:szCs w:val="20"/>
          <w:shd w:val="clear" w:color="auto" w:fill="FFFFFF"/>
        </w:rPr>
        <w:t>’</w:t>
      </w:r>
      <w:r w:rsidR="00F167F5">
        <w:rPr>
          <w:rFonts w:cstheme="minorHAnsi"/>
          <w:szCs w:val="20"/>
          <w:shd w:val="clear" w:color="auto" w:fill="FFFFFF"/>
        </w:rPr>
        <w:t>s, two by author</w:t>
      </w:r>
      <w:r w:rsidR="001D6D80">
        <w:rPr>
          <w:rFonts w:cstheme="minorHAnsi"/>
          <w:szCs w:val="20"/>
          <w:shd w:val="clear" w:color="auto" w:fill="FFFFFF"/>
        </w:rPr>
        <w:t>’</w:t>
      </w:r>
      <w:r w:rsidR="00F167F5">
        <w:rPr>
          <w:rFonts w:cstheme="minorHAnsi"/>
          <w:szCs w:val="20"/>
          <w:shd w:val="clear" w:color="auto" w:fill="FFFFFF"/>
        </w:rPr>
        <w:t xml:space="preserve">s based in central Europe and one published in Australia. The location of the publisher was admittedly and regretfully limited by the need for the review to be written in English. </w:t>
      </w:r>
    </w:p>
    <w:p w14:paraId="5235CBD5" w14:textId="185B19F9" w:rsidR="00872AD8" w:rsidRDefault="003D7696">
      <w:pPr>
        <w:rPr>
          <w:rFonts w:cstheme="minorHAnsi"/>
          <w:szCs w:val="20"/>
          <w:shd w:val="clear" w:color="auto" w:fill="FFFFFF"/>
        </w:rPr>
      </w:pPr>
      <w:r>
        <w:rPr>
          <w:rFonts w:cstheme="minorHAnsi"/>
          <w:szCs w:val="20"/>
          <w:shd w:val="clear" w:color="auto" w:fill="FFFFFF"/>
        </w:rPr>
        <w:t xml:space="preserve">The works reviewed by said sample include </w:t>
      </w:r>
      <w:r w:rsidR="00872AD8">
        <w:rPr>
          <w:rFonts w:cstheme="minorHAnsi"/>
          <w:szCs w:val="20"/>
          <w:shd w:val="clear" w:color="auto" w:fill="FFFFFF"/>
        </w:rPr>
        <w:t>five by male author</w:t>
      </w:r>
      <w:r w:rsidR="001D6D80">
        <w:rPr>
          <w:rFonts w:cstheme="minorHAnsi"/>
          <w:szCs w:val="20"/>
          <w:shd w:val="clear" w:color="auto" w:fill="FFFFFF"/>
        </w:rPr>
        <w:t>’</w:t>
      </w:r>
      <w:r w:rsidR="00872AD8">
        <w:rPr>
          <w:rFonts w:cstheme="minorHAnsi"/>
          <w:szCs w:val="20"/>
          <w:shd w:val="clear" w:color="auto" w:fill="FFFFFF"/>
        </w:rPr>
        <w:t xml:space="preserve">s and eight by female, three published in the </w:t>
      </w:r>
      <w:r w:rsidR="001D6D80">
        <w:rPr>
          <w:rFonts w:cstheme="minorHAnsi"/>
          <w:szCs w:val="20"/>
          <w:shd w:val="clear" w:color="auto" w:fill="FFFFFF"/>
        </w:rPr>
        <w:t>USA</w:t>
      </w:r>
      <w:r w:rsidR="00872AD8">
        <w:rPr>
          <w:rFonts w:cstheme="minorHAnsi"/>
          <w:szCs w:val="20"/>
          <w:shd w:val="clear" w:color="auto" w:fill="FFFFFF"/>
        </w:rPr>
        <w:t>, six in the UK, one in Australia and three in central Europe.</w:t>
      </w:r>
      <w:r w:rsidR="00575A14">
        <w:rPr>
          <w:rFonts w:cstheme="minorHAnsi"/>
          <w:szCs w:val="20"/>
          <w:shd w:val="clear" w:color="auto" w:fill="FFFFFF"/>
        </w:rPr>
        <w:t xml:space="preserve"> Out of the thirteen works reviewed four were published by Oxford and Cambridge collectively</w:t>
      </w:r>
      <w:r w:rsidR="007D145E">
        <w:rPr>
          <w:rFonts w:cstheme="minorHAnsi"/>
          <w:szCs w:val="20"/>
          <w:shd w:val="clear" w:color="auto" w:fill="FFFFFF"/>
        </w:rPr>
        <w:t>,</w:t>
      </w:r>
      <w:r w:rsidR="00575A14">
        <w:rPr>
          <w:rFonts w:cstheme="minorHAnsi"/>
          <w:szCs w:val="20"/>
          <w:shd w:val="clear" w:color="auto" w:fill="FFFFFF"/>
        </w:rPr>
        <w:t xml:space="preserve"> whereas none of the reviews themselves were published by either institution. </w:t>
      </w:r>
    </w:p>
    <w:p w14:paraId="674724D1" w14:textId="77777777" w:rsidR="003C46BE" w:rsidRDefault="003C46BE">
      <w:pPr>
        <w:rPr>
          <w:rFonts w:cstheme="minorHAnsi"/>
          <w:szCs w:val="20"/>
          <w:shd w:val="clear" w:color="auto" w:fill="FFFFFF"/>
        </w:rPr>
      </w:pPr>
    </w:p>
    <w:p w14:paraId="2544D277" w14:textId="4EEFF998" w:rsidR="00495E12" w:rsidRPr="005F1A3D" w:rsidRDefault="005F1A3D">
      <w:pPr>
        <w:rPr>
          <w:rFonts w:cstheme="minorHAnsi"/>
          <w:sz w:val="24"/>
          <w:szCs w:val="20"/>
          <w:u w:val="single"/>
          <w:shd w:val="clear" w:color="auto" w:fill="FFFFFF"/>
        </w:rPr>
      </w:pPr>
      <w:r w:rsidRPr="005F1A3D">
        <w:rPr>
          <w:rFonts w:cstheme="minorHAnsi"/>
          <w:sz w:val="24"/>
          <w:szCs w:val="20"/>
          <w:u w:val="single"/>
          <w:shd w:val="clear" w:color="auto" w:fill="FFFFFF"/>
        </w:rPr>
        <w:t>Part Three: Sample Analysis:</w:t>
      </w:r>
    </w:p>
    <w:p w14:paraId="02799199" w14:textId="7E3EC8B3" w:rsidR="00FE324D" w:rsidRDefault="00943ECA">
      <w:r>
        <w:rPr>
          <w:rFonts w:cstheme="minorHAnsi"/>
          <w:szCs w:val="20"/>
          <w:shd w:val="clear" w:color="auto" w:fill="FFFFFF"/>
        </w:rPr>
        <w:t xml:space="preserve">When analysing the sample of </w:t>
      </w:r>
      <w:r w:rsidR="00A662A1">
        <w:rPr>
          <w:rFonts w:cstheme="minorHAnsi"/>
          <w:szCs w:val="20"/>
          <w:shd w:val="clear" w:color="auto" w:fill="FFFFFF"/>
        </w:rPr>
        <w:t>scholarship,</w:t>
      </w:r>
      <w:r>
        <w:rPr>
          <w:rFonts w:cstheme="minorHAnsi"/>
          <w:szCs w:val="20"/>
          <w:shd w:val="clear" w:color="auto" w:fill="FFFFFF"/>
        </w:rPr>
        <w:t xml:space="preserve"> it became apparent that scholars can and will be influenced by the time perio</w:t>
      </w:r>
      <w:r w:rsidR="00967705">
        <w:rPr>
          <w:rFonts w:cstheme="minorHAnsi"/>
          <w:szCs w:val="20"/>
          <w:shd w:val="clear" w:color="auto" w:fill="FFFFFF"/>
        </w:rPr>
        <w:t>d during which they write</w:t>
      </w:r>
      <w:r>
        <w:rPr>
          <w:rFonts w:cstheme="minorHAnsi"/>
          <w:szCs w:val="20"/>
          <w:shd w:val="clear" w:color="auto" w:fill="FFFFFF"/>
        </w:rPr>
        <w:t>. Over half the reviews included comments indicating a recent change in the attention of scholarship</w:t>
      </w:r>
      <w:r w:rsidR="00967705">
        <w:rPr>
          <w:rFonts w:cstheme="minorHAnsi"/>
          <w:szCs w:val="20"/>
          <w:shd w:val="clear" w:color="auto" w:fill="FFFFFF"/>
        </w:rPr>
        <w:t>.</w:t>
      </w:r>
      <w:r w:rsidR="0074619B">
        <w:rPr>
          <w:rFonts w:cstheme="minorHAnsi"/>
          <w:szCs w:val="20"/>
          <w:shd w:val="clear" w:color="auto" w:fill="FFFFFF"/>
        </w:rPr>
        <w:t xml:space="preserve"> </w:t>
      </w:r>
      <w:r w:rsidR="00967705">
        <w:rPr>
          <w:rFonts w:cstheme="minorHAnsi"/>
          <w:szCs w:val="20"/>
          <w:shd w:val="clear" w:color="auto" w:fill="FFFFFF"/>
        </w:rPr>
        <w:t xml:space="preserve">A newfound appreciation of Ovid and the </w:t>
      </w:r>
      <w:r w:rsidR="00967705">
        <w:rPr>
          <w:rFonts w:cstheme="minorHAnsi"/>
          <w:i/>
          <w:szCs w:val="20"/>
          <w:shd w:val="clear" w:color="auto" w:fill="FFFFFF"/>
        </w:rPr>
        <w:t>Ars Amatoria</w:t>
      </w:r>
      <w:r w:rsidR="00967705">
        <w:rPr>
          <w:rFonts w:cstheme="minorHAnsi"/>
          <w:szCs w:val="20"/>
          <w:shd w:val="clear" w:color="auto" w:fill="FFFFFF"/>
        </w:rPr>
        <w:t xml:space="preserve"> was now beginning to be expressed among the majority. </w:t>
      </w:r>
      <w:r w:rsidR="00967705">
        <w:t>Within the sample this change is referred to as,</w:t>
      </w:r>
      <w:r w:rsidR="0074619B">
        <w:t xml:space="preserve"> “a recent Ovidian revival”,</w:t>
      </w:r>
      <w:r w:rsidR="0074619B">
        <w:rPr>
          <w:rStyle w:val="FootnoteReference"/>
        </w:rPr>
        <w:footnoteReference w:id="15"/>
      </w:r>
      <w:r w:rsidR="0074619B">
        <w:t xml:space="preserve"> “</w:t>
      </w:r>
      <w:r w:rsidR="00410D23">
        <w:t xml:space="preserve">a </w:t>
      </w:r>
      <w:r w:rsidR="0074619B">
        <w:t>useful complement to recent scholarship”</w:t>
      </w:r>
      <w:r w:rsidR="0074619B">
        <w:rPr>
          <w:rStyle w:val="FootnoteReference"/>
        </w:rPr>
        <w:footnoteReference w:id="16"/>
      </w:r>
      <w:r w:rsidR="0074619B">
        <w:t xml:space="preserve"> and </w:t>
      </w:r>
      <w:r w:rsidR="00967705">
        <w:t xml:space="preserve">also </w:t>
      </w:r>
      <w:r w:rsidR="0074619B">
        <w:t>as an, “explosion of the Ovid industry”.</w:t>
      </w:r>
      <w:r w:rsidR="0074619B">
        <w:rPr>
          <w:rStyle w:val="FootnoteReference"/>
        </w:rPr>
        <w:footnoteReference w:id="17"/>
      </w:r>
      <w:r w:rsidR="00967705">
        <w:t xml:space="preserve"> Clearly then</w:t>
      </w:r>
      <w:r w:rsidR="000F5678">
        <w:t>,</w:t>
      </w:r>
      <w:r w:rsidR="00967705">
        <w:t xml:space="preserve"> trends within scholarship do occur and as a result can influence an</w:t>
      </w:r>
      <w:r w:rsidR="0070312C">
        <w:t>d</w:t>
      </w:r>
      <w:r w:rsidR="00967705">
        <w:t xml:space="preserve"> increase or decrease </w:t>
      </w:r>
      <w:r w:rsidR="00FE324D">
        <w:t>the</w:t>
      </w:r>
      <w:r w:rsidR="00967705">
        <w:t xml:space="preserve"> popularity </w:t>
      </w:r>
      <w:r w:rsidR="00FE324D">
        <w:t>of</w:t>
      </w:r>
      <w:r w:rsidR="00967705">
        <w:t xml:space="preserve"> any </w:t>
      </w:r>
      <w:r w:rsidR="00FE324D">
        <w:t xml:space="preserve">given </w:t>
      </w:r>
      <w:r w:rsidR="00967705">
        <w:t>topic of research and debate</w:t>
      </w:r>
      <w:r w:rsidR="00FE324D">
        <w:t xml:space="preserve"> at any </w:t>
      </w:r>
      <w:r w:rsidR="0070312C">
        <w:t xml:space="preserve">given </w:t>
      </w:r>
      <w:r w:rsidR="00FE324D">
        <w:t>time</w:t>
      </w:r>
      <w:r w:rsidR="00967705">
        <w:t xml:space="preserve">. Not only can the time period affect the interest of scholars but also those who preceded them as well as those they write alongside. Again, a number of comments are </w:t>
      </w:r>
      <w:r w:rsidR="00967705">
        <w:lastRenderedPageBreak/>
        <w:t>made within the sample to illustrate this. References to, “role models”,</w:t>
      </w:r>
      <w:r w:rsidR="00967705">
        <w:rPr>
          <w:rStyle w:val="FootnoteReference"/>
        </w:rPr>
        <w:footnoteReference w:id="18"/>
      </w:r>
      <w:r w:rsidR="00967705">
        <w:t xml:space="preserve"> “drawing from”,</w:t>
      </w:r>
      <w:r w:rsidR="00967705">
        <w:rPr>
          <w:rStyle w:val="FootnoteReference"/>
        </w:rPr>
        <w:footnoteReference w:id="19"/>
      </w:r>
      <w:r w:rsidR="00A2671C">
        <w:t xml:space="preserve"> and</w:t>
      </w:r>
      <w:r w:rsidR="00CE2DFE">
        <w:t xml:space="preserve"> to the author</w:t>
      </w:r>
      <w:r w:rsidR="00A2671C">
        <w:t xml:space="preserve"> having, “conceded with other scholars”</w:t>
      </w:r>
      <w:r w:rsidR="00CE2DFE">
        <w:t xml:space="preserve"> are made</w:t>
      </w:r>
      <w:r w:rsidR="00A2671C">
        <w:t>.</w:t>
      </w:r>
      <w:r w:rsidR="00A2671C">
        <w:rPr>
          <w:rStyle w:val="FootnoteReference"/>
        </w:rPr>
        <w:footnoteReference w:id="20"/>
      </w:r>
      <w:r w:rsidR="00CE2DFE">
        <w:t>.</w:t>
      </w:r>
      <w:r w:rsidR="00FE324D">
        <w:t xml:space="preserve"> </w:t>
      </w:r>
    </w:p>
    <w:p w14:paraId="4D60C7D9" w14:textId="726EC926" w:rsidR="00F743DC" w:rsidRDefault="00FE324D">
      <w:r>
        <w:t>However, both of these factors are expected</w:t>
      </w:r>
      <w:r w:rsidR="00FE2797">
        <w:t xml:space="preserve"> to influence scholarship.</w:t>
      </w:r>
      <w:r>
        <w:t xml:space="preserve"> </w:t>
      </w:r>
      <w:r w:rsidR="00FE2797">
        <w:t xml:space="preserve">This is because of the conventional </w:t>
      </w:r>
      <w:r>
        <w:t xml:space="preserve">importance of critically engaging with contemporary scholarship in academic writing. Being influenced by ongoing debate, </w:t>
      </w:r>
      <w:r w:rsidR="00B0451F">
        <w:t>newfound</w:t>
      </w:r>
      <w:r>
        <w:t xml:space="preserve"> evidence or freshly argued alternative interpretations</w:t>
      </w:r>
      <w:r w:rsidR="00B0451F">
        <w:t>,</w:t>
      </w:r>
      <w:r>
        <w:t xml:space="preserve"> is part of the practice of writing academically. </w:t>
      </w:r>
      <w:r w:rsidR="00FE2797">
        <w:t xml:space="preserve">Whilst this is </w:t>
      </w:r>
      <w:r w:rsidR="00187323">
        <w:t>true,</w:t>
      </w:r>
      <w:r w:rsidR="00FE2797">
        <w:t xml:space="preserve"> we can still derive useful information about the ongoing evolution of scholarshi</w:t>
      </w:r>
      <w:r w:rsidR="00187323">
        <w:t>p</w:t>
      </w:r>
      <w:r w:rsidR="00456A1A">
        <w:t xml:space="preserve"> from these trends and changes in academic focus</w:t>
      </w:r>
      <w:r w:rsidR="00187323">
        <w:t xml:space="preserve">. By looking at the trends of specific time periods and comparing them with what we know about the context surrounding that period we can surmise a great deal. </w:t>
      </w:r>
      <w:r w:rsidR="00F743DC">
        <w:t>Stevens notes a correlation between the interests of scholarship and, “the ‘cultural conversation’ more generally”,</w:t>
      </w:r>
      <w:r w:rsidR="00F743DC">
        <w:rPr>
          <w:rStyle w:val="FootnoteReference"/>
        </w:rPr>
        <w:footnoteReference w:id="21"/>
      </w:r>
      <w:r w:rsidR="00F743DC">
        <w:t xml:space="preserve"> whilst Gardner points towards a similarity in the ancient poem and modern research efforts.</w:t>
      </w:r>
      <w:r w:rsidR="00F743DC">
        <w:rPr>
          <w:rStyle w:val="FootnoteReference"/>
        </w:rPr>
        <w:footnoteReference w:id="22"/>
      </w:r>
      <w:r w:rsidR="00F743DC">
        <w:t xml:space="preserve"> </w:t>
      </w:r>
      <w:r w:rsidR="00171F55">
        <w:t xml:space="preserve">For example, the very recent emergence of gender studies it is clear that a great percentage of current academic focus relates to the topic, research and study of gender. As such interpretations of the </w:t>
      </w:r>
      <w:r w:rsidR="00171F55">
        <w:rPr>
          <w:i/>
        </w:rPr>
        <w:t>Ars Amatoria</w:t>
      </w:r>
      <w:r w:rsidR="00171F55">
        <w:t xml:space="preserve"> can be seen to reflect this increased interest. </w:t>
      </w:r>
    </w:p>
    <w:p w14:paraId="26812737" w14:textId="439BC9D7" w:rsidR="008C0A2D" w:rsidRDefault="008C0A2D">
      <w:pPr>
        <w:rPr>
          <w:rFonts w:cstheme="minorHAnsi"/>
          <w:szCs w:val="20"/>
          <w:shd w:val="clear" w:color="auto" w:fill="FFFFFF"/>
        </w:rPr>
      </w:pPr>
      <w:r>
        <w:rPr>
          <w:rFonts w:cstheme="minorHAnsi"/>
          <w:szCs w:val="20"/>
          <w:shd w:val="clear" w:color="auto" w:fill="FFFFFF"/>
        </w:rPr>
        <w:t>Another factor which is shown to effect academic interpretation is location. A factor which is perhaps most evident in the review of, ‘</w:t>
      </w:r>
      <w:r>
        <w:rPr>
          <w:rFonts w:cstheme="minorHAnsi"/>
          <w:i/>
          <w:szCs w:val="20"/>
          <w:shd w:val="clear" w:color="auto" w:fill="FFFFFF"/>
        </w:rPr>
        <w:t xml:space="preserve">Ovid Ars Amatoria Buch 2: </w:t>
      </w:r>
      <w:proofErr w:type="spellStart"/>
      <w:r>
        <w:rPr>
          <w:rFonts w:cstheme="minorHAnsi"/>
          <w:i/>
          <w:szCs w:val="20"/>
          <w:shd w:val="clear" w:color="auto" w:fill="FFFFFF"/>
        </w:rPr>
        <w:t>Kommentar</w:t>
      </w:r>
      <w:proofErr w:type="spellEnd"/>
      <w:r>
        <w:rPr>
          <w:rFonts w:cstheme="minorHAnsi"/>
          <w:i/>
          <w:szCs w:val="20"/>
          <w:shd w:val="clear" w:color="auto" w:fill="FFFFFF"/>
        </w:rPr>
        <w:t>’</w:t>
      </w:r>
      <w:r>
        <w:rPr>
          <w:rFonts w:cstheme="minorHAnsi"/>
          <w:szCs w:val="20"/>
          <w:shd w:val="clear" w:color="auto" w:fill="FFFFFF"/>
        </w:rPr>
        <w:t xml:space="preserve"> by Roy Gibson. Throughout the review</w:t>
      </w:r>
      <w:r w:rsidR="009C3D1F">
        <w:rPr>
          <w:rFonts w:cstheme="minorHAnsi"/>
          <w:szCs w:val="20"/>
          <w:shd w:val="clear" w:color="auto" w:fill="FFFFFF"/>
        </w:rPr>
        <w:t>,</w:t>
      </w:r>
      <w:r>
        <w:rPr>
          <w:rFonts w:cstheme="minorHAnsi"/>
          <w:szCs w:val="20"/>
          <w:shd w:val="clear" w:color="auto" w:fill="FFFFFF"/>
        </w:rPr>
        <w:t xml:space="preserve"> comments about the reception of various non-English works are made which collectively show the impact location and language can have on the response and interpretation of a scholar.</w:t>
      </w:r>
      <w:r w:rsidR="001A1FB5">
        <w:rPr>
          <w:rFonts w:cstheme="minorHAnsi"/>
          <w:szCs w:val="20"/>
          <w:shd w:val="clear" w:color="auto" w:fill="FFFFFF"/>
        </w:rPr>
        <w:t xml:space="preserve"> Some examples include, “poorly received in the </w:t>
      </w:r>
      <w:r w:rsidR="00191AF0">
        <w:rPr>
          <w:rFonts w:cstheme="minorHAnsi"/>
          <w:szCs w:val="20"/>
          <w:shd w:val="clear" w:color="auto" w:fill="FFFFFF"/>
        </w:rPr>
        <w:t>English-speaking</w:t>
      </w:r>
      <w:r w:rsidR="001A1FB5">
        <w:rPr>
          <w:rFonts w:cstheme="minorHAnsi"/>
          <w:szCs w:val="20"/>
          <w:shd w:val="clear" w:color="auto" w:fill="FFFFFF"/>
        </w:rPr>
        <w:t xml:space="preserve"> world at least”, “never reviewed at any length in the UK”, “too far from the traditions of continental-European scholarship to make an impression”.</w:t>
      </w:r>
      <w:r w:rsidR="001A1FB5">
        <w:rPr>
          <w:rStyle w:val="FootnoteReference"/>
          <w:rFonts w:cstheme="minorHAnsi"/>
          <w:szCs w:val="20"/>
          <w:shd w:val="clear" w:color="auto" w:fill="FFFFFF"/>
        </w:rPr>
        <w:footnoteReference w:id="23"/>
      </w:r>
      <w:r>
        <w:rPr>
          <w:rFonts w:cstheme="minorHAnsi"/>
          <w:szCs w:val="20"/>
          <w:shd w:val="clear" w:color="auto" w:fill="FFFFFF"/>
        </w:rPr>
        <w:t xml:space="preserve"> </w:t>
      </w:r>
      <w:r w:rsidR="00191AF0">
        <w:rPr>
          <w:rFonts w:cstheme="minorHAnsi"/>
          <w:szCs w:val="20"/>
          <w:shd w:val="clear" w:color="auto" w:fill="FFFFFF"/>
        </w:rPr>
        <w:t>The misinterpretation or misunderstanding of an author</w:t>
      </w:r>
      <w:r w:rsidR="001D6D80">
        <w:rPr>
          <w:rFonts w:cstheme="minorHAnsi"/>
          <w:szCs w:val="20"/>
          <w:shd w:val="clear" w:color="auto" w:fill="FFFFFF"/>
        </w:rPr>
        <w:t>’</w:t>
      </w:r>
      <w:r w:rsidR="00191AF0">
        <w:rPr>
          <w:rFonts w:cstheme="minorHAnsi"/>
          <w:szCs w:val="20"/>
          <w:shd w:val="clear" w:color="auto" w:fill="FFFFFF"/>
        </w:rPr>
        <w:t>s point, argument or clarity can have a significant and harmful impact on the reception a piece of work receives. When language is a barrier as a result of geographical location these mistakes are easily made. Whilst native speakers of the author</w:t>
      </w:r>
      <w:r w:rsidR="001D6D80">
        <w:rPr>
          <w:rFonts w:cstheme="minorHAnsi"/>
          <w:szCs w:val="20"/>
          <w:shd w:val="clear" w:color="auto" w:fill="FFFFFF"/>
        </w:rPr>
        <w:t>’</w:t>
      </w:r>
      <w:r w:rsidR="00191AF0">
        <w:rPr>
          <w:rFonts w:cstheme="minorHAnsi"/>
          <w:szCs w:val="20"/>
          <w:shd w:val="clear" w:color="auto" w:fill="FFFFFF"/>
        </w:rPr>
        <w:t xml:space="preserve">s language may read the work and view it as </w:t>
      </w:r>
      <w:r w:rsidR="00BE1CC7">
        <w:rPr>
          <w:rFonts w:cstheme="minorHAnsi"/>
          <w:szCs w:val="20"/>
          <w:shd w:val="clear" w:color="auto" w:fill="FFFFFF"/>
        </w:rPr>
        <w:t xml:space="preserve">being a worthwhile, thoughtful and commendable addition, </w:t>
      </w:r>
      <w:r w:rsidR="00191AF0">
        <w:rPr>
          <w:rFonts w:cstheme="minorHAnsi"/>
          <w:szCs w:val="20"/>
          <w:shd w:val="clear" w:color="auto" w:fill="FFFFFF"/>
        </w:rPr>
        <w:t>someone else relying on external translation</w:t>
      </w:r>
      <w:r w:rsidR="003977CA">
        <w:rPr>
          <w:rFonts w:cstheme="minorHAnsi"/>
          <w:szCs w:val="20"/>
          <w:shd w:val="clear" w:color="auto" w:fill="FFFFFF"/>
        </w:rPr>
        <w:t>,</w:t>
      </w:r>
      <w:r w:rsidR="00191AF0">
        <w:rPr>
          <w:rFonts w:cstheme="minorHAnsi"/>
          <w:szCs w:val="20"/>
          <w:shd w:val="clear" w:color="auto" w:fill="FFFFFF"/>
        </w:rPr>
        <w:t xml:space="preserve"> or </w:t>
      </w:r>
      <w:r w:rsidR="00BE1CC7">
        <w:rPr>
          <w:rFonts w:cstheme="minorHAnsi"/>
          <w:szCs w:val="20"/>
          <w:shd w:val="clear" w:color="auto" w:fill="FFFFFF"/>
        </w:rPr>
        <w:t xml:space="preserve">even </w:t>
      </w:r>
      <w:r w:rsidR="00191AF0">
        <w:rPr>
          <w:rFonts w:cstheme="minorHAnsi"/>
          <w:szCs w:val="20"/>
          <w:shd w:val="clear" w:color="auto" w:fill="FFFFFF"/>
        </w:rPr>
        <w:t>their own</w:t>
      </w:r>
      <w:r w:rsidR="003977CA">
        <w:rPr>
          <w:rFonts w:cstheme="minorHAnsi"/>
          <w:szCs w:val="20"/>
          <w:shd w:val="clear" w:color="auto" w:fill="FFFFFF"/>
        </w:rPr>
        <w:t>,</w:t>
      </w:r>
      <w:r w:rsidR="00191AF0">
        <w:rPr>
          <w:rFonts w:cstheme="minorHAnsi"/>
          <w:szCs w:val="20"/>
          <w:shd w:val="clear" w:color="auto" w:fill="FFFFFF"/>
        </w:rPr>
        <w:t xml:space="preserve"> may discredit the work unjustly due to their own misrepresentation</w:t>
      </w:r>
      <w:r w:rsidR="00BE1CC7">
        <w:rPr>
          <w:rFonts w:cstheme="minorHAnsi"/>
          <w:szCs w:val="20"/>
          <w:shd w:val="clear" w:color="auto" w:fill="FFFFFF"/>
        </w:rPr>
        <w:t xml:space="preserve"> of it. </w:t>
      </w:r>
    </w:p>
    <w:p w14:paraId="6B23CBC9" w14:textId="6EFF7A73" w:rsidR="00D059A0" w:rsidRDefault="00D059A0" w:rsidP="003D0DF8">
      <w:pPr>
        <w:rPr>
          <w:rFonts w:cstheme="minorHAnsi"/>
          <w:szCs w:val="20"/>
          <w:shd w:val="clear" w:color="auto" w:fill="FFFFFF"/>
        </w:rPr>
      </w:pPr>
      <w:r>
        <w:rPr>
          <w:rFonts w:cstheme="minorHAnsi"/>
          <w:szCs w:val="20"/>
          <w:shd w:val="clear" w:color="auto" w:fill="FFFFFF"/>
        </w:rPr>
        <w:t>Efforts have been made in recent years to avoid this occurrence and limit the impact that location and language variation can have. For example, collections of works have made a conscious effort to include more variety of non-English authors, although often still in translated format. For example, ‘</w:t>
      </w:r>
      <w:r>
        <w:rPr>
          <w:rFonts w:cstheme="minorHAnsi"/>
          <w:i/>
          <w:szCs w:val="20"/>
          <w:shd w:val="clear" w:color="auto" w:fill="FFFFFF"/>
        </w:rPr>
        <w:t xml:space="preserve">The Art of Love: Bimillennial Essays on Ovid’s Ars Amatoria and </w:t>
      </w:r>
      <w:proofErr w:type="spellStart"/>
      <w:r>
        <w:rPr>
          <w:rFonts w:cstheme="minorHAnsi"/>
          <w:i/>
          <w:szCs w:val="20"/>
          <w:shd w:val="clear" w:color="auto" w:fill="FFFFFF"/>
        </w:rPr>
        <w:t>Remedia</w:t>
      </w:r>
      <w:proofErr w:type="spellEnd"/>
      <w:r>
        <w:rPr>
          <w:rFonts w:cstheme="minorHAnsi"/>
          <w:i/>
          <w:szCs w:val="20"/>
          <w:shd w:val="clear" w:color="auto" w:fill="FFFFFF"/>
        </w:rPr>
        <w:t xml:space="preserve"> </w:t>
      </w:r>
      <w:proofErr w:type="spellStart"/>
      <w:r>
        <w:rPr>
          <w:rFonts w:cstheme="minorHAnsi"/>
          <w:i/>
          <w:szCs w:val="20"/>
          <w:shd w:val="clear" w:color="auto" w:fill="FFFFFF"/>
        </w:rPr>
        <w:t>Amoris</w:t>
      </w:r>
      <w:proofErr w:type="spellEnd"/>
      <w:r w:rsidR="003D0DF8">
        <w:rPr>
          <w:rFonts w:cstheme="minorHAnsi"/>
          <w:i/>
          <w:szCs w:val="20"/>
          <w:shd w:val="clear" w:color="auto" w:fill="FFFFFF"/>
        </w:rPr>
        <w:t xml:space="preserve">’, </w:t>
      </w:r>
      <w:r w:rsidR="003D0DF8">
        <w:rPr>
          <w:rFonts w:cstheme="minorHAnsi"/>
          <w:szCs w:val="20"/>
          <w:shd w:val="clear" w:color="auto" w:fill="FFFFFF"/>
        </w:rPr>
        <w:t xml:space="preserve">which includes both German and Italian scholarship </w:t>
      </w:r>
      <w:r w:rsidR="00CA04E2">
        <w:rPr>
          <w:rFonts w:cstheme="minorHAnsi"/>
          <w:szCs w:val="20"/>
          <w:shd w:val="clear" w:color="auto" w:fill="FFFFFF"/>
        </w:rPr>
        <w:t>alongside</w:t>
      </w:r>
      <w:r w:rsidR="003D0DF8">
        <w:rPr>
          <w:rFonts w:cstheme="minorHAnsi"/>
          <w:szCs w:val="20"/>
          <w:shd w:val="clear" w:color="auto" w:fill="FFFFFF"/>
        </w:rPr>
        <w:t xml:space="preserve"> English.</w:t>
      </w:r>
      <w:r w:rsidR="00CA04E2">
        <w:rPr>
          <w:rStyle w:val="FootnoteReference"/>
          <w:rFonts w:cstheme="minorHAnsi"/>
          <w:szCs w:val="20"/>
          <w:shd w:val="clear" w:color="auto" w:fill="FFFFFF"/>
        </w:rPr>
        <w:footnoteReference w:id="24"/>
      </w:r>
    </w:p>
    <w:p w14:paraId="0D2C4AF0" w14:textId="3A78DA89" w:rsidR="000F7244" w:rsidRPr="000F7244" w:rsidRDefault="000F7244" w:rsidP="003D0DF8">
      <w:pPr>
        <w:rPr>
          <w:rFonts w:cstheme="minorHAnsi"/>
          <w:szCs w:val="20"/>
          <w:shd w:val="clear" w:color="auto" w:fill="FFFFFF"/>
        </w:rPr>
      </w:pPr>
      <w:r>
        <w:rPr>
          <w:rFonts w:cstheme="minorHAnsi"/>
          <w:szCs w:val="20"/>
          <w:shd w:val="clear" w:color="auto" w:fill="FFFFFF"/>
        </w:rPr>
        <w:t xml:space="preserve">Since it was required of the inclusion criteria that the review be of a work relating to the </w:t>
      </w:r>
      <w:r>
        <w:rPr>
          <w:rFonts w:cstheme="minorHAnsi"/>
          <w:i/>
          <w:szCs w:val="20"/>
          <w:shd w:val="clear" w:color="auto" w:fill="FFFFFF"/>
        </w:rPr>
        <w:t>Ars Amatoria</w:t>
      </w:r>
      <w:r w:rsidR="002127CE">
        <w:rPr>
          <w:rFonts w:cstheme="minorHAnsi"/>
          <w:i/>
          <w:szCs w:val="20"/>
          <w:shd w:val="clear" w:color="auto" w:fill="FFFFFF"/>
        </w:rPr>
        <w:t>,</w:t>
      </w:r>
      <w:r>
        <w:rPr>
          <w:rFonts w:cstheme="minorHAnsi"/>
          <w:szCs w:val="20"/>
          <w:shd w:val="clear" w:color="auto" w:fill="FFFFFF"/>
        </w:rPr>
        <w:t xml:space="preserve"> it </w:t>
      </w:r>
      <w:r w:rsidR="0089362F">
        <w:rPr>
          <w:rFonts w:cstheme="minorHAnsi"/>
          <w:szCs w:val="20"/>
          <w:shd w:val="clear" w:color="auto" w:fill="FFFFFF"/>
        </w:rPr>
        <w:t xml:space="preserve">is </w:t>
      </w:r>
      <w:r>
        <w:rPr>
          <w:rFonts w:cstheme="minorHAnsi"/>
          <w:szCs w:val="20"/>
          <w:shd w:val="clear" w:color="auto" w:fill="FFFFFF"/>
        </w:rPr>
        <w:t xml:space="preserve">unsurprising to find discussions of translation relevant within the sample. The translation of ancient works from Greek and Latin is a primary example of direct influence within scholarship. </w:t>
      </w:r>
      <w:r w:rsidR="0022617D">
        <w:rPr>
          <w:rFonts w:cstheme="minorHAnsi"/>
          <w:szCs w:val="20"/>
          <w:shd w:val="clear" w:color="auto" w:fill="FFFFFF"/>
        </w:rPr>
        <w:t>T</w:t>
      </w:r>
      <w:r>
        <w:rPr>
          <w:rFonts w:cstheme="minorHAnsi"/>
          <w:szCs w:val="20"/>
          <w:shd w:val="clear" w:color="auto" w:fill="FFFFFF"/>
        </w:rPr>
        <w:t xml:space="preserve">ranslation </w:t>
      </w:r>
      <w:r w:rsidR="0022617D">
        <w:rPr>
          <w:rFonts w:cstheme="minorHAnsi"/>
          <w:szCs w:val="20"/>
          <w:shd w:val="clear" w:color="auto" w:fill="FFFFFF"/>
        </w:rPr>
        <w:t xml:space="preserve">can </w:t>
      </w:r>
      <w:r>
        <w:rPr>
          <w:rFonts w:cstheme="minorHAnsi"/>
          <w:szCs w:val="20"/>
          <w:shd w:val="clear" w:color="auto" w:fill="FFFFFF"/>
        </w:rPr>
        <w:t xml:space="preserve">be </w:t>
      </w:r>
      <w:r w:rsidR="0022617D">
        <w:rPr>
          <w:rFonts w:cstheme="minorHAnsi"/>
          <w:szCs w:val="20"/>
          <w:shd w:val="clear" w:color="auto" w:fill="FFFFFF"/>
        </w:rPr>
        <w:t xml:space="preserve">vastly </w:t>
      </w:r>
      <w:r>
        <w:rPr>
          <w:rFonts w:cstheme="minorHAnsi"/>
          <w:szCs w:val="20"/>
          <w:shd w:val="clear" w:color="auto" w:fill="FFFFFF"/>
        </w:rPr>
        <w:t xml:space="preserve">impacted by the scholar, as it is </w:t>
      </w:r>
      <w:r w:rsidR="0089362F">
        <w:rPr>
          <w:rFonts w:cstheme="minorHAnsi"/>
          <w:szCs w:val="20"/>
          <w:shd w:val="clear" w:color="auto" w:fill="FFFFFF"/>
        </w:rPr>
        <w:t xml:space="preserve">the responsibility of the </w:t>
      </w:r>
      <w:r>
        <w:rPr>
          <w:rFonts w:cstheme="minorHAnsi"/>
          <w:szCs w:val="20"/>
          <w:shd w:val="clear" w:color="auto" w:fill="FFFFFF"/>
        </w:rPr>
        <w:t xml:space="preserve">translator </w:t>
      </w:r>
      <w:r w:rsidR="0089362F">
        <w:rPr>
          <w:rFonts w:cstheme="minorHAnsi"/>
          <w:szCs w:val="20"/>
          <w:shd w:val="clear" w:color="auto" w:fill="FFFFFF"/>
        </w:rPr>
        <w:t xml:space="preserve">alone </w:t>
      </w:r>
      <w:r>
        <w:rPr>
          <w:rFonts w:cstheme="minorHAnsi"/>
          <w:szCs w:val="20"/>
          <w:shd w:val="clear" w:color="auto" w:fill="FFFFFF"/>
        </w:rPr>
        <w:t xml:space="preserve">to </w:t>
      </w:r>
      <w:r w:rsidR="0022617D">
        <w:rPr>
          <w:rFonts w:cstheme="minorHAnsi"/>
          <w:szCs w:val="20"/>
          <w:shd w:val="clear" w:color="auto" w:fill="FFFFFF"/>
        </w:rPr>
        <w:t>make decisions about what they translate</w:t>
      </w:r>
      <w:r w:rsidR="00DC18DB">
        <w:rPr>
          <w:rFonts w:cstheme="minorHAnsi"/>
          <w:szCs w:val="20"/>
          <w:shd w:val="clear" w:color="auto" w:fill="FFFFFF"/>
        </w:rPr>
        <w:t>,</w:t>
      </w:r>
      <w:r w:rsidR="0022617D">
        <w:rPr>
          <w:rFonts w:cstheme="minorHAnsi"/>
          <w:szCs w:val="20"/>
          <w:shd w:val="clear" w:color="auto" w:fill="FFFFFF"/>
        </w:rPr>
        <w:t xml:space="preserve"> but also how they choose to translate it. This translation</w:t>
      </w:r>
      <w:r w:rsidR="00531AD8">
        <w:rPr>
          <w:rFonts w:cstheme="minorHAnsi"/>
          <w:szCs w:val="20"/>
          <w:shd w:val="clear" w:color="auto" w:fill="FFFFFF"/>
        </w:rPr>
        <w:t>,</w:t>
      </w:r>
      <w:r w:rsidR="0022617D">
        <w:rPr>
          <w:rFonts w:cstheme="minorHAnsi"/>
          <w:szCs w:val="20"/>
          <w:shd w:val="clear" w:color="auto" w:fill="FFFFFF"/>
        </w:rPr>
        <w:t xml:space="preserve"> once published can</w:t>
      </w:r>
      <w:r>
        <w:rPr>
          <w:rFonts w:cstheme="minorHAnsi"/>
          <w:szCs w:val="20"/>
          <w:shd w:val="clear" w:color="auto" w:fill="FFFFFF"/>
        </w:rPr>
        <w:t xml:space="preserve"> then go on to impact those who read it.</w:t>
      </w:r>
      <w:r w:rsidR="0022617D">
        <w:rPr>
          <w:rFonts w:cstheme="minorHAnsi"/>
          <w:szCs w:val="20"/>
          <w:shd w:val="clear" w:color="auto" w:fill="FFFFFF"/>
        </w:rPr>
        <w:t xml:space="preserve"> </w:t>
      </w:r>
      <w:r w:rsidR="00647918">
        <w:rPr>
          <w:rFonts w:cstheme="minorHAnsi"/>
          <w:szCs w:val="20"/>
          <w:shd w:val="clear" w:color="auto" w:fill="FFFFFF"/>
        </w:rPr>
        <w:t xml:space="preserve">The subjective nature of translation is shown with in the sample multiple times, as </w:t>
      </w:r>
      <w:r w:rsidR="001D6D80">
        <w:rPr>
          <w:rFonts w:cstheme="minorHAnsi"/>
          <w:szCs w:val="20"/>
          <w:shd w:val="clear" w:color="auto" w:fill="FFFFFF"/>
        </w:rPr>
        <w:t>demonstrated</w:t>
      </w:r>
      <w:r w:rsidR="00647918">
        <w:rPr>
          <w:rFonts w:cstheme="minorHAnsi"/>
          <w:szCs w:val="20"/>
          <w:shd w:val="clear" w:color="auto" w:fill="FFFFFF"/>
        </w:rPr>
        <w:t xml:space="preserve"> by</w:t>
      </w:r>
      <w:r w:rsidR="001D6D80">
        <w:rPr>
          <w:rFonts w:cstheme="minorHAnsi"/>
          <w:szCs w:val="20"/>
          <w:shd w:val="clear" w:color="auto" w:fill="FFFFFF"/>
        </w:rPr>
        <w:t xml:space="preserve"> the following</w:t>
      </w:r>
      <w:r w:rsidR="00647918">
        <w:rPr>
          <w:rFonts w:cstheme="minorHAnsi"/>
          <w:szCs w:val="20"/>
          <w:shd w:val="clear" w:color="auto" w:fill="FFFFFF"/>
        </w:rPr>
        <w:t xml:space="preserve">, “witty </w:t>
      </w:r>
      <w:r w:rsidR="00647918">
        <w:rPr>
          <w:rFonts w:cstheme="minorHAnsi"/>
          <w:szCs w:val="20"/>
          <w:shd w:val="clear" w:color="auto" w:fill="FFFFFF"/>
        </w:rPr>
        <w:lastRenderedPageBreak/>
        <w:t>translations”,</w:t>
      </w:r>
      <w:r w:rsidR="00647918">
        <w:rPr>
          <w:rStyle w:val="FootnoteReference"/>
          <w:rFonts w:cstheme="minorHAnsi"/>
          <w:szCs w:val="20"/>
          <w:shd w:val="clear" w:color="auto" w:fill="FFFFFF"/>
        </w:rPr>
        <w:footnoteReference w:id="25"/>
      </w:r>
      <w:r w:rsidR="00647918">
        <w:rPr>
          <w:rFonts w:cstheme="minorHAnsi"/>
          <w:szCs w:val="20"/>
          <w:shd w:val="clear" w:color="auto" w:fill="FFFFFF"/>
        </w:rPr>
        <w:t xml:space="preserve"> “high quality of those translations”,</w:t>
      </w:r>
      <w:r w:rsidR="00647918">
        <w:rPr>
          <w:rStyle w:val="FootnoteReference"/>
          <w:rFonts w:cstheme="minorHAnsi"/>
          <w:szCs w:val="20"/>
          <w:shd w:val="clear" w:color="auto" w:fill="FFFFFF"/>
        </w:rPr>
        <w:footnoteReference w:id="26"/>
      </w:r>
      <w:r w:rsidR="00647918">
        <w:rPr>
          <w:rFonts w:cstheme="minorHAnsi"/>
          <w:szCs w:val="20"/>
          <w:shd w:val="clear" w:color="auto" w:fill="FFFFFF"/>
        </w:rPr>
        <w:t xml:space="preserve"> “traditional form which translators</w:t>
      </w:r>
      <w:r w:rsidR="008311C2">
        <w:rPr>
          <w:rFonts w:cstheme="minorHAnsi"/>
          <w:szCs w:val="20"/>
          <w:shd w:val="clear" w:color="auto" w:fill="FFFFFF"/>
        </w:rPr>
        <w:t xml:space="preserve"> have used</w:t>
      </w:r>
      <w:r w:rsidR="00647918">
        <w:rPr>
          <w:rFonts w:cstheme="minorHAnsi"/>
          <w:szCs w:val="20"/>
          <w:shd w:val="clear" w:color="auto" w:fill="FFFFFF"/>
        </w:rPr>
        <w:t>”.</w:t>
      </w:r>
      <w:r w:rsidR="00647918">
        <w:rPr>
          <w:rStyle w:val="FootnoteReference"/>
          <w:rFonts w:cstheme="minorHAnsi"/>
          <w:szCs w:val="20"/>
          <w:shd w:val="clear" w:color="auto" w:fill="FFFFFF"/>
        </w:rPr>
        <w:footnoteReference w:id="27"/>
      </w:r>
      <w:r w:rsidR="00D17652">
        <w:rPr>
          <w:rFonts w:cstheme="minorHAnsi"/>
          <w:szCs w:val="20"/>
          <w:shd w:val="clear" w:color="auto" w:fill="FFFFFF"/>
        </w:rPr>
        <w:t xml:space="preserve"> Translations have been impacted by what the various </w:t>
      </w:r>
      <w:r w:rsidR="001D6D80">
        <w:rPr>
          <w:rFonts w:cstheme="minorHAnsi"/>
          <w:szCs w:val="20"/>
          <w:shd w:val="clear" w:color="auto" w:fill="FFFFFF"/>
        </w:rPr>
        <w:t>society’s</w:t>
      </w:r>
      <w:r w:rsidR="00D17652">
        <w:rPr>
          <w:rFonts w:cstheme="minorHAnsi"/>
          <w:szCs w:val="20"/>
          <w:shd w:val="clear" w:color="auto" w:fill="FFFFFF"/>
        </w:rPr>
        <w:t>, at the time of translation, have deemed appropriate. As such much of the initial translations of ancient works chose to avoid direct translation</w:t>
      </w:r>
      <w:r w:rsidR="006C66C6">
        <w:rPr>
          <w:rFonts w:cstheme="minorHAnsi"/>
          <w:szCs w:val="20"/>
          <w:shd w:val="clear" w:color="auto" w:fill="FFFFFF"/>
        </w:rPr>
        <w:t>,</w:t>
      </w:r>
      <w:r w:rsidR="00D17652">
        <w:rPr>
          <w:rFonts w:cstheme="minorHAnsi"/>
          <w:szCs w:val="20"/>
          <w:shd w:val="clear" w:color="auto" w:fill="FFFFFF"/>
        </w:rPr>
        <w:t xml:space="preserve"> word for word</w:t>
      </w:r>
      <w:r w:rsidR="006C66C6">
        <w:rPr>
          <w:rFonts w:cstheme="minorHAnsi"/>
          <w:szCs w:val="20"/>
          <w:shd w:val="clear" w:color="auto" w:fill="FFFFFF"/>
        </w:rPr>
        <w:t>,</w:t>
      </w:r>
      <w:r w:rsidR="00D17652">
        <w:rPr>
          <w:rFonts w:cstheme="minorHAnsi"/>
          <w:szCs w:val="20"/>
          <w:shd w:val="clear" w:color="auto" w:fill="FFFFFF"/>
        </w:rPr>
        <w:t xml:space="preserve"> as </w:t>
      </w:r>
      <w:r w:rsidR="00AB66FB">
        <w:rPr>
          <w:rFonts w:cstheme="minorHAnsi"/>
          <w:szCs w:val="20"/>
          <w:shd w:val="clear" w:color="auto" w:fill="FFFFFF"/>
        </w:rPr>
        <w:t xml:space="preserve">the ancient texts were seen as reprehensible. </w:t>
      </w:r>
      <w:r w:rsidR="00DB6703">
        <w:rPr>
          <w:rFonts w:cstheme="minorHAnsi"/>
          <w:szCs w:val="20"/>
          <w:shd w:val="clear" w:color="auto" w:fill="FFFFFF"/>
        </w:rPr>
        <w:t xml:space="preserve">As may be expected this degree of censorship effected the interpretation and therefore the analysis, appreciation and discussion of the ancient texts by those reliant on translation. </w:t>
      </w:r>
    </w:p>
    <w:p w14:paraId="6E65556A" w14:textId="3E98094E" w:rsidR="001F6888" w:rsidRDefault="002D6B9A">
      <w:pPr>
        <w:rPr>
          <w:rFonts w:cstheme="minorHAnsi"/>
          <w:szCs w:val="20"/>
          <w:shd w:val="clear" w:color="auto" w:fill="FFFFFF"/>
        </w:rPr>
      </w:pPr>
      <w:r>
        <w:rPr>
          <w:rFonts w:cstheme="minorHAnsi"/>
          <w:szCs w:val="20"/>
          <w:shd w:val="clear" w:color="auto" w:fill="FFFFFF"/>
        </w:rPr>
        <w:t>Of course,</w:t>
      </w:r>
      <w:r w:rsidR="00A72FDF">
        <w:rPr>
          <w:rFonts w:cstheme="minorHAnsi"/>
          <w:szCs w:val="20"/>
          <w:shd w:val="clear" w:color="auto" w:fill="FFFFFF"/>
        </w:rPr>
        <w:t xml:space="preserve"> when analysing a </w:t>
      </w:r>
      <w:r>
        <w:rPr>
          <w:rFonts w:cstheme="minorHAnsi"/>
          <w:szCs w:val="20"/>
          <w:shd w:val="clear" w:color="auto" w:fill="FFFFFF"/>
        </w:rPr>
        <w:t>review,</w:t>
      </w:r>
      <w:r w:rsidR="00A72FDF">
        <w:rPr>
          <w:rFonts w:cstheme="minorHAnsi"/>
          <w:szCs w:val="20"/>
          <w:shd w:val="clear" w:color="auto" w:fill="FFFFFF"/>
        </w:rPr>
        <w:t xml:space="preserve"> it is important to also </w:t>
      </w:r>
      <w:r>
        <w:rPr>
          <w:rFonts w:cstheme="minorHAnsi"/>
          <w:szCs w:val="20"/>
          <w:shd w:val="clear" w:color="auto" w:fill="FFFFFF"/>
        </w:rPr>
        <w:t>consider</w:t>
      </w:r>
      <w:r w:rsidR="00A72FDF">
        <w:rPr>
          <w:rFonts w:cstheme="minorHAnsi"/>
          <w:szCs w:val="20"/>
          <w:shd w:val="clear" w:color="auto" w:fill="FFFFFF"/>
        </w:rPr>
        <w:t xml:space="preserve"> the </w:t>
      </w:r>
      <w:r>
        <w:rPr>
          <w:rFonts w:cstheme="minorHAnsi"/>
          <w:szCs w:val="20"/>
          <w:shd w:val="clear" w:color="auto" w:fill="FFFFFF"/>
        </w:rPr>
        <w:t>reviewer’s</w:t>
      </w:r>
      <w:r w:rsidR="00A72FDF">
        <w:rPr>
          <w:rFonts w:cstheme="minorHAnsi"/>
          <w:szCs w:val="20"/>
          <w:shd w:val="clear" w:color="auto" w:fill="FFFFFF"/>
        </w:rPr>
        <w:t xml:space="preserve"> personal preference, which will undeniably have </w:t>
      </w:r>
      <w:r>
        <w:rPr>
          <w:rFonts w:cstheme="minorHAnsi"/>
          <w:szCs w:val="20"/>
          <w:shd w:val="clear" w:color="auto" w:fill="FFFFFF"/>
        </w:rPr>
        <w:t xml:space="preserve">an impact </w:t>
      </w:r>
      <w:r w:rsidR="00A72FDF">
        <w:rPr>
          <w:rFonts w:cstheme="minorHAnsi"/>
          <w:szCs w:val="20"/>
          <w:shd w:val="clear" w:color="auto" w:fill="FFFFFF"/>
        </w:rPr>
        <w:t xml:space="preserve">on </w:t>
      </w:r>
      <w:r>
        <w:rPr>
          <w:rFonts w:cstheme="minorHAnsi"/>
          <w:szCs w:val="20"/>
          <w:shd w:val="clear" w:color="auto" w:fill="FFFFFF"/>
        </w:rPr>
        <w:t>their</w:t>
      </w:r>
      <w:r w:rsidR="00DC0F9B">
        <w:rPr>
          <w:rFonts w:cstheme="minorHAnsi"/>
          <w:szCs w:val="20"/>
          <w:shd w:val="clear" w:color="auto" w:fill="FFFFFF"/>
        </w:rPr>
        <w:t xml:space="preserve"> own</w:t>
      </w:r>
      <w:r>
        <w:rPr>
          <w:rFonts w:cstheme="minorHAnsi"/>
          <w:szCs w:val="20"/>
          <w:shd w:val="clear" w:color="auto" w:fill="FFFFFF"/>
        </w:rPr>
        <w:t xml:space="preserve"> </w:t>
      </w:r>
      <w:r w:rsidR="00A72FDF">
        <w:rPr>
          <w:rFonts w:cstheme="minorHAnsi"/>
          <w:szCs w:val="20"/>
          <w:shd w:val="clear" w:color="auto" w:fill="FFFFFF"/>
        </w:rPr>
        <w:t>interpretation.</w:t>
      </w:r>
      <w:r>
        <w:rPr>
          <w:rFonts w:cstheme="minorHAnsi"/>
          <w:szCs w:val="20"/>
          <w:shd w:val="clear" w:color="auto" w:fill="FFFFFF"/>
        </w:rPr>
        <w:t xml:space="preserve"> Nearly all the reviews included in the sample give some indication of selective </w:t>
      </w:r>
      <w:r w:rsidR="00B86F9B">
        <w:rPr>
          <w:rFonts w:cstheme="minorHAnsi"/>
          <w:szCs w:val="20"/>
          <w:shd w:val="clear" w:color="auto" w:fill="FFFFFF"/>
        </w:rPr>
        <w:t xml:space="preserve">prejudice based on subjective opinions. The instances where this occurs range from </w:t>
      </w:r>
      <w:r w:rsidR="002E4B3B">
        <w:rPr>
          <w:rFonts w:cstheme="minorHAnsi"/>
          <w:szCs w:val="20"/>
          <w:shd w:val="clear" w:color="auto" w:fill="FFFFFF"/>
        </w:rPr>
        <w:t>polite but critical</w:t>
      </w:r>
      <w:r w:rsidR="00B86F9B">
        <w:rPr>
          <w:rFonts w:cstheme="minorHAnsi"/>
          <w:szCs w:val="20"/>
          <w:shd w:val="clear" w:color="auto" w:fill="FFFFFF"/>
        </w:rPr>
        <w:t xml:space="preserve"> comment</w:t>
      </w:r>
      <w:r w:rsidR="002E4B3B">
        <w:rPr>
          <w:rFonts w:cstheme="minorHAnsi"/>
          <w:szCs w:val="20"/>
          <w:shd w:val="clear" w:color="auto" w:fill="FFFFFF"/>
        </w:rPr>
        <w:t>, f</w:t>
      </w:r>
      <w:r w:rsidR="00B86F9B">
        <w:rPr>
          <w:rFonts w:cstheme="minorHAnsi"/>
          <w:szCs w:val="20"/>
          <w:shd w:val="clear" w:color="auto" w:fill="FFFFFF"/>
        </w:rPr>
        <w:t>or example, “surprisingly the author thinks”,</w:t>
      </w:r>
      <w:r w:rsidR="00B86F9B">
        <w:rPr>
          <w:rStyle w:val="FootnoteReference"/>
          <w:rFonts w:cstheme="minorHAnsi"/>
          <w:szCs w:val="20"/>
          <w:shd w:val="clear" w:color="auto" w:fill="FFFFFF"/>
        </w:rPr>
        <w:footnoteReference w:id="28"/>
      </w:r>
      <w:r w:rsidR="00B86F9B">
        <w:rPr>
          <w:rFonts w:cstheme="minorHAnsi"/>
          <w:szCs w:val="20"/>
          <w:shd w:val="clear" w:color="auto" w:fill="FFFFFF"/>
        </w:rPr>
        <w:t xml:space="preserve"> “problematic is W.’s attempt to prove”,</w:t>
      </w:r>
      <w:r w:rsidR="00B86F9B">
        <w:rPr>
          <w:rStyle w:val="FootnoteReference"/>
          <w:rFonts w:cstheme="minorHAnsi"/>
          <w:szCs w:val="20"/>
          <w:shd w:val="clear" w:color="auto" w:fill="FFFFFF"/>
        </w:rPr>
        <w:footnoteReference w:id="29"/>
      </w:r>
      <w:r w:rsidR="00B86F9B">
        <w:rPr>
          <w:rFonts w:cstheme="minorHAnsi"/>
          <w:szCs w:val="20"/>
          <w:shd w:val="clear" w:color="auto" w:fill="FFFFFF"/>
        </w:rPr>
        <w:t xml:space="preserve"> and, “this reading seems highly questionable”</w:t>
      </w:r>
      <w:r w:rsidR="002E4B3B">
        <w:rPr>
          <w:rFonts w:cstheme="minorHAnsi"/>
          <w:szCs w:val="20"/>
          <w:shd w:val="clear" w:color="auto" w:fill="FFFFFF"/>
        </w:rPr>
        <w:t>,</w:t>
      </w:r>
      <w:r w:rsidR="00B86F9B">
        <w:rPr>
          <w:rStyle w:val="FootnoteReference"/>
          <w:rFonts w:cstheme="minorHAnsi"/>
          <w:szCs w:val="20"/>
          <w:shd w:val="clear" w:color="auto" w:fill="FFFFFF"/>
        </w:rPr>
        <w:footnoteReference w:id="30"/>
      </w:r>
      <w:r w:rsidR="002E4B3B">
        <w:rPr>
          <w:rFonts w:cstheme="minorHAnsi"/>
          <w:szCs w:val="20"/>
          <w:shd w:val="clear" w:color="auto" w:fill="FFFFFF"/>
        </w:rPr>
        <w:t xml:space="preserve"> to slightly more severe and sometimes even jarring comments, such as, “I do not see any reader either modern or ancient who could grasp the (…) concept”, “not acceptable in scholarly prose”.</w:t>
      </w:r>
      <w:r w:rsidR="002E4B3B">
        <w:rPr>
          <w:rStyle w:val="FootnoteReference"/>
          <w:rFonts w:cstheme="minorHAnsi"/>
          <w:szCs w:val="20"/>
          <w:shd w:val="clear" w:color="auto" w:fill="FFFFFF"/>
        </w:rPr>
        <w:footnoteReference w:id="31"/>
      </w:r>
      <w:r w:rsidR="00BC352C">
        <w:rPr>
          <w:rFonts w:cstheme="minorHAnsi"/>
          <w:szCs w:val="20"/>
          <w:shd w:val="clear" w:color="auto" w:fill="FFFFFF"/>
        </w:rPr>
        <w:t xml:space="preserve"> </w:t>
      </w:r>
    </w:p>
    <w:p w14:paraId="7B739F6A" w14:textId="5357D13B" w:rsidR="00957B02" w:rsidRDefault="006F3CA2">
      <w:pPr>
        <w:rPr>
          <w:rFonts w:cstheme="minorHAnsi"/>
          <w:szCs w:val="20"/>
          <w:shd w:val="clear" w:color="auto" w:fill="FFFFFF"/>
        </w:rPr>
      </w:pPr>
      <w:r>
        <w:rPr>
          <w:rFonts w:cstheme="minorHAnsi"/>
          <w:szCs w:val="20"/>
          <w:shd w:val="clear" w:color="auto" w:fill="FFFFFF"/>
        </w:rPr>
        <w:t>From the sample analysis</w:t>
      </w:r>
      <w:r w:rsidR="00DE2C8B">
        <w:rPr>
          <w:rFonts w:cstheme="minorHAnsi"/>
          <w:szCs w:val="20"/>
          <w:shd w:val="clear" w:color="auto" w:fill="FFFFFF"/>
        </w:rPr>
        <w:t xml:space="preserve"> of the reviews</w:t>
      </w:r>
      <w:r>
        <w:rPr>
          <w:rFonts w:cstheme="minorHAnsi"/>
          <w:szCs w:val="20"/>
          <w:shd w:val="clear" w:color="auto" w:fill="FFFFFF"/>
        </w:rPr>
        <w:t xml:space="preserve"> it </w:t>
      </w:r>
      <w:r w:rsidR="00DE2C8B">
        <w:rPr>
          <w:rFonts w:cstheme="minorHAnsi"/>
          <w:szCs w:val="20"/>
          <w:shd w:val="clear" w:color="auto" w:fill="FFFFFF"/>
        </w:rPr>
        <w:t>becomes</w:t>
      </w:r>
      <w:r>
        <w:rPr>
          <w:rFonts w:cstheme="minorHAnsi"/>
          <w:szCs w:val="20"/>
          <w:shd w:val="clear" w:color="auto" w:fill="FFFFFF"/>
        </w:rPr>
        <w:t xml:space="preserve"> apparent a wide variety of everyday aspects can influence scholarship</w:t>
      </w:r>
      <w:r w:rsidR="00DE2C8B">
        <w:rPr>
          <w:rFonts w:cstheme="minorHAnsi"/>
          <w:szCs w:val="20"/>
          <w:shd w:val="clear" w:color="auto" w:fill="FFFFFF"/>
        </w:rPr>
        <w:t>. Trends can develop during certain periods which are connected to societal ideologies changing or</w:t>
      </w:r>
      <w:r w:rsidR="00F9078A">
        <w:rPr>
          <w:rFonts w:cstheme="minorHAnsi"/>
          <w:szCs w:val="20"/>
          <w:shd w:val="clear" w:color="auto" w:fill="FFFFFF"/>
        </w:rPr>
        <w:t xml:space="preserve"> adapting</w:t>
      </w:r>
      <w:r w:rsidR="00DE2C8B">
        <w:rPr>
          <w:rFonts w:cstheme="minorHAnsi"/>
          <w:szCs w:val="20"/>
          <w:shd w:val="clear" w:color="auto" w:fill="FFFFFF"/>
        </w:rPr>
        <w:t>. These trends can then direct attention toward specific topics and focus the majority of scholarly interest for that time period. Influential and pioneering scholars, as well as colleagues that scholars work alongside, can significantly impact the personal stance individuals might choose to take in a polarising debate. The country that a scholar is born in can limit the reach of their work due to language barriers and confusion caused by this.</w:t>
      </w:r>
      <w:r w:rsidR="000B3D53">
        <w:rPr>
          <w:rFonts w:cstheme="minorHAnsi"/>
          <w:szCs w:val="20"/>
          <w:shd w:val="clear" w:color="auto" w:fill="FFFFFF"/>
        </w:rPr>
        <w:t xml:space="preserve"> Earlier practices in scholarship can have significant and unforeseeable effects which take generations to come to fruition and even longer to dismantle or eradicate. </w:t>
      </w:r>
      <w:r w:rsidR="00DE2C8B">
        <w:rPr>
          <w:rFonts w:cstheme="minorHAnsi"/>
          <w:szCs w:val="20"/>
          <w:shd w:val="clear" w:color="auto" w:fill="FFFFFF"/>
        </w:rPr>
        <w:t xml:space="preserve">An individual’s background can shape the way in which they form opinions </w:t>
      </w:r>
      <w:r w:rsidR="009E3FBB">
        <w:rPr>
          <w:rFonts w:cstheme="minorHAnsi"/>
          <w:szCs w:val="20"/>
          <w:shd w:val="clear" w:color="auto" w:fill="FFFFFF"/>
        </w:rPr>
        <w:t>as regards to the work of others. All of these factors work concurrently, subconsciously and consciously throughout the life of a scholar. All of them can change and adapt gradually or abruptly. It is arguably impossible to separate oneself from both the internal and external factors</w:t>
      </w:r>
      <w:r w:rsidR="00FD2513">
        <w:rPr>
          <w:rFonts w:cstheme="minorHAnsi"/>
          <w:szCs w:val="20"/>
          <w:shd w:val="clear" w:color="auto" w:fill="FFFFFF"/>
        </w:rPr>
        <w:t>,</w:t>
      </w:r>
      <w:r w:rsidR="009E3FBB">
        <w:rPr>
          <w:rFonts w:cstheme="minorHAnsi"/>
          <w:szCs w:val="20"/>
          <w:shd w:val="clear" w:color="auto" w:fill="FFFFFF"/>
        </w:rPr>
        <w:t xml:space="preserve"> which can</w:t>
      </w:r>
      <w:r w:rsidR="00FD2513">
        <w:rPr>
          <w:rFonts w:cstheme="minorHAnsi"/>
          <w:szCs w:val="20"/>
          <w:shd w:val="clear" w:color="auto" w:fill="FFFFFF"/>
        </w:rPr>
        <w:t>,</w:t>
      </w:r>
      <w:r w:rsidR="009E3FBB">
        <w:rPr>
          <w:rFonts w:cstheme="minorHAnsi"/>
          <w:szCs w:val="20"/>
          <w:shd w:val="clear" w:color="auto" w:fill="FFFFFF"/>
        </w:rPr>
        <w:t xml:space="preserve"> and will inevitably impact interpretation.</w:t>
      </w:r>
      <w:r w:rsidR="005D6790">
        <w:rPr>
          <w:rFonts w:cstheme="minorHAnsi"/>
          <w:szCs w:val="20"/>
          <w:shd w:val="clear" w:color="auto" w:fill="FFFFFF"/>
        </w:rPr>
        <w:t xml:space="preserve"> What effect does this conclusion have on scholarship?</w:t>
      </w:r>
    </w:p>
    <w:p w14:paraId="044E6E1E" w14:textId="4FE319D6" w:rsidR="003C46BE" w:rsidRDefault="003C46BE">
      <w:pPr>
        <w:rPr>
          <w:rFonts w:cstheme="minorHAnsi"/>
          <w:szCs w:val="20"/>
          <w:shd w:val="clear" w:color="auto" w:fill="FFFFFF"/>
        </w:rPr>
      </w:pPr>
    </w:p>
    <w:p w14:paraId="566315A3" w14:textId="0684B5C3" w:rsidR="003C46BE" w:rsidRPr="003C46BE" w:rsidRDefault="003C46BE">
      <w:pPr>
        <w:rPr>
          <w:rFonts w:cstheme="minorHAnsi"/>
          <w:sz w:val="24"/>
          <w:szCs w:val="20"/>
          <w:u w:val="single"/>
          <w:shd w:val="clear" w:color="auto" w:fill="FFFFFF"/>
        </w:rPr>
      </w:pPr>
      <w:r w:rsidRPr="003C46BE">
        <w:rPr>
          <w:rFonts w:cstheme="minorHAnsi"/>
          <w:sz w:val="24"/>
          <w:szCs w:val="20"/>
          <w:u w:val="single"/>
          <w:shd w:val="clear" w:color="auto" w:fill="FFFFFF"/>
        </w:rPr>
        <w:t>Part Four: Changing Approaches:</w:t>
      </w:r>
    </w:p>
    <w:p w14:paraId="2C3DB961" w14:textId="325445C9" w:rsidR="003C46BE" w:rsidRDefault="00FE70CA">
      <w:pPr>
        <w:rPr>
          <w:rFonts w:cstheme="minorHAnsi"/>
          <w:szCs w:val="20"/>
          <w:shd w:val="clear" w:color="auto" w:fill="FFFFFF"/>
        </w:rPr>
      </w:pPr>
      <w:r>
        <w:rPr>
          <w:rFonts w:cstheme="minorHAnsi"/>
          <w:szCs w:val="20"/>
          <w:shd w:val="clear" w:color="auto" w:fill="FFFFFF"/>
        </w:rPr>
        <w:t xml:space="preserve">Due to restrictive regulation of the classical discipline, </w:t>
      </w:r>
      <w:r w:rsidR="000F0887">
        <w:rPr>
          <w:rFonts w:cstheme="minorHAnsi"/>
          <w:szCs w:val="20"/>
          <w:shd w:val="clear" w:color="auto" w:fill="FFFFFF"/>
        </w:rPr>
        <w:t xml:space="preserve">which </w:t>
      </w:r>
      <w:r>
        <w:rPr>
          <w:rFonts w:cstheme="minorHAnsi"/>
          <w:szCs w:val="20"/>
          <w:shd w:val="clear" w:color="auto" w:fill="FFFFFF"/>
        </w:rPr>
        <w:t>expect</w:t>
      </w:r>
      <w:r w:rsidR="00E132CA">
        <w:rPr>
          <w:rFonts w:cstheme="minorHAnsi"/>
          <w:szCs w:val="20"/>
          <w:shd w:val="clear" w:color="auto" w:fill="FFFFFF"/>
        </w:rPr>
        <w:t>s</w:t>
      </w:r>
      <w:r>
        <w:rPr>
          <w:rFonts w:cstheme="minorHAnsi"/>
          <w:szCs w:val="20"/>
          <w:shd w:val="clear" w:color="auto" w:fill="FFFFFF"/>
        </w:rPr>
        <w:t xml:space="preserve"> an unnatural level of objectivit</w:t>
      </w:r>
      <w:r w:rsidR="000F0887">
        <w:rPr>
          <w:rFonts w:cstheme="minorHAnsi"/>
          <w:szCs w:val="20"/>
          <w:shd w:val="clear" w:color="auto" w:fill="FFFFFF"/>
        </w:rPr>
        <w:t>y</w:t>
      </w:r>
      <w:r>
        <w:rPr>
          <w:rFonts w:cstheme="minorHAnsi"/>
          <w:szCs w:val="20"/>
          <w:shd w:val="clear" w:color="auto" w:fill="FFFFFF"/>
        </w:rPr>
        <w:t xml:space="preserve">, a desire to reassess the value of traditionalist approaches has been provoked. </w:t>
      </w:r>
      <w:r w:rsidR="007D7D09">
        <w:rPr>
          <w:rFonts w:cstheme="minorHAnsi"/>
          <w:szCs w:val="20"/>
          <w:shd w:val="clear" w:color="auto" w:fill="FFFFFF"/>
        </w:rPr>
        <w:t>In more recent years a number of scholars</w:t>
      </w:r>
      <w:r w:rsidR="000F0887">
        <w:rPr>
          <w:rFonts w:cstheme="minorHAnsi"/>
          <w:szCs w:val="20"/>
          <w:shd w:val="clear" w:color="auto" w:fill="FFFFFF"/>
        </w:rPr>
        <w:t>, such as Marylin Skinner and Nancy Miller,</w:t>
      </w:r>
      <w:r w:rsidR="007D7D09">
        <w:rPr>
          <w:rFonts w:cstheme="minorHAnsi"/>
          <w:szCs w:val="20"/>
          <w:shd w:val="clear" w:color="auto" w:fill="FFFFFF"/>
        </w:rPr>
        <w:t xml:space="preserve"> have begun to investigate alternative approaches to researching, writing and engaging </w:t>
      </w:r>
      <w:r>
        <w:rPr>
          <w:rFonts w:cstheme="minorHAnsi"/>
          <w:szCs w:val="20"/>
          <w:shd w:val="clear" w:color="auto" w:fill="FFFFFF"/>
        </w:rPr>
        <w:t>with</w:t>
      </w:r>
      <w:r w:rsidR="007D7D09">
        <w:rPr>
          <w:rFonts w:cstheme="minorHAnsi"/>
          <w:szCs w:val="20"/>
          <w:shd w:val="clear" w:color="auto" w:fill="FFFFFF"/>
        </w:rPr>
        <w:t xml:space="preserve"> scholarship. </w:t>
      </w:r>
      <w:r>
        <w:rPr>
          <w:rFonts w:cstheme="minorHAnsi"/>
          <w:szCs w:val="20"/>
          <w:shd w:val="clear" w:color="auto" w:fill="FFFFFF"/>
        </w:rPr>
        <w:t>It is f</w:t>
      </w:r>
      <w:r w:rsidR="007D7D09">
        <w:rPr>
          <w:rFonts w:cstheme="minorHAnsi"/>
          <w:szCs w:val="20"/>
          <w:shd w:val="clear" w:color="auto" w:fill="FFFFFF"/>
        </w:rPr>
        <w:t xml:space="preserve">rom these </w:t>
      </w:r>
      <w:r w:rsidR="0031732E">
        <w:rPr>
          <w:rFonts w:cstheme="minorHAnsi"/>
          <w:szCs w:val="20"/>
          <w:shd w:val="clear" w:color="auto" w:fill="FFFFFF"/>
        </w:rPr>
        <w:t>inquiries</w:t>
      </w:r>
      <w:r>
        <w:rPr>
          <w:rFonts w:cstheme="minorHAnsi"/>
          <w:szCs w:val="20"/>
          <w:shd w:val="clear" w:color="auto" w:fill="FFFFFF"/>
        </w:rPr>
        <w:t>,</w:t>
      </w:r>
      <w:r w:rsidR="007D7D09">
        <w:rPr>
          <w:rFonts w:cstheme="minorHAnsi"/>
          <w:szCs w:val="20"/>
          <w:shd w:val="clear" w:color="auto" w:fill="FFFFFF"/>
        </w:rPr>
        <w:t xml:space="preserve"> original and refreshing methodologies and theories have emerged. </w:t>
      </w:r>
      <w:r w:rsidR="002B2CEE">
        <w:rPr>
          <w:rFonts w:cstheme="minorHAnsi"/>
          <w:szCs w:val="20"/>
          <w:shd w:val="clear" w:color="auto" w:fill="FFFFFF"/>
        </w:rPr>
        <w:t>One key element for a number of such theories is the acknowledgement of what impacts and influences scholars.</w:t>
      </w:r>
      <w:r w:rsidR="0031732E">
        <w:rPr>
          <w:rFonts w:cstheme="minorHAnsi"/>
          <w:szCs w:val="20"/>
          <w:shd w:val="clear" w:color="auto" w:fill="FFFFFF"/>
        </w:rPr>
        <w:t xml:space="preserve"> In </w:t>
      </w:r>
      <w:r w:rsidR="0031732E">
        <w:rPr>
          <w:rFonts w:cstheme="minorHAnsi"/>
          <w:szCs w:val="20"/>
          <w:shd w:val="clear" w:color="auto" w:fill="FFFFFF"/>
        </w:rPr>
        <w:lastRenderedPageBreak/>
        <w:t xml:space="preserve">order to better understand the deviation of these newer theories it is important to first establish what can been seen as the ‘traditional’ approach. </w:t>
      </w:r>
    </w:p>
    <w:p w14:paraId="4C420AD3" w14:textId="25962BD0" w:rsidR="00F9078A" w:rsidRDefault="001264E1">
      <w:pPr>
        <w:rPr>
          <w:rFonts w:cstheme="minorHAnsi"/>
          <w:szCs w:val="20"/>
          <w:shd w:val="clear" w:color="auto" w:fill="FFFFFF"/>
        </w:rPr>
      </w:pPr>
      <w:r>
        <w:rPr>
          <w:rFonts w:cstheme="minorHAnsi"/>
          <w:szCs w:val="20"/>
          <w:shd w:val="clear" w:color="auto" w:fill="FFFFFF"/>
        </w:rPr>
        <w:t xml:space="preserve">As outlined by Felix Budelmann and Johannes </w:t>
      </w:r>
      <w:proofErr w:type="spellStart"/>
      <w:r>
        <w:rPr>
          <w:rFonts w:cstheme="minorHAnsi"/>
          <w:szCs w:val="20"/>
          <w:shd w:val="clear" w:color="auto" w:fill="FFFFFF"/>
        </w:rPr>
        <w:t>Haubold</w:t>
      </w:r>
      <w:proofErr w:type="spellEnd"/>
      <w:r>
        <w:rPr>
          <w:rFonts w:cstheme="minorHAnsi"/>
          <w:szCs w:val="20"/>
          <w:shd w:val="clear" w:color="auto" w:fill="FFFFFF"/>
        </w:rPr>
        <w:t xml:space="preserve">, the distinguished and most often understood form of ‘classical tradition’ is frequently associated with </w:t>
      </w:r>
      <w:r w:rsidR="002C17F6">
        <w:rPr>
          <w:rFonts w:cstheme="minorHAnsi"/>
          <w:szCs w:val="20"/>
          <w:shd w:val="clear" w:color="auto" w:fill="FFFFFF"/>
        </w:rPr>
        <w:t>both archaic conservative attitudes and pretentious elitism.</w:t>
      </w:r>
      <w:r w:rsidR="002C17F6">
        <w:rPr>
          <w:rStyle w:val="FootnoteReference"/>
          <w:rFonts w:cstheme="minorHAnsi"/>
          <w:szCs w:val="20"/>
          <w:shd w:val="clear" w:color="auto" w:fill="FFFFFF"/>
        </w:rPr>
        <w:footnoteReference w:id="32"/>
      </w:r>
      <w:r w:rsidR="002C17F6">
        <w:rPr>
          <w:rFonts w:cstheme="minorHAnsi"/>
          <w:szCs w:val="20"/>
          <w:shd w:val="clear" w:color="auto" w:fill="FFFFFF"/>
        </w:rPr>
        <w:t xml:space="preserve"> The reason behind such associations is complex and deeply rooted in the history of the discipline. Classics as an area of research and study began as a way for western countries to legitimise ideological assumptions of </w:t>
      </w:r>
      <w:r w:rsidR="00E62C12">
        <w:rPr>
          <w:rFonts w:cstheme="minorHAnsi"/>
          <w:szCs w:val="20"/>
          <w:shd w:val="clear" w:color="auto" w:fill="FFFFFF"/>
        </w:rPr>
        <w:t xml:space="preserve">national and historical </w:t>
      </w:r>
      <w:r w:rsidR="002C17F6">
        <w:rPr>
          <w:rFonts w:cstheme="minorHAnsi"/>
          <w:szCs w:val="20"/>
          <w:shd w:val="clear" w:color="auto" w:fill="FFFFFF"/>
        </w:rPr>
        <w:t>superiority.</w:t>
      </w:r>
      <w:r w:rsidR="002C17F6">
        <w:rPr>
          <w:rStyle w:val="FootnoteReference"/>
          <w:rFonts w:cstheme="minorHAnsi"/>
          <w:szCs w:val="20"/>
          <w:shd w:val="clear" w:color="auto" w:fill="FFFFFF"/>
        </w:rPr>
        <w:footnoteReference w:id="33"/>
      </w:r>
      <w:r w:rsidR="001538E8">
        <w:rPr>
          <w:rFonts w:cstheme="minorHAnsi"/>
          <w:szCs w:val="20"/>
          <w:shd w:val="clear" w:color="auto" w:fill="FFFFFF"/>
        </w:rPr>
        <w:t xml:space="preserve"> From the rediscovery of the classical world western countries, particularly that of the U</w:t>
      </w:r>
      <w:r w:rsidR="005A711F">
        <w:rPr>
          <w:rFonts w:cstheme="minorHAnsi"/>
          <w:szCs w:val="20"/>
          <w:shd w:val="clear" w:color="auto" w:fill="FFFFFF"/>
        </w:rPr>
        <w:t>K</w:t>
      </w:r>
      <w:r w:rsidR="001538E8">
        <w:rPr>
          <w:rFonts w:cstheme="minorHAnsi"/>
          <w:szCs w:val="20"/>
          <w:shd w:val="clear" w:color="auto" w:fill="FFFFFF"/>
        </w:rPr>
        <w:t xml:space="preserve">, have romanticised and glorified the ancient past as a way to enforce self-defined greatness. The way this was achieved was through the assimilation of the ancient past as the </w:t>
      </w:r>
      <w:r w:rsidR="005407F9">
        <w:rPr>
          <w:rFonts w:cstheme="minorHAnsi"/>
          <w:szCs w:val="20"/>
          <w:shd w:val="clear" w:color="auto" w:fill="FFFFFF"/>
        </w:rPr>
        <w:t>western</w:t>
      </w:r>
      <w:r w:rsidR="001538E8">
        <w:rPr>
          <w:rFonts w:cstheme="minorHAnsi"/>
          <w:szCs w:val="20"/>
          <w:shd w:val="clear" w:color="auto" w:fill="FFFFFF"/>
        </w:rPr>
        <w:t xml:space="preserve"> past. The Roman Empire and the British Empire were understood as sharing in the same, “historical continuity”.</w:t>
      </w:r>
      <w:r w:rsidR="001538E8">
        <w:rPr>
          <w:rStyle w:val="FootnoteReference"/>
          <w:rFonts w:cstheme="minorHAnsi"/>
          <w:szCs w:val="20"/>
          <w:shd w:val="clear" w:color="auto" w:fill="FFFFFF"/>
        </w:rPr>
        <w:footnoteReference w:id="34"/>
      </w:r>
      <w:r w:rsidR="0011080B">
        <w:rPr>
          <w:rFonts w:cstheme="minorHAnsi"/>
          <w:szCs w:val="20"/>
          <w:shd w:val="clear" w:color="auto" w:fill="FFFFFF"/>
        </w:rPr>
        <w:t xml:space="preserve"> Our most obvious example</w:t>
      </w:r>
      <w:r w:rsidR="00E62C12">
        <w:rPr>
          <w:rFonts w:cstheme="minorHAnsi"/>
          <w:szCs w:val="20"/>
          <w:shd w:val="clear" w:color="auto" w:fill="FFFFFF"/>
        </w:rPr>
        <w:t>,</w:t>
      </w:r>
      <w:r w:rsidR="0011080B">
        <w:rPr>
          <w:rFonts w:cstheme="minorHAnsi"/>
          <w:szCs w:val="20"/>
          <w:shd w:val="clear" w:color="auto" w:fill="FFFFFF"/>
        </w:rPr>
        <w:t xml:space="preserve"> of these ideologies being expressed in scholarship</w:t>
      </w:r>
      <w:r w:rsidR="00E62C12">
        <w:rPr>
          <w:rFonts w:cstheme="minorHAnsi"/>
          <w:szCs w:val="20"/>
          <w:shd w:val="clear" w:color="auto" w:fill="FFFFFF"/>
        </w:rPr>
        <w:t>,</w:t>
      </w:r>
      <w:r w:rsidR="0011080B">
        <w:rPr>
          <w:rFonts w:cstheme="minorHAnsi"/>
          <w:szCs w:val="20"/>
          <w:shd w:val="clear" w:color="auto" w:fill="FFFFFF"/>
        </w:rPr>
        <w:t xml:space="preserve"> comes from the series entitled, ‘</w:t>
      </w:r>
      <w:r w:rsidR="0011080B">
        <w:rPr>
          <w:rFonts w:cstheme="minorHAnsi"/>
          <w:i/>
          <w:szCs w:val="20"/>
          <w:shd w:val="clear" w:color="auto" w:fill="FFFFFF"/>
        </w:rPr>
        <w:t>Our Debt to Greece and Rome’.</w:t>
      </w:r>
      <w:r w:rsidR="0011080B">
        <w:rPr>
          <w:rFonts w:cstheme="minorHAnsi"/>
          <w:szCs w:val="20"/>
          <w:shd w:val="clear" w:color="auto" w:fill="FFFFFF"/>
        </w:rPr>
        <w:t xml:space="preserve"> Published from the </w:t>
      </w:r>
      <w:r w:rsidR="00DA4F6F">
        <w:rPr>
          <w:rFonts w:cstheme="minorHAnsi"/>
          <w:szCs w:val="20"/>
          <w:shd w:val="clear" w:color="auto" w:fill="FFFFFF"/>
        </w:rPr>
        <w:t xml:space="preserve">1920s </w:t>
      </w:r>
      <w:r w:rsidR="0011080B">
        <w:rPr>
          <w:rFonts w:cstheme="minorHAnsi"/>
          <w:szCs w:val="20"/>
          <w:shd w:val="clear" w:color="auto" w:fill="FFFFFF"/>
        </w:rPr>
        <w:t>onwards the volumes included serve to link every aspect of the then modern world to that of an ancient origin.</w:t>
      </w:r>
      <w:r w:rsidR="0004176D">
        <w:rPr>
          <w:rFonts w:cstheme="minorHAnsi"/>
          <w:szCs w:val="20"/>
          <w:shd w:val="clear" w:color="auto" w:fill="FFFFFF"/>
        </w:rPr>
        <w:t xml:space="preserve"> The consistent theme and reminder present throughout express the great debt we owe these two great civilisations. Contemporary reception of the series regarded it to be, “an excellent body of illuminating material”</w:t>
      </w:r>
      <w:r w:rsidR="006869D0">
        <w:rPr>
          <w:rFonts w:cstheme="minorHAnsi"/>
          <w:szCs w:val="20"/>
          <w:shd w:val="clear" w:color="auto" w:fill="FFFFFF"/>
        </w:rPr>
        <w:t>, further showing how embedded these ideologies had become</w:t>
      </w:r>
      <w:r w:rsidR="0004176D">
        <w:rPr>
          <w:rFonts w:cstheme="minorHAnsi"/>
          <w:szCs w:val="20"/>
          <w:shd w:val="clear" w:color="auto" w:fill="FFFFFF"/>
        </w:rPr>
        <w:t>.</w:t>
      </w:r>
      <w:r w:rsidR="0004176D">
        <w:rPr>
          <w:rStyle w:val="FootnoteReference"/>
          <w:rFonts w:cstheme="minorHAnsi"/>
          <w:szCs w:val="20"/>
          <w:shd w:val="clear" w:color="auto" w:fill="FFFFFF"/>
        </w:rPr>
        <w:footnoteReference w:id="35"/>
      </w:r>
      <w:r w:rsidR="00FC703C">
        <w:rPr>
          <w:rFonts w:cstheme="minorHAnsi"/>
          <w:szCs w:val="20"/>
          <w:shd w:val="clear" w:color="auto" w:fill="FFFFFF"/>
        </w:rPr>
        <w:t xml:space="preserve"> </w:t>
      </w:r>
    </w:p>
    <w:p w14:paraId="0E1AB2D0" w14:textId="0A14AF24" w:rsidR="007D4CC7" w:rsidRDefault="00FC703C">
      <w:pPr>
        <w:rPr>
          <w:rFonts w:cstheme="minorHAnsi"/>
          <w:szCs w:val="20"/>
          <w:shd w:val="clear" w:color="auto" w:fill="FFFFFF"/>
        </w:rPr>
      </w:pPr>
      <w:r>
        <w:rPr>
          <w:rFonts w:cstheme="minorHAnsi"/>
          <w:szCs w:val="20"/>
          <w:shd w:val="clear" w:color="auto" w:fill="FFFFFF"/>
        </w:rPr>
        <w:t>When such ideologies have a significant role in shaping the views and practices of a discipline</w:t>
      </w:r>
      <w:r w:rsidR="00905DAD">
        <w:rPr>
          <w:rFonts w:cstheme="minorHAnsi"/>
          <w:szCs w:val="20"/>
          <w:shd w:val="clear" w:color="auto" w:fill="FFFFFF"/>
        </w:rPr>
        <w:t>,</w:t>
      </w:r>
      <w:r>
        <w:rPr>
          <w:rFonts w:cstheme="minorHAnsi"/>
          <w:szCs w:val="20"/>
          <w:shd w:val="clear" w:color="auto" w:fill="FFFFFF"/>
        </w:rPr>
        <w:t xml:space="preserve"> it can be incredibly difficult to </w:t>
      </w:r>
      <w:r w:rsidR="008D6A4B">
        <w:rPr>
          <w:rFonts w:cstheme="minorHAnsi"/>
          <w:szCs w:val="20"/>
          <w:shd w:val="clear" w:color="auto" w:fill="FFFFFF"/>
        </w:rPr>
        <w:t xml:space="preserve">prevent internal prejudices forming and </w:t>
      </w:r>
      <w:r w:rsidR="00233602">
        <w:rPr>
          <w:rFonts w:cstheme="minorHAnsi"/>
          <w:szCs w:val="20"/>
          <w:shd w:val="clear" w:color="auto" w:fill="FFFFFF"/>
        </w:rPr>
        <w:t>harder still to remove them</w:t>
      </w:r>
      <w:r w:rsidR="008D6A4B">
        <w:rPr>
          <w:rFonts w:cstheme="minorHAnsi"/>
          <w:szCs w:val="20"/>
          <w:shd w:val="clear" w:color="auto" w:fill="FFFFFF"/>
        </w:rPr>
        <w:t>.</w:t>
      </w:r>
      <w:r w:rsidR="00F9078A">
        <w:rPr>
          <w:rFonts w:cstheme="minorHAnsi"/>
          <w:szCs w:val="20"/>
          <w:shd w:val="clear" w:color="auto" w:fill="FFFFFF"/>
        </w:rPr>
        <w:t xml:space="preserve"> </w:t>
      </w:r>
      <w:r w:rsidR="007D4CC7">
        <w:rPr>
          <w:rFonts w:cstheme="minorHAnsi"/>
          <w:szCs w:val="20"/>
          <w:shd w:val="clear" w:color="auto" w:fill="FFFFFF"/>
        </w:rPr>
        <w:t xml:space="preserve">It is therefore a priority to not only manage our own personal influences, bias and prejudices but also those of the wider discipline within which we work. </w:t>
      </w:r>
    </w:p>
    <w:p w14:paraId="4F53240F" w14:textId="79F4FFF6" w:rsidR="007D6607" w:rsidRDefault="007D6607">
      <w:pPr>
        <w:rPr>
          <w:rFonts w:cstheme="minorHAnsi"/>
          <w:szCs w:val="20"/>
          <w:shd w:val="clear" w:color="auto" w:fill="FFFFFF"/>
        </w:rPr>
      </w:pPr>
      <w:r>
        <w:rPr>
          <w:rFonts w:cstheme="minorHAnsi"/>
          <w:szCs w:val="20"/>
          <w:shd w:val="clear" w:color="auto" w:fill="FFFFFF"/>
        </w:rPr>
        <w:t xml:space="preserve">In attempting to deconstruct the traditional and dominant approaches to scholarship the argument for </w:t>
      </w:r>
      <w:r w:rsidR="00356565">
        <w:rPr>
          <w:rFonts w:cstheme="minorHAnsi"/>
          <w:szCs w:val="20"/>
          <w:shd w:val="clear" w:color="auto" w:fill="FFFFFF"/>
        </w:rPr>
        <w:t>p</w:t>
      </w:r>
      <w:r>
        <w:rPr>
          <w:rFonts w:cstheme="minorHAnsi"/>
          <w:szCs w:val="20"/>
          <w:shd w:val="clear" w:color="auto" w:fill="FFFFFF"/>
        </w:rPr>
        <w:t xml:space="preserve">ersonal </w:t>
      </w:r>
      <w:r w:rsidR="00356565">
        <w:rPr>
          <w:rFonts w:cstheme="minorHAnsi"/>
          <w:szCs w:val="20"/>
          <w:shd w:val="clear" w:color="auto" w:fill="FFFFFF"/>
        </w:rPr>
        <w:t>v</w:t>
      </w:r>
      <w:r>
        <w:rPr>
          <w:rFonts w:cstheme="minorHAnsi"/>
          <w:szCs w:val="20"/>
          <w:shd w:val="clear" w:color="auto" w:fill="FFFFFF"/>
        </w:rPr>
        <w:t xml:space="preserve">oice surfaced. The main focus of </w:t>
      </w:r>
      <w:r w:rsidR="00356565">
        <w:rPr>
          <w:rFonts w:cstheme="minorHAnsi"/>
          <w:szCs w:val="20"/>
          <w:shd w:val="clear" w:color="auto" w:fill="FFFFFF"/>
        </w:rPr>
        <w:t>p</w:t>
      </w:r>
      <w:r>
        <w:rPr>
          <w:rFonts w:cstheme="minorHAnsi"/>
          <w:szCs w:val="20"/>
          <w:shd w:val="clear" w:color="auto" w:fill="FFFFFF"/>
        </w:rPr>
        <w:t xml:space="preserve">ersonal </w:t>
      </w:r>
      <w:r w:rsidR="00356565">
        <w:rPr>
          <w:rFonts w:cstheme="minorHAnsi"/>
          <w:szCs w:val="20"/>
          <w:shd w:val="clear" w:color="auto" w:fill="FFFFFF"/>
        </w:rPr>
        <w:t>v</w:t>
      </w:r>
      <w:r>
        <w:rPr>
          <w:rFonts w:cstheme="minorHAnsi"/>
          <w:szCs w:val="20"/>
          <w:shd w:val="clear" w:color="auto" w:fill="FFFFFF"/>
        </w:rPr>
        <w:t>oice scholars is to identify their own experiences, past and influences that have governed their scholarly efforts.</w:t>
      </w:r>
      <w:r>
        <w:rPr>
          <w:rStyle w:val="FootnoteReference"/>
          <w:rFonts w:cstheme="minorHAnsi"/>
          <w:szCs w:val="20"/>
          <w:shd w:val="clear" w:color="auto" w:fill="FFFFFF"/>
        </w:rPr>
        <w:footnoteReference w:id="36"/>
      </w:r>
      <w:r>
        <w:rPr>
          <w:rFonts w:cstheme="minorHAnsi"/>
          <w:szCs w:val="20"/>
          <w:shd w:val="clear" w:color="auto" w:fill="FFFFFF"/>
        </w:rPr>
        <w:t xml:space="preserve"> A collection of essays regarding personal voice can be found in, ‘Compromising Traditions. The Personal Voice in Classical Scholarship’.</w:t>
      </w:r>
      <w:r w:rsidR="00356565">
        <w:rPr>
          <w:rStyle w:val="FootnoteReference"/>
          <w:rFonts w:cstheme="minorHAnsi"/>
          <w:szCs w:val="20"/>
          <w:shd w:val="clear" w:color="auto" w:fill="FFFFFF"/>
        </w:rPr>
        <w:footnoteReference w:id="37"/>
      </w:r>
      <w:r w:rsidR="00356565">
        <w:rPr>
          <w:rFonts w:cstheme="minorHAnsi"/>
          <w:szCs w:val="20"/>
          <w:shd w:val="clear" w:color="auto" w:fill="FFFFFF"/>
        </w:rPr>
        <w:t xml:space="preserve"> These essays are all connected by one consistent verdict, all writing is personal. Applying this judgement as factual means the traditional expectation of, “depersonalisation”,</w:t>
      </w:r>
      <w:r w:rsidR="00356565">
        <w:rPr>
          <w:rStyle w:val="FootnoteReference"/>
          <w:rFonts w:cstheme="minorHAnsi"/>
          <w:szCs w:val="20"/>
          <w:shd w:val="clear" w:color="auto" w:fill="FFFFFF"/>
        </w:rPr>
        <w:footnoteReference w:id="38"/>
      </w:r>
      <w:r w:rsidR="00356565">
        <w:rPr>
          <w:rFonts w:cstheme="minorHAnsi"/>
          <w:szCs w:val="20"/>
          <w:shd w:val="clear" w:color="auto" w:fill="FFFFFF"/>
        </w:rPr>
        <w:t xml:space="preserve"> within classical scholarship is impossible to achieve. </w:t>
      </w:r>
    </w:p>
    <w:p w14:paraId="14016BF6" w14:textId="54F6EAD1" w:rsidR="007D6607" w:rsidRDefault="00F9078A">
      <w:pPr>
        <w:rPr>
          <w:rFonts w:cstheme="minorHAnsi"/>
          <w:szCs w:val="20"/>
          <w:shd w:val="clear" w:color="auto" w:fill="FFFFFF"/>
        </w:rPr>
      </w:pPr>
      <w:r>
        <w:rPr>
          <w:rFonts w:cstheme="minorHAnsi"/>
          <w:szCs w:val="20"/>
          <w:shd w:val="clear" w:color="auto" w:fill="FFFFFF"/>
        </w:rPr>
        <w:t>It is the nature of the world that societies are under constant reconstruction. Each societies morals, values and ideals continue to change and develop. What was onc</w:t>
      </w:r>
      <w:r w:rsidR="00220520">
        <w:rPr>
          <w:rFonts w:cstheme="minorHAnsi"/>
          <w:szCs w:val="20"/>
          <w:shd w:val="clear" w:color="auto" w:fill="FFFFFF"/>
        </w:rPr>
        <w:t xml:space="preserve">e accepted can quickly become controversial or even immoral. </w:t>
      </w:r>
      <w:r w:rsidR="004C3114">
        <w:rPr>
          <w:rFonts w:cstheme="minorHAnsi"/>
          <w:szCs w:val="20"/>
          <w:shd w:val="clear" w:color="auto" w:fill="FFFFFF"/>
        </w:rPr>
        <w:t>Within the western world there are endless examples of societal changes which have directly impacted what is seen as acceptable. These changes can come in the form of new laws, new religions and morals or simply from a majority shift in public opinion.</w:t>
      </w:r>
      <w:r w:rsidR="00CC15BF">
        <w:rPr>
          <w:rFonts w:cstheme="minorHAnsi"/>
          <w:szCs w:val="20"/>
          <w:shd w:val="clear" w:color="auto" w:fill="FFFFFF"/>
        </w:rPr>
        <w:t xml:space="preserve"> </w:t>
      </w:r>
      <w:r w:rsidR="00B163DE">
        <w:rPr>
          <w:rFonts w:cstheme="minorHAnsi"/>
          <w:szCs w:val="20"/>
          <w:shd w:val="clear" w:color="auto" w:fill="FFFFFF"/>
        </w:rPr>
        <w:t xml:space="preserve">As society becomes increasingly receptive to that which is not traditional, scholarship has diversified what it means to practice scholarly research, writing and debate. </w:t>
      </w:r>
      <w:r w:rsidR="00CC15BF">
        <w:rPr>
          <w:rFonts w:cstheme="minorHAnsi"/>
          <w:szCs w:val="20"/>
          <w:shd w:val="clear" w:color="auto" w:fill="FFFFFF"/>
        </w:rPr>
        <w:t xml:space="preserve">It is not outlandish then, to assume that as society changes so too does scholarly interpretation. </w:t>
      </w:r>
      <w:r w:rsidR="00B163DE">
        <w:rPr>
          <w:rFonts w:cstheme="minorHAnsi"/>
          <w:szCs w:val="20"/>
          <w:shd w:val="clear" w:color="auto" w:fill="FFFFFF"/>
        </w:rPr>
        <w:t>Hence a link between society and scholarship is unavoidable.</w:t>
      </w:r>
      <w:r w:rsidR="00D06557">
        <w:rPr>
          <w:rFonts w:cstheme="minorHAnsi"/>
          <w:szCs w:val="20"/>
          <w:shd w:val="clear" w:color="auto" w:fill="FFFFFF"/>
        </w:rPr>
        <w:t xml:space="preserve"> </w:t>
      </w:r>
      <w:r w:rsidR="006A111F">
        <w:rPr>
          <w:rFonts w:cstheme="minorHAnsi"/>
          <w:szCs w:val="20"/>
          <w:shd w:val="clear" w:color="auto" w:fill="FFFFFF"/>
        </w:rPr>
        <w:t>Once exposed this link</w:t>
      </w:r>
      <w:r w:rsidR="00F56465">
        <w:rPr>
          <w:rFonts w:cstheme="minorHAnsi"/>
          <w:szCs w:val="20"/>
          <w:shd w:val="clear" w:color="auto" w:fill="FFFFFF"/>
        </w:rPr>
        <w:t xml:space="preserve"> along with</w:t>
      </w:r>
      <w:r w:rsidR="006A111F">
        <w:rPr>
          <w:rFonts w:cstheme="minorHAnsi"/>
          <w:szCs w:val="20"/>
          <w:shd w:val="clear" w:color="auto" w:fill="FFFFFF"/>
        </w:rPr>
        <w:t xml:space="preserve"> the influence it can have and the effect of scholarship as a result must be taken into consideration</w:t>
      </w:r>
      <w:r w:rsidR="00217187">
        <w:rPr>
          <w:rFonts w:cstheme="minorHAnsi"/>
          <w:szCs w:val="20"/>
          <w:shd w:val="clear" w:color="auto" w:fill="FFFFFF"/>
        </w:rPr>
        <w:t xml:space="preserve">. </w:t>
      </w:r>
    </w:p>
    <w:p w14:paraId="224BD58F" w14:textId="1C25DD7C" w:rsidR="00C00096" w:rsidRDefault="000607E6">
      <w:pPr>
        <w:rPr>
          <w:rFonts w:cstheme="minorHAnsi"/>
          <w:szCs w:val="20"/>
          <w:shd w:val="clear" w:color="auto" w:fill="FFFFFF"/>
        </w:rPr>
      </w:pPr>
      <w:r>
        <w:rPr>
          <w:rFonts w:cstheme="minorHAnsi"/>
          <w:szCs w:val="20"/>
          <w:shd w:val="clear" w:color="auto" w:fill="FFFFFF"/>
        </w:rPr>
        <w:lastRenderedPageBreak/>
        <w:t>Another</w:t>
      </w:r>
      <w:r w:rsidR="00D06557">
        <w:rPr>
          <w:rFonts w:cstheme="minorHAnsi"/>
          <w:szCs w:val="20"/>
          <w:shd w:val="clear" w:color="auto" w:fill="FFFFFF"/>
        </w:rPr>
        <w:t xml:space="preserve"> early example of the, “reciprocal relation between social context and academic research”,</w:t>
      </w:r>
      <w:r w:rsidR="00D06557">
        <w:rPr>
          <w:rStyle w:val="FootnoteReference"/>
          <w:rFonts w:cstheme="minorHAnsi"/>
          <w:szCs w:val="20"/>
          <w:shd w:val="clear" w:color="auto" w:fill="FFFFFF"/>
        </w:rPr>
        <w:footnoteReference w:id="39"/>
      </w:r>
      <w:r w:rsidR="00D06557">
        <w:rPr>
          <w:rFonts w:cstheme="minorHAnsi"/>
          <w:szCs w:val="20"/>
          <w:shd w:val="clear" w:color="auto" w:fill="FFFFFF"/>
        </w:rPr>
        <w:t xml:space="preserve"> can be seen by the rise of feminist approaches and methodologies following second wave feminism during the </w:t>
      </w:r>
      <w:r w:rsidR="00DA4F6F">
        <w:rPr>
          <w:rFonts w:cstheme="minorHAnsi"/>
          <w:szCs w:val="20"/>
          <w:shd w:val="clear" w:color="auto" w:fill="FFFFFF"/>
        </w:rPr>
        <w:t>1960s</w:t>
      </w:r>
      <w:r w:rsidR="00D06557">
        <w:rPr>
          <w:rFonts w:cstheme="minorHAnsi"/>
          <w:szCs w:val="20"/>
          <w:shd w:val="clear" w:color="auto" w:fill="FFFFFF"/>
        </w:rPr>
        <w:t xml:space="preserve"> through to the </w:t>
      </w:r>
      <w:r w:rsidR="00DA4F6F">
        <w:rPr>
          <w:rFonts w:cstheme="minorHAnsi"/>
          <w:szCs w:val="20"/>
          <w:shd w:val="clear" w:color="auto" w:fill="FFFFFF"/>
        </w:rPr>
        <w:t>1980s</w:t>
      </w:r>
      <w:r w:rsidR="00D06557">
        <w:rPr>
          <w:rFonts w:cstheme="minorHAnsi"/>
          <w:szCs w:val="20"/>
          <w:shd w:val="clear" w:color="auto" w:fill="FFFFFF"/>
        </w:rPr>
        <w:t>.</w:t>
      </w:r>
      <w:r w:rsidR="0065337F">
        <w:rPr>
          <w:rFonts w:cstheme="minorHAnsi"/>
          <w:szCs w:val="20"/>
          <w:shd w:val="clear" w:color="auto" w:fill="FFFFFF"/>
        </w:rPr>
        <w:t xml:space="preserve"> After experiencing freedoms due to the second world war, women began to garner more recognition and significance in society. As a result, questions began to emerge regarding male centrism. In terms of the academic sphere female scholars now began to consider how much influence males had on</w:t>
      </w:r>
      <w:r w:rsidR="00121BA8">
        <w:rPr>
          <w:rFonts w:cstheme="minorHAnsi"/>
          <w:szCs w:val="20"/>
          <w:shd w:val="clear" w:color="auto" w:fill="FFFFFF"/>
        </w:rPr>
        <w:t xml:space="preserve"> research topics, methods and reception.</w:t>
      </w:r>
      <w:r w:rsidR="002314BC">
        <w:rPr>
          <w:rFonts w:cstheme="minorHAnsi"/>
          <w:szCs w:val="20"/>
          <w:shd w:val="clear" w:color="auto" w:fill="FFFFFF"/>
        </w:rPr>
        <w:t xml:space="preserve"> When the primary texts were written, translated and interpreted by males it is easy to make the comment that, “men have been the spokesmen for human consciousness”.</w:t>
      </w:r>
      <w:r w:rsidR="002314BC">
        <w:rPr>
          <w:rStyle w:val="FootnoteReference"/>
          <w:rFonts w:cstheme="minorHAnsi"/>
          <w:szCs w:val="20"/>
          <w:shd w:val="clear" w:color="auto" w:fill="FFFFFF"/>
        </w:rPr>
        <w:footnoteReference w:id="40"/>
      </w:r>
    </w:p>
    <w:p w14:paraId="64F35B58" w14:textId="2C7EC1D6" w:rsidR="00620DE1" w:rsidRDefault="00136C16">
      <w:pPr>
        <w:rPr>
          <w:rFonts w:cstheme="minorHAnsi"/>
          <w:szCs w:val="20"/>
          <w:shd w:val="clear" w:color="auto" w:fill="FFFFFF"/>
        </w:rPr>
      </w:pPr>
      <w:r>
        <w:rPr>
          <w:rFonts w:cstheme="minorHAnsi"/>
          <w:szCs w:val="20"/>
          <w:shd w:val="clear" w:color="auto" w:fill="FFFFFF"/>
        </w:rPr>
        <w:t>A collection of work entitled, ‘The Effects of Feminist Approaches on Research Methodologies’,</w:t>
      </w:r>
      <w:r w:rsidR="00356565">
        <w:rPr>
          <w:rStyle w:val="FootnoteReference"/>
          <w:rFonts w:cstheme="minorHAnsi"/>
          <w:szCs w:val="20"/>
          <w:shd w:val="clear" w:color="auto" w:fill="FFFFFF"/>
        </w:rPr>
        <w:footnoteReference w:id="41"/>
      </w:r>
      <w:r>
        <w:rPr>
          <w:rFonts w:cstheme="minorHAnsi"/>
          <w:szCs w:val="20"/>
          <w:shd w:val="clear" w:color="auto" w:fill="FFFFFF"/>
        </w:rPr>
        <w:t xml:space="preserve"> gathers together various essays written by a variety of contributors. The collection includes a diverse multi-disciplinary discussion that aims to reflect upon how feminism has contributed to the development of new theories and methodologies. Across all the essays incorporated within the collection a number of key themes emerge. </w:t>
      </w:r>
      <w:r w:rsidR="00824C58">
        <w:rPr>
          <w:rFonts w:cstheme="minorHAnsi"/>
          <w:szCs w:val="20"/>
          <w:shd w:val="clear" w:color="auto" w:fill="FFFFFF"/>
        </w:rPr>
        <w:t>Firstly, a movement toward the identification of self-subjectivity in order to encourage increased efforts of self-scrutiny.</w:t>
      </w:r>
      <w:r w:rsidR="00824C58">
        <w:rPr>
          <w:rStyle w:val="FootnoteReference"/>
          <w:rFonts w:cstheme="minorHAnsi"/>
          <w:szCs w:val="20"/>
          <w:shd w:val="clear" w:color="auto" w:fill="FFFFFF"/>
        </w:rPr>
        <w:footnoteReference w:id="42"/>
      </w:r>
      <w:r w:rsidR="00824C58">
        <w:rPr>
          <w:rFonts w:cstheme="minorHAnsi"/>
          <w:szCs w:val="20"/>
          <w:shd w:val="clear" w:color="auto" w:fill="FFFFFF"/>
        </w:rPr>
        <w:t xml:space="preserve"> As well as the notion of placing the researcher in the research and including the individual in analysis.</w:t>
      </w:r>
      <w:r w:rsidR="00824C58">
        <w:rPr>
          <w:rStyle w:val="FootnoteReference"/>
          <w:rFonts w:cstheme="minorHAnsi"/>
          <w:szCs w:val="20"/>
          <w:shd w:val="clear" w:color="auto" w:fill="FFFFFF"/>
        </w:rPr>
        <w:footnoteReference w:id="43"/>
      </w:r>
      <w:r w:rsidR="00824C58">
        <w:rPr>
          <w:rFonts w:cstheme="minorHAnsi"/>
          <w:szCs w:val="20"/>
          <w:shd w:val="clear" w:color="auto" w:fill="FFFFFF"/>
        </w:rPr>
        <w:t xml:space="preserve"> There is also a strong argument made for actively placing scholarship with</w:t>
      </w:r>
      <w:r w:rsidR="005A02AC">
        <w:rPr>
          <w:rFonts w:cstheme="minorHAnsi"/>
          <w:szCs w:val="20"/>
          <w:shd w:val="clear" w:color="auto" w:fill="FFFFFF"/>
        </w:rPr>
        <w:t>in</w:t>
      </w:r>
      <w:r w:rsidR="00824C58">
        <w:rPr>
          <w:rFonts w:cstheme="minorHAnsi"/>
          <w:szCs w:val="20"/>
          <w:shd w:val="clear" w:color="auto" w:fill="FFFFFF"/>
        </w:rPr>
        <w:t xml:space="preserve"> the social context in which it is produced. It is suggested in doing so the intricate and often convoluted social phenomena against the background of which scholars write</w:t>
      </w:r>
      <w:r w:rsidR="00A54F79">
        <w:rPr>
          <w:rFonts w:cstheme="minorHAnsi"/>
          <w:szCs w:val="20"/>
          <w:shd w:val="clear" w:color="auto" w:fill="FFFFFF"/>
        </w:rPr>
        <w:t>,</w:t>
      </w:r>
      <w:r w:rsidR="00824C58">
        <w:rPr>
          <w:rFonts w:cstheme="minorHAnsi"/>
          <w:szCs w:val="20"/>
          <w:shd w:val="clear" w:color="auto" w:fill="FFFFFF"/>
        </w:rPr>
        <w:t xml:space="preserve"> can be better uncovered both immediately and in later years, to the benefit of all.</w:t>
      </w:r>
      <w:r w:rsidR="00824C58">
        <w:rPr>
          <w:rStyle w:val="FootnoteReference"/>
          <w:rFonts w:cstheme="minorHAnsi"/>
          <w:szCs w:val="20"/>
          <w:shd w:val="clear" w:color="auto" w:fill="FFFFFF"/>
        </w:rPr>
        <w:footnoteReference w:id="44"/>
      </w:r>
      <w:r w:rsidR="00620DE1">
        <w:rPr>
          <w:rFonts w:cstheme="minorHAnsi"/>
          <w:szCs w:val="20"/>
          <w:shd w:val="clear" w:color="auto" w:fill="FFFFFF"/>
        </w:rPr>
        <w:t xml:space="preserve"> Each of these key ideas relates back to a central effort of establishing scholarship as subjective. </w:t>
      </w:r>
    </w:p>
    <w:p w14:paraId="43F1823E" w14:textId="79AD2414" w:rsidR="00DA4F6F" w:rsidRDefault="00FE5C9B">
      <w:pPr>
        <w:rPr>
          <w:rFonts w:cstheme="minorHAnsi"/>
          <w:szCs w:val="20"/>
          <w:shd w:val="clear" w:color="auto" w:fill="FFFFFF"/>
        </w:rPr>
      </w:pPr>
      <w:r>
        <w:rPr>
          <w:rFonts w:cstheme="minorHAnsi"/>
          <w:szCs w:val="20"/>
          <w:shd w:val="clear" w:color="auto" w:fill="FFFFFF"/>
        </w:rPr>
        <w:t xml:space="preserve">Whilst the main focus </w:t>
      </w:r>
      <w:r w:rsidR="00C00096">
        <w:rPr>
          <w:rFonts w:cstheme="minorHAnsi"/>
          <w:szCs w:val="20"/>
          <w:shd w:val="clear" w:color="auto" w:fill="FFFFFF"/>
        </w:rPr>
        <w:t>of feminist approaches</w:t>
      </w:r>
      <w:r>
        <w:rPr>
          <w:rFonts w:cstheme="minorHAnsi"/>
          <w:szCs w:val="20"/>
          <w:shd w:val="clear" w:color="auto" w:fill="FFFFFF"/>
        </w:rPr>
        <w:t xml:space="preserve"> is place</w:t>
      </w:r>
      <w:r w:rsidR="00C00096">
        <w:rPr>
          <w:rFonts w:cstheme="minorHAnsi"/>
          <w:szCs w:val="20"/>
          <w:shd w:val="clear" w:color="auto" w:fill="FFFFFF"/>
        </w:rPr>
        <w:t>d</w:t>
      </w:r>
      <w:r>
        <w:rPr>
          <w:rFonts w:cstheme="minorHAnsi"/>
          <w:szCs w:val="20"/>
          <w:shd w:val="clear" w:color="auto" w:fill="FFFFFF"/>
        </w:rPr>
        <w:t xml:space="preserve"> upon the gender of the dominant group performing scholarship the issue of limited representation easily extends to class and location too. </w:t>
      </w:r>
      <w:r w:rsidR="00DA4F6F">
        <w:rPr>
          <w:rFonts w:cstheme="minorHAnsi"/>
          <w:szCs w:val="20"/>
          <w:shd w:val="clear" w:color="auto" w:fill="FFFFFF"/>
        </w:rPr>
        <w:t>Both</w:t>
      </w:r>
      <w:r w:rsidR="006A1388">
        <w:rPr>
          <w:rFonts w:cstheme="minorHAnsi"/>
          <w:szCs w:val="20"/>
          <w:shd w:val="clear" w:color="auto" w:fill="FFFFFF"/>
        </w:rPr>
        <w:t xml:space="preserve"> of which are prominent factors that can be seen to hold a great deal of influence on individuals in a society</w:t>
      </w:r>
      <w:r w:rsidR="00EC1950">
        <w:rPr>
          <w:rFonts w:cstheme="minorHAnsi"/>
          <w:szCs w:val="20"/>
          <w:shd w:val="clear" w:color="auto" w:fill="FFFFFF"/>
        </w:rPr>
        <w:t>,</w:t>
      </w:r>
      <w:r w:rsidR="006A1388">
        <w:rPr>
          <w:rFonts w:cstheme="minorHAnsi"/>
          <w:szCs w:val="20"/>
          <w:shd w:val="clear" w:color="auto" w:fill="FFFFFF"/>
        </w:rPr>
        <w:t xml:space="preserve"> especially when that society has ingrained prejudices against each</w:t>
      </w:r>
      <w:r w:rsidR="000A1356">
        <w:rPr>
          <w:rFonts w:cstheme="minorHAnsi"/>
          <w:szCs w:val="20"/>
          <w:shd w:val="clear" w:color="auto" w:fill="FFFFFF"/>
        </w:rPr>
        <w:t>. The region you are born into can affect access to education either to the detriment or advantage of a student. Class can also have this affect since those with a higher social class and income have the option of private education whereas those of a lower social class do not.</w:t>
      </w:r>
      <w:r w:rsidR="00DA4F6F">
        <w:rPr>
          <w:rFonts w:cstheme="minorHAnsi"/>
          <w:szCs w:val="20"/>
          <w:shd w:val="clear" w:color="auto" w:fill="FFFFFF"/>
        </w:rPr>
        <w:t xml:space="preserve"> Although neither can directly prevent the success of an individual</w:t>
      </w:r>
      <w:r w:rsidR="00894CF8">
        <w:rPr>
          <w:rFonts w:cstheme="minorHAnsi"/>
          <w:szCs w:val="20"/>
          <w:shd w:val="clear" w:color="auto" w:fill="FFFFFF"/>
        </w:rPr>
        <w:t>,</w:t>
      </w:r>
      <w:r w:rsidR="00DA4F6F">
        <w:rPr>
          <w:rFonts w:cstheme="minorHAnsi"/>
          <w:szCs w:val="20"/>
          <w:shd w:val="clear" w:color="auto" w:fill="FFFFFF"/>
        </w:rPr>
        <w:t xml:space="preserve"> it would be nonsensical to dismiss any impact such factors may have. </w:t>
      </w:r>
    </w:p>
    <w:p w14:paraId="586752A8" w14:textId="161D8D16" w:rsidR="00A83B82" w:rsidRDefault="00DA4F6F">
      <w:pPr>
        <w:rPr>
          <w:rFonts w:cstheme="minorHAnsi"/>
          <w:szCs w:val="20"/>
          <w:shd w:val="clear" w:color="auto" w:fill="FFFFFF"/>
        </w:rPr>
      </w:pPr>
      <w:r>
        <w:rPr>
          <w:rFonts w:cstheme="minorHAnsi"/>
          <w:szCs w:val="20"/>
          <w:shd w:val="clear" w:color="auto" w:fill="FFFFFF"/>
        </w:rPr>
        <w:t>Recognising the continued impact of socially influenced factors</w:t>
      </w:r>
      <w:r w:rsidR="00262B02">
        <w:rPr>
          <w:rFonts w:cstheme="minorHAnsi"/>
          <w:szCs w:val="20"/>
          <w:shd w:val="clear" w:color="auto" w:fill="FFFFFF"/>
        </w:rPr>
        <w:t>,</w:t>
      </w:r>
      <w:r>
        <w:rPr>
          <w:rFonts w:cstheme="minorHAnsi"/>
          <w:szCs w:val="20"/>
          <w:shd w:val="clear" w:color="auto" w:fill="FFFFFF"/>
        </w:rPr>
        <w:t xml:space="preserve"> is possible through an analysis performed by UCAS on the details of applicants from 2009 to 2018.</w:t>
      </w:r>
      <w:r w:rsidR="00C74999">
        <w:rPr>
          <w:rStyle w:val="FootnoteReference"/>
          <w:rFonts w:cstheme="minorHAnsi"/>
          <w:szCs w:val="20"/>
          <w:shd w:val="clear" w:color="auto" w:fill="FFFFFF"/>
        </w:rPr>
        <w:footnoteReference w:id="45"/>
      </w:r>
      <w:r w:rsidR="00C74999">
        <w:rPr>
          <w:rFonts w:cstheme="minorHAnsi"/>
          <w:szCs w:val="20"/>
          <w:shd w:val="clear" w:color="auto" w:fill="FFFFFF"/>
        </w:rPr>
        <w:t xml:space="preserve"> The analysis</w:t>
      </w:r>
      <w:r w:rsidR="001362C6">
        <w:rPr>
          <w:rFonts w:cstheme="minorHAnsi"/>
          <w:szCs w:val="20"/>
          <w:shd w:val="clear" w:color="auto" w:fill="FFFFFF"/>
        </w:rPr>
        <w:t xml:space="preserve"> investigates the gender, age, country, region and ethnicity of applicants. The analysis found that the most applicants living in the UK applied from England with the least from Northern I</w:t>
      </w:r>
      <w:r w:rsidR="001D6D80">
        <w:rPr>
          <w:rFonts w:cstheme="minorHAnsi"/>
          <w:szCs w:val="20"/>
          <w:shd w:val="clear" w:color="auto" w:fill="FFFFFF"/>
        </w:rPr>
        <w:t>re</w:t>
      </w:r>
      <w:r w:rsidR="001362C6">
        <w:rPr>
          <w:rFonts w:cstheme="minorHAnsi"/>
          <w:szCs w:val="20"/>
          <w:shd w:val="clear" w:color="auto" w:fill="FFFFFF"/>
        </w:rPr>
        <w:t>land.</w:t>
      </w:r>
      <w:r w:rsidR="005145C0">
        <w:rPr>
          <w:rStyle w:val="FootnoteReference"/>
          <w:rFonts w:cstheme="minorHAnsi"/>
          <w:szCs w:val="20"/>
          <w:shd w:val="clear" w:color="auto" w:fill="FFFFFF"/>
        </w:rPr>
        <w:footnoteReference w:id="46"/>
      </w:r>
      <w:r w:rsidR="001362C6">
        <w:rPr>
          <w:rFonts w:cstheme="minorHAnsi"/>
          <w:szCs w:val="20"/>
          <w:shd w:val="clear" w:color="auto" w:fill="FFFFFF"/>
        </w:rPr>
        <w:t xml:space="preserve"> Whilst the size difference of these countries could be the main factor it is also possible other aspects of inequality are present. In England</w:t>
      </w:r>
      <w:r w:rsidR="006B67E8">
        <w:rPr>
          <w:rFonts w:cstheme="minorHAnsi"/>
          <w:szCs w:val="20"/>
          <w:shd w:val="clear" w:color="auto" w:fill="FFFFFF"/>
        </w:rPr>
        <w:t>,</w:t>
      </w:r>
      <w:r w:rsidR="001362C6">
        <w:rPr>
          <w:rFonts w:cstheme="minorHAnsi"/>
          <w:szCs w:val="20"/>
          <w:shd w:val="clear" w:color="auto" w:fill="FFFFFF"/>
        </w:rPr>
        <w:t xml:space="preserve"> specifically the majority of applicants were based in the London and South East regions</w:t>
      </w:r>
      <w:r w:rsidR="006B67E8">
        <w:rPr>
          <w:rFonts w:cstheme="minorHAnsi"/>
          <w:szCs w:val="20"/>
          <w:shd w:val="clear" w:color="auto" w:fill="FFFFFF"/>
        </w:rPr>
        <w:t>,</w:t>
      </w:r>
      <w:r w:rsidR="001362C6">
        <w:rPr>
          <w:rFonts w:cstheme="minorHAnsi"/>
          <w:szCs w:val="20"/>
          <w:shd w:val="clear" w:color="auto" w:fill="FFFFFF"/>
        </w:rPr>
        <w:t xml:space="preserve"> whilst the fewest applicants come from the North East.</w:t>
      </w:r>
      <w:r w:rsidR="003332C7">
        <w:rPr>
          <w:rFonts w:cstheme="minorHAnsi"/>
          <w:szCs w:val="20"/>
          <w:shd w:val="clear" w:color="auto" w:fill="FFFFFF"/>
        </w:rPr>
        <w:t xml:space="preserve"> </w:t>
      </w:r>
      <w:r w:rsidR="004D116D">
        <w:rPr>
          <w:rFonts w:cstheme="minorHAnsi"/>
          <w:szCs w:val="20"/>
          <w:shd w:val="clear" w:color="auto" w:fill="FFFFFF"/>
        </w:rPr>
        <w:t xml:space="preserve">Evidence for region impacting educational inclination and engagement is therefore evident. </w:t>
      </w:r>
    </w:p>
    <w:p w14:paraId="42C0E705" w14:textId="428B26B6" w:rsidR="007557AD" w:rsidRDefault="007557AD">
      <w:pPr>
        <w:rPr>
          <w:rFonts w:cstheme="minorHAnsi"/>
          <w:szCs w:val="20"/>
          <w:u w:val="single"/>
          <w:shd w:val="clear" w:color="auto" w:fill="FFFFFF"/>
        </w:rPr>
      </w:pPr>
      <w:r>
        <w:rPr>
          <w:rFonts w:cstheme="minorHAnsi"/>
          <w:szCs w:val="20"/>
          <w:u w:val="single"/>
          <w:shd w:val="clear" w:color="auto" w:fill="FFFFFF"/>
        </w:rPr>
        <w:lastRenderedPageBreak/>
        <w:t>Conclusion:</w:t>
      </w:r>
    </w:p>
    <w:p w14:paraId="2069001E" w14:textId="3E1799D8" w:rsidR="007A460F" w:rsidRDefault="007A460F">
      <w:pPr>
        <w:rPr>
          <w:rFonts w:cstheme="minorHAnsi"/>
          <w:szCs w:val="20"/>
          <w:shd w:val="clear" w:color="auto" w:fill="FFFFFF"/>
        </w:rPr>
      </w:pPr>
      <w:r>
        <w:rPr>
          <w:rFonts w:cstheme="minorHAnsi"/>
          <w:szCs w:val="20"/>
          <w:shd w:val="clear" w:color="auto" w:fill="FFFFFF"/>
        </w:rPr>
        <w:t>The purpose of this discussion was to consider what could potentially impact academic interpretations both internally and externally. Having analysed a sample of scholarship in the form or reviews it became clear that a wide range of variants can impact academic research choices, processes and reasoning. Not only can personal internal components effect such things</w:t>
      </w:r>
      <w:r w:rsidR="00142290">
        <w:rPr>
          <w:rFonts w:cstheme="minorHAnsi"/>
          <w:szCs w:val="20"/>
          <w:shd w:val="clear" w:color="auto" w:fill="FFFFFF"/>
        </w:rPr>
        <w:t>,</w:t>
      </w:r>
      <w:r>
        <w:rPr>
          <w:rFonts w:cstheme="minorHAnsi"/>
          <w:szCs w:val="20"/>
          <w:shd w:val="clear" w:color="auto" w:fill="FFFFFF"/>
        </w:rPr>
        <w:t xml:space="preserve"> but also social external ideologies and opinions. In order to make this assessment it was vital to examine the ways in which modern receptions of the ancient world can be influenced by changing societal factors. </w:t>
      </w:r>
      <w:r w:rsidR="00487B8D">
        <w:rPr>
          <w:rFonts w:cstheme="minorHAnsi"/>
          <w:szCs w:val="20"/>
          <w:shd w:val="clear" w:color="auto" w:fill="FFFFFF"/>
        </w:rPr>
        <w:t xml:space="preserve">The understanding that these factors impact scholars and scholarship in a complex and interwoven manner forces us to consider how appropriate prior conceptions of ‘traditional’ </w:t>
      </w:r>
      <w:r w:rsidR="00EC39E7">
        <w:rPr>
          <w:rFonts w:cstheme="minorHAnsi"/>
          <w:szCs w:val="20"/>
          <w:shd w:val="clear" w:color="auto" w:fill="FFFFFF"/>
        </w:rPr>
        <w:t>academic writing are today. Given the judgement that the history of classics</w:t>
      </w:r>
      <w:r w:rsidR="009A205B">
        <w:rPr>
          <w:rFonts w:cstheme="minorHAnsi"/>
          <w:szCs w:val="20"/>
          <w:shd w:val="clear" w:color="auto" w:fill="FFFFFF"/>
        </w:rPr>
        <w:t>,</w:t>
      </w:r>
      <w:r w:rsidR="00EC39E7">
        <w:rPr>
          <w:rFonts w:cstheme="minorHAnsi"/>
          <w:szCs w:val="20"/>
          <w:shd w:val="clear" w:color="auto" w:fill="FFFFFF"/>
        </w:rPr>
        <w:t xml:space="preserve"> as a discipline has been tightly linked to the subject itself shows the difficulties with isolating assumptions and ideologies from the study. In attempting to combat these troublesome aspects of classics new methodologies and theories continue to emerge. A fundamental </w:t>
      </w:r>
      <w:r w:rsidR="003057B4">
        <w:rPr>
          <w:rFonts w:cstheme="minorHAnsi"/>
          <w:szCs w:val="20"/>
          <w:shd w:val="clear" w:color="auto" w:fill="FFFFFF"/>
        </w:rPr>
        <w:t>point of said developing works implores all scholars to actively re-examine our own influences, prejudices and interpretations. Further action is still required on the part of academics</w:t>
      </w:r>
      <w:r w:rsidR="00EB5298">
        <w:rPr>
          <w:rFonts w:cstheme="minorHAnsi"/>
          <w:szCs w:val="20"/>
          <w:shd w:val="clear" w:color="auto" w:fill="FFFFFF"/>
        </w:rPr>
        <w:t>,</w:t>
      </w:r>
      <w:r w:rsidR="003057B4">
        <w:rPr>
          <w:rFonts w:cstheme="minorHAnsi"/>
          <w:szCs w:val="20"/>
          <w:shd w:val="clear" w:color="auto" w:fill="FFFFFF"/>
        </w:rPr>
        <w:t xml:space="preserve"> however</w:t>
      </w:r>
      <w:r w:rsidR="00EB5298">
        <w:rPr>
          <w:rFonts w:cstheme="minorHAnsi"/>
          <w:szCs w:val="20"/>
          <w:shd w:val="clear" w:color="auto" w:fill="FFFFFF"/>
        </w:rPr>
        <w:t>,</w:t>
      </w:r>
      <w:r w:rsidR="003057B4">
        <w:rPr>
          <w:rFonts w:cstheme="minorHAnsi"/>
          <w:szCs w:val="20"/>
          <w:shd w:val="clear" w:color="auto" w:fill="FFFFFF"/>
        </w:rPr>
        <w:t xml:space="preserve"> as a continued effort to better approaches and practices is a necessary part of the acquisition of true knowledge. </w:t>
      </w:r>
    </w:p>
    <w:p w14:paraId="0549AFBF" w14:textId="64D41D25" w:rsidR="00C30EF0" w:rsidRDefault="00C30EF0">
      <w:pPr>
        <w:rPr>
          <w:rFonts w:cstheme="minorHAnsi"/>
          <w:szCs w:val="20"/>
          <w:shd w:val="clear" w:color="auto" w:fill="FFFFFF"/>
        </w:rPr>
      </w:pPr>
    </w:p>
    <w:p w14:paraId="386EF420" w14:textId="417F78D7" w:rsidR="00984A3C" w:rsidRPr="00984A3C" w:rsidRDefault="00984A3C">
      <w:pPr>
        <w:rPr>
          <w:rFonts w:cstheme="minorHAnsi"/>
          <w:sz w:val="24"/>
          <w:szCs w:val="20"/>
          <w:u w:val="single"/>
          <w:shd w:val="clear" w:color="auto" w:fill="FFFFFF"/>
        </w:rPr>
      </w:pPr>
      <w:r w:rsidRPr="00984A3C">
        <w:rPr>
          <w:rFonts w:cstheme="minorHAnsi"/>
          <w:sz w:val="24"/>
          <w:szCs w:val="20"/>
          <w:u w:val="single"/>
          <w:shd w:val="clear" w:color="auto" w:fill="FFFFFF"/>
        </w:rPr>
        <w:t>Bibliography:</w:t>
      </w:r>
    </w:p>
    <w:p w14:paraId="524B9783" w14:textId="7A383753" w:rsidR="00984A3C" w:rsidRDefault="00984A3C">
      <w:pPr>
        <w:rPr>
          <w:rFonts w:cstheme="minorHAnsi"/>
          <w:szCs w:val="20"/>
          <w:u w:val="single"/>
          <w:shd w:val="clear" w:color="auto" w:fill="FFFFFF"/>
        </w:rPr>
      </w:pPr>
      <w:r>
        <w:rPr>
          <w:rFonts w:cstheme="minorHAnsi"/>
          <w:szCs w:val="20"/>
          <w:u w:val="single"/>
          <w:shd w:val="clear" w:color="auto" w:fill="FFFFFF"/>
        </w:rPr>
        <w:t>Ancient Sources:</w:t>
      </w:r>
    </w:p>
    <w:p w14:paraId="59AF6E20" w14:textId="03EF0431" w:rsidR="00984A3C" w:rsidRDefault="00984A3C">
      <w:pPr>
        <w:rPr>
          <w:rFonts w:cstheme="minorHAnsi"/>
          <w:szCs w:val="20"/>
          <w:shd w:val="clear" w:color="auto" w:fill="FFFFFF"/>
        </w:rPr>
      </w:pPr>
      <w:r>
        <w:rPr>
          <w:rFonts w:cstheme="minorHAnsi"/>
          <w:szCs w:val="20"/>
          <w:shd w:val="clear" w:color="auto" w:fill="FFFFFF"/>
        </w:rPr>
        <w:t xml:space="preserve">Ovid, </w:t>
      </w:r>
      <w:r>
        <w:rPr>
          <w:rFonts w:cstheme="minorHAnsi"/>
          <w:i/>
          <w:szCs w:val="20"/>
          <w:shd w:val="clear" w:color="auto" w:fill="FFFFFF"/>
        </w:rPr>
        <w:t xml:space="preserve">Ars Amatoria. </w:t>
      </w:r>
      <w:proofErr w:type="spellStart"/>
      <w:r>
        <w:rPr>
          <w:rFonts w:cstheme="minorHAnsi"/>
          <w:szCs w:val="20"/>
          <w:shd w:val="clear" w:color="auto" w:fill="FFFFFF"/>
        </w:rPr>
        <w:t>J.</w:t>
      </w:r>
      <w:proofErr w:type="gramStart"/>
      <w:r>
        <w:rPr>
          <w:rFonts w:cstheme="minorHAnsi"/>
          <w:szCs w:val="20"/>
          <w:shd w:val="clear" w:color="auto" w:fill="FFFFFF"/>
        </w:rPr>
        <w:t>H.Mozley</w:t>
      </w:r>
      <w:proofErr w:type="spellEnd"/>
      <w:proofErr w:type="gramEnd"/>
      <w:r>
        <w:rPr>
          <w:rFonts w:cstheme="minorHAnsi"/>
          <w:szCs w:val="20"/>
          <w:shd w:val="clear" w:color="auto" w:fill="FFFFFF"/>
        </w:rPr>
        <w:t xml:space="preserve"> (trans.). 1929. Cambridge, MA: Harvard University Press. </w:t>
      </w:r>
    </w:p>
    <w:p w14:paraId="0380843A" w14:textId="51903385" w:rsidR="00984A3C" w:rsidRDefault="00984A3C">
      <w:pPr>
        <w:rPr>
          <w:rFonts w:cstheme="minorHAnsi"/>
          <w:szCs w:val="20"/>
          <w:u w:val="single"/>
          <w:shd w:val="clear" w:color="auto" w:fill="FFFFFF"/>
        </w:rPr>
      </w:pPr>
      <w:r>
        <w:rPr>
          <w:rFonts w:cstheme="minorHAnsi"/>
          <w:szCs w:val="20"/>
          <w:u w:val="single"/>
          <w:shd w:val="clear" w:color="auto" w:fill="FFFFFF"/>
        </w:rPr>
        <w:t>Modern Scholarship:</w:t>
      </w:r>
    </w:p>
    <w:p w14:paraId="7A3099EF" w14:textId="5BCB340A" w:rsidR="00CB1178" w:rsidRDefault="00CB1178">
      <w:pPr>
        <w:rPr>
          <w:rFonts w:cstheme="minorHAnsi"/>
          <w:szCs w:val="20"/>
          <w:shd w:val="clear" w:color="auto" w:fill="FFFFFF"/>
        </w:rPr>
      </w:pPr>
      <w:r>
        <w:rPr>
          <w:rFonts w:cstheme="minorHAnsi"/>
          <w:szCs w:val="20"/>
          <w:shd w:val="clear" w:color="auto" w:fill="FFFFFF"/>
        </w:rPr>
        <w:t xml:space="preserve">Ancona, R.; Greene, E.; Paxon, J. (2005). </w:t>
      </w:r>
      <w:r>
        <w:rPr>
          <w:rFonts w:cstheme="minorHAnsi"/>
          <w:i/>
          <w:szCs w:val="20"/>
          <w:shd w:val="clear" w:color="auto" w:fill="FFFFFF"/>
        </w:rPr>
        <w:t xml:space="preserve">Gendered Dynamics in Latin Love Poetry. </w:t>
      </w:r>
      <w:r>
        <w:rPr>
          <w:rFonts w:cstheme="minorHAnsi"/>
          <w:szCs w:val="20"/>
          <w:shd w:val="clear" w:color="auto" w:fill="FFFFFF"/>
        </w:rPr>
        <w:t xml:space="preserve">JHU Press. </w:t>
      </w:r>
    </w:p>
    <w:p w14:paraId="34841A9B" w14:textId="075C31E1" w:rsidR="00CB1178" w:rsidRDefault="00CB1178">
      <w:proofErr w:type="spellStart"/>
      <w:r w:rsidRPr="00CB1178">
        <w:t>Benediktson</w:t>
      </w:r>
      <w:proofErr w:type="spellEnd"/>
      <w:r w:rsidRPr="00CB1178">
        <w:t>, D.T. (2006). Review of</w:t>
      </w:r>
      <w:r w:rsidRPr="00CB1178">
        <w:rPr>
          <w:i/>
        </w:rPr>
        <w:t xml:space="preserve"> Ovid: Love Songs, </w:t>
      </w:r>
      <w:r w:rsidRPr="00CB1178">
        <w:t xml:space="preserve">by Genevieve </w:t>
      </w:r>
      <w:proofErr w:type="spellStart"/>
      <w:r w:rsidRPr="00CB1178">
        <w:t>Liveley</w:t>
      </w:r>
      <w:proofErr w:type="spellEnd"/>
      <w:r w:rsidRPr="00CB1178">
        <w:t xml:space="preserve">. </w:t>
      </w:r>
      <w:r w:rsidRPr="00CB1178">
        <w:rPr>
          <w:i/>
        </w:rPr>
        <w:t xml:space="preserve">Bristol Classical Press </w:t>
      </w:r>
      <w:r w:rsidRPr="00CB1178">
        <w:t>London: Duckworth.</w:t>
      </w:r>
    </w:p>
    <w:p w14:paraId="76F23C68" w14:textId="439E9FFC" w:rsidR="005F1B65" w:rsidRPr="005F1B65" w:rsidRDefault="005F1B65">
      <w:r>
        <w:t>Benston, M.L. (1989). ‘</w:t>
      </w:r>
      <w:r>
        <w:rPr>
          <w:i/>
        </w:rPr>
        <w:t>Chapter 11: Feminism and System Design: Questions of Control’</w:t>
      </w:r>
      <w:r>
        <w:t xml:space="preserve">, in </w:t>
      </w:r>
      <w:r>
        <w:t xml:space="preserve">Benston, M.L. (Ed.). </w:t>
      </w:r>
      <w:r>
        <w:rPr>
          <w:i/>
        </w:rPr>
        <w:t xml:space="preserve">The Effects of Feminist Approaches on Research Methodologies. </w:t>
      </w:r>
      <w:r>
        <w:t xml:space="preserve">Wilfrid Laurier University Press. </w:t>
      </w:r>
      <w:r>
        <w:t xml:space="preserve"> </w:t>
      </w:r>
    </w:p>
    <w:p w14:paraId="481EAEBC" w14:textId="7938C6AF" w:rsidR="0046796D" w:rsidRDefault="0046796D">
      <w:pPr>
        <w:rPr>
          <w:rFonts w:cstheme="minorHAnsi"/>
          <w:szCs w:val="20"/>
          <w:shd w:val="clear" w:color="auto" w:fill="FFFFFF"/>
        </w:rPr>
      </w:pPr>
      <w:r>
        <w:rPr>
          <w:rFonts w:cstheme="minorHAnsi"/>
          <w:szCs w:val="20"/>
          <w:shd w:val="clear" w:color="auto" w:fill="FFFFFF"/>
        </w:rPr>
        <w:t xml:space="preserve">Blum, B. (2017). “Banned from the Libraries? Ovid’s Books and Their Fate in the Exile Poetry”, </w:t>
      </w:r>
      <w:r>
        <w:rPr>
          <w:rFonts w:cstheme="minorHAnsi"/>
          <w:i/>
          <w:szCs w:val="20"/>
          <w:shd w:val="clear" w:color="auto" w:fill="FFFFFF"/>
        </w:rPr>
        <w:t xml:space="preserve">American Journal of Philology. </w:t>
      </w:r>
      <w:r>
        <w:rPr>
          <w:rFonts w:cstheme="minorHAnsi"/>
          <w:szCs w:val="20"/>
          <w:shd w:val="clear" w:color="auto" w:fill="FFFFFF"/>
        </w:rPr>
        <w:t>138, 3, 489-526.</w:t>
      </w:r>
    </w:p>
    <w:p w14:paraId="122B18A5" w14:textId="0E490C74" w:rsidR="00CB1178" w:rsidRDefault="00CB1178">
      <w:r w:rsidRPr="00CB1178">
        <w:t xml:space="preserve">Boyd, B.W. (2004). </w:t>
      </w:r>
      <w:r w:rsidRPr="00CB1178">
        <w:t xml:space="preserve">Review of </w:t>
      </w:r>
      <w:r w:rsidRPr="00CB1178">
        <w:rPr>
          <w:i/>
        </w:rPr>
        <w:t>Ovid</w:t>
      </w:r>
      <w:r w:rsidRPr="00CB1178">
        <w:rPr>
          <w:i/>
        </w:rPr>
        <w:t xml:space="preserve"> Ars </w:t>
      </w:r>
      <w:proofErr w:type="spellStart"/>
      <w:r w:rsidRPr="00CB1178">
        <w:rPr>
          <w:i/>
        </w:rPr>
        <w:t>Amatoria</w:t>
      </w:r>
      <w:proofErr w:type="spellEnd"/>
      <w:r w:rsidRPr="00CB1178">
        <w:rPr>
          <w:i/>
        </w:rPr>
        <w:t xml:space="preserve"> Book 3, </w:t>
      </w:r>
      <w:r w:rsidRPr="00CB1178">
        <w:t xml:space="preserve">by Roy K. Gibson. </w:t>
      </w:r>
      <w:r w:rsidRPr="00CB1178">
        <w:rPr>
          <w:i/>
        </w:rPr>
        <w:t xml:space="preserve">Cambridge Classical Texts and Commentaries. 40. </w:t>
      </w:r>
      <w:r w:rsidRPr="00CB1178">
        <w:t>Cambridge: Cambridge University Press.</w:t>
      </w:r>
    </w:p>
    <w:p w14:paraId="236F66C1" w14:textId="64A169B5" w:rsidR="0001116D" w:rsidRPr="0001116D" w:rsidRDefault="0001116D">
      <w:r>
        <w:t xml:space="preserve">Budelmann, F.; </w:t>
      </w:r>
      <w:proofErr w:type="spellStart"/>
      <w:r>
        <w:t>Haubold</w:t>
      </w:r>
      <w:proofErr w:type="spellEnd"/>
      <w:r>
        <w:t xml:space="preserve">, J. (2011). ‘Chapter One: </w:t>
      </w:r>
      <w:r>
        <w:rPr>
          <w:i/>
        </w:rPr>
        <w:t>Reception and Tradition’,</w:t>
      </w:r>
      <w:r>
        <w:t xml:space="preserve"> in Hardwick, L.; Stray, C. (Ed.). </w:t>
      </w:r>
      <w:r>
        <w:rPr>
          <w:i/>
        </w:rPr>
        <w:t xml:space="preserve">A Companion to Classical Receptions. </w:t>
      </w:r>
      <w:r>
        <w:t xml:space="preserve">John Wiley &amp; Sons. </w:t>
      </w:r>
    </w:p>
    <w:p w14:paraId="23C88865" w14:textId="37E3C23B" w:rsidR="0001116D" w:rsidRDefault="0001116D">
      <w:proofErr w:type="spellStart"/>
      <w:r w:rsidRPr="0001116D">
        <w:t>Felgentreu</w:t>
      </w:r>
      <w:proofErr w:type="spellEnd"/>
      <w:r w:rsidRPr="0001116D">
        <w:t xml:space="preserve">, F. (2001). Review of </w:t>
      </w:r>
      <w:proofErr w:type="spellStart"/>
      <w:r w:rsidRPr="0001116D">
        <w:rPr>
          <w:i/>
        </w:rPr>
        <w:t>Ovids</w:t>
      </w:r>
      <w:proofErr w:type="spellEnd"/>
      <w:r w:rsidRPr="0001116D">
        <w:rPr>
          <w:i/>
        </w:rPr>
        <w:t xml:space="preserve"> </w:t>
      </w:r>
      <w:proofErr w:type="spellStart"/>
      <w:r w:rsidRPr="0001116D">
        <w:rPr>
          <w:i/>
        </w:rPr>
        <w:t>Amores</w:t>
      </w:r>
      <w:proofErr w:type="spellEnd"/>
      <w:r w:rsidRPr="0001116D">
        <w:rPr>
          <w:i/>
        </w:rPr>
        <w:t xml:space="preserve">, </w:t>
      </w:r>
      <w:r w:rsidRPr="0001116D">
        <w:t xml:space="preserve">by Barbara </w:t>
      </w:r>
      <w:proofErr w:type="spellStart"/>
      <w:r w:rsidRPr="0001116D">
        <w:t>Weinlich</w:t>
      </w:r>
      <w:proofErr w:type="spellEnd"/>
      <w:r w:rsidRPr="0001116D">
        <w:t xml:space="preserve">. </w:t>
      </w:r>
      <w:proofErr w:type="spellStart"/>
      <w:r w:rsidRPr="0001116D">
        <w:rPr>
          <w:i/>
        </w:rPr>
        <w:t>Gedichtfolge</w:t>
      </w:r>
      <w:proofErr w:type="spellEnd"/>
      <w:r w:rsidRPr="0001116D">
        <w:rPr>
          <w:i/>
        </w:rPr>
        <w:t xml:space="preserve"> und </w:t>
      </w:r>
      <w:proofErr w:type="spellStart"/>
      <w:r w:rsidRPr="0001116D">
        <w:rPr>
          <w:i/>
        </w:rPr>
        <w:t>Handlungsablauf</w:t>
      </w:r>
      <w:proofErr w:type="spellEnd"/>
      <w:r w:rsidRPr="0001116D">
        <w:rPr>
          <w:i/>
        </w:rPr>
        <w:t xml:space="preserve">. </w:t>
      </w:r>
      <w:r w:rsidRPr="0001116D">
        <w:t>Stuttgart-Leipzig: Teubner</w:t>
      </w:r>
      <w:r w:rsidRPr="0001116D">
        <w:t>.</w:t>
      </w:r>
    </w:p>
    <w:p w14:paraId="379F2534" w14:textId="6036AE66" w:rsidR="00B17887" w:rsidRPr="00B17887" w:rsidRDefault="00B17887">
      <w:r>
        <w:t>Flynn, A. (1989). ‘</w:t>
      </w:r>
      <w:r>
        <w:rPr>
          <w:i/>
        </w:rPr>
        <w:t xml:space="preserve">Chapter 9: Dualism and Dance’, </w:t>
      </w:r>
      <w:r>
        <w:t xml:space="preserve">in </w:t>
      </w:r>
      <w:r>
        <w:t xml:space="preserve">Benston, M.L. (Ed.). </w:t>
      </w:r>
      <w:r>
        <w:rPr>
          <w:i/>
        </w:rPr>
        <w:t xml:space="preserve">The Effects of Feminist Approaches on Research Methodologies. </w:t>
      </w:r>
      <w:r>
        <w:t xml:space="preserve">Wilfrid Laurier University Press. </w:t>
      </w:r>
    </w:p>
    <w:p w14:paraId="1435C03A" w14:textId="411BECCF" w:rsidR="004406C6" w:rsidRDefault="004406C6">
      <w:proofErr w:type="spellStart"/>
      <w:r>
        <w:rPr>
          <w:rFonts w:cstheme="minorHAnsi"/>
          <w:szCs w:val="20"/>
          <w:shd w:val="clear" w:color="auto" w:fill="FFFFFF"/>
        </w:rPr>
        <w:t>Fyler</w:t>
      </w:r>
      <w:proofErr w:type="spellEnd"/>
      <w:r>
        <w:rPr>
          <w:rFonts w:cstheme="minorHAnsi"/>
          <w:szCs w:val="20"/>
          <w:shd w:val="clear" w:color="auto" w:fill="FFFFFF"/>
        </w:rPr>
        <w:t>, J.M. (1971). “</w:t>
      </w:r>
      <w:r w:rsidR="00CB1178" w:rsidRPr="00CB1178">
        <w:t xml:space="preserve">Omnia </w:t>
      </w:r>
      <w:proofErr w:type="spellStart"/>
      <w:r w:rsidR="00CB1178" w:rsidRPr="00CB1178">
        <w:t>vincit</w:t>
      </w:r>
      <w:proofErr w:type="spellEnd"/>
      <w:r w:rsidR="00CB1178" w:rsidRPr="00CB1178">
        <w:t xml:space="preserve"> </w:t>
      </w:r>
      <w:proofErr w:type="spellStart"/>
      <w:r w:rsidR="00CB1178" w:rsidRPr="00CB1178">
        <w:t>amor</w:t>
      </w:r>
      <w:proofErr w:type="spellEnd"/>
      <w:r w:rsidR="00CB1178" w:rsidRPr="00CB1178">
        <w:t>. Incongruity and the limitations of structure in Ovid’s elegiac poetry</w:t>
      </w:r>
      <w:r w:rsidR="00CB1178">
        <w:t xml:space="preserve">”, </w:t>
      </w:r>
      <w:r w:rsidR="00CB1178">
        <w:rPr>
          <w:i/>
        </w:rPr>
        <w:t xml:space="preserve">The Classical Journal. </w:t>
      </w:r>
      <w:r w:rsidR="00CB1178">
        <w:t>66,3, 196-203.</w:t>
      </w:r>
    </w:p>
    <w:p w14:paraId="6758A574" w14:textId="3FD8E5B4" w:rsidR="00CB1178" w:rsidRDefault="00CB1178">
      <w:r w:rsidRPr="00CB1178">
        <w:lastRenderedPageBreak/>
        <w:t xml:space="preserve">Gardner, H. (2007). Review of </w:t>
      </w:r>
      <w:r w:rsidRPr="00CB1178">
        <w:rPr>
          <w:i/>
        </w:rPr>
        <w:t xml:space="preserve">The Art of Love: Bimillennial Essays on Ovid’s Ars </w:t>
      </w:r>
      <w:proofErr w:type="spellStart"/>
      <w:r w:rsidRPr="00CB1178">
        <w:rPr>
          <w:i/>
        </w:rPr>
        <w:t>Amatoria</w:t>
      </w:r>
      <w:proofErr w:type="spellEnd"/>
      <w:r w:rsidRPr="00CB1178">
        <w:rPr>
          <w:i/>
        </w:rPr>
        <w:t xml:space="preserve"> and </w:t>
      </w:r>
      <w:proofErr w:type="spellStart"/>
      <w:r w:rsidRPr="00CB1178">
        <w:rPr>
          <w:i/>
        </w:rPr>
        <w:t>Remedia</w:t>
      </w:r>
      <w:proofErr w:type="spellEnd"/>
      <w:r w:rsidRPr="00CB1178">
        <w:rPr>
          <w:i/>
        </w:rPr>
        <w:t xml:space="preserve"> </w:t>
      </w:r>
      <w:proofErr w:type="spellStart"/>
      <w:r w:rsidRPr="00CB1178">
        <w:rPr>
          <w:i/>
        </w:rPr>
        <w:t>Amoris</w:t>
      </w:r>
      <w:proofErr w:type="spellEnd"/>
      <w:r w:rsidRPr="00CB1178">
        <w:rPr>
          <w:i/>
        </w:rPr>
        <w:t xml:space="preserve">, </w:t>
      </w:r>
      <w:r w:rsidRPr="00CB1178">
        <w:t>by R. Gibson., Green, S. Sharrock. Oxford: Oxford University Press.</w:t>
      </w:r>
    </w:p>
    <w:p w14:paraId="7EF10AE5" w14:textId="459DD146" w:rsidR="00CB1178" w:rsidRPr="0001116D" w:rsidRDefault="0001116D">
      <w:r w:rsidRPr="0001116D">
        <w:t xml:space="preserve">Gibson, R.K. (1999). Review of </w:t>
      </w:r>
      <w:r w:rsidRPr="0001116D">
        <w:rPr>
          <w:i/>
        </w:rPr>
        <w:t xml:space="preserve">Ovid Ars </w:t>
      </w:r>
      <w:proofErr w:type="spellStart"/>
      <w:r w:rsidRPr="0001116D">
        <w:rPr>
          <w:i/>
        </w:rPr>
        <w:t>Amatoria</w:t>
      </w:r>
      <w:proofErr w:type="spellEnd"/>
      <w:r w:rsidRPr="0001116D">
        <w:rPr>
          <w:i/>
        </w:rPr>
        <w:t xml:space="preserve"> Buch 2: </w:t>
      </w:r>
      <w:proofErr w:type="spellStart"/>
      <w:r w:rsidRPr="0001116D">
        <w:rPr>
          <w:i/>
        </w:rPr>
        <w:t>Kommentar</w:t>
      </w:r>
      <w:proofErr w:type="spellEnd"/>
      <w:r w:rsidRPr="0001116D">
        <w:rPr>
          <w:i/>
        </w:rPr>
        <w:t xml:space="preserve">, </w:t>
      </w:r>
      <w:r w:rsidRPr="0001116D">
        <w:t xml:space="preserve">by Markus </w:t>
      </w:r>
      <w:proofErr w:type="spellStart"/>
      <w:r w:rsidRPr="0001116D">
        <w:t>Janka</w:t>
      </w:r>
      <w:proofErr w:type="spellEnd"/>
      <w:r w:rsidRPr="0001116D">
        <w:t xml:space="preserve">. Heidelberg: </w:t>
      </w:r>
      <w:proofErr w:type="spellStart"/>
      <w:r w:rsidRPr="0001116D">
        <w:t>Universitaltsverlag</w:t>
      </w:r>
      <w:proofErr w:type="spellEnd"/>
      <w:r w:rsidRPr="0001116D">
        <w:t>.</w:t>
      </w:r>
    </w:p>
    <w:p w14:paraId="14E37913" w14:textId="6B99E5E1" w:rsidR="005A05B1" w:rsidRDefault="005A05B1">
      <w:pPr>
        <w:rPr>
          <w:rFonts w:cstheme="minorHAnsi"/>
          <w:szCs w:val="20"/>
          <w:shd w:val="clear" w:color="auto" w:fill="FFFFFF"/>
        </w:rPr>
      </w:pPr>
      <w:r>
        <w:rPr>
          <w:rFonts w:cstheme="minorHAnsi"/>
          <w:szCs w:val="20"/>
          <w:shd w:val="clear" w:color="auto" w:fill="FFFFFF"/>
        </w:rPr>
        <w:t>Green, S. (2007). ‘</w:t>
      </w:r>
      <w:r>
        <w:rPr>
          <w:rFonts w:cstheme="minorHAnsi"/>
          <w:i/>
          <w:szCs w:val="20"/>
          <w:shd w:val="clear" w:color="auto" w:fill="FFFFFF"/>
        </w:rPr>
        <w:t xml:space="preserve">Lessons in Love: Fifty Years of Scholarship on the Ars Amatoria and </w:t>
      </w:r>
      <w:proofErr w:type="spellStart"/>
      <w:r>
        <w:rPr>
          <w:rFonts w:cstheme="minorHAnsi"/>
          <w:i/>
          <w:szCs w:val="20"/>
          <w:shd w:val="clear" w:color="auto" w:fill="FFFFFF"/>
        </w:rPr>
        <w:t>Remedia</w:t>
      </w:r>
      <w:proofErr w:type="spellEnd"/>
      <w:r>
        <w:rPr>
          <w:rFonts w:cstheme="minorHAnsi"/>
          <w:i/>
          <w:szCs w:val="20"/>
          <w:shd w:val="clear" w:color="auto" w:fill="FFFFFF"/>
        </w:rPr>
        <w:t xml:space="preserve"> </w:t>
      </w:r>
      <w:proofErr w:type="spellStart"/>
      <w:r>
        <w:rPr>
          <w:rFonts w:cstheme="minorHAnsi"/>
          <w:i/>
          <w:szCs w:val="20"/>
          <w:shd w:val="clear" w:color="auto" w:fill="FFFFFF"/>
        </w:rPr>
        <w:t>Amoris</w:t>
      </w:r>
      <w:proofErr w:type="spellEnd"/>
      <w:r>
        <w:rPr>
          <w:rFonts w:cstheme="minorHAnsi"/>
          <w:i/>
          <w:szCs w:val="20"/>
          <w:shd w:val="clear" w:color="auto" w:fill="FFFFFF"/>
        </w:rPr>
        <w:t xml:space="preserve">’, </w:t>
      </w:r>
      <w:r>
        <w:rPr>
          <w:rFonts w:cstheme="minorHAnsi"/>
          <w:szCs w:val="20"/>
          <w:shd w:val="clear" w:color="auto" w:fill="FFFFFF"/>
        </w:rPr>
        <w:t xml:space="preserve">in Green, S. (Ed.). </w:t>
      </w:r>
      <w:r>
        <w:rPr>
          <w:rFonts w:cstheme="minorHAnsi"/>
          <w:i/>
          <w:szCs w:val="20"/>
          <w:shd w:val="clear" w:color="auto" w:fill="FFFFFF"/>
        </w:rPr>
        <w:t xml:space="preserve">The Art of Love: Bimillennial Essays on Ovid’s </w:t>
      </w:r>
      <w:r>
        <w:rPr>
          <w:rFonts w:cstheme="minorHAnsi"/>
          <w:i/>
          <w:szCs w:val="20"/>
          <w:shd w:val="clear" w:color="auto" w:fill="FFFFFF"/>
        </w:rPr>
        <w:t xml:space="preserve">Ars Amatoria and </w:t>
      </w:r>
      <w:proofErr w:type="spellStart"/>
      <w:r>
        <w:rPr>
          <w:rFonts w:cstheme="minorHAnsi"/>
          <w:i/>
          <w:szCs w:val="20"/>
          <w:shd w:val="clear" w:color="auto" w:fill="FFFFFF"/>
        </w:rPr>
        <w:t>Remedia</w:t>
      </w:r>
      <w:proofErr w:type="spellEnd"/>
      <w:r>
        <w:rPr>
          <w:rFonts w:cstheme="minorHAnsi"/>
          <w:i/>
          <w:szCs w:val="20"/>
          <w:shd w:val="clear" w:color="auto" w:fill="FFFFFF"/>
        </w:rPr>
        <w:t xml:space="preserve"> </w:t>
      </w:r>
      <w:proofErr w:type="spellStart"/>
      <w:r>
        <w:rPr>
          <w:rFonts w:cstheme="minorHAnsi"/>
          <w:i/>
          <w:szCs w:val="20"/>
          <w:shd w:val="clear" w:color="auto" w:fill="FFFFFF"/>
        </w:rPr>
        <w:t>Amoris</w:t>
      </w:r>
      <w:proofErr w:type="spellEnd"/>
      <w:r w:rsidR="004406C6">
        <w:rPr>
          <w:rFonts w:cstheme="minorHAnsi"/>
          <w:i/>
          <w:szCs w:val="20"/>
          <w:shd w:val="clear" w:color="auto" w:fill="FFFFFF"/>
        </w:rPr>
        <w:t xml:space="preserve">. </w:t>
      </w:r>
      <w:r w:rsidR="004406C6">
        <w:rPr>
          <w:rFonts w:cstheme="minorHAnsi"/>
          <w:szCs w:val="20"/>
          <w:shd w:val="clear" w:color="auto" w:fill="FFFFFF"/>
        </w:rPr>
        <w:t xml:space="preserve">Oxford University Press. </w:t>
      </w:r>
    </w:p>
    <w:p w14:paraId="0A14E785" w14:textId="7A0C04A3" w:rsidR="005F1B65" w:rsidRPr="005F1B65" w:rsidRDefault="005F1B65">
      <w:pPr>
        <w:rPr>
          <w:rFonts w:cstheme="minorHAnsi"/>
          <w:szCs w:val="20"/>
          <w:shd w:val="clear" w:color="auto" w:fill="FFFFFF"/>
        </w:rPr>
      </w:pPr>
      <w:proofErr w:type="spellStart"/>
      <w:r>
        <w:rPr>
          <w:rFonts w:cstheme="minorHAnsi"/>
          <w:szCs w:val="20"/>
          <w:shd w:val="clear" w:color="auto" w:fill="FFFFFF"/>
        </w:rPr>
        <w:t>Hallet</w:t>
      </w:r>
      <w:proofErr w:type="spellEnd"/>
      <w:r>
        <w:rPr>
          <w:rFonts w:cstheme="minorHAnsi"/>
          <w:szCs w:val="20"/>
          <w:shd w:val="clear" w:color="auto" w:fill="FFFFFF"/>
        </w:rPr>
        <w:t>, J.P. (2002). ‘</w:t>
      </w:r>
      <w:r>
        <w:rPr>
          <w:rFonts w:cstheme="minorHAnsi"/>
          <w:i/>
          <w:szCs w:val="20"/>
          <w:shd w:val="clear" w:color="auto" w:fill="FFFFFF"/>
        </w:rPr>
        <w:t>Introduction’</w:t>
      </w:r>
      <w:bookmarkStart w:id="0" w:name="_Hlk8375425"/>
      <w:r>
        <w:rPr>
          <w:rFonts w:cstheme="minorHAnsi"/>
          <w:i/>
          <w:szCs w:val="20"/>
          <w:shd w:val="clear" w:color="auto" w:fill="FFFFFF"/>
        </w:rPr>
        <w:t xml:space="preserve">, </w:t>
      </w:r>
      <w:r>
        <w:rPr>
          <w:rFonts w:cstheme="minorHAnsi"/>
          <w:szCs w:val="20"/>
          <w:shd w:val="clear" w:color="auto" w:fill="FFFFFF"/>
        </w:rPr>
        <w:t xml:space="preserve">in </w:t>
      </w:r>
      <w:proofErr w:type="spellStart"/>
      <w:r>
        <w:rPr>
          <w:rFonts w:cstheme="minorHAnsi"/>
          <w:szCs w:val="20"/>
          <w:shd w:val="clear" w:color="auto" w:fill="FFFFFF"/>
        </w:rPr>
        <w:t>Hallet</w:t>
      </w:r>
      <w:proofErr w:type="spellEnd"/>
      <w:r>
        <w:rPr>
          <w:rFonts w:cstheme="minorHAnsi"/>
          <w:szCs w:val="20"/>
          <w:shd w:val="clear" w:color="auto" w:fill="FFFFFF"/>
        </w:rPr>
        <w:t xml:space="preserve">, J.P.; </w:t>
      </w:r>
      <w:proofErr w:type="spellStart"/>
      <w:r>
        <w:rPr>
          <w:rFonts w:cstheme="minorHAnsi"/>
          <w:szCs w:val="20"/>
          <w:shd w:val="clear" w:color="auto" w:fill="FFFFFF"/>
        </w:rPr>
        <w:t>Nortwick</w:t>
      </w:r>
      <w:proofErr w:type="spellEnd"/>
      <w:r>
        <w:rPr>
          <w:rFonts w:cstheme="minorHAnsi"/>
          <w:szCs w:val="20"/>
          <w:shd w:val="clear" w:color="auto" w:fill="FFFFFF"/>
        </w:rPr>
        <w:t xml:space="preserve">, T.V. (Ed.). </w:t>
      </w:r>
      <w:r>
        <w:rPr>
          <w:rFonts w:cstheme="minorHAnsi"/>
          <w:i/>
          <w:szCs w:val="20"/>
          <w:shd w:val="clear" w:color="auto" w:fill="FFFFFF"/>
        </w:rPr>
        <w:t xml:space="preserve">Compromising Traditions: The Personal Voice in Classical Scholarship. </w:t>
      </w:r>
      <w:r>
        <w:rPr>
          <w:rFonts w:cstheme="minorHAnsi"/>
          <w:szCs w:val="20"/>
          <w:shd w:val="clear" w:color="auto" w:fill="FFFFFF"/>
        </w:rPr>
        <w:t xml:space="preserve">Routledge. </w:t>
      </w:r>
      <w:bookmarkEnd w:id="0"/>
    </w:p>
    <w:p w14:paraId="5392EE4E" w14:textId="79999B30" w:rsidR="0046796D" w:rsidRDefault="0046796D">
      <w:pPr>
        <w:rPr>
          <w:rFonts w:cstheme="minorHAnsi"/>
          <w:szCs w:val="20"/>
          <w:shd w:val="clear" w:color="auto" w:fill="FFFFFF"/>
        </w:rPr>
      </w:pPr>
      <w:proofErr w:type="spellStart"/>
      <w:r>
        <w:rPr>
          <w:rFonts w:cstheme="minorHAnsi"/>
          <w:szCs w:val="20"/>
          <w:shd w:val="clear" w:color="auto" w:fill="FFFFFF"/>
        </w:rPr>
        <w:t>Hejduk</w:t>
      </w:r>
      <w:proofErr w:type="spellEnd"/>
      <w:r>
        <w:rPr>
          <w:rFonts w:cstheme="minorHAnsi"/>
          <w:szCs w:val="20"/>
          <w:shd w:val="clear" w:color="auto" w:fill="FFFFFF"/>
        </w:rPr>
        <w:t xml:space="preserve">, J.D. (2015). </w:t>
      </w:r>
      <w:r>
        <w:rPr>
          <w:rFonts w:cstheme="minorHAnsi"/>
          <w:i/>
          <w:szCs w:val="20"/>
          <w:shd w:val="clear" w:color="auto" w:fill="FFFFFF"/>
        </w:rPr>
        <w:t xml:space="preserve">The Offense of Love: Ars Amatoria, </w:t>
      </w:r>
      <w:proofErr w:type="spellStart"/>
      <w:r>
        <w:rPr>
          <w:rFonts w:cstheme="minorHAnsi"/>
          <w:i/>
          <w:szCs w:val="20"/>
          <w:shd w:val="clear" w:color="auto" w:fill="FFFFFF"/>
        </w:rPr>
        <w:t>Remedia</w:t>
      </w:r>
      <w:proofErr w:type="spellEnd"/>
      <w:r>
        <w:rPr>
          <w:rFonts w:cstheme="minorHAnsi"/>
          <w:i/>
          <w:szCs w:val="20"/>
          <w:shd w:val="clear" w:color="auto" w:fill="FFFFFF"/>
        </w:rPr>
        <w:t xml:space="preserve"> </w:t>
      </w:r>
      <w:proofErr w:type="spellStart"/>
      <w:r>
        <w:rPr>
          <w:rFonts w:cstheme="minorHAnsi"/>
          <w:i/>
          <w:szCs w:val="20"/>
          <w:shd w:val="clear" w:color="auto" w:fill="FFFFFF"/>
        </w:rPr>
        <w:t>Amoris</w:t>
      </w:r>
      <w:proofErr w:type="spellEnd"/>
      <w:r>
        <w:rPr>
          <w:rFonts w:cstheme="minorHAnsi"/>
          <w:i/>
          <w:szCs w:val="20"/>
          <w:shd w:val="clear" w:color="auto" w:fill="FFFFFF"/>
        </w:rPr>
        <w:t xml:space="preserve"> and </w:t>
      </w:r>
      <w:proofErr w:type="spellStart"/>
      <w:r>
        <w:rPr>
          <w:rFonts w:cstheme="minorHAnsi"/>
          <w:i/>
          <w:szCs w:val="20"/>
          <w:shd w:val="clear" w:color="auto" w:fill="FFFFFF"/>
        </w:rPr>
        <w:t>Tristia</w:t>
      </w:r>
      <w:proofErr w:type="spellEnd"/>
      <w:r>
        <w:rPr>
          <w:rFonts w:cstheme="minorHAnsi"/>
          <w:i/>
          <w:szCs w:val="20"/>
          <w:shd w:val="clear" w:color="auto" w:fill="FFFFFF"/>
        </w:rPr>
        <w:t xml:space="preserve"> 2. </w:t>
      </w:r>
      <w:r>
        <w:rPr>
          <w:rFonts w:cstheme="minorHAnsi"/>
          <w:szCs w:val="20"/>
          <w:shd w:val="clear" w:color="auto" w:fill="FFFFFF"/>
        </w:rPr>
        <w:t xml:space="preserve">University of Wisconsin Press. </w:t>
      </w:r>
    </w:p>
    <w:p w14:paraId="5868391B" w14:textId="527237AE" w:rsidR="005A05B1" w:rsidRDefault="005A05B1">
      <w:pPr>
        <w:rPr>
          <w:rFonts w:cstheme="minorHAnsi"/>
          <w:szCs w:val="20"/>
          <w:shd w:val="clear" w:color="auto" w:fill="FFFFFF"/>
        </w:rPr>
      </w:pPr>
      <w:r>
        <w:rPr>
          <w:rFonts w:cstheme="minorHAnsi"/>
          <w:szCs w:val="20"/>
          <w:shd w:val="clear" w:color="auto" w:fill="FFFFFF"/>
        </w:rPr>
        <w:t xml:space="preserve">Hornblower, S.; Spawforth, A. (2005). </w:t>
      </w:r>
      <w:r>
        <w:rPr>
          <w:rFonts w:cstheme="minorHAnsi"/>
          <w:i/>
          <w:szCs w:val="20"/>
          <w:shd w:val="clear" w:color="auto" w:fill="FFFFFF"/>
        </w:rPr>
        <w:t xml:space="preserve">The Oxford Classical Dictionary. </w:t>
      </w:r>
      <w:r>
        <w:rPr>
          <w:rFonts w:cstheme="minorHAnsi"/>
          <w:szCs w:val="20"/>
          <w:shd w:val="clear" w:color="auto" w:fill="FFFFFF"/>
        </w:rPr>
        <w:t>Oxford University Press.</w:t>
      </w:r>
    </w:p>
    <w:p w14:paraId="02CEF278" w14:textId="421BC53C" w:rsidR="0001116D" w:rsidRPr="0001116D" w:rsidRDefault="0001116D">
      <w:proofErr w:type="spellStart"/>
      <w:r w:rsidRPr="0001116D">
        <w:t>Ingleheart</w:t>
      </w:r>
      <w:proofErr w:type="spellEnd"/>
      <w:r w:rsidRPr="0001116D">
        <w:t xml:space="preserve">, J. (2007). Review of </w:t>
      </w:r>
      <w:r w:rsidRPr="0001116D">
        <w:rPr>
          <w:i/>
        </w:rPr>
        <w:t xml:space="preserve">Ovid’s Lovers: Desire, Difference, and the Poetic Imagination, </w:t>
      </w:r>
      <w:r w:rsidRPr="0001116D">
        <w:t xml:space="preserve">by Victoria </w:t>
      </w:r>
      <w:proofErr w:type="spellStart"/>
      <w:r w:rsidRPr="0001116D">
        <w:t>Rimell</w:t>
      </w:r>
      <w:proofErr w:type="spellEnd"/>
      <w:r w:rsidRPr="0001116D">
        <w:t>. Cambridge: Cambridge University Press.</w:t>
      </w:r>
    </w:p>
    <w:p w14:paraId="118C1AE4" w14:textId="376C4DBB" w:rsidR="0046796D" w:rsidRDefault="0046796D">
      <w:pPr>
        <w:rPr>
          <w:rFonts w:cstheme="minorHAnsi"/>
          <w:szCs w:val="20"/>
          <w:shd w:val="clear" w:color="auto" w:fill="FFFFFF"/>
        </w:rPr>
      </w:pPr>
      <w:r>
        <w:rPr>
          <w:rFonts w:cstheme="minorHAnsi"/>
          <w:szCs w:val="20"/>
          <w:shd w:val="clear" w:color="auto" w:fill="FFFFFF"/>
        </w:rPr>
        <w:t xml:space="preserve">James, S.L. (2015). “Twenty years of Ovid and Literary Theory”, </w:t>
      </w:r>
      <w:r>
        <w:rPr>
          <w:rFonts w:cstheme="minorHAnsi"/>
          <w:i/>
          <w:szCs w:val="20"/>
          <w:shd w:val="clear" w:color="auto" w:fill="FFFFFF"/>
        </w:rPr>
        <w:t xml:space="preserve">Classical World. </w:t>
      </w:r>
      <w:r>
        <w:rPr>
          <w:rFonts w:cstheme="minorHAnsi"/>
          <w:szCs w:val="20"/>
          <w:shd w:val="clear" w:color="auto" w:fill="FFFFFF"/>
        </w:rPr>
        <w:t>108, 2, 205-220.</w:t>
      </w:r>
    </w:p>
    <w:p w14:paraId="50EEC7D7" w14:textId="7359EC7B" w:rsidR="005F1B65" w:rsidRPr="00B17887" w:rsidRDefault="005F1B65">
      <w:r>
        <w:rPr>
          <w:rFonts w:cstheme="minorHAnsi"/>
          <w:szCs w:val="20"/>
          <w:shd w:val="clear" w:color="auto" w:fill="FFFFFF"/>
        </w:rPr>
        <w:t>Lips, H.M. (1989). ‘</w:t>
      </w:r>
      <w:r>
        <w:rPr>
          <w:rFonts w:cstheme="minorHAnsi"/>
          <w:i/>
          <w:szCs w:val="20"/>
          <w:shd w:val="clear" w:color="auto" w:fill="FFFFFF"/>
        </w:rPr>
        <w:t xml:space="preserve">Chapter 3: Towards a New Science of Human Being and Behaviour’, </w:t>
      </w:r>
      <w:r>
        <w:rPr>
          <w:rFonts w:cstheme="minorHAnsi"/>
          <w:szCs w:val="20"/>
          <w:shd w:val="clear" w:color="auto" w:fill="FFFFFF"/>
        </w:rPr>
        <w:t xml:space="preserve">in </w:t>
      </w:r>
      <w:r w:rsidR="00B17887">
        <w:t xml:space="preserve">Benston, M.L. (Ed.). </w:t>
      </w:r>
      <w:r w:rsidR="00B17887">
        <w:rPr>
          <w:i/>
        </w:rPr>
        <w:t xml:space="preserve">The Effects of Feminist Approaches on Research Methodologies. </w:t>
      </w:r>
      <w:r w:rsidR="00B17887">
        <w:t xml:space="preserve">Wilfrid Laurier University Press. </w:t>
      </w:r>
    </w:p>
    <w:p w14:paraId="1037C35E" w14:textId="1DECF64F" w:rsidR="004406C6" w:rsidRPr="004406C6" w:rsidRDefault="004406C6">
      <w:pPr>
        <w:rPr>
          <w:rFonts w:cstheme="minorHAnsi"/>
          <w:szCs w:val="20"/>
          <w:shd w:val="clear" w:color="auto" w:fill="FFFFFF"/>
        </w:rPr>
      </w:pPr>
      <w:r>
        <w:rPr>
          <w:rFonts w:cstheme="minorHAnsi"/>
          <w:szCs w:val="20"/>
          <w:shd w:val="clear" w:color="auto" w:fill="FFFFFF"/>
        </w:rPr>
        <w:t>Lively, G. (2007). ‘</w:t>
      </w:r>
      <w:r w:rsidRPr="004406C6">
        <w:rPr>
          <w:rFonts w:cstheme="minorHAnsi"/>
          <w:i/>
          <w:szCs w:val="20"/>
          <w:shd w:val="clear" w:color="auto" w:fill="FFFFFF"/>
        </w:rPr>
        <w:t>Ovid in Defeat? On the Reception of</w:t>
      </w:r>
      <w:r>
        <w:rPr>
          <w:rFonts w:cstheme="minorHAnsi"/>
          <w:szCs w:val="20"/>
          <w:shd w:val="clear" w:color="auto" w:fill="FFFFFF"/>
        </w:rPr>
        <w:t xml:space="preserve"> </w:t>
      </w:r>
      <w:r>
        <w:rPr>
          <w:rFonts w:cstheme="minorHAnsi"/>
          <w:i/>
          <w:szCs w:val="20"/>
          <w:shd w:val="clear" w:color="auto" w:fill="FFFFFF"/>
        </w:rPr>
        <w:t xml:space="preserve">Ovid’s Ars Amatoria and </w:t>
      </w:r>
      <w:proofErr w:type="spellStart"/>
      <w:r>
        <w:rPr>
          <w:rFonts w:cstheme="minorHAnsi"/>
          <w:i/>
          <w:szCs w:val="20"/>
          <w:shd w:val="clear" w:color="auto" w:fill="FFFFFF"/>
        </w:rPr>
        <w:t>Remedia</w:t>
      </w:r>
      <w:proofErr w:type="spellEnd"/>
      <w:r>
        <w:rPr>
          <w:rFonts w:cstheme="minorHAnsi"/>
          <w:i/>
          <w:szCs w:val="20"/>
          <w:shd w:val="clear" w:color="auto" w:fill="FFFFFF"/>
        </w:rPr>
        <w:t xml:space="preserve"> </w:t>
      </w:r>
      <w:proofErr w:type="spellStart"/>
      <w:r>
        <w:rPr>
          <w:rFonts w:cstheme="minorHAnsi"/>
          <w:i/>
          <w:szCs w:val="20"/>
          <w:shd w:val="clear" w:color="auto" w:fill="FFFFFF"/>
        </w:rPr>
        <w:t>Amoris</w:t>
      </w:r>
      <w:proofErr w:type="spellEnd"/>
      <w:r>
        <w:rPr>
          <w:rFonts w:cstheme="minorHAnsi"/>
          <w:i/>
          <w:szCs w:val="20"/>
          <w:shd w:val="clear" w:color="auto" w:fill="FFFFFF"/>
        </w:rPr>
        <w:t>’</w:t>
      </w:r>
      <w:r>
        <w:rPr>
          <w:rFonts w:cstheme="minorHAnsi"/>
          <w:i/>
          <w:szCs w:val="20"/>
          <w:shd w:val="clear" w:color="auto" w:fill="FFFFFF"/>
        </w:rPr>
        <w:t xml:space="preserve">, </w:t>
      </w:r>
      <w:r>
        <w:rPr>
          <w:rFonts w:cstheme="minorHAnsi"/>
          <w:szCs w:val="20"/>
          <w:shd w:val="clear" w:color="auto" w:fill="FFFFFF"/>
        </w:rPr>
        <w:t xml:space="preserve">in Green, S. (Ed.). </w:t>
      </w:r>
      <w:r>
        <w:rPr>
          <w:rFonts w:cstheme="minorHAnsi"/>
          <w:i/>
          <w:szCs w:val="20"/>
          <w:shd w:val="clear" w:color="auto" w:fill="FFFFFF"/>
        </w:rPr>
        <w:t xml:space="preserve">The Art of Love: Bimillennial Essays on Ovid’s Ars Amatoria and </w:t>
      </w:r>
      <w:proofErr w:type="spellStart"/>
      <w:r>
        <w:rPr>
          <w:rFonts w:cstheme="minorHAnsi"/>
          <w:i/>
          <w:szCs w:val="20"/>
          <w:shd w:val="clear" w:color="auto" w:fill="FFFFFF"/>
        </w:rPr>
        <w:t>Remedia</w:t>
      </w:r>
      <w:proofErr w:type="spellEnd"/>
      <w:r>
        <w:rPr>
          <w:rFonts w:cstheme="minorHAnsi"/>
          <w:i/>
          <w:szCs w:val="20"/>
          <w:shd w:val="clear" w:color="auto" w:fill="FFFFFF"/>
        </w:rPr>
        <w:t xml:space="preserve"> </w:t>
      </w:r>
      <w:proofErr w:type="spellStart"/>
      <w:r>
        <w:rPr>
          <w:rFonts w:cstheme="minorHAnsi"/>
          <w:i/>
          <w:szCs w:val="20"/>
          <w:shd w:val="clear" w:color="auto" w:fill="FFFFFF"/>
        </w:rPr>
        <w:t>Amoris</w:t>
      </w:r>
      <w:proofErr w:type="spellEnd"/>
      <w:r>
        <w:rPr>
          <w:rFonts w:cstheme="minorHAnsi"/>
          <w:i/>
          <w:szCs w:val="20"/>
          <w:shd w:val="clear" w:color="auto" w:fill="FFFFFF"/>
        </w:rPr>
        <w:t xml:space="preserve">. </w:t>
      </w:r>
      <w:r>
        <w:rPr>
          <w:rFonts w:cstheme="minorHAnsi"/>
          <w:szCs w:val="20"/>
          <w:shd w:val="clear" w:color="auto" w:fill="FFFFFF"/>
        </w:rPr>
        <w:t xml:space="preserve">Oxford University Press. </w:t>
      </w:r>
    </w:p>
    <w:p w14:paraId="21B7943F" w14:textId="66028A3F" w:rsidR="005A05B1" w:rsidRDefault="005A05B1">
      <w:pPr>
        <w:rPr>
          <w:rFonts w:cstheme="minorHAnsi"/>
          <w:szCs w:val="20"/>
          <w:shd w:val="clear" w:color="auto" w:fill="FFFFFF"/>
        </w:rPr>
      </w:pPr>
      <w:proofErr w:type="spellStart"/>
      <w:r>
        <w:rPr>
          <w:rFonts w:cstheme="minorHAnsi"/>
          <w:szCs w:val="20"/>
          <w:shd w:val="clear" w:color="auto" w:fill="FFFFFF"/>
        </w:rPr>
        <w:t>Martelli</w:t>
      </w:r>
      <w:proofErr w:type="spellEnd"/>
      <w:r>
        <w:rPr>
          <w:rFonts w:cstheme="minorHAnsi"/>
          <w:szCs w:val="20"/>
          <w:shd w:val="clear" w:color="auto" w:fill="FFFFFF"/>
        </w:rPr>
        <w:t xml:space="preserve">, F.K.A. (2013). </w:t>
      </w:r>
      <w:r>
        <w:rPr>
          <w:rFonts w:cstheme="minorHAnsi"/>
          <w:i/>
          <w:szCs w:val="20"/>
          <w:shd w:val="clear" w:color="auto" w:fill="FFFFFF"/>
        </w:rPr>
        <w:t xml:space="preserve">Ovid’s Revisions: The Editor as Author. </w:t>
      </w:r>
      <w:r>
        <w:rPr>
          <w:rFonts w:cstheme="minorHAnsi"/>
          <w:szCs w:val="20"/>
          <w:shd w:val="clear" w:color="auto" w:fill="FFFFFF"/>
        </w:rPr>
        <w:t>Cambridge: Cambridge University Press.</w:t>
      </w:r>
    </w:p>
    <w:p w14:paraId="0A7E8F1F" w14:textId="716FE4DF" w:rsidR="00CB1178" w:rsidRDefault="00CB1178">
      <w:r w:rsidRPr="00CB1178">
        <w:t xml:space="preserve">Nau, F. (2007). Review of </w:t>
      </w:r>
      <w:r w:rsidRPr="00CB1178">
        <w:rPr>
          <w:i/>
        </w:rPr>
        <w:t xml:space="preserve">Ovid &amp; Augustus: A Political reading of Ovid’s erotic poems, </w:t>
      </w:r>
      <w:r w:rsidRPr="00CB1178">
        <w:t>by Davis, P.J. London: Duckworth.</w:t>
      </w:r>
    </w:p>
    <w:p w14:paraId="6CAC200B" w14:textId="3A1ADD39" w:rsidR="005F1B65" w:rsidRDefault="005F1B65">
      <w:proofErr w:type="spellStart"/>
      <w:r>
        <w:t>Nortwick</w:t>
      </w:r>
      <w:proofErr w:type="spellEnd"/>
      <w:r>
        <w:t>, T.V. (2002). ‘</w:t>
      </w:r>
      <w:r w:rsidRPr="005F1B65">
        <w:rPr>
          <w:i/>
        </w:rPr>
        <w:t>Chapter one:</w:t>
      </w:r>
      <w:r>
        <w:t xml:space="preserve"> </w:t>
      </w:r>
      <w:r w:rsidRPr="005F1B65">
        <w:rPr>
          <w:i/>
        </w:rPr>
        <w:t>Who Do I Think I Am?</w:t>
      </w:r>
      <w:r>
        <w:t>’</w:t>
      </w:r>
      <w:r>
        <w:rPr>
          <w:rFonts w:cstheme="minorHAnsi"/>
          <w:i/>
          <w:szCs w:val="20"/>
          <w:shd w:val="clear" w:color="auto" w:fill="FFFFFF"/>
        </w:rPr>
        <w:t xml:space="preserve">, </w:t>
      </w:r>
      <w:r>
        <w:rPr>
          <w:rFonts w:cstheme="minorHAnsi"/>
          <w:szCs w:val="20"/>
          <w:shd w:val="clear" w:color="auto" w:fill="FFFFFF"/>
        </w:rPr>
        <w:t xml:space="preserve">in </w:t>
      </w:r>
      <w:proofErr w:type="spellStart"/>
      <w:r>
        <w:rPr>
          <w:rFonts w:cstheme="minorHAnsi"/>
          <w:szCs w:val="20"/>
          <w:shd w:val="clear" w:color="auto" w:fill="FFFFFF"/>
        </w:rPr>
        <w:t>Hal</w:t>
      </w:r>
      <w:r>
        <w:rPr>
          <w:rFonts w:cstheme="minorHAnsi"/>
          <w:szCs w:val="20"/>
          <w:shd w:val="clear" w:color="auto" w:fill="FFFFFF"/>
        </w:rPr>
        <w:t>l</w:t>
      </w:r>
      <w:r>
        <w:rPr>
          <w:rFonts w:cstheme="minorHAnsi"/>
          <w:szCs w:val="20"/>
          <w:shd w:val="clear" w:color="auto" w:fill="FFFFFF"/>
        </w:rPr>
        <w:t>et</w:t>
      </w:r>
      <w:proofErr w:type="spellEnd"/>
      <w:r>
        <w:rPr>
          <w:rFonts w:cstheme="minorHAnsi"/>
          <w:szCs w:val="20"/>
          <w:shd w:val="clear" w:color="auto" w:fill="FFFFFF"/>
        </w:rPr>
        <w:t xml:space="preserve">, J.P.; </w:t>
      </w:r>
      <w:proofErr w:type="spellStart"/>
      <w:r>
        <w:rPr>
          <w:rFonts w:cstheme="minorHAnsi"/>
          <w:szCs w:val="20"/>
          <w:shd w:val="clear" w:color="auto" w:fill="FFFFFF"/>
        </w:rPr>
        <w:t>Nortwick</w:t>
      </w:r>
      <w:proofErr w:type="spellEnd"/>
      <w:r>
        <w:rPr>
          <w:rFonts w:cstheme="minorHAnsi"/>
          <w:szCs w:val="20"/>
          <w:shd w:val="clear" w:color="auto" w:fill="FFFFFF"/>
        </w:rPr>
        <w:t xml:space="preserve">, T.V. (Ed.). </w:t>
      </w:r>
      <w:r>
        <w:rPr>
          <w:rFonts w:cstheme="minorHAnsi"/>
          <w:i/>
          <w:szCs w:val="20"/>
          <w:shd w:val="clear" w:color="auto" w:fill="FFFFFF"/>
        </w:rPr>
        <w:t xml:space="preserve">Compromising Traditions: The Personal Voice in Classical Scholarship. </w:t>
      </w:r>
      <w:r>
        <w:rPr>
          <w:rFonts w:cstheme="minorHAnsi"/>
          <w:szCs w:val="20"/>
          <w:shd w:val="clear" w:color="auto" w:fill="FFFFFF"/>
        </w:rPr>
        <w:t>Routledge.</w:t>
      </w:r>
    </w:p>
    <w:p w14:paraId="12908EA6" w14:textId="5BD20EB6" w:rsidR="0001116D" w:rsidRDefault="0001116D">
      <w:r w:rsidRPr="0001116D">
        <w:t xml:space="preserve">Pearcy, L.T. (1991). Review of </w:t>
      </w:r>
      <w:r w:rsidRPr="0001116D">
        <w:rPr>
          <w:i/>
        </w:rPr>
        <w:t xml:space="preserve">Ovid, The Love Poems, </w:t>
      </w:r>
      <w:r w:rsidRPr="0001116D">
        <w:t>by A.D. Melville (trans.). Oxford: Oxford University Press.</w:t>
      </w:r>
    </w:p>
    <w:p w14:paraId="248B48D7" w14:textId="69E220FE" w:rsidR="00B17887" w:rsidRPr="00B17887" w:rsidRDefault="00B17887">
      <w:r>
        <w:t>Driscoll, K.; McFarland, J. (1989). ‘</w:t>
      </w:r>
      <w:r>
        <w:rPr>
          <w:i/>
        </w:rPr>
        <w:t xml:space="preserve">Chapter 10: The Impact of Feminist Perspective on </w:t>
      </w:r>
      <w:bookmarkStart w:id="1" w:name="_GoBack"/>
      <w:bookmarkEnd w:id="1"/>
      <w:r>
        <w:rPr>
          <w:i/>
        </w:rPr>
        <w:t xml:space="preserve">Research Methodologies: Social Sciences’, </w:t>
      </w:r>
      <w:r>
        <w:t xml:space="preserve">in </w:t>
      </w:r>
      <w:r>
        <w:t xml:space="preserve">Benston, M.L. (Ed.). </w:t>
      </w:r>
      <w:r>
        <w:rPr>
          <w:i/>
        </w:rPr>
        <w:t xml:space="preserve">The Effects of Feminist Approaches on Research Methodologies. </w:t>
      </w:r>
      <w:r>
        <w:t xml:space="preserve">Wilfrid Laurier University Press. </w:t>
      </w:r>
    </w:p>
    <w:p w14:paraId="5B9C8527" w14:textId="1E805CA1" w:rsidR="00CB1178" w:rsidRDefault="00984A3C">
      <w:pPr>
        <w:rPr>
          <w:rFonts w:cstheme="minorHAnsi"/>
          <w:szCs w:val="20"/>
          <w:shd w:val="clear" w:color="auto" w:fill="FFFFFF"/>
        </w:rPr>
      </w:pPr>
      <w:r>
        <w:rPr>
          <w:rFonts w:cstheme="minorHAnsi"/>
          <w:szCs w:val="20"/>
          <w:shd w:val="clear" w:color="auto" w:fill="FFFFFF"/>
        </w:rPr>
        <w:t xml:space="preserve">Sandys, J.E. </w:t>
      </w:r>
      <w:r w:rsidR="0046796D">
        <w:rPr>
          <w:rFonts w:cstheme="minorHAnsi"/>
          <w:szCs w:val="20"/>
          <w:shd w:val="clear" w:color="auto" w:fill="FFFFFF"/>
        </w:rPr>
        <w:t xml:space="preserve">(1958). </w:t>
      </w:r>
      <w:r w:rsidR="0046796D">
        <w:rPr>
          <w:rFonts w:cstheme="minorHAnsi"/>
          <w:i/>
          <w:szCs w:val="20"/>
          <w:shd w:val="clear" w:color="auto" w:fill="FFFFFF"/>
        </w:rPr>
        <w:t xml:space="preserve">A History of Classical Scholarship: Volume 1. </w:t>
      </w:r>
      <w:r w:rsidR="0046796D">
        <w:rPr>
          <w:rFonts w:cstheme="minorHAnsi"/>
          <w:szCs w:val="20"/>
          <w:shd w:val="clear" w:color="auto" w:fill="FFFFFF"/>
        </w:rPr>
        <w:t>CUP Archive.</w:t>
      </w:r>
    </w:p>
    <w:p w14:paraId="3D6E5565" w14:textId="08AB366C" w:rsidR="0001116D" w:rsidRPr="0001116D" w:rsidRDefault="0001116D">
      <w:pPr>
        <w:rPr>
          <w:rFonts w:cstheme="minorHAnsi"/>
          <w:sz w:val="28"/>
          <w:szCs w:val="20"/>
          <w:shd w:val="clear" w:color="auto" w:fill="FFFFFF"/>
        </w:rPr>
      </w:pPr>
      <w:r w:rsidRPr="0001116D">
        <w:rPr>
          <w:rFonts w:cstheme="minorHAnsi"/>
          <w:color w:val="000000"/>
          <w:szCs w:val="18"/>
          <w:shd w:val="clear" w:color="auto" w:fill="FFFFFF"/>
        </w:rPr>
        <w:t xml:space="preserve">Schein, Seth L. (2011). </w:t>
      </w:r>
      <w:r>
        <w:rPr>
          <w:rFonts w:cstheme="minorHAnsi"/>
          <w:color w:val="000000"/>
          <w:szCs w:val="18"/>
          <w:shd w:val="clear" w:color="auto" w:fill="FFFFFF"/>
        </w:rPr>
        <w:t>‘</w:t>
      </w:r>
      <w:r w:rsidRPr="0001116D">
        <w:rPr>
          <w:rFonts w:cstheme="minorHAnsi"/>
          <w:color w:val="000000"/>
          <w:szCs w:val="18"/>
          <w:shd w:val="clear" w:color="auto" w:fill="FFFFFF"/>
        </w:rPr>
        <w:t xml:space="preserve">Language and dramatic action in the prologue of </w:t>
      </w:r>
      <w:proofErr w:type="spellStart"/>
      <w:r w:rsidRPr="0001116D">
        <w:rPr>
          <w:rFonts w:cstheme="minorHAnsi"/>
          <w:color w:val="000000"/>
          <w:szCs w:val="18"/>
          <w:shd w:val="clear" w:color="auto" w:fill="FFFFFF"/>
        </w:rPr>
        <w:t>Sophokles</w:t>
      </w:r>
      <w:proofErr w:type="spellEnd"/>
      <w:r w:rsidRPr="0001116D">
        <w:rPr>
          <w:rFonts w:cstheme="minorHAnsi"/>
          <w:color w:val="000000"/>
          <w:szCs w:val="18"/>
          <w:shd w:val="clear" w:color="auto" w:fill="FFFFFF"/>
        </w:rPr>
        <w:t xml:space="preserve">' </w:t>
      </w:r>
      <w:proofErr w:type="spellStart"/>
      <w:r w:rsidRPr="0001116D">
        <w:rPr>
          <w:rFonts w:cstheme="minorHAnsi"/>
          <w:color w:val="000000"/>
          <w:szCs w:val="18"/>
          <w:shd w:val="clear" w:color="auto" w:fill="FFFFFF"/>
        </w:rPr>
        <w:t>Philoktetes</w:t>
      </w:r>
      <w:proofErr w:type="spellEnd"/>
      <w:r>
        <w:rPr>
          <w:rFonts w:cstheme="minorHAnsi"/>
          <w:color w:val="000000"/>
          <w:szCs w:val="18"/>
          <w:shd w:val="clear" w:color="auto" w:fill="FFFFFF"/>
        </w:rPr>
        <w:t>’</w:t>
      </w:r>
      <w:r w:rsidRPr="0001116D">
        <w:rPr>
          <w:rFonts w:cstheme="minorHAnsi"/>
          <w:color w:val="000000"/>
          <w:szCs w:val="18"/>
          <w:shd w:val="clear" w:color="auto" w:fill="FFFFFF"/>
        </w:rPr>
        <w:t>. </w:t>
      </w:r>
      <w:proofErr w:type="spellStart"/>
      <w:r w:rsidRPr="0001116D">
        <w:rPr>
          <w:rStyle w:val="Emphasis"/>
          <w:rFonts w:cstheme="minorHAnsi"/>
          <w:color w:val="000000"/>
          <w:szCs w:val="18"/>
          <w:shd w:val="clear" w:color="auto" w:fill="FFFFFF"/>
        </w:rPr>
        <w:t>Dioniso</w:t>
      </w:r>
      <w:proofErr w:type="spellEnd"/>
      <w:r w:rsidRPr="0001116D">
        <w:rPr>
          <w:rFonts w:cstheme="minorHAnsi"/>
          <w:color w:val="000000"/>
          <w:szCs w:val="18"/>
          <w:shd w:val="clear" w:color="auto" w:fill="FFFFFF"/>
        </w:rPr>
        <w:t>, 1, 78-97.</w:t>
      </w:r>
    </w:p>
    <w:p w14:paraId="6EF5FB53" w14:textId="0320AB35" w:rsidR="0001116D" w:rsidRDefault="0001116D">
      <w:pPr>
        <w:rPr>
          <w:rFonts w:cstheme="minorHAnsi"/>
          <w:szCs w:val="20"/>
          <w:shd w:val="clear" w:color="auto" w:fill="FFFFFF"/>
        </w:rPr>
      </w:pPr>
      <w:proofErr w:type="spellStart"/>
      <w:r>
        <w:rPr>
          <w:rFonts w:cstheme="minorHAnsi"/>
          <w:szCs w:val="20"/>
          <w:shd w:val="clear" w:color="auto" w:fill="FFFFFF"/>
        </w:rPr>
        <w:t>Settis</w:t>
      </w:r>
      <w:proofErr w:type="spellEnd"/>
      <w:r>
        <w:rPr>
          <w:rFonts w:cstheme="minorHAnsi"/>
          <w:szCs w:val="20"/>
          <w:shd w:val="clear" w:color="auto" w:fill="FFFFFF"/>
        </w:rPr>
        <w:t>, S. (2004). ‘</w:t>
      </w:r>
      <w:proofErr w:type="spellStart"/>
      <w:r w:rsidRPr="0001116D">
        <w:rPr>
          <w:rStyle w:val="Emphasis"/>
          <w:color w:val="000000"/>
          <w:szCs w:val="27"/>
        </w:rPr>
        <w:t>Futuro</w:t>
      </w:r>
      <w:proofErr w:type="spellEnd"/>
      <w:r w:rsidRPr="0001116D">
        <w:rPr>
          <w:rStyle w:val="Emphasis"/>
          <w:color w:val="000000"/>
          <w:szCs w:val="27"/>
        </w:rPr>
        <w:t xml:space="preserve"> del </w:t>
      </w:r>
      <w:proofErr w:type="spellStart"/>
      <w:r w:rsidRPr="0001116D">
        <w:rPr>
          <w:rStyle w:val="Emphasis"/>
          <w:color w:val="000000"/>
          <w:szCs w:val="27"/>
        </w:rPr>
        <w:t>classico</w:t>
      </w:r>
      <w:proofErr w:type="spellEnd"/>
      <w:r w:rsidRPr="0001116D">
        <w:rPr>
          <w:rStyle w:val="Emphasis"/>
          <w:color w:val="000000"/>
          <w:szCs w:val="27"/>
        </w:rPr>
        <w:t>.</w:t>
      </w:r>
      <w:r>
        <w:rPr>
          <w:rStyle w:val="Emphasis"/>
          <w:color w:val="000000"/>
          <w:szCs w:val="27"/>
        </w:rPr>
        <w:t>’</w:t>
      </w:r>
      <w:r w:rsidRPr="0001116D">
        <w:rPr>
          <w:color w:val="000000"/>
          <w:szCs w:val="27"/>
        </w:rPr>
        <w:t> Torino: Einaudi.</w:t>
      </w:r>
    </w:p>
    <w:p w14:paraId="5BCEF537" w14:textId="19E8A1B2" w:rsidR="00CB1178" w:rsidRDefault="00CB1178">
      <w:pPr>
        <w:rPr>
          <w:color w:val="000000"/>
          <w:szCs w:val="27"/>
        </w:rPr>
      </w:pPr>
      <w:proofErr w:type="spellStart"/>
      <w:r w:rsidRPr="00CB1178">
        <w:rPr>
          <w:color w:val="000000"/>
          <w:szCs w:val="27"/>
        </w:rPr>
        <w:t>Solodow</w:t>
      </w:r>
      <w:proofErr w:type="spellEnd"/>
      <w:r w:rsidRPr="00CB1178">
        <w:rPr>
          <w:color w:val="000000"/>
          <w:szCs w:val="27"/>
        </w:rPr>
        <w:t>, J</w:t>
      </w:r>
      <w:r>
        <w:rPr>
          <w:color w:val="000000"/>
          <w:szCs w:val="27"/>
        </w:rPr>
        <w:t>.</w:t>
      </w:r>
      <w:r w:rsidRPr="00CB1178">
        <w:rPr>
          <w:color w:val="000000"/>
          <w:szCs w:val="27"/>
        </w:rPr>
        <w:t xml:space="preserve">B. (1977). </w:t>
      </w:r>
      <w:r>
        <w:rPr>
          <w:color w:val="000000"/>
          <w:szCs w:val="27"/>
        </w:rPr>
        <w:t>“</w:t>
      </w:r>
      <w:r w:rsidRPr="00CB1178">
        <w:rPr>
          <w:color w:val="000000"/>
          <w:szCs w:val="27"/>
        </w:rPr>
        <w:t>Ovid's Ars Amatoria. The lover as cultural ideal</w:t>
      </w:r>
      <w:r>
        <w:rPr>
          <w:color w:val="000000"/>
          <w:szCs w:val="27"/>
        </w:rPr>
        <w:t>”,</w:t>
      </w:r>
      <w:r w:rsidRPr="00CB1178">
        <w:rPr>
          <w:color w:val="000000"/>
          <w:szCs w:val="27"/>
        </w:rPr>
        <w:t> </w:t>
      </w:r>
      <w:r w:rsidRPr="00CB1178">
        <w:rPr>
          <w:rStyle w:val="Emphasis"/>
          <w:color w:val="000000"/>
          <w:szCs w:val="27"/>
        </w:rPr>
        <w:t xml:space="preserve">Wiener </w:t>
      </w:r>
      <w:proofErr w:type="spellStart"/>
      <w:r w:rsidRPr="00CB1178">
        <w:rPr>
          <w:rStyle w:val="Emphasis"/>
          <w:color w:val="000000"/>
          <w:szCs w:val="27"/>
        </w:rPr>
        <w:t>Studien</w:t>
      </w:r>
      <w:proofErr w:type="spellEnd"/>
      <w:r w:rsidRPr="00CB1178">
        <w:rPr>
          <w:color w:val="000000"/>
          <w:szCs w:val="27"/>
        </w:rPr>
        <w:t>, XI, N.F., 106-127.</w:t>
      </w:r>
    </w:p>
    <w:p w14:paraId="0C8FDF8A" w14:textId="2B5389E4" w:rsidR="00CB1178" w:rsidRDefault="00CB1178">
      <w:r w:rsidRPr="00CB1178">
        <w:lastRenderedPageBreak/>
        <w:t xml:space="preserve">Stevens, B.E. (2014). Review of </w:t>
      </w:r>
      <w:r w:rsidRPr="00CB1178">
        <w:rPr>
          <w:i/>
        </w:rPr>
        <w:t xml:space="preserve">Change Me: Stories of Sexual Transformation from Ovid, </w:t>
      </w:r>
      <w:r w:rsidRPr="00CB1178">
        <w:t>by Jane Alison. Oxford.</w:t>
      </w:r>
    </w:p>
    <w:p w14:paraId="3EDDB7F2" w14:textId="33A59EDC" w:rsidR="0001116D" w:rsidRDefault="0001116D">
      <w:r>
        <w:t xml:space="preserve">Stratton, C. (1924). </w:t>
      </w:r>
      <w:r w:rsidR="005F1B65">
        <w:t xml:space="preserve">‘Review: </w:t>
      </w:r>
      <w:r w:rsidRPr="005F1B65">
        <w:t>Our Debt to Greece and Rome’</w:t>
      </w:r>
      <w:r>
        <w:rPr>
          <w:i/>
        </w:rPr>
        <w:t xml:space="preserve">, The English </w:t>
      </w:r>
      <w:r w:rsidR="005F1B65">
        <w:rPr>
          <w:i/>
        </w:rPr>
        <w:t xml:space="preserve">Journal. </w:t>
      </w:r>
      <w:r w:rsidR="005F1B65">
        <w:t>13,7,520-523.</w:t>
      </w:r>
    </w:p>
    <w:p w14:paraId="73CC3EE0" w14:textId="2CCD6004" w:rsidR="005F1B65" w:rsidRDefault="005F1B65">
      <w:proofErr w:type="spellStart"/>
      <w:r>
        <w:t>Tomm</w:t>
      </w:r>
      <w:proofErr w:type="spellEnd"/>
      <w:r>
        <w:t>, W. (1989). ‘</w:t>
      </w:r>
      <w:r>
        <w:rPr>
          <w:i/>
        </w:rPr>
        <w:t xml:space="preserve">Introduction’, </w:t>
      </w:r>
      <w:r>
        <w:t xml:space="preserve">in Benston, M.L. (Ed.). </w:t>
      </w:r>
      <w:r>
        <w:rPr>
          <w:i/>
        </w:rPr>
        <w:t xml:space="preserve">The Effects of Feminist Approaches on Research Methodologies. </w:t>
      </w:r>
      <w:r>
        <w:t xml:space="preserve">Wilfrid Laurier University Press. </w:t>
      </w:r>
    </w:p>
    <w:p w14:paraId="5DE93A0A" w14:textId="6DA27E4D" w:rsidR="00B17887" w:rsidRPr="00B17887" w:rsidRDefault="00B17887">
      <w:pPr>
        <w:rPr>
          <w:i/>
        </w:rPr>
      </w:pPr>
      <w:r>
        <w:t xml:space="preserve">UCAS. (2019). </w:t>
      </w:r>
      <w:hyperlink r:id="rId7" w:history="1">
        <w:r w:rsidRPr="006C5200">
          <w:rPr>
            <w:rStyle w:val="Hyperlink"/>
            <w:i/>
          </w:rPr>
          <w:t>www.ucas.com</w:t>
        </w:r>
      </w:hyperlink>
      <w:r>
        <w:rPr>
          <w:i/>
        </w:rPr>
        <w:t xml:space="preserve">. </w:t>
      </w:r>
      <w:r w:rsidRPr="00B17887">
        <w:t>[PDF Statistical Releases]</w:t>
      </w:r>
      <w:r>
        <w:t xml:space="preserve">. Available at: </w:t>
      </w:r>
      <w:hyperlink r:id="rId8" w:history="1">
        <w:r>
          <w:rPr>
            <w:rStyle w:val="Hyperlink"/>
          </w:rPr>
          <w:t>https://www.ucas.com/corporate/data-and-analysis/ucas-undergraduate-releases/2018-cycle-applicant-figures-june-deadline</w:t>
        </w:r>
      </w:hyperlink>
      <w:r>
        <w:t xml:space="preserve"> [Date Accessed: 4.4.2019].</w:t>
      </w:r>
    </w:p>
    <w:p w14:paraId="0992D9F2" w14:textId="6ACA5F17" w:rsidR="005A05B1" w:rsidRPr="005A05B1" w:rsidRDefault="005A05B1">
      <w:pPr>
        <w:rPr>
          <w:rFonts w:cstheme="minorHAnsi"/>
          <w:szCs w:val="20"/>
          <w:shd w:val="clear" w:color="auto" w:fill="FFFFFF"/>
        </w:rPr>
      </w:pPr>
      <w:proofErr w:type="spellStart"/>
      <w:r>
        <w:rPr>
          <w:rFonts w:cstheme="minorHAnsi"/>
          <w:szCs w:val="20"/>
          <w:shd w:val="clear" w:color="auto" w:fill="FFFFFF"/>
        </w:rPr>
        <w:t>Vauchez</w:t>
      </w:r>
      <w:proofErr w:type="spellEnd"/>
      <w:r>
        <w:rPr>
          <w:rFonts w:cstheme="minorHAnsi"/>
          <w:szCs w:val="20"/>
          <w:shd w:val="clear" w:color="auto" w:fill="FFFFFF"/>
        </w:rPr>
        <w:t xml:space="preserve">, A. (2002). </w:t>
      </w:r>
      <w:r>
        <w:rPr>
          <w:rFonts w:cstheme="minorHAnsi"/>
          <w:i/>
          <w:szCs w:val="20"/>
          <w:shd w:val="clear" w:color="auto" w:fill="FFFFFF"/>
        </w:rPr>
        <w:t xml:space="preserve">Encyclopaedia of the Middle Ages. </w:t>
      </w:r>
      <w:r>
        <w:rPr>
          <w:rFonts w:cstheme="minorHAnsi"/>
          <w:szCs w:val="20"/>
          <w:shd w:val="clear" w:color="auto" w:fill="FFFFFF"/>
        </w:rPr>
        <w:t xml:space="preserve">James Clarke &amp; Co. </w:t>
      </w:r>
    </w:p>
    <w:p w14:paraId="54AB1929" w14:textId="231D96A7" w:rsidR="0046796D" w:rsidRPr="0046796D" w:rsidRDefault="0046796D">
      <w:pPr>
        <w:rPr>
          <w:rFonts w:cstheme="minorHAnsi"/>
          <w:szCs w:val="20"/>
          <w:shd w:val="clear" w:color="auto" w:fill="FFFFFF"/>
        </w:rPr>
      </w:pPr>
    </w:p>
    <w:sectPr w:rsidR="0046796D" w:rsidRPr="0046796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A42FD5" w14:textId="77777777" w:rsidR="00D32D67" w:rsidRDefault="00D32D67" w:rsidP="00F14008">
      <w:pPr>
        <w:spacing w:after="0" w:line="240" w:lineRule="auto"/>
      </w:pPr>
      <w:r>
        <w:separator/>
      </w:r>
    </w:p>
  </w:endnote>
  <w:endnote w:type="continuationSeparator" w:id="0">
    <w:p w14:paraId="24F987A0" w14:textId="77777777" w:rsidR="00D32D67" w:rsidRDefault="00D32D67" w:rsidP="00F14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6543F3" w14:textId="77777777" w:rsidR="00D32D67" w:rsidRDefault="00D32D67" w:rsidP="00F14008">
      <w:pPr>
        <w:spacing w:after="0" w:line="240" w:lineRule="auto"/>
      </w:pPr>
      <w:r>
        <w:separator/>
      </w:r>
    </w:p>
  </w:footnote>
  <w:footnote w:type="continuationSeparator" w:id="0">
    <w:p w14:paraId="1C871EF1" w14:textId="77777777" w:rsidR="00D32D67" w:rsidRDefault="00D32D67" w:rsidP="00F14008">
      <w:pPr>
        <w:spacing w:after="0" w:line="240" w:lineRule="auto"/>
      </w:pPr>
      <w:r>
        <w:continuationSeparator/>
      </w:r>
    </w:p>
  </w:footnote>
  <w:footnote w:id="1">
    <w:p w14:paraId="5F4DB986" w14:textId="491DB83C" w:rsidR="00171F55" w:rsidRDefault="00171F55">
      <w:pPr>
        <w:pStyle w:val="FootnoteText"/>
      </w:pPr>
      <w:r>
        <w:rPr>
          <w:rStyle w:val="FootnoteReference"/>
        </w:rPr>
        <w:footnoteRef/>
      </w:r>
      <w:r>
        <w:t xml:space="preserve"> Sandys, 1958, </w:t>
      </w:r>
      <w:proofErr w:type="spellStart"/>
      <w:r>
        <w:t>p.xiv</w:t>
      </w:r>
      <w:proofErr w:type="spellEnd"/>
      <w:r>
        <w:t xml:space="preserve">. </w:t>
      </w:r>
    </w:p>
  </w:footnote>
  <w:footnote w:id="2">
    <w:p w14:paraId="66ADEC21" w14:textId="77777777" w:rsidR="00171F55" w:rsidRDefault="00171F55" w:rsidP="00F504A5">
      <w:pPr>
        <w:pStyle w:val="FootnoteText"/>
      </w:pPr>
      <w:r>
        <w:rPr>
          <w:rStyle w:val="FootnoteReference"/>
        </w:rPr>
        <w:footnoteRef/>
      </w:r>
      <w:r>
        <w:t xml:space="preserve"> Blum,2017, p.489-526.; </w:t>
      </w:r>
      <w:proofErr w:type="spellStart"/>
      <w:r>
        <w:t>Hejduk</w:t>
      </w:r>
      <w:proofErr w:type="spellEnd"/>
      <w:r>
        <w:t xml:space="preserve">, 2015.; James, 2015, p.205-220.; </w:t>
      </w:r>
      <w:proofErr w:type="spellStart"/>
      <w:r>
        <w:t>Martelli</w:t>
      </w:r>
      <w:proofErr w:type="spellEnd"/>
      <w:r>
        <w:t>, 2013.</w:t>
      </w:r>
    </w:p>
  </w:footnote>
  <w:footnote w:id="3">
    <w:p w14:paraId="6128D91E" w14:textId="1CE77125" w:rsidR="00171F55" w:rsidRDefault="00171F55">
      <w:pPr>
        <w:pStyle w:val="FootnoteText"/>
      </w:pPr>
      <w:r>
        <w:rPr>
          <w:rStyle w:val="FootnoteReference"/>
        </w:rPr>
        <w:footnoteRef/>
      </w:r>
      <w:r>
        <w:t xml:space="preserve"> Hornblower; Spawforth, 2005, p.47.</w:t>
      </w:r>
    </w:p>
  </w:footnote>
  <w:footnote w:id="4">
    <w:p w14:paraId="27958F94" w14:textId="12057AC3" w:rsidR="00171F55" w:rsidRDefault="00171F55" w:rsidP="00F235D4">
      <w:pPr>
        <w:pStyle w:val="FootnoteText"/>
      </w:pPr>
      <w:r>
        <w:rPr>
          <w:rStyle w:val="FootnoteReference"/>
        </w:rPr>
        <w:footnoteRef/>
      </w:r>
      <w:r>
        <w:t xml:space="preserve"> Green, 2007, p.1-3.</w:t>
      </w:r>
    </w:p>
  </w:footnote>
  <w:footnote w:id="5">
    <w:p w14:paraId="753412DF" w14:textId="58E6E892" w:rsidR="00171F55" w:rsidRPr="00F235D4" w:rsidRDefault="00171F55">
      <w:pPr>
        <w:pStyle w:val="FootnoteText"/>
        <w:rPr>
          <w:i/>
        </w:rPr>
      </w:pPr>
      <w:r>
        <w:rPr>
          <w:rStyle w:val="FootnoteReference"/>
        </w:rPr>
        <w:footnoteRef/>
      </w:r>
      <w:r>
        <w:t xml:space="preserve"> Ovid, 1.1-3.</w:t>
      </w:r>
    </w:p>
  </w:footnote>
  <w:footnote w:id="6">
    <w:p w14:paraId="49BF9F53" w14:textId="22C4CD43" w:rsidR="00171F55" w:rsidRDefault="00171F55">
      <w:pPr>
        <w:pStyle w:val="FootnoteText"/>
      </w:pPr>
      <w:r>
        <w:rPr>
          <w:rStyle w:val="FootnoteReference"/>
        </w:rPr>
        <w:footnoteRef/>
      </w:r>
      <w:r>
        <w:t xml:space="preserve"> Blum,2017, p.491-492.</w:t>
      </w:r>
    </w:p>
  </w:footnote>
  <w:footnote w:id="7">
    <w:p w14:paraId="4E3C82B8" w14:textId="72C272EB" w:rsidR="00171F55" w:rsidRDefault="00171F55">
      <w:pPr>
        <w:pStyle w:val="FootnoteText"/>
      </w:pPr>
      <w:r>
        <w:rPr>
          <w:rStyle w:val="FootnoteReference"/>
        </w:rPr>
        <w:footnoteRef/>
      </w:r>
      <w:r>
        <w:t xml:space="preserve"> </w:t>
      </w:r>
      <w:proofErr w:type="spellStart"/>
      <w:r>
        <w:t>Vauchez</w:t>
      </w:r>
      <w:proofErr w:type="spellEnd"/>
      <w:r>
        <w:t xml:space="preserve">, 2002, p. ’arts of love’. </w:t>
      </w:r>
    </w:p>
  </w:footnote>
  <w:footnote w:id="8">
    <w:p w14:paraId="39C95ECA" w14:textId="77777777" w:rsidR="00171F55" w:rsidRDefault="00171F55" w:rsidP="00B069A2">
      <w:pPr>
        <w:pStyle w:val="FootnoteText"/>
      </w:pPr>
      <w:r>
        <w:rPr>
          <w:rStyle w:val="FootnoteReference"/>
        </w:rPr>
        <w:footnoteRef/>
      </w:r>
      <w:r>
        <w:t xml:space="preserve"> </w:t>
      </w:r>
      <w:proofErr w:type="spellStart"/>
      <w:r>
        <w:t>Liveley</w:t>
      </w:r>
      <w:proofErr w:type="spellEnd"/>
      <w:r>
        <w:t>, 2007, p.18.</w:t>
      </w:r>
    </w:p>
  </w:footnote>
  <w:footnote w:id="9">
    <w:p w14:paraId="177223D4" w14:textId="4086D200" w:rsidR="00171F55" w:rsidRDefault="00171F55">
      <w:pPr>
        <w:pStyle w:val="FootnoteText"/>
      </w:pPr>
      <w:r>
        <w:rPr>
          <w:rStyle w:val="FootnoteReference"/>
        </w:rPr>
        <w:footnoteRef/>
      </w:r>
      <w:r>
        <w:t xml:space="preserve"> Goold; </w:t>
      </w:r>
      <w:proofErr w:type="spellStart"/>
      <w:r>
        <w:t>Mozley</w:t>
      </w:r>
      <w:proofErr w:type="spellEnd"/>
      <w:r>
        <w:t>, 1929.</w:t>
      </w:r>
    </w:p>
  </w:footnote>
  <w:footnote w:id="10">
    <w:p w14:paraId="2E4F2E94" w14:textId="7E8AA64B" w:rsidR="00171F55" w:rsidRDefault="00171F55">
      <w:pPr>
        <w:pStyle w:val="FootnoteText"/>
      </w:pPr>
      <w:r>
        <w:rPr>
          <w:rStyle w:val="FootnoteReference"/>
        </w:rPr>
        <w:footnoteRef/>
      </w:r>
      <w:r>
        <w:t xml:space="preserve"> Green, 2007, p.3-4. </w:t>
      </w:r>
    </w:p>
  </w:footnote>
  <w:footnote w:id="11">
    <w:p w14:paraId="63B84272" w14:textId="580D7BEE" w:rsidR="00171F55" w:rsidRDefault="00171F55">
      <w:pPr>
        <w:pStyle w:val="FootnoteText"/>
      </w:pPr>
      <w:r>
        <w:rPr>
          <w:rStyle w:val="FootnoteReference"/>
        </w:rPr>
        <w:footnoteRef/>
      </w:r>
      <w:r>
        <w:t xml:space="preserve"> Green, 2007, p.4.</w:t>
      </w:r>
    </w:p>
  </w:footnote>
  <w:footnote w:id="12">
    <w:p w14:paraId="784807CD" w14:textId="293E906E" w:rsidR="00171F55" w:rsidRDefault="00171F55">
      <w:pPr>
        <w:pStyle w:val="FootnoteText"/>
      </w:pPr>
      <w:r>
        <w:rPr>
          <w:rStyle w:val="FootnoteReference"/>
        </w:rPr>
        <w:footnoteRef/>
      </w:r>
      <w:r>
        <w:t xml:space="preserve"> </w:t>
      </w:r>
      <w:proofErr w:type="spellStart"/>
      <w:r>
        <w:t>Fyler</w:t>
      </w:r>
      <w:proofErr w:type="spellEnd"/>
      <w:r>
        <w:t xml:space="preserve">, 1971. </w:t>
      </w:r>
    </w:p>
  </w:footnote>
  <w:footnote w:id="13">
    <w:p w14:paraId="055B3B5E" w14:textId="6E406F81" w:rsidR="00171F55" w:rsidRDefault="00171F55">
      <w:pPr>
        <w:pStyle w:val="FootnoteText"/>
      </w:pPr>
      <w:r>
        <w:rPr>
          <w:rStyle w:val="FootnoteReference"/>
        </w:rPr>
        <w:footnoteRef/>
      </w:r>
      <w:r>
        <w:t xml:space="preserve"> </w:t>
      </w:r>
      <w:proofErr w:type="spellStart"/>
      <w:r>
        <w:t>Solodow</w:t>
      </w:r>
      <w:proofErr w:type="spellEnd"/>
      <w:r>
        <w:t>, 1977.</w:t>
      </w:r>
    </w:p>
  </w:footnote>
  <w:footnote w:id="14">
    <w:p w14:paraId="3910D1D9" w14:textId="30A157A1" w:rsidR="00171F55" w:rsidRDefault="00171F55">
      <w:pPr>
        <w:pStyle w:val="FootnoteText"/>
      </w:pPr>
      <w:r>
        <w:rPr>
          <w:rStyle w:val="FootnoteReference"/>
        </w:rPr>
        <w:footnoteRef/>
      </w:r>
      <w:r>
        <w:t xml:space="preserve"> Ancona; Greene; Paxton, 2005, p.2-3.</w:t>
      </w:r>
    </w:p>
  </w:footnote>
  <w:footnote w:id="15">
    <w:p w14:paraId="5F4CEDBC" w14:textId="27C0AC79" w:rsidR="00171F55" w:rsidRDefault="00171F55">
      <w:pPr>
        <w:pStyle w:val="FootnoteText"/>
      </w:pPr>
      <w:r>
        <w:rPr>
          <w:rStyle w:val="FootnoteReference"/>
        </w:rPr>
        <w:footnoteRef/>
      </w:r>
      <w:r>
        <w:t xml:space="preserve"> </w:t>
      </w:r>
      <w:proofErr w:type="spellStart"/>
      <w:r>
        <w:t>Benedikson</w:t>
      </w:r>
      <w:proofErr w:type="spellEnd"/>
      <w:r>
        <w:t xml:space="preserve">, 2006. </w:t>
      </w:r>
    </w:p>
  </w:footnote>
  <w:footnote w:id="16">
    <w:p w14:paraId="314CB725" w14:textId="66B2D1A6" w:rsidR="00171F55" w:rsidRDefault="00171F55">
      <w:pPr>
        <w:pStyle w:val="FootnoteText"/>
      </w:pPr>
      <w:r>
        <w:rPr>
          <w:rStyle w:val="FootnoteReference"/>
        </w:rPr>
        <w:footnoteRef/>
      </w:r>
      <w:r>
        <w:t xml:space="preserve"> Nau, 2007.</w:t>
      </w:r>
    </w:p>
  </w:footnote>
  <w:footnote w:id="17">
    <w:p w14:paraId="62FB1ECA" w14:textId="2A73B539" w:rsidR="00171F55" w:rsidRDefault="00171F55">
      <w:pPr>
        <w:pStyle w:val="FootnoteText"/>
      </w:pPr>
      <w:r>
        <w:rPr>
          <w:rStyle w:val="FootnoteReference"/>
        </w:rPr>
        <w:footnoteRef/>
      </w:r>
      <w:r>
        <w:t xml:space="preserve"> Boyd, 2004. </w:t>
      </w:r>
    </w:p>
  </w:footnote>
  <w:footnote w:id="18">
    <w:p w14:paraId="5AC323EB" w14:textId="60051386" w:rsidR="00171F55" w:rsidRDefault="00171F55">
      <w:pPr>
        <w:pStyle w:val="FootnoteText"/>
      </w:pPr>
      <w:r>
        <w:rPr>
          <w:rStyle w:val="FootnoteReference"/>
        </w:rPr>
        <w:footnoteRef/>
      </w:r>
      <w:r>
        <w:t xml:space="preserve"> Boyd, 2004. </w:t>
      </w:r>
    </w:p>
  </w:footnote>
  <w:footnote w:id="19">
    <w:p w14:paraId="3ED1BE16" w14:textId="33969C14" w:rsidR="00171F55" w:rsidRDefault="00171F55">
      <w:pPr>
        <w:pStyle w:val="FootnoteText"/>
      </w:pPr>
      <w:r>
        <w:rPr>
          <w:rStyle w:val="FootnoteReference"/>
        </w:rPr>
        <w:footnoteRef/>
      </w:r>
      <w:r>
        <w:t xml:space="preserve"> Gardner, 2007. </w:t>
      </w:r>
    </w:p>
  </w:footnote>
  <w:footnote w:id="20">
    <w:p w14:paraId="4B70DD9E" w14:textId="3B213927" w:rsidR="00171F55" w:rsidRDefault="00171F55">
      <w:pPr>
        <w:pStyle w:val="FootnoteText"/>
      </w:pPr>
      <w:r>
        <w:rPr>
          <w:rStyle w:val="FootnoteReference"/>
        </w:rPr>
        <w:footnoteRef/>
      </w:r>
      <w:r>
        <w:t xml:space="preserve"> Gardner, 2007.</w:t>
      </w:r>
    </w:p>
  </w:footnote>
  <w:footnote w:id="21">
    <w:p w14:paraId="1E307A16" w14:textId="77777777" w:rsidR="00F743DC" w:rsidRDefault="00F743DC" w:rsidP="00F743DC">
      <w:pPr>
        <w:pStyle w:val="FootnoteText"/>
      </w:pPr>
      <w:r>
        <w:rPr>
          <w:rStyle w:val="FootnoteReference"/>
        </w:rPr>
        <w:footnoteRef/>
      </w:r>
      <w:r>
        <w:t xml:space="preserve"> Stevens, 2014.</w:t>
      </w:r>
    </w:p>
  </w:footnote>
  <w:footnote w:id="22">
    <w:p w14:paraId="44C868C5" w14:textId="77777777" w:rsidR="00F743DC" w:rsidRDefault="00F743DC" w:rsidP="00F743DC">
      <w:pPr>
        <w:pStyle w:val="FootnoteText"/>
      </w:pPr>
      <w:r>
        <w:rPr>
          <w:rStyle w:val="FootnoteReference"/>
        </w:rPr>
        <w:footnoteRef/>
      </w:r>
      <w:r>
        <w:t xml:space="preserve"> Gardner, 2007.</w:t>
      </w:r>
    </w:p>
  </w:footnote>
  <w:footnote w:id="23">
    <w:p w14:paraId="7771DA7D" w14:textId="4C8AA863" w:rsidR="001A1FB5" w:rsidRDefault="001A1FB5">
      <w:pPr>
        <w:pStyle w:val="FootnoteText"/>
      </w:pPr>
      <w:r>
        <w:rPr>
          <w:rStyle w:val="FootnoteReference"/>
        </w:rPr>
        <w:footnoteRef/>
      </w:r>
      <w:r>
        <w:t xml:space="preserve"> Gibson, </w:t>
      </w:r>
      <w:r w:rsidR="009179F7">
        <w:t>1999.</w:t>
      </w:r>
    </w:p>
  </w:footnote>
  <w:footnote w:id="24">
    <w:p w14:paraId="4C3A85A9" w14:textId="202F1393" w:rsidR="00CA04E2" w:rsidRDefault="00CA04E2">
      <w:pPr>
        <w:pStyle w:val="FootnoteText"/>
      </w:pPr>
      <w:r>
        <w:rPr>
          <w:rStyle w:val="FootnoteReference"/>
        </w:rPr>
        <w:footnoteRef/>
      </w:r>
      <w:r>
        <w:t xml:space="preserve"> Green, 2007.</w:t>
      </w:r>
    </w:p>
  </w:footnote>
  <w:footnote w:id="25">
    <w:p w14:paraId="5DF00367" w14:textId="4060C474" w:rsidR="00647918" w:rsidRDefault="00647918">
      <w:pPr>
        <w:pStyle w:val="FootnoteText"/>
      </w:pPr>
      <w:r>
        <w:rPr>
          <w:rStyle w:val="FootnoteReference"/>
        </w:rPr>
        <w:footnoteRef/>
      </w:r>
      <w:r>
        <w:t xml:space="preserve"> </w:t>
      </w:r>
      <w:proofErr w:type="spellStart"/>
      <w:r>
        <w:t>Ingleheart</w:t>
      </w:r>
      <w:proofErr w:type="spellEnd"/>
      <w:r>
        <w:t>, 2007.</w:t>
      </w:r>
    </w:p>
  </w:footnote>
  <w:footnote w:id="26">
    <w:p w14:paraId="37298F25" w14:textId="0D8ABBBA" w:rsidR="00647918" w:rsidRDefault="00647918">
      <w:pPr>
        <w:pStyle w:val="FootnoteText"/>
      </w:pPr>
      <w:r>
        <w:rPr>
          <w:rStyle w:val="FootnoteReference"/>
        </w:rPr>
        <w:footnoteRef/>
      </w:r>
      <w:r>
        <w:t xml:space="preserve"> Stevens, 2014.</w:t>
      </w:r>
    </w:p>
  </w:footnote>
  <w:footnote w:id="27">
    <w:p w14:paraId="53953B3B" w14:textId="6AD92A24" w:rsidR="00647918" w:rsidRDefault="00647918">
      <w:pPr>
        <w:pStyle w:val="FootnoteText"/>
      </w:pPr>
      <w:r>
        <w:rPr>
          <w:rStyle w:val="FootnoteReference"/>
        </w:rPr>
        <w:footnoteRef/>
      </w:r>
      <w:r>
        <w:t xml:space="preserve"> Pearcy, 2002.</w:t>
      </w:r>
    </w:p>
  </w:footnote>
  <w:footnote w:id="28">
    <w:p w14:paraId="76921385" w14:textId="30E24358" w:rsidR="00B86F9B" w:rsidRDefault="00B86F9B">
      <w:pPr>
        <w:pStyle w:val="FootnoteText"/>
      </w:pPr>
      <w:r>
        <w:rPr>
          <w:rStyle w:val="FootnoteReference"/>
        </w:rPr>
        <w:footnoteRef/>
      </w:r>
      <w:r>
        <w:t xml:space="preserve"> </w:t>
      </w:r>
      <w:proofErr w:type="spellStart"/>
      <w:r>
        <w:t>Benediktson</w:t>
      </w:r>
      <w:proofErr w:type="spellEnd"/>
      <w:r>
        <w:t>, 2006.</w:t>
      </w:r>
    </w:p>
  </w:footnote>
  <w:footnote w:id="29">
    <w:p w14:paraId="360B710B" w14:textId="655BF493" w:rsidR="00B86F9B" w:rsidRDefault="00B86F9B">
      <w:pPr>
        <w:pStyle w:val="FootnoteText"/>
      </w:pPr>
      <w:r>
        <w:rPr>
          <w:rStyle w:val="FootnoteReference"/>
        </w:rPr>
        <w:footnoteRef/>
      </w:r>
      <w:r>
        <w:t xml:space="preserve"> </w:t>
      </w:r>
      <w:proofErr w:type="spellStart"/>
      <w:r>
        <w:t>Felgentreu</w:t>
      </w:r>
      <w:proofErr w:type="spellEnd"/>
      <w:r>
        <w:t>, 2001.</w:t>
      </w:r>
    </w:p>
  </w:footnote>
  <w:footnote w:id="30">
    <w:p w14:paraId="18E4DFD7" w14:textId="3AFAC55D" w:rsidR="00B86F9B" w:rsidRDefault="00B86F9B">
      <w:pPr>
        <w:pStyle w:val="FootnoteText"/>
      </w:pPr>
      <w:r>
        <w:rPr>
          <w:rStyle w:val="FootnoteReference"/>
        </w:rPr>
        <w:footnoteRef/>
      </w:r>
      <w:r>
        <w:t xml:space="preserve"> Nau, 2007. </w:t>
      </w:r>
    </w:p>
  </w:footnote>
  <w:footnote w:id="31">
    <w:p w14:paraId="7CC402D6" w14:textId="5C52FD3B" w:rsidR="002E4B3B" w:rsidRDefault="002E4B3B">
      <w:pPr>
        <w:pStyle w:val="FootnoteText"/>
      </w:pPr>
      <w:r>
        <w:rPr>
          <w:rStyle w:val="FootnoteReference"/>
        </w:rPr>
        <w:footnoteRef/>
      </w:r>
      <w:r>
        <w:t xml:space="preserve"> </w:t>
      </w:r>
      <w:proofErr w:type="spellStart"/>
      <w:r>
        <w:t>Felgentreu</w:t>
      </w:r>
      <w:proofErr w:type="spellEnd"/>
      <w:r>
        <w:t xml:space="preserve">, 2001. </w:t>
      </w:r>
    </w:p>
  </w:footnote>
  <w:footnote w:id="32">
    <w:p w14:paraId="0B65D868" w14:textId="763C3BF9" w:rsidR="002C17F6" w:rsidRDefault="002C17F6">
      <w:pPr>
        <w:pStyle w:val="FootnoteText"/>
      </w:pPr>
      <w:r>
        <w:rPr>
          <w:rStyle w:val="FootnoteReference"/>
        </w:rPr>
        <w:footnoteRef/>
      </w:r>
      <w:r>
        <w:t xml:space="preserve"> </w:t>
      </w:r>
      <w:r>
        <w:rPr>
          <w:rFonts w:cstheme="minorHAnsi"/>
          <w:shd w:val="clear" w:color="auto" w:fill="FFFFFF"/>
        </w:rPr>
        <w:t xml:space="preserve">Budelmann; </w:t>
      </w:r>
      <w:proofErr w:type="spellStart"/>
      <w:r>
        <w:rPr>
          <w:rFonts w:cstheme="minorHAnsi"/>
          <w:shd w:val="clear" w:color="auto" w:fill="FFFFFF"/>
        </w:rPr>
        <w:t>Haubold</w:t>
      </w:r>
      <w:proofErr w:type="spellEnd"/>
      <w:r>
        <w:rPr>
          <w:rFonts w:cstheme="minorHAnsi"/>
          <w:shd w:val="clear" w:color="auto" w:fill="FFFFFF"/>
        </w:rPr>
        <w:t>, 2011, p.14.</w:t>
      </w:r>
    </w:p>
  </w:footnote>
  <w:footnote w:id="33">
    <w:p w14:paraId="23114ACE" w14:textId="41BA9DA7" w:rsidR="002C17F6" w:rsidRDefault="002C17F6">
      <w:pPr>
        <w:pStyle w:val="FootnoteText"/>
      </w:pPr>
      <w:r>
        <w:rPr>
          <w:rStyle w:val="FootnoteReference"/>
        </w:rPr>
        <w:footnoteRef/>
      </w:r>
      <w:r>
        <w:t xml:space="preserve"> </w:t>
      </w:r>
      <w:proofErr w:type="spellStart"/>
      <w:r>
        <w:t>Settis</w:t>
      </w:r>
      <w:proofErr w:type="spellEnd"/>
      <w:r>
        <w:t>, 2004, p.</w:t>
      </w:r>
      <w:r w:rsidR="001562DA">
        <w:t>104.</w:t>
      </w:r>
    </w:p>
  </w:footnote>
  <w:footnote w:id="34">
    <w:p w14:paraId="03E0EEEA" w14:textId="6AD94873" w:rsidR="001538E8" w:rsidRDefault="001538E8">
      <w:pPr>
        <w:pStyle w:val="FootnoteText"/>
      </w:pPr>
      <w:r>
        <w:rPr>
          <w:rStyle w:val="FootnoteReference"/>
        </w:rPr>
        <w:footnoteRef/>
      </w:r>
      <w:r>
        <w:t xml:space="preserve"> Sch</w:t>
      </w:r>
      <w:r w:rsidR="002F763A">
        <w:t>e</w:t>
      </w:r>
      <w:r>
        <w:t>in, 2011, p.75.</w:t>
      </w:r>
    </w:p>
  </w:footnote>
  <w:footnote w:id="35">
    <w:p w14:paraId="27CA572E" w14:textId="533F0E29" w:rsidR="0004176D" w:rsidRDefault="0004176D">
      <w:pPr>
        <w:pStyle w:val="FootnoteText"/>
      </w:pPr>
      <w:r>
        <w:rPr>
          <w:rStyle w:val="FootnoteReference"/>
        </w:rPr>
        <w:footnoteRef/>
      </w:r>
      <w:r>
        <w:t xml:space="preserve"> Stratton, 1924, p.520. </w:t>
      </w:r>
    </w:p>
  </w:footnote>
  <w:footnote w:id="36">
    <w:p w14:paraId="21D88106" w14:textId="531A5611" w:rsidR="007D6607" w:rsidRDefault="007D6607">
      <w:pPr>
        <w:pStyle w:val="FootnoteText"/>
      </w:pPr>
      <w:r>
        <w:rPr>
          <w:rStyle w:val="FootnoteReference"/>
        </w:rPr>
        <w:footnoteRef/>
      </w:r>
      <w:r>
        <w:t xml:space="preserve"> Hallett, 2002, p.10-12. </w:t>
      </w:r>
    </w:p>
  </w:footnote>
  <w:footnote w:id="37">
    <w:p w14:paraId="1BE51C7E" w14:textId="3CEF5F88" w:rsidR="00356565" w:rsidRDefault="00356565">
      <w:pPr>
        <w:pStyle w:val="FootnoteText"/>
      </w:pPr>
      <w:r>
        <w:rPr>
          <w:rStyle w:val="FootnoteReference"/>
        </w:rPr>
        <w:footnoteRef/>
      </w:r>
      <w:r>
        <w:t xml:space="preserve"> Hallett; </w:t>
      </w:r>
      <w:proofErr w:type="spellStart"/>
      <w:r>
        <w:t>Nortwick</w:t>
      </w:r>
      <w:proofErr w:type="spellEnd"/>
      <w:r>
        <w:t>, 2002.</w:t>
      </w:r>
    </w:p>
  </w:footnote>
  <w:footnote w:id="38">
    <w:p w14:paraId="0EBB96A8" w14:textId="3600C2F7" w:rsidR="00356565" w:rsidRDefault="00356565">
      <w:pPr>
        <w:pStyle w:val="FootnoteText"/>
      </w:pPr>
      <w:r>
        <w:rPr>
          <w:rStyle w:val="FootnoteReference"/>
        </w:rPr>
        <w:footnoteRef/>
      </w:r>
      <w:r>
        <w:t xml:space="preserve"> Northwich, 2002, p.18.</w:t>
      </w:r>
    </w:p>
  </w:footnote>
  <w:footnote w:id="39">
    <w:p w14:paraId="1BC7FE3A" w14:textId="5BA1C2A4" w:rsidR="00D06557" w:rsidRDefault="00D06557">
      <w:pPr>
        <w:pStyle w:val="FootnoteText"/>
      </w:pPr>
      <w:r>
        <w:rPr>
          <w:rStyle w:val="FootnoteReference"/>
        </w:rPr>
        <w:footnoteRef/>
      </w:r>
      <w:r>
        <w:t xml:space="preserve"> </w:t>
      </w:r>
      <w:proofErr w:type="spellStart"/>
      <w:r>
        <w:t>Tomm</w:t>
      </w:r>
      <w:proofErr w:type="spellEnd"/>
      <w:r>
        <w:t xml:space="preserve">, 1989, </w:t>
      </w:r>
      <w:proofErr w:type="spellStart"/>
      <w:r>
        <w:t>p.xii</w:t>
      </w:r>
      <w:proofErr w:type="spellEnd"/>
      <w:r>
        <w:t>-xiii.</w:t>
      </w:r>
    </w:p>
  </w:footnote>
  <w:footnote w:id="40">
    <w:p w14:paraId="2948FF50" w14:textId="06251131" w:rsidR="002314BC" w:rsidRDefault="002314BC">
      <w:pPr>
        <w:pStyle w:val="FootnoteText"/>
      </w:pPr>
      <w:r>
        <w:rPr>
          <w:rStyle w:val="FootnoteReference"/>
        </w:rPr>
        <w:footnoteRef/>
      </w:r>
      <w:r>
        <w:t xml:space="preserve"> </w:t>
      </w:r>
      <w:proofErr w:type="spellStart"/>
      <w:r>
        <w:t>Tomm</w:t>
      </w:r>
      <w:proofErr w:type="spellEnd"/>
      <w:r>
        <w:t xml:space="preserve">, 1989, </w:t>
      </w:r>
      <w:proofErr w:type="spellStart"/>
      <w:r>
        <w:t>p.xvi</w:t>
      </w:r>
      <w:proofErr w:type="spellEnd"/>
      <w:r>
        <w:t>.</w:t>
      </w:r>
    </w:p>
  </w:footnote>
  <w:footnote w:id="41">
    <w:p w14:paraId="559518DA" w14:textId="1FD39438" w:rsidR="00356565" w:rsidRDefault="00356565">
      <w:pPr>
        <w:pStyle w:val="FootnoteText"/>
      </w:pPr>
      <w:r>
        <w:rPr>
          <w:rStyle w:val="FootnoteReference"/>
        </w:rPr>
        <w:footnoteRef/>
      </w:r>
      <w:r>
        <w:t xml:space="preserve"> Benston, 1989.</w:t>
      </w:r>
    </w:p>
  </w:footnote>
  <w:footnote w:id="42">
    <w:p w14:paraId="53858170" w14:textId="1A8A95F7" w:rsidR="00824C58" w:rsidRDefault="00824C58">
      <w:pPr>
        <w:pStyle w:val="FootnoteText"/>
      </w:pPr>
      <w:r>
        <w:rPr>
          <w:rStyle w:val="FootnoteReference"/>
        </w:rPr>
        <w:footnoteRef/>
      </w:r>
      <w:r>
        <w:t xml:space="preserve"> </w:t>
      </w:r>
      <w:proofErr w:type="spellStart"/>
      <w:r>
        <w:t>Tomm</w:t>
      </w:r>
      <w:proofErr w:type="spellEnd"/>
      <w:r>
        <w:t xml:space="preserve">, 1989, </w:t>
      </w:r>
      <w:proofErr w:type="spellStart"/>
      <w:r>
        <w:t>p.xv</w:t>
      </w:r>
      <w:proofErr w:type="spellEnd"/>
      <w:r>
        <w:t>.; McCormack, 1989, p.1-2.</w:t>
      </w:r>
    </w:p>
  </w:footnote>
  <w:footnote w:id="43">
    <w:p w14:paraId="4BB9CEF4" w14:textId="61B56EB1" w:rsidR="00824C58" w:rsidRDefault="00824C58">
      <w:pPr>
        <w:pStyle w:val="FootnoteText"/>
      </w:pPr>
      <w:r>
        <w:rPr>
          <w:rStyle w:val="FootnoteReference"/>
        </w:rPr>
        <w:footnoteRef/>
      </w:r>
      <w:r>
        <w:t xml:space="preserve"> Lips, 1989, p.48.</w:t>
      </w:r>
    </w:p>
  </w:footnote>
  <w:footnote w:id="44">
    <w:p w14:paraId="0DEC0F4F" w14:textId="2B81CA2A" w:rsidR="00824C58" w:rsidRDefault="00824C58">
      <w:pPr>
        <w:pStyle w:val="FootnoteText"/>
      </w:pPr>
      <w:r>
        <w:rPr>
          <w:rStyle w:val="FootnoteReference"/>
        </w:rPr>
        <w:footnoteRef/>
      </w:r>
      <w:r>
        <w:t xml:space="preserve"> </w:t>
      </w:r>
      <w:r w:rsidR="00764A82">
        <w:t xml:space="preserve">Driscoll; McFarland,1989, p.174, 177-8.; </w:t>
      </w:r>
      <w:r>
        <w:t>Flynn, 1989, p. 160.</w:t>
      </w:r>
    </w:p>
  </w:footnote>
  <w:footnote w:id="45">
    <w:p w14:paraId="56F0DAD1" w14:textId="5EC1C957" w:rsidR="00C74999" w:rsidRDefault="00C74999">
      <w:pPr>
        <w:pStyle w:val="FootnoteText"/>
      </w:pPr>
      <w:r>
        <w:rPr>
          <w:rStyle w:val="FootnoteReference"/>
        </w:rPr>
        <w:footnoteRef/>
      </w:r>
      <w:r>
        <w:t xml:space="preserve"> </w:t>
      </w:r>
      <w:r w:rsidR="001362C6">
        <w:t xml:space="preserve">UCAS, 2018, </w:t>
      </w:r>
      <w:hyperlink r:id="rId1" w:history="1">
        <w:r w:rsidR="005145C0">
          <w:rPr>
            <w:rStyle w:val="Hyperlink"/>
          </w:rPr>
          <w:t>https://www.ucas.com/corporate/data-and-analysis/ucas-undergraduate-releases/2018-cycle-applicant-figures-june-deadline</w:t>
        </w:r>
      </w:hyperlink>
      <w:r w:rsidR="005145C0">
        <w:t>.</w:t>
      </w:r>
    </w:p>
  </w:footnote>
  <w:footnote w:id="46">
    <w:p w14:paraId="6BD5F51D" w14:textId="74043A2F" w:rsidR="005145C0" w:rsidRDefault="005145C0">
      <w:pPr>
        <w:pStyle w:val="FootnoteText"/>
      </w:pPr>
      <w:r>
        <w:rPr>
          <w:rStyle w:val="FootnoteReference"/>
        </w:rPr>
        <w:footnoteRef/>
      </w:r>
      <w:r>
        <w:t xml:space="preserve"> UCAS, 2018, p.4-6.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7E1D1F" w14:textId="258837EF" w:rsidR="00171F55" w:rsidRDefault="00171F55">
    <w:pPr>
      <w:pStyle w:val="Header"/>
    </w:pPr>
    <w:r>
      <w:ptab w:relativeTo="margin" w:alignment="center" w:leader="none"/>
    </w:r>
    <w:r>
      <w:ptab w:relativeTo="margin" w:alignment="right" w:leader="none"/>
    </w:r>
    <w:r>
      <w:t>Sophie Taylor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008"/>
    <w:rsid w:val="000024CF"/>
    <w:rsid w:val="0001116D"/>
    <w:rsid w:val="0004176D"/>
    <w:rsid w:val="00057F71"/>
    <w:rsid w:val="000607E6"/>
    <w:rsid w:val="00064847"/>
    <w:rsid w:val="000911C9"/>
    <w:rsid w:val="000A1356"/>
    <w:rsid w:val="000B3D53"/>
    <w:rsid w:val="000D0719"/>
    <w:rsid w:val="000F0887"/>
    <w:rsid w:val="000F5678"/>
    <w:rsid w:val="000F7244"/>
    <w:rsid w:val="00106D21"/>
    <w:rsid w:val="0011080B"/>
    <w:rsid w:val="00120E23"/>
    <w:rsid w:val="00121BA8"/>
    <w:rsid w:val="001264E1"/>
    <w:rsid w:val="0013469F"/>
    <w:rsid w:val="001362C6"/>
    <w:rsid w:val="00136C16"/>
    <w:rsid w:val="00142290"/>
    <w:rsid w:val="001538E8"/>
    <w:rsid w:val="001562DA"/>
    <w:rsid w:val="00160FBA"/>
    <w:rsid w:val="00171479"/>
    <w:rsid w:val="00171F55"/>
    <w:rsid w:val="00186AC7"/>
    <w:rsid w:val="00187323"/>
    <w:rsid w:val="00191AF0"/>
    <w:rsid w:val="001966DE"/>
    <w:rsid w:val="001A1FB5"/>
    <w:rsid w:val="001D6D80"/>
    <w:rsid w:val="001E084E"/>
    <w:rsid w:val="001F1B76"/>
    <w:rsid w:val="001F5E78"/>
    <w:rsid w:val="001F6888"/>
    <w:rsid w:val="002127CE"/>
    <w:rsid w:val="00217187"/>
    <w:rsid w:val="00220520"/>
    <w:rsid w:val="0022617D"/>
    <w:rsid w:val="002314BC"/>
    <w:rsid w:val="00233602"/>
    <w:rsid w:val="00233967"/>
    <w:rsid w:val="00242FBE"/>
    <w:rsid w:val="00255126"/>
    <w:rsid w:val="00262B02"/>
    <w:rsid w:val="0026648D"/>
    <w:rsid w:val="00275173"/>
    <w:rsid w:val="00284BDD"/>
    <w:rsid w:val="002B2CEE"/>
    <w:rsid w:val="002B57D4"/>
    <w:rsid w:val="002B7242"/>
    <w:rsid w:val="002C1028"/>
    <w:rsid w:val="002C17F6"/>
    <w:rsid w:val="002C454A"/>
    <w:rsid w:val="002D6B9A"/>
    <w:rsid w:val="002E2513"/>
    <w:rsid w:val="002E4B3B"/>
    <w:rsid w:val="002F763A"/>
    <w:rsid w:val="00304D4D"/>
    <w:rsid w:val="003057B4"/>
    <w:rsid w:val="0031732E"/>
    <w:rsid w:val="0032284D"/>
    <w:rsid w:val="0032339F"/>
    <w:rsid w:val="003332C7"/>
    <w:rsid w:val="0034131E"/>
    <w:rsid w:val="00347AE1"/>
    <w:rsid w:val="00355EDF"/>
    <w:rsid w:val="00356565"/>
    <w:rsid w:val="00384C58"/>
    <w:rsid w:val="003977CA"/>
    <w:rsid w:val="003C46BE"/>
    <w:rsid w:val="003D0DF8"/>
    <w:rsid w:val="003D2D77"/>
    <w:rsid w:val="003D7696"/>
    <w:rsid w:val="003E2ADC"/>
    <w:rsid w:val="00410D23"/>
    <w:rsid w:val="00416824"/>
    <w:rsid w:val="00423FF8"/>
    <w:rsid w:val="00432B34"/>
    <w:rsid w:val="004406C6"/>
    <w:rsid w:val="00443B6E"/>
    <w:rsid w:val="004508CB"/>
    <w:rsid w:val="00456A1A"/>
    <w:rsid w:val="0046796D"/>
    <w:rsid w:val="00487B8D"/>
    <w:rsid w:val="00490662"/>
    <w:rsid w:val="00495E12"/>
    <w:rsid w:val="004A7439"/>
    <w:rsid w:val="004C3114"/>
    <w:rsid w:val="004D116D"/>
    <w:rsid w:val="004D74DE"/>
    <w:rsid w:val="00500C2C"/>
    <w:rsid w:val="005116AE"/>
    <w:rsid w:val="005145C0"/>
    <w:rsid w:val="0052206A"/>
    <w:rsid w:val="00531AD8"/>
    <w:rsid w:val="005407F9"/>
    <w:rsid w:val="005556CC"/>
    <w:rsid w:val="005630E3"/>
    <w:rsid w:val="005731D7"/>
    <w:rsid w:val="00575A14"/>
    <w:rsid w:val="00590EF2"/>
    <w:rsid w:val="005A02AC"/>
    <w:rsid w:val="005A05B1"/>
    <w:rsid w:val="005A21A6"/>
    <w:rsid w:val="005A3ACA"/>
    <w:rsid w:val="005A711F"/>
    <w:rsid w:val="005C5A3D"/>
    <w:rsid w:val="005D1593"/>
    <w:rsid w:val="005D50E9"/>
    <w:rsid w:val="005D666E"/>
    <w:rsid w:val="005D6790"/>
    <w:rsid w:val="005E34AF"/>
    <w:rsid w:val="005F1A3D"/>
    <w:rsid w:val="005F1B65"/>
    <w:rsid w:val="006059A6"/>
    <w:rsid w:val="006209B9"/>
    <w:rsid w:val="00620DE1"/>
    <w:rsid w:val="00647918"/>
    <w:rsid w:val="0065337F"/>
    <w:rsid w:val="0065352C"/>
    <w:rsid w:val="00671A1E"/>
    <w:rsid w:val="006869D0"/>
    <w:rsid w:val="006A0EF0"/>
    <w:rsid w:val="006A111F"/>
    <w:rsid w:val="006A1388"/>
    <w:rsid w:val="006B6710"/>
    <w:rsid w:val="006B67E8"/>
    <w:rsid w:val="006C66C6"/>
    <w:rsid w:val="006D45E2"/>
    <w:rsid w:val="006D5A22"/>
    <w:rsid w:val="006D7919"/>
    <w:rsid w:val="006E095E"/>
    <w:rsid w:val="006F20EE"/>
    <w:rsid w:val="006F3CA2"/>
    <w:rsid w:val="006F6F3C"/>
    <w:rsid w:val="0070312C"/>
    <w:rsid w:val="00724C13"/>
    <w:rsid w:val="0074619B"/>
    <w:rsid w:val="007557AD"/>
    <w:rsid w:val="00764A82"/>
    <w:rsid w:val="00767D55"/>
    <w:rsid w:val="007A460F"/>
    <w:rsid w:val="007C7B9B"/>
    <w:rsid w:val="007D145E"/>
    <w:rsid w:val="007D4CC7"/>
    <w:rsid w:val="007D4F6A"/>
    <w:rsid w:val="007D6607"/>
    <w:rsid w:val="007D7D09"/>
    <w:rsid w:val="007E670C"/>
    <w:rsid w:val="00800EA6"/>
    <w:rsid w:val="008030EF"/>
    <w:rsid w:val="008059C6"/>
    <w:rsid w:val="008245E7"/>
    <w:rsid w:val="00824C58"/>
    <w:rsid w:val="008311C2"/>
    <w:rsid w:val="008637FD"/>
    <w:rsid w:val="00872AD8"/>
    <w:rsid w:val="00873263"/>
    <w:rsid w:val="0089362F"/>
    <w:rsid w:val="008942E3"/>
    <w:rsid w:val="00894CF8"/>
    <w:rsid w:val="008C0A2D"/>
    <w:rsid w:val="008D4EAB"/>
    <w:rsid w:val="008D6A4B"/>
    <w:rsid w:val="008E3DFC"/>
    <w:rsid w:val="008F7C3A"/>
    <w:rsid w:val="00905DAD"/>
    <w:rsid w:val="00907FE1"/>
    <w:rsid w:val="009179F7"/>
    <w:rsid w:val="0094324F"/>
    <w:rsid w:val="00943ECA"/>
    <w:rsid w:val="00947A77"/>
    <w:rsid w:val="00955509"/>
    <w:rsid w:val="00957B02"/>
    <w:rsid w:val="00967705"/>
    <w:rsid w:val="009711F8"/>
    <w:rsid w:val="00984A3C"/>
    <w:rsid w:val="009A0DA6"/>
    <w:rsid w:val="009A205B"/>
    <w:rsid w:val="009B6EBD"/>
    <w:rsid w:val="009C3D1F"/>
    <w:rsid w:val="009E3FBB"/>
    <w:rsid w:val="00A05212"/>
    <w:rsid w:val="00A100EB"/>
    <w:rsid w:val="00A2671C"/>
    <w:rsid w:val="00A504CB"/>
    <w:rsid w:val="00A54F79"/>
    <w:rsid w:val="00A662A1"/>
    <w:rsid w:val="00A72FDF"/>
    <w:rsid w:val="00A83B82"/>
    <w:rsid w:val="00AA08E3"/>
    <w:rsid w:val="00AA0E3E"/>
    <w:rsid w:val="00AB1086"/>
    <w:rsid w:val="00AB66FB"/>
    <w:rsid w:val="00AC61A7"/>
    <w:rsid w:val="00AE1032"/>
    <w:rsid w:val="00B0451F"/>
    <w:rsid w:val="00B069A2"/>
    <w:rsid w:val="00B163DE"/>
    <w:rsid w:val="00B17887"/>
    <w:rsid w:val="00B24431"/>
    <w:rsid w:val="00B5437E"/>
    <w:rsid w:val="00B83151"/>
    <w:rsid w:val="00B86F9B"/>
    <w:rsid w:val="00BA7A67"/>
    <w:rsid w:val="00BC352C"/>
    <w:rsid w:val="00BD25E0"/>
    <w:rsid w:val="00BE1CC7"/>
    <w:rsid w:val="00BE5AC8"/>
    <w:rsid w:val="00BE5EAD"/>
    <w:rsid w:val="00C00096"/>
    <w:rsid w:val="00C23AA1"/>
    <w:rsid w:val="00C30EF0"/>
    <w:rsid w:val="00C5370C"/>
    <w:rsid w:val="00C74999"/>
    <w:rsid w:val="00C953FF"/>
    <w:rsid w:val="00C961C1"/>
    <w:rsid w:val="00CA04E2"/>
    <w:rsid w:val="00CB1178"/>
    <w:rsid w:val="00CC15BF"/>
    <w:rsid w:val="00CE2DFE"/>
    <w:rsid w:val="00CF22B1"/>
    <w:rsid w:val="00D059A0"/>
    <w:rsid w:val="00D06522"/>
    <w:rsid w:val="00D06557"/>
    <w:rsid w:val="00D15F37"/>
    <w:rsid w:val="00D17652"/>
    <w:rsid w:val="00D26807"/>
    <w:rsid w:val="00D32D67"/>
    <w:rsid w:val="00D3357E"/>
    <w:rsid w:val="00D46FF8"/>
    <w:rsid w:val="00D7607D"/>
    <w:rsid w:val="00D77CA6"/>
    <w:rsid w:val="00DA4F6F"/>
    <w:rsid w:val="00DB6703"/>
    <w:rsid w:val="00DC0F9B"/>
    <w:rsid w:val="00DC18DB"/>
    <w:rsid w:val="00DD62F9"/>
    <w:rsid w:val="00DE2C8B"/>
    <w:rsid w:val="00E132CA"/>
    <w:rsid w:val="00E4190D"/>
    <w:rsid w:val="00E538C5"/>
    <w:rsid w:val="00E62C12"/>
    <w:rsid w:val="00EB5298"/>
    <w:rsid w:val="00EC020E"/>
    <w:rsid w:val="00EC1950"/>
    <w:rsid w:val="00EC39E7"/>
    <w:rsid w:val="00ED5FBB"/>
    <w:rsid w:val="00ED69A5"/>
    <w:rsid w:val="00EE3241"/>
    <w:rsid w:val="00F14008"/>
    <w:rsid w:val="00F167F5"/>
    <w:rsid w:val="00F235D4"/>
    <w:rsid w:val="00F44286"/>
    <w:rsid w:val="00F504A5"/>
    <w:rsid w:val="00F55586"/>
    <w:rsid w:val="00F56465"/>
    <w:rsid w:val="00F743DC"/>
    <w:rsid w:val="00F9078A"/>
    <w:rsid w:val="00FA4171"/>
    <w:rsid w:val="00FB1DF5"/>
    <w:rsid w:val="00FC703C"/>
    <w:rsid w:val="00FD2513"/>
    <w:rsid w:val="00FE2797"/>
    <w:rsid w:val="00FE2DE7"/>
    <w:rsid w:val="00FE324D"/>
    <w:rsid w:val="00FE5C9B"/>
    <w:rsid w:val="00FE70CA"/>
    <w:rsid w:val="00FE7CBB"/>
    <w:rsid w:val="00FF21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F7C45"/>
  <w15:chartTrackingRefBased/>
  <w15:docId w15:val="{BE9FA248-F71D-40D3-BA97-8DE53101C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4A3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link w:val="Heading3Char"/>
    <w:uiPriority w:val="9"/>
    <w:qFormat/>
    <w:rsid w:val="008C0A2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40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4008"/>
  </w:style>
  <w:style w:type="paragraph" w:styleId="Footer">
    <w:name w:val="footer"/>
    <w:basedOn w:val="Normal"/>
    <w:link w:val="FooterChar"/>
    <w:uiPriority w:val="99"/>
    <w:unhideWhenUsed/>
    <w:rsid w:val="00F140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008"/>
  </w:style>
  <w:style w:type="paragraph" w:styleId="FootnoteText">
    <w:name w:val="footnote text"/>
    <w:basedOn w:val="Normal"/>
    <w:link w:val="FootnoteTextChar"/>
    <w:uiPriority w:val="99"/>
    <w:semiHidden/>
    <w:unhideWhenUsed/>
    <w:rsid w:val="002751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5173"/>
    <w:rPr>
      <w:sz w:val="20"/>
      <w:szCs w:val="20"/>
    </w:rPr>
  </w:style>
  <w:style w:type="character" w:styleId="FootnoteReference">
    <w:name w:val="footnote reference"/>
    <w:basedOn w:val="DefaultParagraphFont"/>
    <w:uiPriority w:val="99"/>
    <w:semiHidden/>
    <w:unhideWhenUsed/>
    <w:rsid w:val="00275173"/>
    <w:rPr>
      <w:vertAlign w:val="superscript"/>
    </w:rPr>
  </w:style>
  <w:style w:type="character" w:customStyle="1" w:styleId="Heading3Char">
    <w:name w:val="Heading 3 Char"/>
    <w:basedOn w:val="DefaultParagraphFont"/>
    <w:link w:val="Heading3"/>
    <w:uiPriority w:val="9"/>
    <w:rsid w:val="008C0A2D"/>
    <w:rPr>
      <w:rFonts w:ascii="Times New Roman" w:eastAsia="Times New Roman" w:hAnsi="Times New Roman" w:cs="Times New Roman"/>
      <w:b/>
      <w:bCs/>
      <w:sz w:val="27"/>
      <w:szCs w:val="27"/>
      <w:lang w:eastAsia="en-GB"/>
    </w:rPr>
  </w:style>
  <w:style w:type="paragraph" w:styleId="EndnoteText">
    <w:name w:val="endnote text"/>
    <w:basedOn w:val="Normal"/>
    <w:link w:val="EndnoteTextChar"/>
    <w:uiPriority w:val="99"/>
    <w:semiHidden/>
    <w:unhideWhenUsed/>
    <w:rsid w:val="0064791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47918"/>
    <w:rPr>
      <w:sz w:val="20"/>
      <w:szCs w:val="20"/>
    </w:rPr>
  </w:style>
  <w:style w:type="character" w:styleId="EndnoteReference">
    <w:name w:val="endnote reference"/>
    <w:basedOn w:val="DefaultParagraphFont"/>
    <w:uiPriority w:val="99"/>
    <w:semiHidden/>
    <w:unhideWhenUsed/>
    <w:rsid w:val="00647918"/>
    <w:rPr>
      <w:vertAlign w:val="superscript"/>
    </w:rPr>
  </w:style>
  <w:style w:type="character" w:styleId="Hyperlink">
    <w:name w:val="Hyperlink"/>
    <w:basedOn w:val="DefaultParagraphFont"/>
    <w:uiPriority w:val="99"/>
    <w:unhideWhenUsed/>
    <w:rsid w:val="001362C6"/>
    <w:rPr>
      <w:color w:val="0000FF"/>
      <w:u w:val="single"/>
    </w:rPr>
  </w:style>
  <w:style w:type="character" w:styleId="FollowedHyperlink">
    <w:name w:val="FollowedHyperlink"/>
    <w:basedOn w:val="DefaultParagraphFont"/>
    <w:uiPriority w:val="99"/>
    <w:semiHidden/>
    <w:unhideWhenUsed/>
    <w:rsid w:val="001362C6"/>
    <w:rPr>
      <w:color w:val="954F72" w:themeColor="followedHyperlink"/>
      <w:u w:val="single"/>
    </w:rPr>
  </w:style>
  <w:style w:type="character" w:customStyle="1" w:styleId="Heading1Char">
    <w:name w:val="Heading 1 Char"/>
    <w:basedOn w:val="DefaultParagraphFont"/>
    <w:link w:val="Heading1"/>
    <w:uiPriority w:val="9"/>
    <w:rsid w:val="00984A3C"/>
    <w:rPr>
      <w:rFonts w:asciiTheme="majorHAnsi" w:eastAsiaTheme="majorEastAsia" w:hAnsiTheme="majorHAnsi" w:cstheme="majorBidi"/>
      <w:color w:val="2F5496" w:themeColor="accent1" w:themeShade="BF"/>
      <w:sz w:val="32"/>
      <w:szCs w:val="32"/>
      <w:lang w:val="en-US"/>
    </w:rPr>
  </w:style>
  <w:style w:type="character" w:styleId="Emphasis">
    <w:name w:val="Emphasis"/>
    <w:basedOn w:val="DefaultParagraphFont"/>
    <w:uiPriority w:val="20"/>
    <w:qFormat/>
    <w:rsid w:val="00CB1178"/>
    <w:rPr>
      <w:i/>
      <w:iCs/>
    </w:rPr>
  </w:style>
  <w:style w:type="character" w:styleId="UnresolvedMention">
    <w:name w:val="Unresolved Mention"/>
    <w:basedOn w:val="DefaultParagraphFont"/>
    <w:uiPriority w:val="99"/>
    <w:semiHidden/>
    <w:unhideWhenUsed/>
    <w:rsid w:val="00B178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046300">
      <w:bodyDiv w:val="1"/>
      <w:marLeft w:val="0"/>
      <w:marRight w:val="0"/>
      <w:marTop w:val="0"/>
      <w:marBottom w:val="0"/>
      <w:divBdr>
        <w:top w:val="none" w:sz="0" w:space="0" w:color="auto"/>
        <w:left w:val="none" w:sz="0" w:space="0" w:color="auto"/>
        <w:bottom w:val="none" w:sz="0" w:space="0" w:color="auto"/>
        <w:right w:val="none" w:sz="0" w:space="0" w:color="auto"/>
      </w:divBdr>
    </w:div>
    <w:div w:id="116875337">
      <w:bodyDiv w:val="1"/>
      <w:marLeft w:val="0"/>
      <w:marRight w:val="0"/>
      <w:marTop w:val="0"/>
      <w:marBottom w:val="0"/>
      <w:divBdr>
        <w:top w:val="none" w:sz="0" w:space="0" w:color="auto"/>
        <w:left w:val="none" w:sz="0" w:space="0" w:color="auto"/>
        <w:bottom w:val="none" w:sz="0" w:space="0" w:color="auto"/>
        <w:right w:val="none" w:sz="0" w:space="0" w:color="auto"/>
      </w:divBdr>
    </w:div>
    <w:div w:id="420837958">
      <w:bodyDiv w:val="1"/>
      <w:marLeft w:val="0"/>
      <w:marRight w:val="0"/>
      <w:marTop w:val="0"/>
      <w:marBottom w:val="0"/>
      <w:divBdr>
        <w:top w:val="none" w:sz="0" w:space="0" w:color="auto"/>
        <w:left w:val="none" w:sz="0" w:space="0" w:color="auto"/>
        <w:bottom w:val="none" w:sz="0" w:space="0" w:color="auto"/>
        <w:right w:val="none" w:sz="0" w:space="0" w:color="auto"/>
      </w:divBdr>
    </w:div>
    <w:div w:id="828254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cas.com/corporate/data-and-analysis/ucas-undergraduate-releases/2018-cycle-applicant-figures-june-deadline" TargetMode="External"/><Relationship Id="rId3" Type="http://schemas.openxmlformats.org/officeDocument/2006/relationships/settings" Target="settings.xml"/><Relationship Id="rId7" Type="http://schemas.openxmlformats.org/officeDocument/2006/relationships/hyperlink" Target="http://www.ucas.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ucas.com/corporate/data-and-analysis/ucas-undergraduate-releases/2018-cycle-applicant-figures-june-dead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74DAD-5091-495D-AA9A-1327927C3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1004</TotalTime>
  <Pages>10</Pages>
  <Words>4475</Words>
  <Characters>25510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Sheep</dc:creator>
  <cp:keywords/>
  <dc:description/>
  <cp:lastModifiedBy>Sophie Taylor</cp:lastModifiedBy>
  <cp:revision>3477</cp:revision>
  <dcterms:created xsi:type="dcterms:W3CDTF">2019-05-07T10:21:00Z</dcterms:created>
  <dcterms:modified xsi:type="dcterms:W3CDTF">2019-05-10T09:23:00Z</dcterms:modified>
</cp:coreProperties>
</file>