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E2A0F" w14:textId="77777777" w:rsidR="006951DE" w:rsidRDefault="00A20413" w:rsidP="006951DE">
      <w:pPr>
        <w:jc w:val="center"/>
        <w:rPr>
          <w:b/>
          <w:sz w:val="36"/>
          <w:szCs w:val="36"/>
        </w:rPr>
      </w:pPr>
      <w:r>
        <w:rPr>
          <w:b/>
          <w:sz w:val="36"/>
          <w:szCs w:val="36"/>
        </w:rPr>
        <w:t xml:space="preserve"> </w:t>
      </w:r>
    </w:p>
    <w:p w14:paraId="32A07537" w14:textId="77777777" w:rsidR="006951DE" w:rsidRDefault="006951DE" w:rsidP="006951DE">
      <w:pPr>
        <w:jc w:val="center"/>
        <w:rPr>
          <w:b/>
          <w:sz w:val="36"/>
          <w:szCs w:val="36"/>
        </w:rPr>
      </w:pPr>
    </w:p>
    <w:p w14:paraId="50BD8AE2" w14:textId="77777777" w:rsidR="006951DE" w:rsidRDefault="006951DE" w:rsidP="006951DE">
      <w:pPr>
        <w:jc w:val="center"/>
        <w:rPr>
          <w:b/>
          <w:sz w:val="36"/>
          <w:szCs w:val="36"/>
        </w:rPr>
      </w:pPr>
    </w:p>
    <w:p w14:paraId="1285DA05" w14:textId="77777777" w:rsidR="006951DE" w:rsidRDefault="006951DE" w:rsidP="006951DE">
      <w:pPr>
        <w:jc w:val="center"/>
        <w:rPr>
          <w:b/>
          <w:sz w:val="36"/>
          <w:szCs w:val="36"/>
        </w:rPr>
      </w:pPr>
    </w:p>
    <w:p w14:paraId="3409A418" w14:textId="77777777" w:rsidR="006951DE" w:rsidRDefault="006951DE" w:rsidP="006951DE">
      <w:pPr>
        <w:jc w:val="center"/>
        <w:rPr>
          <w:b/>
          <w:sz w:val="36"/>
          <w:szCs w:val="36"/>
        </w:rPr>
      </w:pPr>
    </w:p>
    <w:p w14:paraId="70E901FC" w14:textId="77777777" w:rsidR="006951DE" w:rsidRDefault="006951DE" w:rsidP="006951DE">
      <w:pPr>
        <w:jc w:val="center"/>
        <w:rPr>
          <w:b/>
          <w:sz w:val="36"/>
          <w:szCs w:val="36"/>
        </w:rPr>
      </w:pPr>
    </w:p>
    <w:p w14:paraId="35FE1583" w14:textId="77777777" w:rsidR="006951DE" w:rsidRDefault="006951DE" w:rsidP="006951DE">
      <w:pPr>
        <w:jc w:val="center"/>
        <w:rPr>
          <w:b/>
          <w:sz w:val="36"/>
          <w:szCs w:val="36"/>
        </w:rPr>
      </w:pPr>
    </w:p>
    <w:p w14:paraId="6F8C0AE5" w14:textId="77777777" w:rsidR="006951DE" w:rsidRDefault="006951DE" w:rsidP="006951DE">
      <w:pPr>
        <w:jc w:val="center"/>
        <w:rPr>
          <w:b/>
          <w:sz w:val="36"/>
          <w:szCs w:val="36"/>
        </w:rPr>
      </w:pPr>
    </w:p>
    <w:p w14:paraId="6A8AD7E5" w14:textId="77777777" w:rsidR="006951DE" w:rsidRPr="006951DE" w:rsidRDefault="006951DE" w:rsidP="006951DE">
      <w:pPr>
        <w:jc w:val="center"/>
        <w:rPr>
          <w:b/>
          <w:sz w:val="40"/>
          <w:szCs w:val="40"/>
        </w:rPr>
      </w:pPr>
      <w:r w:rsidRPr="006951DE">
        <w:rPr>
          <w:b/>
          <w:sz w:val="40"/>
          <w:szCs w:val="40"/>
        </w:rPr>
        <w:t>LCHS4003 Component 1</w:t>
      </w:r>
    </w:p>
    <w:p w14:paraId="6B894AD3" w14:textId="6B3AFEF6" w:rsidR="006951DE" w:rsidRDefault="006951DE" w:rsidP="006951DE">
      <w:pPr>
        <w:jc w:val="center"/>
      </w:pPr>
      <w:r>
        <w:t>Student I’d –</w:t>
      </w:r>
      <w:r w:rsidR="00A20413">
        <w:t xml:space="preserve"> 2438383</w:t>
      </w:r>
    </w:p>
    <w:p w14:paraId="0D086A4E" w14:textId="2EC1C256" w:rsidR="006951DE" w:rsidRDefault="006951DE" w:rsidP="006951DE">
      <w:pPr>
        <w:jc w:val="center"/>
      </w:pPr>
      <w:r>
        <w:t>Student Name –</w:t>
      </w:r>
      <w:r w:rsidR="00A20413">
        <w:t xml:space="preserve"> Naanaz Saddiq</w:t>
      </w:r>
    </w:p>
    <w:p w14:paraId="16E2EA4F" w14:textId="77777777" w:rsidR="006951DE" w:rsidRDefault="006951DE">
      <w:r>
        <w:br w:type="page"/>
      </w:r>
    </w:p>
    <w:sdt>
      <w:sdtPr>
        <w:rPr>
          <w:rFonts w:ascii="Times New Roman" w:eastAsiaTheme="minorHAnsi" w:hAnsi="Times New Roman" w:cstheme="minorBidi"/>
          <w:b w:val="0"/>
          <w:bCs w:val="0"/>
          <w:color w:val="auto"/>
          <w:sz w:val="24"/>
          <w:szCs w:val="22"/>
          <w:lang w:eastAsia="en-US"/>
        </w:rPr>
        <w:id w:val="-567422398"/>
        <w:docPartObj>
          <w:docPartGallery w:val="Table of Contents"/>
          <w:docPartUnique/>
        </w:docPartObj>
      </w:sdtPr>
      <w:sdtEndPr>
        <w:rPr>
          <w:noProof/>
        </w:rPr>
      </w:sdtEndPr>
      <w:sdtContent>
        <w:p w14:paraId="1A43A67A" w14:textId="77777777" w:rsidR="00904AD5" w:rsidRDefault="00904AD5">
          <w:pPr>
            <w:pStyle w:val="TOCHeading"/>
          </w:pPr>
          <w:r>
            <w:t>Table of Contents</w:t>
          </w:r>
        </w:p>
        <w:p w14:paraId="30565EA1" w14:textId="77777777" w:rsidR="00904AD5" w:rsidRDefault="00904AD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10423291" w:history="1">
            <w:r w:rsidRPr="00871484">
              <w:rPr>
                <w:rStyle w:val="Hyperlink"/>
                <w:noProof/>
              </w:rPr>
              <w:t>1. Introduction</w:t>
            </w:r>
            <w:r>
              <w:rPr>
                <w:noProof/>
                <w:webHidden/>
              </w:rPr>
              <w:tab/>
            </w:r>
            <w:r>
              <w:rPr>
                <w:noProof/>
                <w:webHidden/>
              </w:rPr>
              <w:fldChar w:fldCharType="begin"/>
            </w:r>
            <w:r>
              <w:rPr>
                <w:noProof/>
                <w:webHidden/>
              </w:rPr>
              <w:instrText xml:space="preserve"> PAGEREF _Toc210423291 \h </w:instrText>
            </w:r>
            <w:r>
              <w:rPr>
                <w:noProof/>
                <w:webHidden/>
              </w:rPr>
            </w:r>
            <w:r>
              <w:rPr>
                <w:noProof/>
                <w:webHidden/>
              </w:rPr>
              <w:fldChar w:fldCharType="separate"/>
            </w:r>
            <w:r>
              <w:rPr>
                <w:noProof/>
                <w:webHidden/>
              </w:rPr>
              <w:t>5</w:t>
            </w:r>
            <w:r>
              <w:rPr>
                <w:noProof/>
                <w:webHidden/>
              </w:rPr>
              <w:fldChar w:fldCharType="end"/>
            </w:r>
          </w:hyperlink>
        </w:p>
        <w:p w14:paraId="7C7904D3" w14:textId="77777777" w:rsidR="00904AD5" w:rsidRDefault="00904AD5">
          <w:pPr>
            <w:pStyle w:val="TOC1"/>
            <w:tabs>
              <w:tab w:val="right" w:leader="dot" w:pos="9350"/>
            </w:tabs>
            <w:rPr>
              <w:rFonts w:asciiTheme="minorHAnsi" w:eastAsiaTheme="minorEastAsia" w:hAnsiTheme="minorHAnsi"/>
              <w:noProof/>
              <w:sz w:val="22"/>
            </w:rPr>
          </w:pPr>
          <w:hyperlink w:anchor="_Toc210423292" w:history="1">
            <w:r w:rsidRPr="00871484">
              <w:rPr>
                <w:rStyle w:val="Hyperlink"/>
                <w:noProof/>
              </w:rPr>
              <w:t>2. Origin of the NHS</w:t>
            </w:r>
            <w:r>
              <w:rPr>
                <w:noProof/>
                <w:webHidden/>
              </w:rPr>
              <w:tab/>
            </w:r>
            <w:r>
              <w:rPr>
                <w:noProof/>
                <w:webHidden/>
              </w:rPr>
              <w:fldChar w:fldCharType="begin"/>
            </w:r>
            <w:r>
              <w:rPr>
                <w:noProof/>
                <w:webHidden/>
              </w:rPr>
              <w:instrText xml:space="preserve"> PAGEREF _Toc210423292 \h </w:instrText>
            </w:r>
            <w:r>
              <w:rPr>
                <w:noProof/>
                <w:webHidden/>
              </w:rPr>
            </w:r>
            <w:r>
              <w:rPr>
                <w:noProof/>
                <w:webHidden/>
              </w:rPr>
              <w:fldChar w:fldCharType="separate"/>
            </w:r>
            <w:r>
              <w:rPr>
                <w:noProof/>
                <w:webHidden/>
              </w:rPr>
              <w:t>5</w:t>
            </w:r>
            <w:r>
              <w:rPr>
                <w:noProof/>
                <w:webHidden/>
              </w:rPr>
              <w:fldChar w:fldCharType="end"/>
            </w:r>
          </w:hyperlink>
        </w:p>
        <w:p w14:paraId="49BB17A6" w14:textId="77777777" w:rsidR="00904AD5" w:rsidRDefault="00904AD5">
          <w:pPr>
            <w:pStyle w:val="TOC1"/>
            <w:tabs>
              <w:tab w:val="right" w:leader="dot" w:pos="9350"/>
            </w:tabs>
            <w:rPr>
              <w:rFonts w:asciiTheme="minorHAnsi" w:eastAsiaTheme="minorEastAsia" w:hAnsiTheme="minorHAnsi"/>
              <w:noProof/>
              <w:sz w:val="22"/>
            </w:rPr>
          </w:pPr>
          <w:hyperlink w:anchor="_Toc210423293" w:history="1">
            <w:r w:rsidRPr="00871484">
              <w:rPr>
                <w:rStyle w:val="Hyperlink"/>
                <w:noProof/>
              </w:rPr>
              <w:t>3. Current Structure and Functioning</w:t>
            </w:r>
            <w:r>
              <w:rPr>
                <w:noProof/>
                <w:webHidden/>
              </w:rPr>
              <w:tab/>
            </w:r>
            <w:r>
              <w:rPr>
                <w:noProof/>
                <w:webHidden/>
              </w:rPr>
              <w:fldChar w:fldCharType="begin"/>
            </w:r>
            <w:r>
              <w:rPr>
                <w:noProof/>
                <w:webHidden/>
              </w:rPr>
              <w:instrText xml:space="preserve"> PAGEREF _Toc210423293 \h </w:instrText>
            </w:r>
            <w:r>
              <w:rPr>
                <w:noProof/>
                <w:webHidden/>
              </w:rPr>
            </w:r>
            <w:r>
              <w:rPr>
                <w:noProof/>
                <w:webHidden/>
              </w:rPr>
              <w:fldChar w:fldCharType="separate"/>
            </w:r>
            <w:r>
              <w:rPr>
                <w:noProof/>
                <w:webHidden/>
              </w:rPr>
              <w:t>5</w:t>
            </w:r>
            <w:r>
              <w:rPr>
                <w:noProof/>
                <w:webHidden/>
              </w:rPr>
              <w:fldChar w:fldCharType="end"/>
            </w:r>
          </w:hyperlink>
        </w:p>
        <w:p w14:paraId="29872508" w14:textId="77777777" w:rsidR="00904AD5" w:rsidRDefault="00904AD5">
          <w:pPr>
            <w:pStyle w:val="TOC1"/>
            <w:tabs>
              <w:tab w:val="right" w:leader="dot" w:pos="9350"/>
            </w:tabs>
            <w:rPr>
              <w:rFonts w:asciiTheme="minorHAnsi" w:eastAsiaTheme="minorEastAsia" w:hAnsiTheme="minorHAnsi"/>
              <w:noProof/>
              <w:sz w:val="22"/>
            </w:rPr>
          </w:pPr>
          <w:hyperlink w:anchor="_Toc210423294" w:history="1">
            <w:r w:rsidRPr="00871484">
              <w:rPr>
                <w:rStyle w:val="Hyperlink"/>
                <w:noProof/>
              </w:rPr>
              <w:t>4. Conclusion</w:t>
            </w:r>
            <w:r>
              <w:rPr>
                <w:noProof/>
                <w:webHidden/>
              </w:rPr>
              <w:tab/>
            </w:r>
            <w:r>
              <w:rPr>
                <w:noProof/>
                <w:webHidden/>
              </w:rPr>
              <w:fldChar w:fldCharType="begin"/>
            </w:r>
            <w:r>
              <w:rPr>
                <w:noProof/>
                <w:webHidden/>
              </w:rPr>
              <w:instrText xml:space="preserve"> PAGEREF _Toc210423294 \h </w:instrText>
            </w:r>
            <w:r>
              <w:rPr>
                <w:noProof/>
                <w:webHidden/>
              </w:rPr>
            </w:r>
            <w:r>
              <w:rPr>
                <w:noProof/>
                <w:webHidden/>
              </w:rPr>
              <w:fldChar w:fldCharType="separate"/>
            </w:r>
            <w:r>
              <w:rPr>
                <w:noProof/>
                <w:webHidden/>
              </w:rPr>
              <w:t>6</w:t>
            </w:r>
            <w:r>
              <w:rPr>
                <w:noProof/>
                <w:webHidden/>
              </w:rPr>
              <w:fldChar w:fldCharType="end"/>
            </w:r>
          </w:hyperlink>
        </w:p>
        <w:p w14:paraId="40A462B2" w14:textId="77777777" w:rsidR="00904AD5" w:rsidRDefault="00904AD5">
          <w:pPr>
            <w:pStyle w:val="TOC1"/>
            <w:tabs>
              <w:tab w:val="right" w:leader="dot" w:pos="9350"/>
            </w:tabs>
            <w:rPr>
              <w:rFonts w:asciiTheme="minorHAnsi" w:eastAsiaTheme="minorEastAsia" w:hAnsiTheme="minorHAnsi"/>
              <w:noProof/>
              <w:sz w:val="22"/>
            </w:rPr>
          </w:pPr>
          <w:hyperlink w:anchor="_Toc210423295" w:history="1">
            <w:r w:rsidRPr="00871484">
              <w:rPr>
                <w:rStyle w:val="Hyperlink"/>
                <w:noProof/>
              </w:rPr>
              <w:t>References</w:t>
            </w:r>
            <w:r>
              <w:rPr>
                <w:noProof/>
                <w:webHidden/>
              </w:rPr>
              <w:tab/>
            </w:r>
            <w:r>
              <w:rPr>
                <w:noProof/>
                <w:webHidden/>
              </w:rPr>
              <w:fldChar w:fldCharType="begin"/>
            </w:r>
            <w:r>
              <w:rPr>
                <w:noProof/>
                <w:webHidden/>
              </w:rPr>
              <w:instrText xml:space="preserve"> PAGEREF _Toc210423295 \h </w:instrText>
            </w:r>
            <w:r>
              <w:rPr>
                <w:noProof/>
                <w:webHidden/>
              </w:rPr>
            </w:r>
            <w:r>
              <w:rPr>
                <w:noProof/>
                <w:webHidden/>
              </w:rPr>
              <w:fldChar w:fldCharType="separate"/>
            </w:r>
            <w:r>
              <w:rPr>
                <w:noProof/>
                <w:webHidden/>
              </w:rPr>
              <w:t>7</w:t>
            </w:r>
            <w:r>
              <w:rPr>
                <w:noProof/>
                <w:webHidden/>
              </w:rPr>
              <w:fldChar w:fldCharType="end"/>
            </w:r>
          </w:hyperlink>
        </w:p>
        <w:p w14:paraId="7D6B28BE" w14:textId="77777777" w:rsidR="00904AD5" w:rsidRDefault="00904AD5">
          <w:r>
            <w:rPr>
              <w:b/>
              <w:bCs/>
              <w:noProof/>
            </w:rPr>
            <w:fldChar w:fldCharType="end"/>
          </w:r>
        </w:p>
      </w:sdtContent>
    </w:sdt>
    <w:p w14:paraId="1306F850" w14:textId="77777777" w:rsidR="006951DE" w:rsidRDefault="006951DE" w:rsidP="006951DE">
      <w:pPr>
        <w:jc w:val="center"/>
      </w:pPr>
    </w:p>
    <w:p w14:paraId="0D70CF23" w14:textId="77777777" w:rsidR="006951DE" w:rsidRDefault="006951DE" w:rsidP="006951DE">
      <w:pPr>
        <w:jc w:val="center"/>
      </w:pPr>
    </w:p>
    <w:p w14:paraId="3BC71C6D" w14:textId="77777777" w:rsidR="006951DE" w:rsidRDefault="006951DE" w:rsidP="006951DE">
      <w:pPr>
        <w:jc w:val="center"/>
      </w:pPr>
    </w:p>
    <w:p w14:paraId="609A499A" w14:textId="77777777" w:rsidR="00767969" w:rsidRDefault="00767969" w:rsidP="006951DE">
      <w:pPr>
        <w:jc w:val="center"/>
      </w:pPr>
    </w:p>
    <w:p w14:paraId="1A068824" w14:textId="77777777" w:rsidR="00767969" w:rsidRDefault="00767969" w:rsidP="006951DE">
      <w:pPr>
        <w:jc w:val="center"/>
      </w:pPr>
    </w:p>
    <w:p w14:paraId="07A195D6" w14:textId="77777777" w:rsidR="00767969" w:rsidRDefault="00767969" w:rsidP="006951DE">
      <w:pPr>
        <w:jc w:val="center"/>
      </w:pPr>
    </w:p>
    <w:p w14:paraId="5CFDF487" w14:textId="77777777" w:rsidR="00767969" w:rsidRDefault="00767969" w:rsidP="006951DE">
      <w:pPr>
        <w:jc w:val="center"/>
      </w:pPr>
    </w:p>
    <w:p w14:paraId="159ACB51" w14:textId="77777777" w:rsidR="00767969" w:rsidRDefault="00767969" w:rsidP="006951DE">
      <w:pPr>
        <w:jc w:val="center"/>
      </w:pPr>
    </w:p>
    <w:p w14:paraId="6E76A7F5" w14:textId="77777777" w:rsidR="00767969" w:rsidRDefault="00767969" w:rsidP="006951DE">
      <w:pPr>
        <w:jc w:val="center"/>
      </w:pPr>
    </w:p>
    <w:p w14:paraId="5916516C" w14:textId="77777777" w:rsidR="00767969" w:rsidRDefault="00767969" w:rsidP="006951DE">
      <w:pPr>
        <w:jc w:val="center"/>
      </w:pPr>
    </w:p>
    <w:p w14:paraId="483E79F8" w14:textId="77777777" w:rsidR="00767969" w:rsidRDefault="00767969" w:rsidP="006951DE">
      <w:pPr>
        <w:jc w:val="center"/>
      </w:pPr>
    </w:p>
    <w:p w14:paraId="1FDA01DA" w14:textId="77777777" w:rsidR="00767969" w:rsidRDefault="00767969" w:rsidP="006951DE">
      <w:pPr>
        <w:jc w:val="center"/>
      </w:pPr>
    </w:p>
    <w:p w14:paraId="0985CB1C" w14:textId="77777777" w:rsidR="00767969" w:rsidRDefault="00767969" w:rsidP="006951DE">
      <w:pPr>
        <w:jc w:val="center"/>
      </w:pPr>
    </w:p>
    <w:p w14:paraId="6CCDAC83" w14:textId="77777777" w:rsidR="00767969" w:rsidRDefault="00767969" w:rsidP="006951DE">
      <w:pPr>
        <w:jc w:val="center"/>
      </w:pPr>
    </w:p>
    <w:p w14:paraId="29601866" w14:textId="77777777" w:rsidR="00767969" w:rsidRDefault="00767969" w:rsidP="006951DE">
      <w:pPr>
        <w:jc w:val="center"/>
      </w:pPr>
    </w:p>
    <w:p w14:paraId="6694CFCD" w14:textId="77777777" w:rsidR="00767969" w:rsidRDefault="00767969" w:rsidP="006951DE">
      <w:pPr>
        <w:jc w:val="center"/>
      </w:pPr>
    </w:p>
    <w:p w14:paraId="75F4E800" w14:textId="77777777" w:rsidR="00767969" w:rsidRDefault="00767969" w:rsidP="006951DE">
      <w:pPr>
        <w:jc w:val="center"/>
      </w:pPr>
    </w:p>
    <w:p w14:paraId="4F7543DB" w14:textId="77777777" w:rsidR="005E31CB" w:rsidRDefault="005E31CB" w:rsidP="00904AD5"/>
    <w:p w14:paraId="60B90C23" w14:textId="77777777" w:rsidR="006951DE" w:rsidRDefault="00A20413" w:rsidP="005E31CB">
      <w:pPr>
        <w:spacing w:before="240" w:line="360" w:lineRule="auto"/>
        <w:jc w:val="both"/>
      </w:pPr>
      <w:r>
        <w:lastRenderedPageBreak/>
        <w:pict w14:anchorId="36BF55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624pt">
            <v:imagedata r:id="rId7" o:title="1"/>
          </v:shape>
        </w:pict>
      </w:r>
    </w:p>
    <w:p w14:paraId="361383EA" w14:textId="77777777" w:rsidR="004A3A57" w:rsidRDefault="006951DE" w:rsidP="005E31CB">
      <w:pPr>
        <w:spacing w:before="240" w:line="360" w:lineRule="auto"/>
        <w:jc w:val="both"/>
      </w:pPr>
      <w:r w:rsidRPr="006951DE">
        <w:rPr>
          <w:noProof/>
        </w:rPr>
        <w:lastRenderedPageBreak/>
        <w:drawing>
          <wp:inline distT="0" distB="0" distL="0" distR="0" wp14:anchorId="653E5B2B" wp14:editId="243C6F84">
            <wp:extent cx="5978707" cy="7980218"/>
            <wp:effectExtent l="0" t="0" r="317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85419" cy="7989177"/>
                    </a:xfrm>
                    <a:prstGeom prst="rect">
                      <a:avLst/>
                    </a:prstGeom>
                  </pic:spPr>
                </pic:pic>
              </a:graphicData>
            </a:graphic>
          </wp:inline>
        </w:drawing>
      </w:r>
      <w:r w:rsidR="004A3A57">
        <w:br w:type="page"/>
      </w:r>
    </w:p>
    <w:p w14:paraId="25B882BF" w14:textId="77777777" w:rsidR="006951DE" w:rsidRPr="00904AD5" w:rsidRDefault="006951DE" w:rsidP="00904AD5">
      <w:pPr>
        <w:rPr>
          <w:b/>
          <w:sz w:val="36"/>
          <w:szCs w:val="36"/>
        </w:rPr>
      </w:pPr>
      <w:r w:rsidRPr="00904AD5">
        <w:rPr>
          <w:b/>
          <w:sz w:val="36"/>
          <w:szCs w:val="36"/>
        </w:rPr>
        <w:lastRenderedPageBreak/>
        <w:t xml:space="preserve">Task 2 </w:t>
      </w:r>
    </w:p>
    <w:p w14:paraId="327CB1F4" w14:textId="77777777" w:rsidR="004A3A57" w:rsidRDefault="004A3A57" w:rsidP="005E31CB">
      <w:pPr>
        <w:pStyle w:val="Heading1"/>
      </w:pPr>
      <w:bookmarkStart w:id="0" w:name="_Toc210423291"/>
      <w:r>
        <w:t>1. Introduction</w:t>
      </w:r>
      <w:bookmarkEnd w:id="0"/>
      <w:r>
        <w:t xml:space="preserve"> </w:t>
      </w:r>
    </w:p>
    <w:p w14:paraId="74C3ABF0" w14:textId="77777777" w:rsidR="004A3A57" w:rsidRDefault="004A3A57" w:rsidP="005E31CB">
      <w:pPr>
        <w:spacing w:before="240" w:line="360" w:lineRule="auto"/>
        <w:jc w:val="both"/>
      </w:pPr>
      <w:r>
        <w:t xml:space="preserve">NHS is the main organ of the UK system of health and social care which provides universal, fair and free-of-charge healthcare at the levels of health and social care (Ham, 2024). This essay focuses on the history of the NHS, its principles of creation, and general organization, and critically analyses its advantages, problems, and its continued relevance (Crisp et al., 2024). </w:t>
      </w:r>
    </w:p>
    <w:p w14:paraId="11A80F46" w14:textId="77777777" w:rsidR="004A3A57" w:rsidRDefault="004A3A57" w:rsidP="005E31CB">
      <w:pPr>
        <w:pStyle w:val="Heading1"/>
      </w:pPr>
      <w:bookmarkStart w:id="1" w:name="_Toc210423292"/>
      <w:r>
        <w:t>2. Origin of the NHS</w:t>
      </w:r>
      <w:bookmarkEnd w:id="1"/>
    </w:p>
    <w:p w14:paraId="775EB848" w14:textId="77777777" w:rsidR="004A3A57" w:rsidRDefault="004A3A57" w:rsidP="005E31CB">
      <w:pPr>
        <w:spacing w:before="240" w:line="360" w:lineRule="auto"/>
        <w:jc w:val="both"/>
      </w:pPr>
      <w:r>
        <w:t xml:space="preserve">The history of the NHS is associated in the first place with the years following the war ends, when Britain which had gone through the global conflict experienced generalized poverty, lack of healthcare, and untenable disparity in healthcare access (Ham, 2024). The social and political environment required far-reaching reforms in order to build equitable, accessible, and publicly funded healthcare system. The key player here was Aneurin Bevan, and the Welsh </w:t>
      </w:r>
      <w:proofErr w:type="spellStart"/>
      <w:r>
        <w:t>Labour</w:t>
      </w:r>
      <w:proofErr w:type="spellEnd"/>
      <w:r>
        <w:t xml:space="preserve"> movement, who was the core to the negotiation of the political compromises and formation of the official guidelines through which the NHS was founded (Davies, 2024). With three principles that included universality, where everyone in the country could obtain care, irrespective of social and economic condition; free at the point of delivery, where healthcare was not conditioned by the possible ability to pay; and equity and quality, which were to decrease health disparity and enhance outcomes among the population (Crisp et al., 2024). Although these principles are still most applicable to this day, it still struggles to transform them into meeting modern issues of workforce stresses and increased expectation (Crisp et al., 2024). </w:t>
      </w:r>
    </w:p>
    <w:p w14:paraId="07D0A9C8" w14:textId="77777777" w:rsidR="004A3A57" w:rsidRDefault="004A3A57" w:rsidP="005E31CB">
      <w:pPr>
        <w:pStyle w:val="Heading1"/>
      </w:pPr>
      <w:bookmarkStart w:id="2" w:name="_Toc210423293"/>
      <w:r>
        <w:t xml:space="preserve">3. </w:t>
      </w:r>
      <w:r w:rsidR="005E31CB">
        <w:t>Current Structure and Functioning</w:t>
      </w:r>
      <w:bookmarkEnd w:id="2"/>
      <w:r w:rsidR="005E31CB">
        <w:t xml:space="preserve"> </w:t>
      </w:r>
    </w:p>
    <w:p w14:paraId="6B0E0870" w14:textId="77777777" w:rsidR="004A3A57" w:rsidRDefault="004A3A57" w:rsidP="005E31CB">
      <w:pPr>
        <w:spacing w:before="240" w:line="360" w:lineRule="auto"/>
        <w:jc w:val="both"/>
      </w:pPr>
      <w:r>
        <w:t xml:space="preserve">An NHS currently consists of four devolved administrations: NHS England, NHS Scotland, NHS Wales and Health and Social Care Northern Ireland each charged with the responsibility of providing health care within their regions (Abela, 2023). In those administrations hospitals, ambulance services, primary care networks and community services are governed by a mixture of regional and local structures making sure that a whole country is covered. There are key </w:t>
      </w:r>
      <w:r>
        <w:lastRenderedPageBreak/>
        <w:t>elements of care which the NHS provides</w:t>
      </w:r>
      <w:r w:rsidR="005E31CB">
        <w:t xml:space="preserve"> (Anderson et al., 2021)</w:t>
      </w:r>
      <w:r>
        <w:t xml:space="preserve">. Emergency care is a combination of ambulance and accident and emergency (A&amp;E) services, which offer life-threatening intervention of life-threatening illnesses. Primary health care that involves general practitioners, clinics and preventives, is the initial touch point with most patients. Hospital-based secondary and tertiary care </w:t>
      </w:r>
      <w:r w:rsidR="00904AD5">
        <w:t xml:space="preserve">is </w:t>
      </w:r>
      <w:r>
        <w:t>considered to be specialist care offered and complex procedures. Social care integration includes intensive work with the local government and local community teams, as well as helping the patients outside the hospital context (Miller et al., 2021).</w:t>
      </w:r>
    </w:p>
    <w:p w14:paraId="1466A607" w14:textId="77777777" w:rsidR="004A3A57" w:rsidRDefault="004A3A57" w:rsidP="005E31CB">
      <w:pPr>
        <w:spacing w:before="240" w:line="360" w:lineRule="auto"/>
        <w:jc w:val="both"/>
      </w:pPr>
      <w:r>
        <w:t>Universal coverage system, factions towards equity, and accessibility plus an established organization that enables integration to care pathways are beneficial to the NHS. Its original values are to this day directing policy and action (Crisp et al., 2024). Nevertheless, the system has serious issues: human resources are strained because of the lack of doctors, nurses, and paramedics (Anderson et al., 2021), demand is increasing due to the ageing population and complicated conditions, there are weak ties among health and social care, and investments are low due to funding restrictions which restrict the capabilities of the service and innovation (Ham, 2024). Although the NHS does not alter its primary principles, these new issues entirely put efficiency and responsiveness at risk, and to ensure high-quality care, the NHS has to adapt itself st</w:t>
      </w:r>
      <w:r w:rsidR="005E31CB">
        <w:t>rategically (Crisp et al., 2024</w:t>
      </w:r>
      <w:r>
        <w:t>).</w:t>
      </w:r>
    </w:p>
    <w:p w14:paraId="40FC1F67" w14:textId="77777777" w:rsidR="004A3A57" w:rsidRDefault="004A3A57" w:rsidP="005E31CB">
      <w:pPr>
        <w:pStyle w:val="Heading1"/>
      </w:pPr>
      <w:bookmarkStart w:id="3" w:name="_Toc210423294"/>
      <w:r>
        <w:t>4. Conclusion</w:t>
      </w:r>
      <w:bookmarkEnd w:id="3"/>
    </w:p>
    <w:p w14:paraId="234D897D" w14:textId="77777777" w:rsidR="005E31CB" w:rsidRDefault="004A3A57" w:rsidP="005E31CB">
      <w:pPr>
        <w:spacing w:before="240" w:line="360" w:lineRule="auto"/>
        <w:jc w:val="both"/>
      </w:pPr>
      <w:r>
        <w:t>To sum</w:t>
      </w:r>
      <w:r w:rsidR="005E31CB">
        <w:t xml:space="preserve"> up</w:t>
      </w:r>
      <w:r>
        <w:t>, the NHS has been a groundbreaking agent in the UK health and social care, starting out as it has evolved to be a universal system all-encompassing and post-war. Its ideals of universality, equity and free-at-point-of-use care are ever the most relevant in the modern age. Access to talent, finances, and pockets without integration are persistent issues, however, which highlights the need to consume strategic planning, innovation, and adaptability to enable the NHS to remain re</w:t>
      </w:r>
      <w:r w:rsidR="005E31CB">
        <w:t>sponsive to the needs of the 21</w:t>
      </w:r>
      <w:r>
        <w:t>st century population.</w:t>
      </w:r>
    </w:p>
    <w:p w14:paraId="70A0366E" w14:textId="77777777" w:rsidR="005E31CB" w:rsidRDefault="005E31CB">
      <w:r>
        <w:br w:type="page"/>
      </w:r>
    </w:p>
    <w:p w14:paraId="4D5518BD" w14:textId="77777777" w:rsidR="00904AD5" w:rsidRPr="00904AD5" w:rsidRDefault="005E31CB" w:rsidP="00904AD5">
      <w:pPr>
        <w:pStyle w:val="Heading1"/>
      </w:pPr>
      <w:bookmarkStart w:id="4" w:name="_Toc210423295"/>
      <w:r>
        <w:lastRenderedPageBreak/>
        <w:t>References</w:t>
      </w:r>
      <w:bookmarkEnd w:id="4"/>
    </w:p>
    <w:p w14:paraId="54A2F163" w14:textId="77777777" w:rsidR="00904AD5" w:rsidRPr="00D12FBA" w:rsidRDefault="00904AD5" w:rsidP="005E31CB">
      <w:pPr>
        <w:spacing w:before="240" w:line="360" w:lineRule="auto"/>
        <w:jc w:val="both"/>
        <w:rPr>
          <w:rFonts w:cs="Times New Roman"/>
          <w:color w:val="222222"/>
          <w:szCs w:val="24"/>
          <w:shd w:val="clear" w:color="auto" w:fill="FFFFFF"/>
        </w:rPr>
      </w:pPr>
      <w:r w:rsidRPr="00D12FBA">
        <w:rPr>
          <w:rFonts w:cs="Times New Roman"/>
          <w:color w:val="222222"/>
          <w:szCs w:val="24"/>
          <w:shd w:val="clear" w:color="auto" w:fill="FFFFFF"/>
        </w:rPr>
        <w:t>Abela, S., 2023. The Structure of the NHS. In </w:t>
      </w:r>
      <w:r w:rsidRPr="00D12FBA">
        <w:rPr>
          <w:rFonts w:cs="Times New Roman"/>
          <w:i/>
          <w:iCs/>
          <w:color w:val="222222"/>
          <w:szCs w:val="24"/>
          <w:shd w:val="clear" w:color="auto" w:fill="FFFFFF"/>
        </w:rPr>
        <w:t>Leadership and Management in Healthcare: A Guide for Medical and Dental Practitioners</w:t>
      </w:r>
      <w:r w:rsidRPr="00D12FBA">
        <w:rPr>
          <w:rFonts w:cs="Times New Roman"/>
          <w:color w:val="222222"/>
          <w:szCs w:val="24"/>
          <w:shd w:val="clear" w:color="auto" w:fill="FFFFFF"/>
        </w:rPr>
        <w:t> (pp. 3-18). Cham: Springer International Publishing.</w:t>
      </w:r>
      <w:r w:rsidRPr="00D12FBA">
        <w:rPr>
          <w:rFonts w:cs="Times New Roman"/>
          <w:szCs w:val="24"/>
        </w:rPr>
        <w:t xml:space="preserve"> </w:t>
      </w:r>
      <w:hyperlink r:id="rId9" w:history="1">
        <w:r w:rsidRPr="00D12FBA">
          <w:rPr>
            <w:rStyle w:val="Hyperlink"/>
            <w:rFonts w:cs="Times New Roman"/>
            <w:szCs w:val="24"/>
            <w:shd w:val="clear" w:color="auto" w:fill="FFFFFF"/>
          </w:rPr>
          <w:t>https://link.springer.com/chapter/10.1007/978-3-031-21025-9_1</w:t>
        </w:r>
      </w:hyperlink>
    </w:p>
    <w:p w14:paraId="0A133DEE" w14:textId="77777777" w:rsidR="00904AD5" w:rsidRPr="00D12FBA" w:rsidRDefault="00904AD5" w:rsidP="005E31CB">
      <w:pPr>
        <w:spacing w:before="240" w:line="360" w:lineRule="auto"/>
        <w:jc w:val="both"/>
        <w:rPr>
          <w:rFonts w:cs="Times New Roman"/>
          <w:color w:val="222222"/>
          <w:szCs w:val="24"/>
          <w:shd w:val="clear" w:color="auto" w:fill="FFFFFF"/>
        </w:rPr>
      </w:pPr>
      <w:r w:rsidRPr="00D12FBA">
        <w:rPr>
          <w:rFonts w:cs="Times New Roman"/>
          <w:color w:val="222222"/>
          <w:szCs w:val="24"/>
          <w:shd w:val="clear" w:color="auto" w:fill="FFFFFF"/>
        </w:rPr>
        <w:t>Anderson, M., O'Neill, C., Clark, J.M., Street, A., Woods, M., Johnston-Webber, C., Charlesworth, A., Whyte, M., Foster, M., Majeed, A. and Pitchforth, E., 2021. Securing a sustainable and fit-for-purpose UK health and care workforce. </w:t>
      </w:r>
      <w:r w:rsidRPr="00D12FBA">
        <w:rPr>
          <w:rFonts w:cs="Times New Roman"/>
          <w:i/>
          <w:iCs/>
          <w:color w:val="222222"/>
          <w:szCs w:val="24"/>
          <w:shd w:val="clear" w:color="auto" w:fill="FFFFFF"/>
        </w:rPr>
        <w:t>The Lancet</w:t>
      </w:r>
      <w:r w:rsidRPr="00D12FBA">
        <w:rPr>
          <w:rFonts w:cs="Times New Roman"/>
          <w:color w:val="222222"/>
          <w:szCs w:val="24"/>
          <w:shd w:val="clear" w:color="auto" w:fill="FFFFFF"/>
        </w:rPr>
        <w:t>, </w:t>
      </w:r>
      <w:r w:rsidRPr="00D12FBA">
        <w:rPr>
          <w:rFonts w:cs="Times New Roman"/>
          <w:i/>
          <w:iCs/>
          <w:color w:val="222222"/>
          <w:szCs w:val="24"/>
          <w:shd w:val="clear" w:color="auto" w:fill="FFFFFF"/>
        </w:rPr>
        <w:t>397</w:t>
      </w:r>
      <w:r w:rsidRPr="00D12FBA">
        <w:rPr>
          <w:rFonts w:cs="Times New Roman"/>
          <w:color w:val="222222"/>
          <w:szCs w:val="24"/>
          <w:shd w:val="clear" w:color="auto" w:fill="FFFFFF"/>
        </w:rPr>
        <w:t>(10288), pp.1992-2011.</w:t>
      </w:r>
      <w:r w:rsidRPr="00D12FBA">
        <w:rPr>
          <w:rFonts w:cs="Times New Roman"/>
          <w:szCs w:val="24"/>
        </w:rPr>
        <w:t xml:space="preserve"> </w:t>
      </w:r>
      <w:hyperlink r:id="rId10" w:history="1">
        <w:r w:rsidRPr="00D12FBA">
          <w:rPr>
            <w:rStyle w:val="Hyperlink"/>
            <w:rFonts w:cs="Times New Roman"/>
            <w:szCs w:val="24"/>
            <w:shd w:val="clear" w:color="auto" w:fill="FFFFFF"/>
          </w:rPr>
          <w:t>https://www.thelancet.com/journals/lancet/article/PIIS0140-6736(21)00231-2/abstract</w:t>
        </w:r>
      </w:hyperlink>
    </w:p>
    <w:p w14:paraId="1F3B9A92" w14:textId="77777777" w:rsidR="00904AD5" w:rsidRPr="00D12FBA" w:rsidRDefault="00904AD5" w:rsidP="005E31CB">
      <w:pPr>
        <w:spacing w:before="240" w:line="360" w:lineRule="auto"/>
        <w:jc w:val="both"/>
        <w:rPr>
          <w:rFonts w:cs="Times New Roman"/>
          <w:color w:val="222222"/>
          <w:szCs w:val="24"/>
          <w:shd w:val="clear" w:color="auto" w:fill="FFFFFF"/>
        </w:rPr>
      </w:pPr>
      <w:r w:rsidRPr="00D12FBA">
        <w:rPr>
          <w:rFonts w:cs="Times New Roman"/>
          <w:color w:val="222222"/>
          <w:szCs w:val="24"/>
          <w:shd w:val="clear" w:color="auto" w:fill="FFFFFF"/>
        </w:rPr>
        <w:t>Botan, V., Asghar, Z., Rowan, E., Smith, M.D., Patel, G., Phung, V.H., Trueman, I., Spaight, R., Brewster, A., Mountain, P. and Orner, R., 2023. Community first responders’ contribution to emergency medical service provision in the United Kingdom. </w:t>
      </w:r>
      <w:r w:rsidRPr="00D12FBA">
        <w:rPr>
          <w:rFonts w:cs="Times New Roman"/>
          <w:i/>
          <w:iCs/>
          <w:color w:val="222222"/>
          <w:szCs w:val="24"/>
          <w:shd w:val="clear" w:color="auto" w:fill="FFFFFF"/>
        </w:rPr>
        <w:t>Annals of Emergency Medicine</w:t>
      </w:r>
      <w:r w:rsidRPr="00D12FBA">
        <w:rPr>
          <w:rFonts w:cs="Times New Roman"/>
          <w:color w:val="222222"/>
          <w:szCs w:val="24"/>
          <w:shd w:val="clear" w:color="auto" w:fill="FFFFFF"/>
        </w:rPr>
        <w:t>, </w:t>
      </w:r>
      <w:r w:rsidRPr="00D12FBA">
        <w:rPr>
          <w:rFonts w:cs="Times New Roman"/>
          <w:i/>
          <w:iCs/>
          <w:color w:val="222222"/>
          <w:szCs w:val="24"/>
          <w:shd w:val="clear" w:color="auto" w:fill="FFFFFF"/>
        </w:rPr>
        <w:t>81</w:t>
      </w:r>
      <w:r w:rsidRPr="00D12FBA">
        <w:rPr>
          <w:rFonts w:cs="Times New Roman"/>
          <w:color w:val="222222"/>
          <w:szCs w:val="24"/>
          <w:shd w:val="clear" w:color="auto" w:fill="FFFFFF"/>
        </w:rPr>
        <w:t>(2), pp.176-183.</w:t>
      </w:r>
      <w:r w:rsidRPr="00D12FBA">
        <w:rPr>
          <w:rFonts w:cs="Times New Roman"/>
          <w:szCs w:val="24"/>
        </w:rPr>
        <w:t xml:space="preserve"> </w:t>
      </w:r>
      <w:hyperlink r:id="rId11" w:history="1">
        <w:r w:rsidRPr="00D12FBA">
          <w:rPr>
            <w:rStyle w:val="Hyperlink"/>
            <w:rFonts w:cs="Times New Roman"/>
            <w:szCs w:val="24"/>
            <w:shd w:val="clear" w:color="auto" w:fill="FFFFFF"/>
          </w:rPr>
          <w:t>https://www.sciencedirect.com/science/article/pii/S019606442200364X</w:t>
        </w:r>
      </w:hyperlink>
    </w:p>
    <w:p w14:paraId="4CA594FA" w14:textId="77777777" w:rsidR="00904AD5" w:rsidRPr="00D12FBA" w:rsidRDefault="00904AD5" w:rsidP="005E31CB">
      <w:pPr>
        <w:spacing w:before="240" w:line="360" w:lineRule="auto"/>
        <w:jc w:val="both"/>
        <w:rPr>
          <w:rFonts w:cs="Times New Roman"/>
          <w:color w:val="222222"/>
          <w:szCs w:val="24"/>
          <w:shd w:val="clear" w:color="auto" w:fill="FFFFFF"/>
        </w:rPr>
      </w:pPr>
      <w:r w:rsidRPr="00D12FBA">
        <w:rPr>
          <w:rFonts w:cs="Times New Roman"/>
          <w:color w:val="222222"/>
          <w:szCs w:val="24"/>
          <w:shd w:val="clear" w:color="auto" w:fill="FFFFFF"/>
        </w:rPr>
        <w:t xml:space="preserve">Crisp, N., </w:t>
      </w:r>
      <w:proofErr w:type="spellStart"/>
      <w:r w:rsidRPr="00D12FBA">
        <w:rPr>
          <w:rFonts w:cs="Times New Roman"/>
          <w:color w:val="222222"/>
          <w:szCs w:val="24"/>
          <w:shd w:val="clear" w:color="auto" w:fill="FFFFFF"/>
        </w:rPr>
        <w:t>Bamrah</w:t>
      </w:r>
      <w:proofErr w:type="spellEnd"/>
      <w:r w:rsidRPr="00D12FBA">
        <w:rPr>
          <w:rFonts w:cs="Times New Roman"/>
          <w:color w:val="222222"/>
          <w:szCs w:val="24"/>
          <w:shd w:val="clear" w:color="auto" w:fill="FFFFFF"/>
        </w:rPr>
        <w:t>, J.S., Morley, J., Augst, C. and Patel, K., 2024. The NHS founding principles are still appropriate today and provide a strong foundation for the future. </w:t>
      </w:r>
      <w:proofErr w:type="spellStart"/>
      <w:r w:rsidRPr="00D12FBA">
        <w:rPr>
          <w:rFonts w:cs="Times New Roman"/>
          <w:i/>
          <w:iCs/>
          <w:color w:val="222222"/>
          <w:szCs w:val="24"/>
          <w:shd w:val="clear" w:color="auto" w:fill="FFFFFF"/>
        </w:rPr>
        <w:t>bmj</w:t>
      </w:r>
      <w:proofErr w:type="spellEnd"/>
      <w:r w:rsidRPr="00D12FBA">
        <w:rPr>
          <w:rFonts w:cs="Times New Roman"/>
          <w:color w:val="222222"/>
          <w:szCs w:val="24"/>
          <w:shd w:val="clear" w:color="auto" w:fill="FFFFFF"/>
        </w:rPr>
        <w:t>, </w:t>
      </w:r>
      <w:r w:rsidRPr="00D12FBA">
        <w:rPr>
          <w:rFonts w:cs="Times New Roman"/>
          <w:i/>
          <w:iCs/>
          <w:color w:val="222222"/>
          <w:szCs w:val="24"/>
          <w:shd w:val="clear" w:color="auto" w:fill="FFFFFF"/>
        </w:rPr>
        <w:t>384</w:t>
      </w:r>
      <w:r w:rsidRPr="00D12FBA">
        <w:rPr>
          <w:rFonts w:cs="Times New Roman"/>
          <w:color w:val="222222"/>
          <w:szCs w:val="24"/>
          <w:shd w:val="clear" w:color="auto" w:fill="FFFFFF"/>
        </w:rPr>
        <w:t>.</w:t>
      </w:r>
      <w:r w:rsidRPr="00D12FBA">
        <w:rPr>
          <w:rFonts w:cs="Times New Roman"/>
          <w:szCs w:val="24"/>
        </w:rPr>
        <w:t xml:space="preserve"> </w:t>
      </w:r>
      <w:hyperlink r:id="rId12" w:history="1">
        <w:r w:rsidRPr="00D12FBA">
          <w:rPr>
            <w:rStyle w:val="Hyperlink"/>
            <w:rFonts w:cs="Times New Roman"/>
            <w:szCs w:val="24"/>
            <w:shd w:val="clear" w:color="auto" w:fill="FFFFFF"/>
          </w:rPr>
          <w:t>https://www.bmj.com/content/384/bmj-2023-078903.abstract</w:t>
        </w:r>
      </w:hyperlink>
    </w:p>
    <w:p w14:paraId="07510EAB" w14:textId="77777777" w:rsidR="00904AD5" w:rsidRPr="00D12FBA" w:rsidRDefault="00904AD5" w:rsidP="005E31CB">
      <w:pPr>
        <w:spacing w:before="240" w:line="360" w:lineRule="auto"/>
        <w:jc w:val="both"/>
        <w:rPr>
          <w:rFonts w:cs="Times New Roman"/>
          <w:color w:val="222222"/>
          <w:szCs w:val="24"/>
          <w:shd w:val="clear" w:color="auto" w:fill="FFFFFF"/>
        </w:rPr>
      </w:pPr>
      <w:r w:rsidRPr="00D12FBA">
        <w:rPr>
          <w:rFonts w:cs="Times New Roman"/>
          <w:color w:val="222222"/>
          <w:szCs w:val="24"/>
          <w:shd w:val="clear" w:color="auto" w:fill="FFFFFF"/>
        </w:rPr>
        <w:t xml:space="preserve">Davies, N., 2024. The language of priorities: Aneurin Bevan, Welsh </w:t>
      </w:r>
      <w:proofErr w:type="spellStart"/>
      <w:r w:rsidRPr="00D12FBA">
        <w:rPr>
          <w:rFonts w:cs="Times New Roman"/>
          <w:color w:val="222222"/>
          <w:szCs w:val="24"/>
          <w:shd w:val="clear" w:color="auto" w:fill="FFFFFF"/>
        </w:rPr>
        <w:t>labour</w:t>
      </w:r>
      <w:proofErr w:type="spellEnd"/>
      <w:r w:rsidRPr="00D12FBA">
        <w:rPr>
          <w:rFonts w:cs="Times New Roman"/>
          <w:color w:val="222222"/>
          <w:szCs w:val="24"/>
          <w:shd w:val="clear" w:color="auto" w:fill="FFFFFF"/>
        </w:rPr>
        <w:t xml:space="preserve"> and the politics of the past. </w:t>
      </w:r>
      <w:r w:rsidRPr="00D12FBA">
        <w:rPr>
          <w:rFonts w:cs="Times New Roman"/>
          <w:i/>
          <w:iCs/>
          <w:color w:val="222222"/>
          <w:szCs w:val="24"/>
          <w:shd w:val="clear" w:color="auto" w:fill="FFFFFF"/>
        </w:rPr>
        <w:t>The British Journal of Politics and International Relations</w:t>
      </w:r>
      <w:r w:rsidRPr="00D12FBA">
        <w:rPr>
          <w:rFonts w:cs="Times New Roman"/>
          <w:color w:val="222222"/>
          <w:szCs w:val="24"/>
          <w:shd w:val="clear" w:color="auto" w:fill="FFFFFF"/>
        </w:rPr>
        <w:t>, </w:t>
      </w:r>
      <w:r w:rsidRPr="00D12FBA">
        <w:rPr>
          <w:rFonts w:cs="Times New Roman"/>
          <w:i/>
          <w:iCs/>
          <w:color w:val="222222"/>
          <w:szCs w:val="24"/>
          <w:shd w:val="clear" w:color="auto" w:fill="FFFFFF"/>
        </w:rPr>
        <w:t>26</w:t>
      </w:r>
      <w:r w:rsidRPr="00D12FBA">
        <w:rPr>
          <w:rFonts w:cs="Times New Roman"/>
          <w:color w:val="222222"/>
          <w:szCs w:val="24"/>
          <w:shd w:val="clear" w:color="auto" w:fill="FFFFFF"/>
        </w:rPr>
        <w:t>(1), pp.62-78.</w:t>
      </w:r>
      <w:r w:rsidRPr="00D12FBA">
        <w:rPr>
          <w:rFonts w:cs="Times New Roman"/>
          <w:szCs w:val="24"/>
        </w:rPr>
        <w:t xml:space="preserve"> </w:t>
      </w:r>
      <w:hyperlink r:id="rId13" w:history="1">
        <w:r w:rsidRPr="00D12FBA">
          <w:rPr>
            <w:rStyle w:val="Hyperlink"/>
            <w:rFonts w:cs="Times New Roman"/>
            <w:szCs w:val="24"/>
            <w:shd w:val="clear" w:color="auto" w:fill="FFFFFF"/>
          </w:rPr>
          <w:t>https://journals.sagepub.com/doi/abs/10.1177/13691481231158296</w:t>
        </w:r>
      </w:hyperlink>
    </w:p>
    <w:p w14:paraId="4BAC7369" w14:textId="77777777" w:rsidR="00904AD5" w:rsidRPr="00D12FBA" w:rsidRDefault="00904AD5" w:rsidP="005E31CB">
      <w:pPr>
        <w:spacing w:before="240" w:line="360" w:lineRule="auto"/>
        <w:jc w:val="both"/>
        <w:rPr>
          <w:rFonts w:cs="Times New Roman"/>
          <w:color w:val="222222"/>
          <w:szCs w:val="24"/>
          <w:shd w:val="clear" w:color="auto" w:fill="FFFFFF"/>
        </w:rPr>
      </w:pPr>
      <w:r w:rsidRPr="00D12FBA">
        <w:rPr>
          <w:rFonts w:cs="Times New Roman"/>
          <w:color w:val="222222"/>
          <w:szCs w:val="24"/>
          <w:shd w:val="clear" w:color="auto" w:fill="FFFFFF"/>
        </w:rPr>
        <w:t>Eaton, G., 2023. Addressing the challenges facing the paramedic profession in the United Kingdom. </w:t>
      </w:r>
      <w:r w:rsidRPr="00D12FBA">
        <w:rPr>
          <w:rFonts w:cs="Times New Roman"/>
          <w:i/>
          <w:iCs/>
          <w:color w:val="222222"/>
          <w:szCs w:val="24"/>
          <w:shd w:val="clear" w:color="auto" w:fill="FFFFFF"/>
        </w:rPr>
        <w:t>British Medical Bulletin</w:t>
      </w:r>
      <w:r w:rsidRPr="00D12FBA">
        <w:rPr>
          <w:rFonts w:cs="Times New Roman"/>
          <w:color w:val="222222"/>
          <w:szCs w:val="24"/>
          <w:shd w:val="clear" w:color="auto" w:fill="FFFFFF"/>
        </w:rPr>
        <w:t>, </w:t>
      </w:r>
      <w:r w:rsidRPr="00D12FBA">
        <w:rPr>
          <w:rFonts w:cs="Times New Roman"/>
          <w:i/>
          <w:iCs/>
          <w:color w:val="222222"/>
          <w:szCs w:val="24"/>
          <w:shd w:val="clear" w:color="auto" w:fill="FFFFFF"/>
        </w:rPr>
        <w:t>148</w:t>
      </w:r>
      <w:r w:rsidRPr="00D12FBA">
        <w:rPr>
          <w:rFonts w:cs="Times New Roman"/>
          <w:color w:val="222222"/>
          <w:szCs w:val="24"/>
          <w:shd w:val="clear" w:color="auto" w:fill="FFFFFF"/>
        </w:rPr>
        <w:t>(1), pp.70-78.</w:t>
      </w:r>
      <w:r w:rsidRPr="00D12FBA">
        <w:rPr>
          <w:rFonts w:cs="Times New Roman"/>
          <w:szCs w:val="24"/>
        </w:rPr>
        <w:t xml:space="preserve"> </w:t>
      </w:r>
      <w:hyperlink r:id="rId14" w:history="1">
        <w:r w:rsidRPr="00D12FBA">
          <w:rPr>
            <w:rStyle w:val="Hyperlink"/>
            <w:rFonts w:cs="Times New Roman"/>
            <w:szCs w:val="24"/>
            <w:shd w:val="clear" w:color="auto" w:fill="FFFFFF"/>
          </w:rPr>
          <w:t>https://academic.oup.com/bmb/article-abstract/148/1/70/7262998</w:t>
        </w:r>
      </w:hyperlink>
    </w:p>
    <w:p w14:paraId="31D47350" w14:textId="77777777" w:rsidR="00904AD5" w:rsidRPr="00D12FBA" w:rsidRDefault="00904AD5" w:rsidP="005E31CB">
      <w:pPr>
        <w:spacing w:before="240" w:line="360" w:lineRule="auto"/>
        <w:jc w:val="both"/>
        <w:rPr>
          <w:rFonts w:cs="Times New Roman"/>
          <w:color w:val="222222"/>
          <w:szCs w:val="24"/>
          <w:shd w:val="clear" w:color="auto" w:fill="FFFFFF"/>
        </w:rPr>
      </w:pPr>
      <w:r w:rsidRPr="00D12FBA">
        <w:rPr>
          <w:rFonts w:cs="Times New Roman"/>
          <w:color w:val="222222"/>
          <w:szCs w:val="24"/>
          <w:shd w:val="clear" w:color="auto" w:fill="FFFFFF"/>
        </w:rPr>
        <w:t>Ham, C., 2024. </w:t>
      </w:r>
      <w:r w:rsidRPr="00D12FBA">
        <w:rPr>
          <w:rFonts w:cs="Times New Roman"/>
          <w:i/>
          <w:iCs/>
          <w:color w:val="222222"/>
          <w:szCs w:val="24"/>
          <w:shd w:val="clear" w:color="auto" w:fill="FFFFFF"/>
        </w:rPr>
        <w:t>Health policy in Britain: The politics and organization of the National Health Service</w:t>
      </w:r>
      <w:r w:rsidRPr="00D12FBA">
        <w:rPr>
          <w:rFonts w:cs="Times New Roman"/>
          <w:color w:val="222222"/>
          <w:szCs w:val="24"/>
          <w:shd w:val="clear" w:color="auto" w:fill="FFFFFF"/>
        </w:rPr>
        <w:t>. Routledge.</w:t>
      </w:r>
      <w:r w:rsidRPr="00D12FBA">
        <w:rPr>
          <w:rFonts w:cs="Times New Roman"/>
          <w:szCs w:val="24"/>
        </w:rPr>
        <w:t xml:space="preserve"> </w:t>
      </w:r>
      <w:hyperlink r:id="rId15" w:history="1">
        <w:r w:rsidRPr="00D12FBA">
          <w:rPr>
            <w:rStyle w:val="Hyperlink"/>
            <w:rFonts w:cs="Times New Roman"/>
            <w:szCs w:val="24"/>
            <w:shd w:val="clear" w:color="auto" w:fill="FFFFFF"/>
          </w:rPr>
          <w:t>https://www.taylorfrancis.com/books/mono/10.4324/9781003571896/health-policy-britain-christopher-ham</w:t>
        </w:r>
      </w:hyperlink>
    </w:p>
    <w:p w14:paraId="3E589AAE" w14:textId="77777777" w:rsidR="00904AD5" w:rsidRPr="00D12FBA" w:rsidRDefault="00904AD5" w:rsidP="005E31CB">
      <w:pPr>
        <w:spacing w:before="240" w:line="360" w:lineRule="auto"/>
        <w:jc w:val="both"/>
        <w:rPr>
          <w:rFonts w:cs="Times New Roman"/>
          <w:color w:val="222222"/>
          <w:szCs w:val="24"/>
          <w:shd w:val="clear" w:color="auto" w:fill="FFFFFF"/>
        </w:rPr>
      </w:pPr>
      <w:r w:rsidRPr="00D12FBA">
        <w:rPr>
          <w:rFonts w:cs="Times New Roman"/>
          <w:color w:val="222222"/>
          <w:szCs w:val="24"/>
          <w:shd w:val="clear" w:color="auto" w:fill="FFFFFF"/>
        </w:rPr>
        <w:lastRenderedPageBreak/>
        <w:t>Khan, Z., 2023. The emerging challenges and strengths of the National Health Services: a physician perspective. </w:t>
      </w:r>
      <w:r w:rsidRPr="00D12FBA">
        <w:rPr>
          <w:rFonts w:cs="Times New Roman"/>
          <w:i/>
          <w:iCs/>
          <w:color w:val="222222"/>
          <w:szCs w:val="24"/>
          <w:shd w:val="clear" w:color="auto" w:fill="FFFFFF"/>
        </w:rPr>
        <w:t>Cureus</w:t>
      </w:r>
      <w:r w:rsidRPr="00D12FBA">
        <w:rPr>
          <w:rFonts w:cs="Times New Roman"/>
          <w:color w:val="222222"/>
          <w:szCs w:val="24"/>
          <w:shd w:val="clear" w:color="auto" w:fill="FFFFFF"/>
        </w:rPr>
        <w:t>, </w:t>
      </w:r>
      <w:r w:rsidRPr="00D12FBA">
        <w:rPr>
          <w:rFonts w:cs="Times New Roman"/>
          <w:i/>
          <w:iCs/>
          <w:color w:val="222222"/>
          <w:szCs w:val="24"/>
          <w:shd w:val="clear" w:color="auto" w:fill="FFFFFF"/>
        </w:rPr>
        <w:t>15</w:t>
      </w:r>
      <w:r w:rsidRPr="00D12FBA">
        <w:rPr>
          <w:rFonts w:cs="Times New Roman"/>
          <w:color w:val="222222"/>
          <w:szCs w:val="24"/>
          <w:shd w:val="clear" w:color="auto" w:fill="FFFFFF"/>
        </w:rPr>
        <w:t>(5).</w:t>
      </w:r>
      <w:r w:rsidRPr="00D12FBA">
        <w:rPr>
          <w:rFonts w:cs="Times New Roman"/>
          <w:szCs w:val="24"/>
        </w:rPr>
        <w:t xml:space="preserve"> </w:t>
      </w:r>
      <w:hyperlink r:id="rId16" w:history="1">
        <w:r w:rsidRPr="00D12FBA">
          <w:rPr>
            <w:rStyle w:val="Hyperlink"/>
            <w:rFonts w:cs="Times New Roman"/>
            <w:szCs w:val="24"/>
            <w:shd w:val="clear" w:color="auto" w:fill="FFFFFF"/>
          </w:rPr>
          <w:t>https://www.cureus.com/articles/153209-the-emerging-challenges-and-strengths-of-the-national-health-services-a-physician-perspective.pdf</w:t>
        </w:r>
      </w:hyperlink>
    </w:p>
    <w:p w14:paraId="6832DE26" w14:textId="77777777" w:rsidR="00904AD5" w:rsidRPr="00D12FBA" w:rsidRDefault="00904AD5" w:rsidP="005E31CB">
      <w:pPr>
        <w:spacing w:before="240" w:line="360" w:lineRule="auto"/>
        <w:jc w:val="both"/>
        <w:rPr>
          <w:rFonts w:cs="Times New Roman"/>
          <w:color w:val="222222"/>
          <w:szCs w:val="24"/>
          <w:shd w:val="clear" w:color="auto" w:fill="FFFFFF"/>
        </w:rPr>
      </w:pPr>
      <w:r w:rsidRPr="00D12FBA">
        <w:rPr>
          <w:rFonts w:cs="Times New Roman"/>
          <w:color w:val="222222"/>
          <w:szCs w:val="24"/>
          <w:shd w:val="clear" w:color="auto" w:fill="FFFFFF"/>
        </w:rPr>
        <w:t>Miller, R., Glasby, J. and Dickinson, H., 2021. Integrated health and social care in England: ten years on. </w:t>
      </w:r>
      <w:r w:rsidRPr="00D12FBA">
        <w:rPr>
          <w:rFonts w:cs="Times New Roman"/>
          <w:i/>
          <w:iCs/>
          <w:color w:val="222222"/>
          <w:szCs w:val="24"/>
          <w:shd w:val="clear" w:color="auto" w:fill="FFFFFF"/>
        </w:rPr>
        <w:t>International journal of integrated care</w:t>
      </w:r>
      <w:r w:rsidRPr="00D12FBA">
        <w:rPr>
          <w:rFonts w:cs="Times New Roman"/>
          <w:color w:val="222222"/>
          <w:szCs w:val="24"/>
          <w:shd w:val="clear" w:color="auto" w:fill="FFFFFF"/>
        </w:rPr>
        <w:t>, </w:t>
      </w:r>
      <w:r w:rsidRPr="00D12FBA">
        <w:rPr>
          <w:rFonts w:cs="Times New Roman"/>
          <w:i/>
          <w:iCs/>
          <w:color w:val="222222"/>
          <w:szCs w:val="24"/>
          <w:shd w:val="clear" w:color="auto" w:fill="FFFFFF"/>
        </w:rPr>
        <w:t>21</w:t>
      </w:r>
      <w:r w:rsidRPr="00D12FBA">
        <w:rPr>
          <w:rFonts w:cs="Times New Roman"/>
          <w:color w:val="222222"/>
          <w:szCs w:val="24"/>
          <w:shd w:val="clear" w:color="auto" w:fill="FFFFFF"/>
        </w:rPr>
        <w:t>(4), p.6.</w:t>
      </w:r>
      <w:r w:rsidRPr="00D12FBA">
        <w:rPr>
          <w:rFonts w:cs="Times New Roman"/>
          <w:szCs w:val="24"/>
        </w:rPr>
        <w:t xml:space="preserve"> </w:t>
      </w:r>
      <w:hyperlink r:id="rId17" w:history="1">
        <w:r w:rsidRPr="00D12FBA">
          <w:rPr>
            <w:rStyle w:val="Hyperlink"/>
            <w:rFonts w:cs="Times New Roman"/>
            <w:szCs w:val="24"/>
            <w:shd w:val="clear" w:color="auto" w:fill="FFFFFF"/>
          </w:rPr>
          <w:t>https://pmc.ncbi.nlm.nih.gov/articles/PMC8555479/</w:t>
        </w:r>
      </w:hyperlink>
    </w:p>
    <w:p w14:paraId="028148F3" w14:textId="77777777" w:rsidR="00904AD5" w:rsidRPr="00D12FBA" w:rsidRDefault="00904AD5" w:rsidP="005E31CB">
      <w:pPr>
        <w:spacing w:before="240" w:line="360" w:lineRule="auto"/>
        <w:jc w:val="both"/>
        <w:rPr>
          <w:rFonts w:cs="Times New Roman"/>
          <w:color w:val="222222"/>
          <w:szCs w:val="24"/>
          <w:shd w:val="clear" w:color="auto" w:fill="FFFFFF"/>
        </w:rPr>
      </w:pPr>
      <w:r w:rsidRPr="00D12FBA">
        <w:rPr>
          <w:rFonts w:cs="Times New Roman"/>
          <w:color w:val="222222"/>
          <w:szCs w:val="24"/>
          <w:shd w:val="clear" w:color="auto" w:fill="FFFFFF"/>
        </w:rPr>
        <w:t>Rathnayake, D., Clarke, M. and Jayasinghe, V.I., 2021. Health system performance and health system preparedness for the post-pandemic impact of COVID-19: A review. </w:t>
      </w:r>
      <w:r w:rsidRPr="00D12FBA">
        <w:rPr>
          <w:rFonts w:cs="Times New Roman"/>
          <w:i/>
          <w:iCs/>
          <w:color w:val="222222"/>
          <w:szCs w:val="24"/>
          <w:shd w:val="clear" w:color="auto" w:fill="FFFFFF"/>
        </w:rPr>
        <w:t>International Journal of Healthcare Management</w:t>
      </w:r>
      <w:r w:rsidRPr="00D12FBA">
        <w:rPr>
          <w:rFonts w:cs="Times New Roman"/>
          <w:color w:val="222222"/>
          <w:szCs w:val="24"/>
          <w:shd w:val="clear" w:color="auto" w:fill="FFFFFF"/>
        </w:rPr>
        <w:t>, </w:t>
      </w:r>
      <w:r w:rsidRPr="00D12FBA">
        <w:rPr>
          <w:rFonts w:cs="Times New Roman"/>
          <w:i/>
          <w:iCs/>
          <w:color w:val="222222"/>
          <w:szCs w:val="24"/>
          <w:shd w:val="clear" w:color="auto" w:fill="FFFFFF"/>
        </w:rPr>
        <w:t>14</w:t>
      </w:r>
      <w:r w:rsidRPr="00D12FBA">
        <w:rPr>
          <w:rFonts w:cs="Times New Roman"/>
          <w:color w:val="222222"/>
          <w:szCs w:val="24"/>
          <w:shd w:val="clear" w:color="auto" w:fill="FFFFFF"/>
        </w:rPr>
        <w:t>(1), pp.250-254.</w:t>
      </w:r>
      <w:r w:rsidRPr="00D12FBA">
        <w:rPr>
          <w:rFonts w:cs="Times New Roman"/>
          <w:szCs w:val="24"/>
        </w:rPr>
        <w:t xml:space="preserve"> </w:t>
      </w:r>
      <w:hyperlink r:id="rId18" w:history="1">
        <w:r w:rsidRPr="00D12FBA">
          <w:rPr>
            <w:rStyle w:val="Hyperlink"/>
            <w:rFonts w:cs="Times New Roman"/>
            <w:szCs w:val="24"/>
            <w:shd w:val="clear" w:color="auto" w:fill="FFFFFF"/>
          </w:rPr>
          <w:t>https://www.tandfonline.com/doi/abs/10.1080/20479700.2020.1836732</w:t>
        </w:r>
      </w:hyperlink>
    </w:p>
    <w:p w14:paraId="34D85065" w14:textId="77777777" w:rsidR="00904AD5" w:rsidRPr="00D12FBA" w:rsidRDefault="00904AD5" w:rsidP="005E31CB">
      <w:pPr>
        <w:spacing w:before="240" w:line="360" w:lineRule="auto"/>
        <w:jc w:val="both"/>
        <w:rPr>
          <w:rFonts w:cs="Times New Roman"/>
          <w:color w:val="222222"/>
          <w:szCs w:val="24"/>
          <w:shd w:val="clear" w:color="auto" w:fill="FFFFFF"/>
        </w:rPr>
      </w:pPr>
      <w:r w:rsidRPr="00D12FBA">
        <w:rPr>
          <w:rFonts w:cs="Times New Roman"/>
          <w:color w:val="222222"/>
          <w:szCs w:val="24"/>
          <w:shd w:val="clear" w:color="auto" w:fill="FFFFFF"/>
        </w:rPr>
        <w:t>Slater, A., 2021. Reflections on an NHS ambulance service trust bidding for non-emergency patient transport services. </w:t>
      </w:r>
      <w:r w:rsidRPr="00D12FBA">
        <w:rPr>
          <w:rFonts w:cs="Times New Roman"/>
          <w:i/>
          <w:iCs/>
          <w:color w:val="222222"/>
          <w:szCs w:val="24"/>
          <w:shd w:val="clear" w:color="auto" w:fill="FFFFFF"/>
        </w:rPr>
        <w:t>International Journal of Emergency Services</w:t>
      </w:r>
      <w:r w:rsidRPr="00D12FBA">
        <w:rPr>
          <w:rFonts w:cs="Times New Roman"/>
          <w:color w:val="222222"/>
          <w:szCs w:val="24"/>
          <w:shd w:val="clear" w:color="auto" w:fill="FFFFFF"/>
        </w:rPr>
        <w:t>, </w:t>
      </w:r>
      <w:r w:rsidRPr="00D12FBA">
        <w:rPr>
          <w:rFonts w:cs="Times New Roman"/>
          <w:i/>
          <w:iCs/>
          <w:color w:val="222222"/>
          <w:szCs w:val="24"/>
          <w:shd w:val="clear" w:color="auto" w:fill="FFFFFF"/>
        </w:rPr>
        <w:t>10</w:t>
      </w:r>
      <w:r w:rsidRPr="00D12FBA">
        <w:rPr>
          <w:rFonts w:cs="Times New Roman"/>
          <w:color w:val="222222"/>
          <w:szCs w:val="24"/>
          <w:shd w:val="clear" w:color="auto" w:fill="FFFFFF"/>
        </w:rPr>
        <w:t>(1), pp.147-157.</w:t>
      </w:r>
      <w:r w:rsidRPr="00D12FBA">
        <w:rPr>
          <w:rFonts w:cs="Times New Roman"/>
          <w:szCs w:val="24"/>
        </w:rPr>
        <w:t xml:space="preserve"> </w:t>
      </w:r>
      <w:hyperlink r:id="rId19" w:history="1">
        <w:r w:rsidRPr="00D12FBA">
          <w:rPr>
            <w:rStyle w:val="Hyperlink"/>
            <w:rFonts w:cs="Times New Roman"/>
            <w:szCs w:val="24"/>
            <w:shd w:val="clear" w:color="auto" w:fill="FFFFFF"/>
          </w:rPr>
          <w:t>https://www.emerald.com/insight/content/doi/10.1108/ijes-05-2020-0028/full/html</w:t>
        </w:r>
      </w:hyperlink>
    </w:p>
    <w:p w14:paraId="6990FC6C" w14:textId="77777777" w:rsidR="00904AD5" w:rsidRPr="00D12FBA" w:rsidRDefault="00904AD5" w:rsidP="005E31CB">
      <w:pPr>
        <w:spacing w:before="240" w:line="360" w:lineRule="auto"/>
        <w:jc w:val="both"/>
        <w:rPr>
          <w:rFonts w:cs="Times New Roman"/>
          <w:color w:val="222222"/>
          <w:szCs w:val="24"/>
          <w:shd w:val="clear" w:color="auto" w:fill="FFFFFF"/>
        </w:rPr>
      </w:pPr>
      <w:r w:rsidRPr="00D12FBA">
        <w:rPr>
          <w:rFonts w:cs="Times New Roman"/>
          <w:color w:val="222222"/>
          <w:szCs w:val="24"/>
          <w:shd w:val="clear" w:color="auto" w:fill="FFFFFF"/>
        </w:rPr>
        <w:t>Stoddart, H., 2025. Shifting First Aid: A Socio‐Historical Analysis of Tracing the Changing Relations Between First Aiders and the UK Ambulance Service From 1941 to 2020. </w:t>
      </w:r>
      <w:r w:rsidRPr="00D12FBA">
        <w:rPr>
          <w:rFonts w:cs="Times New Roman"/>
          <w:i/>
          <w:iCs/>
          <w:color w:val="222222"/>
          <w:szCs w:val="24"/>
          <w:shd w:val="clear" w:color="auto" w:fill="FFFFFF"/>
        </w:rPr>
        <w:t>Sociology Compass</w:t>
      </w:r>
      <w:r w:rsidRPr="00D12FBA">
        <w:rPr>
          <w:rFonts w:cs="Times New Roman"/>
          <w:color w:val="222222"/>
          <w:szCs w:val="24"/>
          <w:shd w:val="clear" w:color="auto" w:fill="FFFFFF"/>
        </w:rPr>
        <w:t>, </w:t>
      </w:r>
      <w:r w:rsidRPr="00D12FBA">
        <w:rPr>
          <w:rFonts w:cs="Times New Roman"/>
          <w:i/>
          <w:iCs/>
          <w:color w:val="222222"/>
          <w:szCs w:val="24"/>
          <w:shd w:val="clear" w:color="auto" w:fill="FFFFFF"/>
        </w:rPr>
        <w:t>19</w:t>
      </w:r>
      <w:r w:rsidRPr="00D12FBA">
        <w:rPr>
          <w:rFonts w:cs="Times New Roman"/>
          <w:color w:val="222222"/>
          <w:szCs w:val="24"/>
          <w:shd w:val="clear" w:color="auto" w:fill="FFFFFF"/>
        </w:rPr>
        <w:t>(8), p.e70105.</w:t>
      </w:r>
      <w:r w:rsidRPr="00D12FBA">
        <w:rPr>
          <w:rFonts w:cs="Times New Roman"/>
          <w:szCs w:val="24"/>
        </w:rPr>
        <w:t xml:space="preserve"> </w:t>
      </w:r>
      <w:hyperlink r:id="rId20" w:history="1">
        <w:r w:rsidRPr="00D12FBA">
          <w:rPr>
            <w:rStyle w:val="Hyperlink"/>
            <w:rFonts w:cs="Times New Roman"/>
            <w:szCs w:val="24"/>
            <w:shd w:val="clear" w:color="auto" w:fill="FFFFFF"/>
          </w:rPr>
          <w:t>https://compass.onlinelibrary.wiley.com/doi/abs/10.1111/soc4.70105</w:t>
        </w:r>
      </w:hyperlink>
    </w:p>
    <w:p w14:paraId="7A30A1E2" w14:textId="77777777" w:rsidR="005E31CB" w:rsidRPr="005E31CB" w:rsidRDefault="005E31CB" w:rsidP="005E31CB">
      <w:pPr>
        <w:spacing w:before="240" w:line="360" w:lineRule="auto"/>
        <w:jc w:val="both"/>
        <w:rPr>
          <w:rFonts w:cs="Times New Roman"/>
          <w:color w:val="222222"/>
          <w:szCs w:val="24"/>
          <w:shd w:val="clear" w:color="auto" w:fill="FFFFFF"/>
        </w:rPr>
      </w:pPr>
    </w:p>
    <w:sectPr w:rsidR="005E31CB" w:rsidRPr="005E31CB" w:rsidSect="005E31CB">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24A56" w14:textId="77777777" w:rsidR="006429F2" w:rsidRDefault="006429F2" w:rsidP="005E31CB">
      <w:pPr>
        <w:spacing w:after="0" w:line="240" w:lineRule="auto"/>
      </w:pPr>
      <w:r>
        <w:separator/>
      </w:r>
    </w:p>
  </w:endnote>
  <w:endnote w:type="continuationSeparator" w:id="0">
    <w:p w14:paraId="3C79C8FE" w14:textId="77777777" w:rsidR="006429F2" w:rsidRDefault="006429F2" w:rsidP="005E3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8862808"/>
      <w:docPartObj>
        <w:docPartGallery w:val="Page Numbers (Bottom of Page)"/>
        <w:docPartUnique/>
      </w:docPartObj>
    </w:sdtPr>
    <w:sdtEndPr>
      <w:rPr>
        <w:noProof/>
      </w:rPr>
    </w:sdtEndPr>
    <w:sdtContent>
      <w:p w14:paraId="4A83CA8F" w14:textId="77777777" w:rsidR="005E31CB" w:rsidRDefault="005E31CB">
        <w:pPr>
          <w:pStyle w:val="Footer"/>
          <w:jc w:val="center"/>
        </w:pPr>
        <w:r>
          <w:fldChar w:fldCharType="begin"/>
        </w:r>
        <w:r>
          <w:instrText xml:space="preserve"> PAGE   \* MERGEFORMAT </w:instrText>
        </w:r>
        <w:r>
          <w:fldChar w:fldCharType="separate"/>
        </w:r>
        <w:r w:rsidR="00904AD5">
          <w:rPr>
            <w:noProof/>
          </w:rPr>
          <w:t>1</w:t>
        </w:r>
        <w:r>
          <w:rPr>
            <w:noProof/>
          </w:rPr>
          <w:fldChar w:fldCharType="end"/>
        </w:r>
      </w:p>
    </w:sdtContent>
  </w:sdt>
  <w:p w14:paraId="3CFEA1C5" w14:textId="77777777" w:rsidR="005E31CB" w:rsidRDefault="005E3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A8E2C" w14:textId="77777777" w:rsidR="006429F2" w:rsidRDefault="006429F2" w:rsidP="005E31CB">
      <w:pPr>
        <w:spacing w:after="0" w:line="240" w:lineRule="auto"/>
      </w:pPr>
      <w:r>
        <w:separator/>
      </w:r>
    </w:p>
  </w:footnote>
  <w:footnote w:type="continuationSeparator" w:id="0">
    <w:p w14:paraId="7CC5B2D8" w14:textId="77777777" w:rsidR="006429F2" w:rsidRDefault="006429F2" w:rsidP="005E31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A57"/>
    <w:rsid w:val="001C4395"/>
    <w:rsid w:val="003E3DC6"/>
    <w:rsid w:val="00492F6C"/>
    <w:rsid w:val="004A3A57"/>
    <w:rsid w:val="005E31CB"/>
    <w:rsid w:val="006429F2"/>
    <w:rsid w:val="006951DE"/>
    <w:rsid w:val="00767969"/>
    <w:rsid w:val="00885B2F"/>
    <w:rsid w:val="00904AD5"/>
    <w:rsid w:val="00A20413"/>
    <w:rsid w:val="00A42501"/>
    <w:rsid w:val="00CD46C9"/>
    <w:rsid w:val="00EA1DD0"/>
    <w:rsid w:val="00F67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B6C72"/>
  <w15:docId w15:val="{99131D01-7F5F-4223-8510-78C93152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395"/>
    <w:rPr>
      <w:rFonts w:ascii="Times New Roman" w:hAnsi="Times New Roman"/>
      <w:sz w:val="24"/>
    </w:rPr>
  </w:style>
  <w:style w:type="paragraph" w:styleId="Heading1">
    <w:name w:val="heading 1"/>
    <w:basedOn w:val="Normal"/>
    <w:next w:val="Normal"/>
    <w:link w:val="Heading1Char"/>
    <w:uiPriority w:val="9"/>
    <w:qFormat/>
    <w:rsid w:val="00885B2F"/>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A42501"/>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B2F"/>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A42501"/>
    <w:rPr>
      <w:rFonts w:ascii="Times New Roman" w:eastAsiaTheme="majorEastAsia" w:hAnsi="Times New Roman" w:cstheme="majorBidi"/>
      <w:b/>
      <w:bCs/>
      <w:sz w:val="24"/>
      <w:szCs w:val="26"/>
    </w:rPr>
  </w:style>
  <w:style w:type="paragraph" w:styleId="Header">
    <w:name w:val="header"/>
    <w:basedOn w:val="Normal"/>
    <w:link w:val="HeaderChar"/>
    <w:uiPriority w:val="99"/>
    <w:unhideWhenUsed/>
    <w:rsid w:val="005E31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31CB"/>
    <w:rPr>
      <w:rFonts w:ascii="Times New Roman" w:hAnsi="Times New Roman"/>
      <w:sz w:val="24"/>
    </w:rPr>
  </w:style>
  <w:style w:type="paragraph" w:styleId="Footer">
    <w:name w:val="footer"/>
    <w:basedOn w:val="Normal"/>
    <w:link w:val="FooterChar"/>
    <w:uiPriority w:val="99"/>
    <w:unhideWhenUsed/>
    <w:rsid w:val="005E31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31CB"/>
    <w:rPr>
      <w:rFonts w:ascii="Times New Roman" w:hAnsi="Times New Roman"/>
      <w:sz w:val="24"/>
    </w:rPr>
  </w:style>
  <w:style w:type="character" w:styleId="Hyperlink">
    <w:name w:val="Hyperlink"/>
    <w:basedOn w:val="DefaultParagraphFont"/>
    <w:uiPriority w:val="99"/>
    <w:unhideWhenUsed/>
    <w:rsid w:val="005E31CB"/>
    <w:rPr>
      <w:color w:val="0000FF" w:themeColor="hyperlink"/>
      <w:u w:val="single"/>
    </w:rPr>
  </w:style>
  <w:style w:type="paragraph" w:styleId="BalloonText">
    <w:name w:val="Balloon Text"/>
    <w:basedOn w:val="Normal"/>
    <w:link w:val="BalloonTextChar"/>
    <w:uiPriority w:val="99"/>
    <w:semiHidden/>
    <w:unhideWhenUsed/>
    <w:rsid w:val="006951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1DE"/>
    <w:rPr>
      <w:rFonts w:ascii="Tahoma" w:hAnsi="Tahoma" w:cs="Tahoma"/>
      <w:sz w:val="16"/>
      <w:szCs w:val="16"/>
    </w:rPr>
  </w:style>
  <w:style w:type="paragraph" w:styleId="TOCHeading">
    <w:name w:val="TOC Heading"/>
    <w:basedOn w:val="Heading1"/>
    <w:next w:val="Normal"/>
    <w:uiPriority w:val="39"/>
    <w:semiHidden/>
    <w:unhideWhenUsed/>
    <w:qFormat/>
    <w:rsid w:val="00904AD5"/>
    <w:pPr>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904AD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6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journals.sagepub.com/doi/abs/10.1177/13691481231158296" TargetMode="External"/><Relationship Id="rId18" Type="http://schemas.openxmlformats.org/officeDocument/2006/relationships/hyperlink" Target="https://www.tandfonline.com/doi/abs/10.1080/20479700.2020.1836732"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bmj.com/content/384/bmj-2023-078903.abstract" TargetMode="External"/><Relationship Id="rId17" Type="http://schemas.openxmlformats.org/officeDocument/2006/relationships/hyperlink" Target="https://pmc.ncbi.nlm.nih.gov/articles/PMC8555479/" TargetMode="External"/><Relationship Id="rId2" Type="http://schemas.openxmlformats.org/officeDocument/2006/relationships/styles" Target="styles.xml"/><Relationship Id="rId16" Type="http://schemas.openxmlformats.org/officeDocument/2006/relationships/hyperlink" Target="https://www.cureus.com/articles/153209-the-emerging-challenges-and-strengths-of-the-national-health-services-a-physician-perspective.pdf" TargetMode="External"/><Relationship Id="rId20" Type="http://schemas.openxmlformats.org/officeDocument/2006/relationships/hyperlink" Target="https://compass.onlinelibrary.wiley.com/doi/abs/10.1111/soc4.7010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019606442200364X" TargetMode="External"/><Relationship Id="rId5" Type="http://schemas.openxmlformats.org/officeDocument/2006/relationships/footnotes" Target="footnotes.xml"/><Relationship Id="rId15" Type="http://schemas.openxmlformats.org/officeDocument/2006/relationships/hyperlink" Target="https://www.taylorfrancis.com/books/mono/10.4324/9781003571896/health-policy-britain-christopher-ham" TargetMode="External"/><Relationship Id="rId23" Type="http://schemas.openxmlformats.org/officeDocument/2006/relationships/theme" Target="theme/theme1.xml"/><Relationship Id="rId10" Type="http://schemas.openxmlformats.org/officeDocument/2006/relationships/hyperlink" Target="https://www.thelancet.com/journals/lancet/article/PIIS0140-6736(21)00231-2/abstract" TargetMode="External"/><Relationship Id="rId19" Type="http://schemas.openxmlformats.org/officeDocument/2006/relationships/hyperlink" Target="https://www.emerald.com/insight/content/doi/10.1108/ijes-05-2020-0028/full/html" TargetMode="External"/><Relationship Id="rId4" Type="http://schemas.openxmlformats.org/officeDocument/2006/relationships/webSettings" Target="webSettings.xml"/><Relationship Id="rId9" Type="http://schemas.openxmlformats.org/officeDocument/2006/relationships/hyperlink" Target="https://link.springer.com/chapter/10.1007/978-3-031-21025-9_1" TargetMode="External"/><Relationship Id="rId14" Type="http://schemas.openxmlformats.org/officeDocument/2006/relationships/hyperlink" Target="https://academic.oup.com/bmb/article-abstract/148/1/70/726299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A89E3-9418-4B21-A1D7-2ACD87444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8</Pages>
  <Words>1354</Words>
  <Characters>7722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dc:creator>
  <cp:lastModifiedBy>Naanaz Saddiq (2438383)</cp:lastModifiedBy>
  <cp:revision>13</cp:revision>
  <dcterms:created xsi:type="dcterms:W3CDTF">2025-10-03T13:57:00Z</dcterms:created>
  <dcterms:modified xsi:type="dcterms:W3CDTF">2025-10-08T09:18:00Z</dcterms:modified>
</cp:coreProperties>
</file>