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7E998" w14:textId="77777777" w:rsidR="002B7806" w:rsidRDefault="002B7806" w:rsidP="002B7806">
      <w:pPr>
        <w:rPr>
          <w:b/>
          <w:bCs/>
        </w:rPr>
      </w:pPr>
    </w:p>
    <w:p w14:paraId="32BB8DB8" w14:textId="33F7A769" w:rsidR="002B7806" w:rsidRDefault="002B7806" w:rsidP="002B7806">
      <w:pPr>
        <w:rPr>
          <w:b/>
          <w:bCs/>
        </w:rPr>
      </w:pPr>
      <w:r>
        <w:rPr>
          <w:b/>
          <w:bCs/>
        </w:rPr>
        <w:t xml:space="preserve">Student Name: </w:t>
      </w:r>
      <w:r w:rsidRPr="002B7806">
        <w:rPr>
          <w:b/>
          <w:bCs/>
        </w:rPr>
        <w:t>Ademola Adeniye Jagun</w:t>
      </w:r>
    </w:p>
    <w:p w14:paraId="1571CC33" w14:textId="3EDE276F" w:rsidR="002B7806" w:rsidRDefault="002B7806" w:rsidP="002B7806">
      <w:pPr>
        <w:rPr>
          <w:b/>
          <w:bCs/>
        </w:rPr>
      </w:pPr>
      <w:r w:rsidRPr="002B7806">
        <w:rPr>
          <w:b/>
          <w:bCs/>
        </w:rPr>
        <w:t>Student ID: 2516281</w:t>
      </w:r>
    </w:p>
    <w:p w14:paraId="6AD44EAE" w14:textId="77777777" w:rsidR="002B7806" w:rsidRDefault="002B7806" w:rsidP="002B7806">
      <w:pPr>
        <w:rPr>
          <w:b/>
          <w:bCs/>
          <w:lang w:val="en-US"/>
        </w:rPr>
      </w:pPr>
      <w:r>
        <w:rPr>
          <w:b/>
          <w:bCs/>
          <w:lang w:val="en-US"/>
        </w:rPr>
        <w:t xml:space="preserve">Course Title: </w:t>
      </w:r>
      <w:r w:rsidRPr="002B7806">
        <w:rPr>
          <w:b/>
          <w:bCs/>
          <w:lang w:val="en-US"/>
        </w:rPr>
        <w:t>Enterprise and Entrepreneurship</w:t>
      </w:r>
    </w:p>
    <w:p w14:paraId="4805D567" w14:textId="0F7B43AC" w:rsidR="002B7806" w:rsidRPr="002B7806" w:rsidRDefault="002B7806" w:rsidP="002B7806">
      <w:pPr>
        <w:rPr>
          <w:b/>
          <w:bCs/>
          <w:lang w:val="en-US"/>
        </w:rPr>
      </w:pPr>
      <w:r>
        <w:rPr>
          <w:b/>
          <w:bCs/>
          <w:lang w:val="en-US"/>
        </w:rPr>
        <w:t>Course code:</w:t>
      </w:r>
      <w:r w:rsidRPr="002B7806">
        <w:rPr>
          <w:b/>
          <w:bCs/>
          <w:lang w:val="en-US"/>
        </w:rPr>
        <w:t xml:space="preserve"> LCLM4006</w:t>
      </w:r>
    </w:p>
    <w:p w14:paraId="77F3FF59" w14:textId="77777777" w:rsidR="002B7806" w:rsidRDefault="002B7806" w:rsidP="002B7806">
      <w:pPr>
        <w:rPr>
          <w:b/>
          <w:bCs/>
        </w:rPr>
      </w:pPr>
    </w:p>
    <w:p w14:paraId="1C526ADF" w14:textId="6038A3E2" w:rsidR="002B7806" w:rsidRPr="002B7806" w:rsidRDefault="002B7806" w:rsidP="002B7806">
      <w:r w:rsidRPr="002B7806">
        <w:rPr>
          <w:b/>
          <w:bCs/>
        </w:rPr>
        <w:t>PESTEL Analysis of Flight Foods Ltd (Chosen Startup Business)</w:t>
      </w:r>
    </w:p>
    <w:p w14:paraId="20DABBC3" w14:textId="07690BF0" w:rsidR="002B7806" w:rsidRPr="002B7806" w:rsidRDefault="002B7806" w:rsidP="002B7806">
      <w:r w:rsidRPr="002B7806">
        <w:t xml:space="preserve">Based on the case study in </w:t>
      </w:r>
      <w:r>
        <w:t>the</w:t>
      </w:r>
      <w:r w:rsidRPr="002B7806">
        <w:t xml:space="preserve"> </w:t>
      </w:r>
      <w:r>
        <w:t>LCLM400</w:t>
      </w:r>
      <w:r w:rsidR="00905257">
        <w:t>6</w:t>
      </w:r>
      <w:r>
        <w:t xml:space="preserve"> module brief, I have selected Flight Foods Ltd as the </w:t>
      </w:r>
      <w:r w:rsidRPr="002B7806">
        <w:t>startup business. It is a UK-based food production factory (likely manufacturing ready-to-eat or processed foods) operating on a noisy factory floor with a diverse immigrant workforce from five cultural groups, facing hygiene, uniform, and communication challenges under manager Gary. Although the case presents it as an operational entity, this PESTEL analysis treats it as a growing startup/scale-up in the competitive UK food manufacturing sector, where external macro-environmental factors significantly influence its ability to expand, comply with standards, and improve internal operations (including the five communication barriers of environmental noise, language/body language, age/generational, cultural standards, and emotional factors).</w:t>
      </w:r>
    </w:p>
    <w:p w14:paraId="0261FE03" w14:textId="3DA0B9AE" w:rsidR="002B7806" w:rsidRPr="002B7806" w:rsidRDefault="002B7806" w:rsidP="002B7806">
      <w:r w:rsidRPr="002B7806">
        <w:t xml:space="preserve">The analysis draws on current 2025–2026 data for the UK food industry. For each PESTEL factor, I identify key opportunities and threats, evaluate their impact on Flight Foods Ltd, and recommend strategic actions that Gary (or the leadership team) could </w:t>
      </w:r>
      <w:r>
        <w:t>take to support sustainable growth, improve compliance, and reduce</w:t>
      </w:r>
      <w:r w:rsidRPr="002B7806">
        <w:t xml:space="preserve"> operational risks.</w:t>
      </w:r>
    </w:p>
    <w:p w14:paraId="045A6839" w14:textId="77777777" w:rsidR="002B7806" w:rsidRPr="002B7806" w:rsidRDefault="002B7806" w:rsidP="002B7806">
      <w:pPr>
        <w:rPr>
          <w:b/>
          <w:bCs/>
        </w:rPr>
      </w:pPr>
      <w:r w:rsidRPr="002B7806">
        <w:rPr>
          <w:b/>
          <w:bCs/>
        </w:rPr>
        <w:t>1. Political Factors</w:t>
      </w:r>
    </w:p>
    <w:p w14:paraId="1B5D0FDA" w14:textId="77777777" w:rsidR="002B7806" w:rsidRPr="002B7806" w:rsidRDefault="002B7806" w:rsidP="002B7806">
      <w:r w:rsidRPr="002B7806">
        <w:t>Political influences include post-Brexit trade policies, government focus on food security, public health regulations, and responses to global volatility (e.g., Middle East conflicts and energy prices). The UK government is pushing for stronger domestic production amid import vulnerabilities, while new trade negotiations with the EU (potentially an SPS agreement) and calls to protect the £42bn food manufacturing sector are prominent.</w:t>
      </w:r>
    </w:p>
    <w:p w14:paraId="7803B2A7" w14:textId="77777777" w:rsidR="002B7806" w:rsidRDefault="002B7806" w:rsidP="002B7806">
      <w:r w:rsidRPr="002B7806">
        <w:rPr>
          <w:b/>
          <w:bCs/>
        </w:rPr>
        <w:lastRenderedPageBreak/>
        <w:t>Opportunities:</w:t>
      </w:r>
      <w:r w:rsidRPr="002B7806">
        <w:t xml:space="preserve"> Access to new subsidies or support for innovation in food production; potential smoother EU trade that reduces import costs for ingredients. </w:t>
      </w:r>
    </w:p>
    <w:p w14:paraId="5C35F10E" w14:textId="08E5EEB8" w:rsidR="002B7806" w:rsidRPr="002B7806" w:rsidRDefault="002B7806" w:rsidP="002B7806">
      <w:r w:rsidRPr="002B7806">
        <w:rPr>
          <w:b/>
          <w:bCs/>
        </w:rPr>
        <w:t>Threats:</w:t>
      </w:r>
      <w:r w:rsidRPr="002B7806">
        <w:t xml:space="preserve"> Ongoing Brexit-related uncertainty, tariffs, and policy shifts (e.g., reduced farming subsidies) that increase raw material volatility; geopolitical risks disrupting supply chains.</w:t>
      </w:r>
    </w:p>
    <w:p w14:paraId="1C6D92FF" w14:textId="77777777" w:rsidR="002B7806" w:rsidRPr="002B7806" w:rsidRDefault="002B7806" w:rsidP="002B7806">
      <w:r w:rsidRPr="002B7806">
        <w:rPr>
          <w:b/>
          <w:bCs/>
        </w:rPr>
        <w:t>Impact on Flight Foods Ltd:</w:t>
      </w:r>
      <w:r w:rsidRPr="002B7806">
        <w:t xml:space="preserve"> High. As a startup with heavy reliance on imported ingredients and a diverse workforce, political instability could raise costs and complicate hiring (e.g., post-Brexit labour mobility rules). This exacerbates existing communication barriers if instructions on hygiene standards change frequently.</w:t>
      </w:r>
    </w:p>
    <w:p w14:paraId="32AD07D2" w14:textId="77777777" w:rsidR="002B7806" w:rsidRPr="002B7806" w:rsidRDefault="002B7806" w:rsidP="002B7806">
      <w:r w:rsidRPr="002B7806">
        <w:rPr>
          <w:b/>
          <w:bCs/>
        </w:rPr>
        <w:t>Strategic incorporation:</w:t>
      </w:r>
      <w:r w:rsidRPr="002B7806">
        <w:t xml:space="preserve"> Diversify suppliers across UK/EU sources and engage with industry bodies (e.g., Food and Drink Federation) for early policy insights. Build political risk monitoring into quarterly reviews to adjust procurement and training plans proactively.</w:t>
      </w:r>
    </w:p>
    <w:p w14:paraId="3311CC32" w14:textId="77777777" w:rsidR="002B7806" w:rsidRPr="002B7806" w:rsidRDefault="002B7806" w:rsidP="002B7806">
      <w:pPr>
        <w:rPr>
          <w:b/>
          <w:bCs/>
        </w:rPr>
      </w:pPr>
      <w:r w:rsidRPr="002B7806">
        <w:rPr>
          <w:b/>
          <w:bCs/>
        </w:rPr>
        <w:t>2. Economic Factors</w:t>
      </w:r>
    </w:p>
    <w:p w14:paraId="4CD369E3" w14:textId="42EAC3F6" w:rsidR="002B7806" w:rsidRPr="002B7806" w:rsidRDefault="002B7806" w:rsidP="002B7806">
      <w:r w:rsidRPr="002B7806">
        <w:t>Key pressures include persistent food inflation (forecast 4–5% mid-2025</w:t>
      </w:r>
      <w:r>
        <w:t>,</w:t>
      </w:r>
      <w:r w:rsidRPr="002B7806">
        <w:t xml:space="preserve"> rising again), rising labour and energy costs from the 2025 budget (National Insurance increases), business rates reform, and packaging taxes. Consumer spending is fragile amid cost-of-living concerns, with higher duties and levies squeezing margins.</w:t>
      </w:r>
    </w:p>
    <w:p w14:paraId="415F87B4" w14:textId="77777777" w:rsidR="002B7806" w:rsidRDefault="002B7806" w:rsidP="002B7806">
      <w:r w:rsidRPr="002B7806">
        <w:rPr>
          <w:b/>
          <w:bCs/>
        </w:rPr>
        <w:t>Opportunities:</w:t>
      </w:r>
      <w:r w:rsidRPr="002B7806">
        <w:t xml:space="preserve"> Potential recovery in shopper confidence if inflation eases; scope to pass modest price increases to value-focused customers seeking convenient foods. </w:t>
      </w:r>
    </w:p>
    <w:p w14:paraId="65920D7E" w14:textId="6E07EEC2" w:rsidR="002B7806" w:rsidRPr="002B7806" w:rsidRDefault="002B7806" w:rsidP="002B7806">
      <w:r w:rsidRPr="002B7806">
        <w:rPr>
          <w:b/>
          <w:bCs/>
        </w:rPr>
        <w:t>Threats:</w:t>
      </w:r>
      <w:r w:rsidRPr="002B7806">
        <w:t xml:space="preserve"> Escalating production costs (up 4.4–5.3% in 2025) and labour shortages, threatening profitability for a labour-intensive factory startup.</w:t>
      </w:r>
    </w:p>
    <w:p w14:paraId="2F1C876C" w14:textId="77777777" w:rsidR="002B7806" w:rsidRPr="002B7806" w:rsidRDefault="002B7806" w:rsidP="002B7806">
      <w:r w:rsidRPr="002B7806">
        <w:rPr>
          <w:b/>
          <w:bCs/>
        </w:rPr>
        <w:t>Impact on Flight Foods Ltd:</w:t>
      </w:r>
      <w:r w:rsidRPr="002B7806">
        <w:t xml:space="preserve"> Critical. High labour costs directly affect the immigrant workforce (many in entry-level roles), while energy bills impact noisy machinery operations. This could worsen emotional barriers (e.g., Gary’s frustration from cost pressures leading to shouting) and limit investment in quieter briefing areas.</w:t>
      </w:r>
    </w:p>
    <w:p w14:paraId="7483FC3E" w14:textId="77777777" w:rsidR="002B7806" w:rsidRPr="002B7806" w:rsidRDefault="002B7806" w:rsidP="002B7806">
      <w:r w:rsidRPr="002B7806">
        <w:rPr>
          <w:b/>
          <w:bCs/>
        </w:rPr>
        <w:t>Strategic incorporation:</w:t>
      </w:r>
      <w:r w:rsidRPr="002B7806">
        <w:t xml:space="preserve"> Implement cost-control measures such as energy-efficient equipment and negotiate bulk supplier contracts. </w:t>
      </w:r>
      <w:r w:rsidRPr="002B7806">
        <w:lastRenderedPageBreak/>
        <w:t>Introduce tiered pricing or private-label options to maintain margins, while using economic data to forecast cash flow and justify targeted hires.</w:t>
      </w:r>
    </w:p>
    <w:p w14:paraId="0670D7B4" w14:textId="77777777" w:rsidR="002B7806" w:rsidRPr="002B7806" w:rsidRDefault="002B7806" w:rsidP="002B7806">
      <w:pPr>
        <w:rPr>
          <w:b/>
          <w:bCs/>
        </w:rPr>
      </w:pPr>
      <w:r w:rsidRPr="002B7806">
        <w:rPr>
          <w:b/>
          <w:bCs/>
        </w:rPr>
        <w:t>3. Social Factors</w:t>
      </w:r>
    </w:p>
    <w:p w14:paraId="320FCD90" w14:textId="63E16AF4" w:rsidR="002B7806" w:rsidRPr="002B7806" w:rsidRDefault="002B7806" w:rsidP="002B7806">
      <w:r w:rsidRPr="002B7806">
        <w:t xml:space="preserve">Social trends encompass an increasingly multicultural and generationally diverse UK workforce and consumer base, shifting attitudes toward health, sustainability, work-life balance, and ethnic/global flavours. Younger generations show lower alcohol consumption and higher demand for convenient, ethical foods, </w:t>
      </w:r>
      <w:r>
        <w:t xml:space="preserve">and </w:t>
      </w:r>
      <w:r w:rsidRPr="002B7806">
        <w:t>labour market data highlight disengagement among Gen Z and ongoing skills shortages in manufacturing.</w:t>
      </w:r>
    </w:p>
    <w:p w14:paraId="639304CF" w14:textId="77777777" w:rsidR="002B7806" w:rsidRDefault="002B7806" w:rsidP="002B7806">
      <w:r w:rsidRPr="002B7806">
        <w:rPr>
          <w:b/>
          <w:bCs/>
        </w:rPr>
        <w:t>Opportunities:</w:t>
      </w:r>
      <w:r w:rsidRPr="002B7806">
        <w:t xml:space="preserve"> Leverage cultural diversity in the workforce to innovate multicultural product lines; attract talent by offering inclusive training that addresses generational preferences (e.g., digital vs. verbal instructions). </w:t>
      </w:r>
    </w:p>
    <w:p w14:paraId="234DD77E" w14:textId="2EF762B8" w:rsidR="002B7806" w:rsidRPr="002B7806" w:rsidRDefault="002B7806" w:rsidP="002B7806">
      <w:r w:rsidRPr="002B7806">
        <w:rPr>
          <w:b/>
          <w:bCs/>
        </w:rPr>
        <w:t>Threats:</w:t>
      </w:r>
      <w:r w:rsidRPr="002B7806">
        <w:t xml:space="preserve"> Persistent labour shortages and generational/cultural mismatches that amplify the case study’s communication problems (e.g., younger workers disengaging, older staff resisting change).</w:t>
      </w:r>
    </w:p>
    <w:p w14:paraId="7C50CFDE" w14:textId="77777777" w:rsidR="002B7806" w:rsidRPr="002B7806" w:rsidRDefault="002B7806" w:rsidP="002B7806">
      <w:r w:rsidRPr="002B7806">
        <w:rPr>
          <w:b/>
          <w:bCs/>
        </w:rPr>
        <w:t>Impact on Flight Foods Ltd:</w:t>
      </w:r>
      <w:r w:rsidRPr="002B7806">
        <w:t xml:space="preserve"> Very high and directly linked to the case. The five cultural groups and age differences create language, generational, and emotional barriers; social trends toward work-life balance may increase turnover if not addressed.</w:t>
      </w:r>
    </w:p>
    <w:p w14:paraId="43436259" w14:textId="743B0A91" w:rsidR="002B7806" w:rsidRPr="002B7806" w:rsidRDefault="002B7806" w:rsidP="002B7806">
      <w:r w:rsidRPr="002B7806">
        <w:rPr>
          <w:b/>
          <w:bCs/>
        </w:rPr>
        <w:t>Strategic incorporation:</w:t>
      </w:r>
      <w:r w:rsidRPr="002B7806">
        <w:t xml:space="preserve"> Develop inclusive recruitment and onboarding programmes with peer mentoring (older/younger pairings) and culturally adapted materials. Use social insights to market “</w:t>
      </w:r>
      <w:r>
        <w:t>diverse-team-produced</w:t>
      </w:r>
      <w:r w:rsidRPr="002B7806">
        <w:t>” foods, boosting brand appeal and staff morale.</w:t>
      </w:r>
    </w:p>
    <w:p w14:paraId="0B20BCFD" w14:textId="77777777" w:rsidR="002B7806" w:rsidRPr="002B7806" w:rsidRDefault="002B7806" w:rsidP="002B7806">
      <w:pPr>
        <w:rPr>
          <w:b/>
          <w:bCs/>
        </w:rPr>
      </w:pPr>
      <w:r w:rsidRPr="002B7806">
        <w:rPr>
          <w:b/>
          <w:bCs/>
        </w:rPr>
        <w:t>4. Technological Factors</w:t>
      </w:r>
    </w:p>
    <w:p w14:paraId="01FEE26C" w14:textId="02B82459" w:rsidR="002B7806" w:rsidRPr="002B7806" w:rsidRDefault="002B7806" w:rsidP="002B7806">
      <w:r w:rsidRPr="002B7806">
        <w:t>Rapid advances in automation, AI, IoT, and smart factories are transforming food manufacturing. Trends include AI for quality control, predictive maintenance, robotics to reduce manual handling, and digital tools for training</w:t>
      </w:r>
      <w:r>
        <w:t xml:space="preserve"> </w:t>
      </w:r>
      <w:r w:rsidRPr="002B7806">
        <w:t>critical for 2026 priorities like labour cost reduction and efficiency.</w:t>
      </w:r>
    </w:p>
    <w:p w14:paraId="32E4A803" w14:textId="77777777" w:rsidR="002B7806" w:rsidRDefault="002B7806" w:rsidP="002B7806">
      <w:r w:rsidRPr="002B7806">
        <w:rPr>
          <w:b/>
          <w:bCs/>
        </w:rPr>
        <w:lastRenderedPageBreak/>
        <w:t>Opportunities:</w:t>
      </w:r>
      <w:r w:rsidRPr="002B7806">
        <w:t xml:space="preserve"> Adopt low-cost visual/AI tools (e.g., pictogram apps, noise-monitoring sensors, automated training videos) to overcome environmental noise and language barriers. </w:t>
      </w:r>
    </w:p>
    <w:p w14:paraId="2A40F8AA" w14:textId="1A2C5C7B" w:rsidR="002B7806" w:rsidRPr="002B7806" w:rsidRDefault="002B7806" w:rsidP="002B7806">
      <w:r w:rsidRPr="002B7806">
        <w:rPr>
          <w:b/>
          <w:bCs/>
        </w:rPr>
        <w:t>Threats:</w:t>
      </w:r>
      <w:r w:rsidRPr="002B7806">
        <w:t xml:space="preserve"> High upfront investment costs for a startup; risk of skills gaps if staff are not trained on new tech.</w:t>
      </w:r>
    </w:p>
    <w:p w14:paraId="19906AC7" w14:textId="77777777" w:rsidR="002B7806" w:rsidRPr="002B7806" w:rsidRDefault="002B7806" w:rsidP="002B7806">
      <w:r w:rsidRPr="002B7806">
        <w:rPr>
          <w:b/>
          <w:bCs/>
        </w:rPr>
        <w:t>Impact on Flight Foods Ltd:</w:t>
      </w:r>
      <w:r w:rsidRPr="002B7806">
        <w:t xml:space="preserve"> Transformative but currently under-utilised. Technology could directly mitigate the noisy factory floor (e.g., quieter automated lines) and multilingual communication issues, improving hygiene compliance and safety.</w:t>
      </w:r>
    </w:p>
    <w:p w14:paraId="545D16AE" w14:textId="77777777" w:rsidR="002B7806" w:rsidRPr="002B7806" w:rsidRDefault="002B7806" w:rsidP="002B7806">
      <w:r w:rsidRPr="002B7806">
        <w:rPr>
          <w:b/>
          <w:bCs/>
        </w:rPr>
        <w:t>Strategic incorporation:</w:t>
      </w:r>
      <w:r w:rsidRPr="002B7806">
        <w:t xml:space="preserve"> Phase in affordable automation (starting with visual aids and translation apps) and partner with agritech providers for pilot projects. Allocate budget for staff upskilling to ensure technology enhances rather than replaces the diverse workforce.</w:t>
      </w:r>
    </w:p>
    <w:p w14:paraId="123BE881" w14:textId="77777777" w:rsidR="002B7806" w:rsidRPr="002B7806" w:rsidRDefault="002B7806" w:rsidP="002B7806">
      <w:pPr>
        <w:rPr>
          <w:b/>
          <w:bCs/>
        </w:rPr>
      </w:pPr>
      <w:r w:rsidRPr="002B7806">
        <w:rPr>
          <w:b/>
          <w:bCs/>
        </w:rPr>
        <w:t>5. Environmental Factors</w:t>
      </w:r>
    </w:p>
    <w:p w14:paraId="1F5367CB" w14:textId="77777777" w:rsidR="002B7806" w:rsidRPr="002B7806" w:rsidRDefault="002B7806" w:rsidP="002B7806">
      <w:r w:rsidRPr="002B7806">
        <w:t>Climate change, net-zero targets (UK 2050 goal), and sustainability pressures dominate, including extreme weather affecting crops, packaging taxes, waste reduction, and regenerative agriculture. Food systems account for ~34% of UK GHG emissions, driving demands for lower-meat options and circular practices.</w:t>
      </w:r>
    </w:p>
    <w:p w14:paraId="5C7E976F" w14:textId="77777777" w:rsidR="002B7806" w:rsidRDefault="002B7806" w:rsidP="002B7806">
      <w:r w:rsidRPr="002B7806">
        <w:rPr>
          <w:b/>
          <w:bCs/>
        </w:rPr>
        <w:t>Opportunities:</w:t>
      </w:r>
      <w:r w:rsidRPr="002B7806">
        <w:t xml:space="preserve"> Differentiate through sustainable practices (e.g., reduced packaging, local sourcing) to appeal to eco-conscious consumers and access green grants. </w:t>
      </w:r>
    </w:p>
    <w:p w14:paraId="5DC1A2CC" w14:textId="40E99825" w:rsidR="002B7806" w:rsidRPr="002B7806" w:rsidRDefault="002B7806" w:rsidP="002B7806">
      <w:r w:rsidRPr="002B7806">
        <w:rPr>
          <w:b/>
          <w:bCs/>
        </w:rPr>
        <w:t>Threats:</w:t>
      </w:r>
      <w:r w:rsidRPr="002B7806">
        <w:t xml:space="preserve"> Rising costs from extreme weather (supply disruptions) and new regulations (e.g., EPR packaging fees from January 2026); failure to meet net-zero expectations risks reputational damage.</w:t>
      </w:r>
    </w:p>
    <w:p w14:paraId="688F53F5" w14:textId="77777777" w:rsidR="002B7806" w:rsidRPr="002B7806" w:rsidRDefault="002B7806" w:rsidP="002B7806">
      <w:r w:rsidRPr="002B7806">
        <w:rPr>
          <w:b/>
          <w:bCs/>
        </w:rPr>
        <w:t>Impact on Flight Foods Ltd:</w:t>
      </w:r>
      <w:r w:rsidRPr="002B7806">
        <w:t xml:space="preserve"> Growing. Environmental factors compound cultural/hygiene issues (e.g., water-saving practices clashing with different standards) and increase costs for a factory reliant on energy-intensive machines.</w:t>
      </w:r>
    </w:p>
    <w:p w14:paraId="5D94D4C4" w14:textId="77777777" w:rsidR="002B7806" w:rsidRPr="002B7806" w:rsidRDefault="002B7806" w:rsidP="002B7806">
      <w:r w:rsidRPr="002B7806">
        <w:rPr>
          <w:b/>
          <w:bCs/>
        </w:rPr>
        <w:t>Strategic incorporation:</w:t>
      </w:r>
      <w:r w:rsidRPr="002B7806">
        <w:t xml:space="preserve"> Integrate sustainability into operations via waste audits and employee-led “green teams” (using multilingual visuals). Track Scope 1–3 emissions and communicate progress internally to reduce emotional resistance and externally for marketing.</w:t>
      </w:r>
    </w:p>
    <w:p w14:paraId="31B33939" w14:textId="77777777" w:rsidR="002B7806" w:rsidRPr="002B7806" w:rsidRDefault="002B7806" w:rsidP="002B7806">
      <w:pPr>
        <w:rPr>
          <w:b/>
          <w:bCs/>
        </w:rPr>
      </w:pPr>
      <w:r w:rsidRPr="002B7806">
        <w:rPr>
          <w:b/>
          <w:bCs/>
        </w:rPr>
        <w:lastRenderedPageBreak/>
        <w:t>6. Legal Factors</w:t>
      </w:r>
    </w:p>
    <w:p w14:paraId="43A70743" w14:textId="77777777" w:rsidR="002B7806" w:rsidRPr="002B7806" w:rsidRDefault="002B7806" w:rsidP="002B7806">
      <w:r w:rsidRPr="002B7806">
        <w:t>Strict food safety, hygiene, labelling, and employment laws apply, with 2026 changes including HFSS advertising bans (January 2026), Extended Producer Responsibility (EPR) for packaging, folic acid fortification, precision-bred organism rules, and potential new national food regulation systems. Employment laws address diversity and discrimination.</w:t>
      </w:r>
    </w:p>
    <w:p w14:paraId="42811B7A" w14:textId="77777777" w:rsidR="002B7806" w:rsidRDefault="002B7806" w:rsidP="002B7806">
      <w:r w:rsidRPr="002B7806">
        <w:rPr>
          <w:b/>
          <w:bCs/>
        </w:rPr>
        <w:t>Opportunities:</w:t>
      </w:r>
      <w:r w:rsidRPr="002B7806">
        <w:t xml:space="preserve"> Compliance builds trust and enables premium positioning (e.g., “safely produced by diverse teams”). </w:t>
      </w:r>
    </w:p>
    <w:p w14:paraId="79CE8115" w14:textId="6D57205A" w:rsidR="002B7806" w:rsidRPr="002B7806" w:rsidRDefault="002B7806" w:rsidP="002B7806">
      <w:r w:rsidRPr="002B7806">
        <w:rPr>
          <w:b/>
          <w:bCs/>
        </w:rPr>
        <w:t>Threats:</w:t>
      </w:r>
      <w:r w:rsidRPr="002B7806">
        <w:t xml:space="preserve"> Fines for non-compliance (hygiene, packaging) and administrative burden on a small startup team; dynamic EU alignment could add costs.</w:t>
      </w:r>
    </w:p>
    <w:p w14:paraId="023B0A7A" w14:textId="77777777" w:rsidR="002B7806" w:rsidRPr="002B7806" w:rsidRDefault="002B7806" w:rsidP="002B7806">
      <w:r w:rsidRPr="002B7806">
        <w:rPr>
          <w:b/>
          <w:bCs/>
        </w:rPr>
        <w:t>Impact on Flight Foods Ltd:</w:t>
      </w:r>
      <w:r w:rsidRPr="002B7806">
        <w:t xml:space="preserve"> Immediate and high. Legal hygiene/uniform standards are already a flashpoint in the case (cultural barriers); new rules could overwhelm Gary’s English-only instructions and heighten emotional stress.</w:t>
      </w:r>
    </w:p>
    <w:p w14:paraId="2E0DA9F0" w14:textId="77777777" w:rsidR="002B7806" w:rsidRPr="002B7806" w:rsidRDefault="002B7806" w:rsidP="002B7806">
      <w:r w:rsidRPr="002B7806">
        <w:rPr>
          <w:b/>
          <w:bCs/>
        </w:rPr>
        <w:t>Strategic incorporation:</w:t>
      </w:r>
      <w:r w:rsidRPr="002B7806">
        <w:t xml:space="preserve"> Create a compliance calendar with visual training modules (addressing language/cultural gaps) and appoint a dedicated safety lead. Use legal updates to justify investments in quieter briefing areas and positive feedback systems.</w:t>
      </w:r>
    </w:p>
    <w:p w14:paraId="5D3D17D5" w14:textId="77777777" w:rsidR="002B7806" w:rsidRPr="002B7806" w:rsidRDefault="002B7806" w:rsidP="002B7806">
      <w:pPr>
        <w:rPr>
          <w:b/>
          <w:bCs/>
        </w:rPr>
      </w:pPr>
      <w:r w:rsidRPr="002B7806">
        <w:rPr>
          <w:b/>
          <w:bCs/>
        </w:rPr>
        <w:t>Overall Strategic Recommendations</w:t>
      </w:r>
    </w:p>
    <w:p w14:paraId="0BC82757" w14:textId="2D5CA86F" w:rsidR="002B7806" w:rsidRDefault="002B7806" w:rsidP="002B7806">
      <w:r w:rsidRPr="002B7806">
        <w:t>Flight Foods Ltd faces interconnected PESTEL pressures that amplify its internal communication barriers. By integrating these findings into a unified strategy</w:t>
      </w:r>
      <w:r>
        <w:t xml:space="preserve">, </w:t>
      </w:r>
      <w:r w:rsidRPr="002B7806">
        <w:t>e.g., a “Communication &amp; Resilience Plan” that combines tech investments (technological), inclusive training (social/legal), cost controls (economic), and sustainability audits (environmental/political)</w:t>
      </w:r>
      <w:r>
        <w:t xml:space="preserve">, </w:t>
      </w:r>
      <w:r w:rsidRPr="002B7806">
        <w:t>Gary can turn threats into competitive advantages. Short-term priorities: visual multilingual tools and energy audits. Long-term: automation partnerships and policy advocacy. Regular PESTEL reviews (quarterly) will ensure agility in a volatile 2026 landscape, supporting safer operations, higher retention, and profitable growth.</w:t>
      </w:r>
    </w:p>
    <w:p w14:paraId="5CB6DED0" w14:textId="77777777" w:rsidR="00A375BB" w:rsidRDefault="00A375BB" w:rsidP="002B7806"/>
    <w:p w14:paraId="7620D43F" w14:textId="77777777" w:rsidR="00A375BB" w:rsidRPr="002B7806" w:rsidRDefault="00A375BB" w:rsidP="002B7806"/>
    <w:p w14:paraId="1899E9BB" w14:textId="77777777" w:rsidR="002B7806" w:rsidRPr="002B7806" w:rsidRDefault="002B7806" w:rsidP="002B7806">
      <w:pPr>
        <w:rPr>
          <w:b/>
          <w:bCs/>
        </w:rPr>
      </w:pPr>
      <w:r w:rsidRPr="002B7806">
        <w:rPr>
          <w:b/>
          <w:bCs/>
        </w:rPr>
        <w:lastRenderedPageBreak/>
        <w:t>References</w:t>
      </w:r>
    </w:p>
    <w:p w14:paraId="63A87C74" w14:textId="77777777" w:rsidR="002B7806" w:rsidRPr="002B7806" w:rsidRDefault="002B7806" w:rsidP="002B7806">
      <w:r w:rsidRPr="002B7806">
        <w:t xml:space="preserve">Crowe UK (2026) </w:t>
      </w:r>
      <w:r w:rsidRPr="002B7806">
        <w:rPr>
          <w:i/>
          <w:iCs/>
        </w:rPr>
        <w:t>2026 Outlook for the Food and Beverage sector</w:t>
      </w:r>
      <w:r w:rsidRPr="002B7806">
        <w:t xml:space="preserve">. Available at: </w:t>
      </w:r>
      <w:hyperlink r:id="rId4" w:tgtFrame="_blank" w:history="1">
        <w:r w:rsidRPr="002B7806">
          <w:rPr>
            <w:rStyle w:val="Hyperlink"/>
          </w:rPr>
          <w:t>https://www.crowe.com/uk/insights/outlook-for-f-and-b</w:t>
        </w:r>
      </w:hyperlink>
      <w:r w:rsidRPr="002B7806">
        <w:t xml:space="preserve"> (Accessed: 25 March 2026).</w:t>
      </w:r>
    </w:p>
    <w:p w14:paraId="51BB5FF5" w14:textId="77777777" w:rsidR="002B7806" w:rsidRPr="002B7806" w:rsidRDefault="002B7806" w:rsidP="002B7806">
      <w:r w:rsidRPr="002B7806">
        <w:t xml:space="preserve">Food and Drink Federation (FDF) (2026) </w:t>
      </w:r>
      <w:r w:rsidRPr="002B7806">
        <w:rPr>
          <w:i/>
          <w:iCs/>
        </w:rPr>
        <w:t>Government urged to protect £42bn food manufacturing industry</w:t>
      </w:r>
      <w:r w:rsidRPr="002B7806">
        <w:t xml:space="preserve">. Available at: </w:t>
      </w:r>
      <w:hyperlink r:id="rId5" w:tgtFrame="_blank" w:history="1">
        <w:r w:rsidRPr="002B7806">
          <w:rPr>
            <w:rStyle w:val="Hyperlink"/>
          </w:rPr>
          <w:t>https://www.fdf.org.uk/fdf/news-media/press-releases/2026/</w:t>
        </w:r>
      </w:hyperlink>
      <w:r w:rsidRPr="002B7806">
        <w:t>... (Accessed: 25 March 2026).</w:t>
      </w:r>
    </w:p>
    <w:p w14:paraId="1C5D1079" w14:textId="77777777" w:rsidR="002B7806" w:rsidRPr="002B7806" w:rsidRDefault="002B7806" w:rsidP="002B7806">
      <w:r w:rsidRPr="002B7806">
        <w:t xml:space="preserve">IGD (2026) </w:t>
      </w:r>
      <w:r w:rsidRPr="002B7806">
        <w:rPr>
          <w:i/>
          <w:iCs/>
        </w:rPr>
        <w:t>UK labour market: Food industry impact</w:t>
      </w:r>
      <w:r w:rsidRPr="002B7806">
        <w:t xml:space="preserve">. Available at: </w:t>
      </w:r>
      <w:hyperlink r:id="rId6" w:tgtFrame="_blank" w:history="1">
        <w:r w:rsidRPr="002B7806">
          <w:rPr>
            <w:rStyle w:val="Hyperlink"/>
          </w:rPr>
          <w:t>https://www.igd.com/</w:t>
        </w:r>
      </w:hyperlink>
      <w:r w:rsidRPr="002B7806">
        <w:t>... (Accessed: 25 March 2026).</w:t>
      </w:r>
    </w:p>
    <w:p w14:paraId="394DBCF6" w14:textId="1DBA9145" w:rsidR="002B7806" w:rsidRPr="002B7806" w:rsidRDefault="002B7806" w:rsidP="002B7806">
      <w:r w:rsidRPr="002B7806">
        <w:t xml:space="preserve">Pestel Analysis UK (2025) </w:t>
      </w:r>
      <w:r w:rsidRPr="002B7806">
        <w:rPr>
          <w:i/>
          <w:iCs/>
        </w:rPr>
        <w:t xml:space="preserve">Pestel Analysis of </w:t>
      </w:r>
      <w:r>
        <w:rPr>
          <w:i/>
          <w:iCs/>
        </w:rPr>
        <w:t xml:space="preserve">the </w:t>
      </w:r>
      <w:r w:rsidRPr="002B7806">
        <w:rPr>
          <w:i/>
          <w:iCs/>
        </w:rPr>
        <w:t>Food Industry in the UK</w:t>
      </w:r>
      <w:r w:rsidRPr="002B7806">
        <w:t xml:space="preserve">. Available at: </w:t>
      </w:r>
      <w:hyperlink r:id="rId7" w:tgtFrame="_blank" w:history="1">
        <w:r w:rsidRPr="002B7806">
          <w:rPr>
            <w:rStyle w:val="Hyperlink"/>
          </w:rPr>
          <w:t>https://pestelanalysisuk.blog/pestel-analysis-of-food-industry-in-the-uk/</w:t>
        </w:r>
      </w:hyperlink>
      <w:r w:rsidRPr="002B7806">
        <w:t xml:space="preserve"> (Accessed: 25 March 2026).</w:t>
      </w:r>
    </w:p>
    <w:p w14:paraId="7656FC62" w14:textId="77777777" w:rsidR="002B7806" w:rsidRPr="002B7806" w:rsidRDefault="002B7806" w:rsidP="002B7806">
      <w:r w:rsidRPr="002B7806">
        <w:t xml:space="preserve">UK Government (2025) </w:t>
      </w:r>
      <w:r w:rsidRPr="002B7806">
        <w:rPr>
          <w:i/>
          <w:iCs/>
        </w:rPr>
        <w:t>United Kingdom Food Security Digest 2025</w:t>
      </w:r>
      <w:r w:rsidRPr="002B7806">
        <w:t xml:space="preserve">. Available at: </w:t>
      </w:r>
      <w:hyperlink r:id="rId8" w:tgtFrame="_blank" w:history="1">
        <w:r w:rsidRPr="002B7806">
          <w:rPr>
            <w:rStyle w:val="Hyperlink"/>
          </w:rPr>
          <w:t>https://www.gov.uk/government/statistics/</w:t>
        </w:r>
      </w:hyperlink>
      <w:r w:rsidRPr="002B7806">
        <w:t>... (Accessed: 25 March 2026).</w:t>
      </w:r>
    </w:p>
    <w:p w14:paraId="5E14668C" w14:textId="77777777" w:rsidR="00466869" w:rsidRPr="002B7806" w:rsidRDefault="00466869"/>
    <w:sectPr w:rsidR="00466869" w:rsidRPr="002B7806" w:rsidSect="004956B5">
      <w:pgSz w:w="11909" w:h="16834" w:code="9"/>
      <w:pgMar w:top="1440" w:right="1440" w:bottom="1440" w:left="216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806"/>
    <w:rsid w:val="00020CED"/>
    <w:rsid w:val="0022097D"/>
    <w:rsid w:val="002B7806"/>
    <w:rsid w:val="00315BC9"/>
    <w:rsid w:val="00360FD2"/>
    <w:rsid w:val="003724B3"/>
    <w:rsid w:val="00466869"/>
    <w:rsid w:val="004956B5"/>
    <w:rsid w:val="00783955"/>
    <w:rsid w:val="00905257"/>
    <w:rsid w:val="009165F5"/>
    <w:rsid w:val="00A375BB"/>
    <w:rsid w:val="00A607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6F767"/>
  <w15:chartTrackingRefBased/>
  <w15:docId w15:val="{D04ADFF7-6524-4C2E-9719-C00CB6CC3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ajorBidi"/>
        <w:kern w:val="2"/>
        <w:sz w:val="28"/>
        <w:szCs w:val="32"/>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15BC9"/>
    <w:pPr>
      <w:keepNext/>
      <w:keepLines/>
      <w:spacing w:before="360" w:after="80"/>
      <w:outlineLvl w:val="0"/>
    </w:pPr>
    <w:rPr>
      <w:rFonts w:eastAsiaTheme="majorEastAsia"/>
      <w:color w:val="000000" w:themeColor="text1"/>
      <w:szCs w:val="40"/>
    </w:rPr>
  </w:style>
  <w:style w:type="paragraph" w:styleId="Heading2">
    <w:name w:val="heading 2"/>
    <w:basedOn w:val="Normal"/>
    <w:next w:val="Normal"/>
    <w:link w:val="Heading2Char"/>
    <w:uiPriority w:val="9"/>
    <w:semiHidden/>
    <w:unhideWhenUsed/>
    <w:qFormat/>
    <w:rsid w:val="002B7806"/>
    <w:pPr>
      <w:keepNext/>
      <w:keepLines/>
      <w:spacing w:before="160" w:after="80"/>
      <w:outlineLvl w:val="1"/>
    </w:pPr>
    <w:rPr>
      <w:rFonts w:asciiTheme="majorHAnsi" w:eastAsiaTheme="majorEastAsia" w:hAnsiTheme="majorHAnsi"/>
      <w:color w:val="0F4761" w:themeColor="accent1" w:themeShade="BF"/>
      <w:sz w:val="32"/>
    </w:rPr>
  </w:style>
  <w:style w:type="paragraph" w:styleId="Heading3">
    <w:name w:val="heading 3"/>
    <w:basedOn w:val="Normal"/>
    <w:next w:val="Normal"/>
    <w:link w:val="Heading3Char"/>
    <w:uiPriority w:val="9"/>
    <w:semiHidden/>
    <w:unhideWhenUsed/>
    <w:qFormat/>
    <w:rsid w:val="002B7806"/>
    <w:pPr>
      <w:keepNext/>
      <w:keepLines/>
      <w:spacing w:before="160" w:after="80"/>
      <w:outlineLvl w:val="2"/>
    </w:pPr>
    <w:rPr>
      <w:rFonts w:asciiTheme="minorHAnsi" w:eastAsiaTheme="majorEastAsia" w:hAnsiTheme="minorHAnsi"/>
      <w:color w:val="0F4761" w:themeColor="accent1" w:themeShade="BF"/>
      <w:szCs w:val="28"/>
    </w:rPr>
  </w:style>
  <w:style w:type="paragraph" w:styleId="Heading4">
    <w:name w:val="heading 4"/>
    <w:basedOn w:val="Normal"/>
    <w:next w:val="Normal"/>
    <w:link w:val="Heading4Char"/>
    <w:uiPriority w:val="9"/>
    <w:semiHidden/>
    <w:unhideWhenUsed/>
    <w:qFormat/>
    <w:rsid w:val="002B7806"/>
    <w:pPr>
      <w:keepNext/>
      <w:keepLines/>
      <w:spacing w:before="80" w:after="40"/>
      <w:outlineLvl w:val="3"/>
    </w:pPr>
    <w:rPr>
      <w:rFonts w:asciiTheme="minorHAnsi" w:eastAsiaTheme="majorEastAsia" w:hAnsiTheme="minorHAnsi"/>
      <w:i/>
      <w:iCs/>
      <w:color w:val="0F4761" w:themeColor="accent1" w:themeShade="BF"/>
    </w:rPr>
  </w:style>
  <w:style w:type="paragraph" w:styleId="Heading5">
    <w:name w:val="heading 5"/>
    <w:basedOn w:val="Normal"/>
    <w:next w:val="Normal"/>
    <w:link w:val="Heading5Char"/>
    <w:uiPriority w:val="9"/>
    <w:semiHidden/>
    <w:unhideWhenUsed/>
    <w:qFormat/>
    <w:rsid w:val="002B7806"/>
    <w:pPr>
      <w:keepNext/>
      <w:keepLines/>
      <w:spacing w:before="80" w:after="40"/>
      <w:outlineLvl w:val="4"/>
    </w:pPr>
    <w:rPr>
      <w:rFonts w:asciiTheme="minorHAnsi" w:eastAsiaTheme="majorEastAsia" w:hAnsiTheme="minorHAnsi"/>
      <w:color w:val="0F4761" w:themeColor="accent1" w:themeShade="BF"/>
    </w:rPr>
  </w:style>
  <w:style w:type="paragraph" w:styleId="Heading6">
    <w:name w:val="heading 6"/>
    <w:basedOn w:val="Normal"/>
    <w:next w:val="Normal"/>
    <w:link w:val="Heading6Char"/>
    <w:uiPriority w:val="9"/>
    <w:semiHidden/>
    <w:unhideWhenUsed/>
    <w:qFormat/>
    <w:rsid w:val="002B7806"/>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2B7806"/>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2B7806"/>
    <w:pPr>
      <w:keepNext/>
      <w:keepLines/>
      <w:spacing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2B7806"/>
    <w:pPr>
      <w:keepNext/>
      <w:keepLines/>
      <w:spacing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BC9"/>
    <w:rPr>
      <w:rFonts w:eastAsiaTheme="majorEastAsia"/>
      <w:color w:val="000000" w:themeColor="text1"/>
      <w:szCs w:val="40"/>
    </w:rPr>
  </w:style>
  <w:style w:type="character" w:customStyle="1" w:styleId="Heading2Char">
    <w:name w:val="Heading 2 Char"/>
    <w:basedOn w:val="DefaultParagraphFont"/>
    <w:link w:val="Heading2"/>
    <w:uiPriority w:val="9"/>
    <w:semiHidden/>
    <w:rsid w:val="002B7806"/>
    <w:rPr>
      <w:rFonts w:asciiTheme="majorHAnsi" w:eastAsiaTheme="majorEastAsia" w:hAnsiTheme="majorHAnsi"/>
      <w:color w:val="0F4761" w:themeColor="accent1" w:themeShade="BF"/>
      <w:sz w:val="32"/>
      <w:lang w:val="en-GB"/>
    </w:rPr>
  </w:style>
  <w:style w:type="character" w:customStyle="1" w:styleId="Heading3Char">
    <w:name w:val="Heading 3 Char"/>
    <w:basedOn w:val="DefaultParagraphFont"/>
    <w:link w:val="Heading3"/>
    <w:uiPriority w:val="9"/>
    <w:semiHidden/>
    <w:rsid w:val="002B7806"/>
    <w:rPr>
      <w:rFonts w:asciiTheme="minorHAnsi" w:eastAsiaTheme="majorEastAsia" w:hAnsiTheme="minorHAnsi"/>
      <w:color w:val="0F4761" w:themeColor="accent1" w:themeShade="BF"/>
      <w:szCs w:val="28"/>
      <w:lang w:val="en-GB"/>
    </w:rPr>
  </w:style>
  <w:style w:type="character" w:customStyle="1" w:styleId="Heading4Char">
    <w:name w:val="Heading 4 Char"/>
    <w:basedOn w:val="DefaultParagraphFont"/>
    <w:link w:val="Heading4"/>
    <w:uiPriority w:val="9"/>
    <w:semiHidden/>
    <w:rsid w:val="002B7806"/>
    <w:rPr>
      <w:rFonts w:asciiTheme="minorHAnsi" w:eastAsiaTheme="majorEastAsia" w:hAnsiTheme="minorHAnsi"/>
      <w:i/>
      <w:iCs/>
      <w:color w:val="0F4761" w:themeColor="accent1" w:themeShade="BF"/>
      <w:lang w:val="en-GB"/>
    </w:rPr>
  </w:style>
  <w:style w:type="character" w:customStyle="1" w:styleId="Heading5Char">
    <w:name w:val="Heading 5 Char"/>
    <w:basedOn w:val="DefaultParagraphFont"/>
    <w:link w:val="Heading5"/>
    <w:uiPriority w:val="9"/>
    <w:semiHidden/>
    <w:rsid w:val="002B7806"/>
    <w:rPr>
      <w:rFonts w:asciiTheme="minorHAnsi" w:eastAsiaTheme="majorEastAsia" w:hAnsiTheme="minorHAnsi"/>
      <w:color w:val="0F4761" w:themeColor="accent1" w:themeShade="BF"/>
      <w:lang w:val="en-GB"/>
    </w:rPr>
  </w:style>
  <w:style w:type="character" w:customStyle="1" w:styleId="Heading6Char">
    <w:name w:val="Heading 6 Char"/>
    <w:basedOn w:val="DefaultParagraphFont"/>
    <w:link w:val="Heading6"/>
    <w:uiPriority w:val="9"/>
    <w:semiHidden/>
    <w:rsid w:val="002B7806"/>
    <w:rPr>
      <w:rFonts w:asciiTheme="minorHAnsi" w:eastAsiaTheme="majorEastAsia" w:hAnsiTheme="minorHAnsi"/>
      <w:i/>
      <w:iCs/>
      <w:color w:val="595959" w:themeColor="text1" w:themeTint="A6"/>
      <w:lang w:val="en-GB"/>
    </w:rPr>
  </w:style>
  <w:style w:type="character" w:customStyle="1" w:styleId="Heading7Char">
    <w:name w:val="Heading 7 Char"/>
    <w:basedOn w:val="DefaultParagraphFont"/>
    <w:link w:val="Heading7"/>
    <w:uiPriority w:val="9"/>
    <w:semiHidden/>
    <w:rsid w:val="002B7806"/>
    <w:rPr>
      <w:rFonts w:asciiTheme="minorHAnsi" w:eastAsiaTheme="majorEastAsia" w:hAnsiTheme="minorHAnsi"/>
      <w:color w:val="595959" w:themeColor="text1" w:themeTint="A6"/>
      <w:lang w:val="en-GB"/>
    </w:rPr>
  </w:style>
  <w:style w:type="character" w:customStyle="1" w:styleId="Heading8Char">
    <w:name w:val="Heading 8 Char"/>
    <w:basedOn w:val="DefaultParagraphFont"/>
    <w:link w:val="Heading8"/>
    <w:uiPriority w:val="9"/>
    <w:semiHidden/>
    <w:rsid w:val="002B7806"/>
    <w:rPr>
      <w:rFonts w:asciiTheme="minorHAnsi" w:eastAsiaTheme="majorEastAsia" w:hAnsiTheme="minorHAnsi"/>
      <w:i/>
      <w:iCs/>
      <w:color w:val="272727" w:themeColor="text1" w:themeTint="D8"/>
      <w:lang w:val="en-GB"/>
    </w:rPr>
  </w:style>
  <w:style w:type="character" w:customStyle="1" w:styleId="Heading9Char">
    <w:name w:val="Heading 9 Char"/>
    <w:basedOn w:val="DefaultParagraphFont"/>
    <w:link w:val="Heading9"/>
    <w:uiPriority w:val="9"/>
    <w:semiHidden/>
    <w:rsid w:val="002B7806"/>
    <w:rPr>
      <w:rFonts w:asciiTheme="minorHAnsi" w:eastAsiaTheme="majorEastAsia" w:hAnsiTheme="minorHAnsi"/>
      <w:color w:val="272727" w:themeColor="text1" w:themeTint="D8"/>
      <w:lang w:val="en-GB"/>
    </w:rPr>
  </w:style>
  <w:style w:type="paragraph" w:styleId="Title">
    <w:name w:val="Title"/>
    <w:basedOn w:val="Normal"/>
    <w:next w:val="Normal"/>
    <w:link w:val="TitleChar"/>
    <w:uiPriority w:val="10"/>
    <w:qFormat/>
    <w:rsid w:val="002B7806"/>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2B7806"/>
    <w:rPr>
      <w:rFonts w:asciiTheme="majorHAnsi" w:eastAsiaTheme="majorEastAsia" w:hAnsiTheme="majorHAnsi"/>
      <w:spacing w:val="-10"/>
      <w:kern w:val="28"/>
      <w:sz w:val="56"/>
      <w:szCs w:val="56"/>
      <w:lang w:val="en-GB"/>
    </w:rPr>
  </w:style>
  <w:style w:type="paragraph" w:styleId="Subtitle">
    <w:name w:val="Subtitle"/>
    <w:basedOn w:val="Normal"/>
    <w:next w:val="Normal"/>
    <w:link w:val="SubtitleChar"/>
    <w:uiPriority w:val="11"/>
    <w:qFormat/>
    <w:rsid w:val="002B7806"/>
    <w:pPr>
      <w:numPr>
        <w:ilvl w:val="1"/>
      </w:numPr>
    </w:pPr>
    <w:rPr>
      <w:rFonts w:asciiTheme="minorHAnsi" w:eastAsiaTheme="majorEastAsia" w:hAnsiTheme="minorHAnsi"/>
      <w:color w:val="595959" w:themeColor="text1" w:themeTint="A6"/>
      <w:spacing w:val="15"/>
      <w:szCs w:val="28"/>
    </w:rPr>
  </w:style>
  <w:style w:type="character" w:customStyle="1" w:styleId="SubtitleChar">
    <w:name w:val="Subtitle Char"/>
    <w:basedOn w:val="DefaultParagraphFont"/>
    <w:link w:val="Subtitle"/>
    <w:uiPriority w:val="11"/>
    <w:rsid w:val="002B7806"/>
    <w:rPr>
      <w:rFonts w:asciiTheme="minorHAnsi" w:eastAsiaTheme="majorEastAsia" w:hAnsiTheme="minorHAnsi"/>
      <w:color w:val="595959" w:themeColor="text1" w:themeTint="A6"/>
      <w:spacing w:val="15"/>
      <w:szCs w:val="28"/>
      <w:lang w:val="en-GB"/>
    </w:rPr>
  </w:style>
  <w:style w:type="paragraph" w:styleId="Quote">
    <w:name w:val="Quote"/>
    <w:basedOn w:val="Normal"/>
    <w:next w:val="Normal"/>
    <w:link w:val="QuoteChar"/>
    <w:uiPriority w:val="29"/>
    <w:qFormat/>
    <w:rsid w:val="002B7806"/>
    <w:pPr>
      <w:spacing w:before="160"/>
      <w:jc w:val="center"/>
    </w:pPr>
    <w:rPr>
      <w:i/>
      <w:iCs/>
      <w:color w:val="404040" w:themeColor="text1" w:themeTint="BF"/>
    </w:rPr>
  </w:style>
  <w:style w:type="character" w:customStyle="1" w:styleId="QuoteChar">
    <w:name w:val="Quote Char"/>
    <w:basedOn w:val="DefaultParagraphFont"/>
    <w:link w:val="Quote"/>
    <w:uiPriority w:val="29"/>
    <w:rsid w:val="002B7806"/>
    <w:rPr>
      <w:i/>
      <w:iCs/>
      <w:color w:val="404040" w:themeColor="text1" w:themeTint="BF"/>
      <w:lang w:val="en-GB"/>
    </w:rPr>
  </w:style>
  <w:style w:type="paragraph" w:styleId="ListParagraph">
    <w:name w:val="List Paragraph"/>
    <w:basedOn w:val="Normal"/>
    <w:uiPriority w:val="34"/>
    <w:qFormat/>
    <w:rsid w:val="002B7806"/>
    <w:pPr>
      <w:ind w:left="720"/>
      <w:contextualSpacing/>
    </w:pPr>
  </w:style>
  <w:style w:type="character" w:styleId="IntenseEmphasis">
    <w:name w:val="Intense Emphasis"/>
    <w:basedOn w:val="DefaultParagraphFont"/>
    <w:uiPriority w:val="21"/>
    <w:qFormat/>
    <w:rsid w:val="002B7806"/>
    <w:rPr>
      <w:i/>
      <w:iCs/>
      <w:color w:val="0F4761" w:themeColor="accent1" w:themeShade="BF"/>
    </w:rPr>
  </w:style>
  <w:style w:type="paragraph" w:styleId="IntenseQuote">
    <w:name w:val="Intense Quote"/>
    <w:basedOn w:val="Normal"/>
    <w:next w:val="Normal"/>
    <w:link w:val="IntenseQuoteChar"/>
    <w:uiPriority w:val="30"/>
    <w:qFormat/>
    <w:rsid w:val="002B7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806"/>
    <w:rPr>
      <w:i/>
      <w:iCs/>
      <w:color w:val="0F4761" w:themeColor="accent1" w:themeShade="BF"/>
      <w:lang w:val="en-GB"/>
    </w:rPr>
  </w:style>
  <w:style w:type="character" w:styleId="IntenseReference">
    <w:name w:val="Intense Reference"/>
    <w:basedOn w:val="DefaultParagraphFont"/>
    <w:uiPriority w:val="32"/>
    <w:qFormat/>
    <w:rsid w:val="002B7806"/>
    <w:rPr>
      <w:b/>
      <w:bCs/>
      <w:smallCaps/>
      <w:color w:val="0F4761" w:themeColor="accent1" w:themeShade="BF"/>
      <w:spacing w:val="5"/>
    </w:rPr>
  </w:style>
  <w:style w:type="character" w:styleId="Hyperlink">
    <w:name w:val="Hyperlink"/>
    <w:basedOn w:val="DefaultParagraphFont"/>
    <w:uiPriority w:val="99"/>
    <w:unhideWhenUsed/>
    <w:rsid w:val="002B7806"/>
    <w:rPr>
      <w:color w:val="467886" w:themeColor="hyperlink"/>
      <w:u w:val="single"/>
    </w:rPr>
  </w:style>
  <w:style w:type="character" w:styleId="UnresolvedMention">
    <w:name w:val="Unresolved Mention"/>
    <w:basedOn w:val="DefaultParagraphFont"/>
    <w:uiPriority w:val="99"/>
    <w:semiHidden/>
    <w:unhideWhenUsed/>
    <w:rsid w:val="002B78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 TargetMode="External"/><Relationship Id="rId3" Type="http://schemas.openxmlformats.org/officeDocument/2006/relationships/webSettings" Target="webSettings.xml"/><Relationship Id="rId7" Type="http://schemas.openxmlformats.org/officeDocument/2006/relationships/hyperlink" Target="https://pestelanalysisuk.blog/pestel-analysis-of-food-industry-in-the-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gd.com/" TargetMode="External"/><Relationship Id="rId5" Type="http://schemas.openxmlformats.org/officeDocument/2006/relationships/hyperlink" Target="https://www.fdf.org.uk/fdf/news-media/press-releases/2026/" TargetMode="External"/><Relationship Id="rId10" Type="http://schemas.openxmlformats.org/officeDocument/2006/relationships/theme" Target="theme/theme1.xml"/><Relationship Id="rId4" Type="http://schemas.openxmlformats.org/officeDocument/2006/relationships/hyperlink" Target="https://www.crowe.com/uk/insights/outlook-for-f-and-b"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1608</Words>
  <Characters>9167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foladayo olateju</dc:creator>
  <cp:keywords/>
  <dc:description/>
  <cp:lastModifiedBy>foladayo olateju</cp:lastModifiedBy>
  <cp:revision>3</cp:revision>
  <dcterms:created xsi:type="dcterms:W3CDTF">2026-03-25T06:53:00Z</dcterms:created>
  <dcterms:modified xsi:type="dcterms:W3CDTF">2026-03-25T07:08:00Z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4898a7be-011f-4f01-9be4-ec1a1c85ec6b</vt:lpwstr>
  </property>
</Properties>
</file>