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AD11D" w14:textId="77777777" w:rsidR="004144B4" w:rsidRDefault="004144B4" w:rsidP="004144B4">
      <w:pPr>
        <w:pStyle w:val="Normal1"/>
        <w:spacing w:line="360" w:lineRule="auto"/>
        <w:rPr>
          <w:b/>
          <w:sz w:val="24"/>
          <w:szCs w:val="24"/>
          <w:lang w:val="en-GB"/>
        </w:rPr>
      </w:pPr>
    </w:p>
    <w:p w14:paraId="456510D7" w14:textId="77777777" w:rsidR="004144B4" w:rsidRDefault="004144B4" w:rsidP="004144B4">
      <w:pPr>
        <w:tabs>
          <w:tab w:val="left" w:pos="2580"/>
        </w:tabs>
        <w:jc w:val="center"/>
        <w:rPr>
          <w:rFonts w:ascii="Arial" w:hAnsi="Arial" w:cs="Arial"/>
          <w:b/>
          <w:lang w:val="en-GB"/>
        </w:rPr>
      </w:pPr>
    </w:p>
    <w:p w14:paraId="5143D0A3" w14:textId="6224574F" w:rsidR="004144B4" w:rsidRDefault="004144B4" w:rsidP="004144B4">
      <w:pPr>
        <w:tabs>
          <w:tab w:val="left" w:pos="2580"/>
        </w:tabs>
        <w:jc w:val="center"/>
        <w:rPr>
          <w:rFonts w:ascii="Arial" w:hAnsi="Arial" w:cs="Arial"/>
          <w:b/>
          <w:lang w:val="en-GB"/>
        </w:rPr>
      </w:pPr>
    </w:p>
    <w:p w14:paraId="273654C2" w14:textId="6A5E4EE5" w:rsidR="005F6FEC" w:rsidRDefault="005F6FEC" w:rsidP="004144B4">
      <w:pPr>
        <w:tabs>
          <w:tab w:val="left" w:pos="2580"/>
        </w:tabs>
        <w:jc w:val="center"/>
        <w:rPr>
          <w:rFonts w:ascii="Arial" w:hAnsi="Arial" w:cs="Arial"/>
          <w:b/>
          <w:lang w:val="en-GB"/>
        </w:rPr>
      </w:pPr>
    </w:p>
    <w:p w14:paraId="3F059EC7" w14:textId="77777777" w:rsidR="005F6FEC" w:rsidRDefault="005F6FEC" w:rsidP="004144B4">
      <w:pPr>
        <w:tabs>
          <w:tab w:val="left" w:pos="2580"/>
        </w:tabs>
        <w:jc w:val="center"/>
        <w:rPr>
          <w:rFonts w:ascii="Arial" w:hAnsi="Arial" w:cs="Arial"/>
          <w:b/>
          <w:lang w:val="en-GB"/>
        </w:rPr>
      </w:pPr>
    </w:p>
    <w:p w14:paraId="676BB92F" w14:textId="77777777" w:rsidR="0009423A" w:rsidRPr="00823484" w:rsidRDefault="0009423A" w:rsidP="0009423A">
      <w:pPr>
        <w:rPr>
          <w:rFonts w:ascii="Arial" w:hAnsi="Arial" w:cs="Arial"/>
          <w:b/>
          <w:bCs/>
        </w:rPr>
      </w:pPr>
      <w:r w:rsidRPr="00823484">
        <w:rPr>
          <w:rFonts w:ascii="Arial" w:hAnsi="Arial" w:cs="Arial"/>
          <w:b/>
          <w:bCs/>
        </w:rPr>
        <w:t>STUDENT NAME: DRAGOS NICOLAE BUCATARU</w:t>
      </w:r>
    </w:p>
    <w:p w14:paraId="2AAC32A4" w14:textId="77777777" w:rsidR="0009423A" w:rsidRPr="00823484" w:rsidRDefault="0009423A" w:rsidP="0009423A">
      <w:pPr>
        <w:rPr>
          <w:rFonts w:ascii="Arial" w:hAnsi="Arial" w:cs="Arial"/>
          <w:b/>
          <w:bCs/>
        </w:rPr>
      </w:pPr>
      <w:r w:rsidRPr="00823484">
        <w:rPr>
          <w:rFonts w:ascii="Arial" w:hAnsi="Arial" w:cs="Arial"/>
          <w:b/>
          <w:bCs/>
        </w:rPr>
        <w:t>STUDENT NUMBER:1919242</w:t>
      </w:r>
    </w:p>
    <w:p w14:paraId="2B1F8D01" w14:textId="45E734CC" w:rsidR="0009423A" w:rsidRPr="00823484" w:rsidRDefault="0009423A" w:rsidP="0009423A">
      <w:pPr>
        <w:rPr>
          <w:rFonts w:ascii="Arial" w:hAnsi="Arial" w:cs="Arial"/>
          <w:b/>
          <w:bCs/>
        </w:rPr>
      </w:pPr>
      <w:r w:rsidRPr="00823484">
        <w:rPr>
          <w:rFonts w:ascii="Arial" w:hAnsi="Arial" w:cs="Arial"/>
          <w:b/>
          <w:bCs/>
        </w:rPr>
        <w:t xml:space="preserve">MODULE TITLE: </w:t>
      </w:r>
      <w:r>
        <w:rPr>
          <w:rFonts w:ascii="Arial" w:hAnsi="Arial" w:cs="Arial"/>
          <w:b/>
          <w:bCs/>
        </w:rPr>
        <w:t>MANAGING PEOPLE</w:t>
      </w:r>
    </w:p>
    <w:p w14:paraId="74712784" w14:textId="77777777" w:rsidR="0009423A" w:rsidRPr="00823484" w:rsidRDefault="0009423A" w:rsidP="0009423A">
      <w:pPr>
        <w:rPr>
          <w:rFonts w:ascii="Arial" w:hAnsi="Arial" w:cs="Arial"/>
          <w:b/>
          <w:bCs/>
        </w:rPr>
      </w:pPr>
      <w:r w:rsidRPr="00823484">
        <w:rPr>
          <w:rFonts w:ascii="Arial" w:hAnsi="Arial" w:cs="Arial"/>
          <w:b/>
          <w:bCs/>
        </w:rPr>
        <w:t>ASSESSMENT TYPE: ASSIGNMENT</w:t>
      </w:r>
      <w:r>
        <w:rPr>
          <w:rFonts w:ascii="Arial" w:hAnsi="Arial" w:cs="Arial"/>
          <w:b/>
          <w:bCs/>
        </w:rPr>
        <w:t xml:space="preserve"> 2</w:t>
      </w:r>
    </w:p>
    <w:p w14:paraId="3405F016" w14:textId="173C825F" w:rsidR="0009423A" w:rsidRDefault="0009423A" w:rsidP="0009423A">
      <w:pPr>
        <w:rPr>
          <w:rFonts w:ascii="Arial" w:hAnsi="Arial" w:cs="Arial"/>
          <w:b/>
          <w:bCs/>
        </w:rPr>
      </w:pPr>
      <w:r w:rsidRPr="00823484">
        <w:rPr>
          <w:rFonts w:ascii="Arial" w:hAnsi="Arial" w:cs="Arial"/>
          <w:b/>
          <w:bCs/>
        </w:rPr>
        <w:t xml:space="preserve">LECTURER </w:t>
      </w:r>
      <w:r>
        <w:rPr>
          <w:rFonts w:ascii="Arial" w:hAnsi="Arial" w:cs="Arial"/>
          <w:b/>
          <w:bCs/>
        </w:rPr>
        <w:t>NAME</w:t>
      </w:r>
      <w:r w:rsidRPr="00823484">
        <w:rPr>
          <w:rFonts w:ascii="Arial" w:hAnsi="Arial" w:cs="Arial"/>
          <w:b/>
          <w:bCs/>
        </w:rPr>
        <w:t>:</w:t>
      </w:r>
      <w:r>
        <w:rPr>
          <w:rFonts w:ascii="Arial" w:hAnsi="Arial" w:cs="Arial"/>
          <w:b/>
          <w:bCs/>
        </w:rPr>
        <w:t xml:space="preserve"> </w:t>
      </w:r>
      <w:r w:rsidR="009308D3">
        <w:rPr>
          <w:rFonts w:ascii="Arial" w:hAnsi="Arial" w:cs="Arial"/>
          <w:b/>
          <w:bCs/>
        </w:rPr>
        <w:t>ZAINAB ATTA</w:t>
      </w:r>
    </w:p>
    <w:p w14:paraId="31A7D076" w14:textId="77777777" w:rsidR="004144B4" w:rsidRDefault="004144B4" w:rsidP="0009423A">
      <w:pPr>
        <w:tabs>
          <w:tab w:val="left" w:pos="2580"/>
        </w:tabs>
        <w:jc w:val="left"/>
        <w:rPr>
          <w:rFonts w:ascii="Arial" w:hAnsi="Arial" w:cs="Arial"/>
          <w:b/>
          <w:lang w:val="en-GB"/>
        </w:rPr>
      </w:pPr>
    </w:p>
    <w:p w14:paraId="0DF51124" w14:textId="77777777" w:rsidR="004144B4" w:rsidRDefault="004144B4" w:rsidP="004144B4">
      <w:pPr>
        <w:tabs>
          <w:tab w:val="left" w:pos="2580"/>
        </w:tabs>
        <w:jc w:val="center"/>
        <w:rPr>
          <w:rFonts w:ascii="Arial" w:hAnsi="Arial" w:cs="Arial"/>
          <w:b/>
          <w:lang w:val="en-GB"/>
        </w:rPr>
      </w:pPr>
    </w:p>
    <w:p w14:paraId="0D9F567E" w14:textId="77777777" w:rsidR="004144B4" w:rsidRDefault="004144B4" w:rsidP="004144B4">
      <w:pPr>
        <w:tabs>
          <w:tab w:val="left" w:pos="2580"/>
        </w:tabs>
        <w:jc w:val="center"/>
        <w:rPr>
          <w:rFonts w:ascii="Arial" w:hAnsi="Arial" w:cs="Arial"/>
          <w:b/>
          <w:lang w:val="en-GB"/>
        </w:rPr>
      </w:pPr>
    </w:p>
    <w:p w14:paraId="34C5CD08" w14:textId="77777777" w:rsidR="004144B4" w:rsidRDefault="004144B4" w:rsidP="004144B4">
      <w:pPr>
        <w:tabs>
          <w:tab w:val="left" w:pos="2580"/>
        </w:tabs>
        <w:jc w:val="center"/>
        <w:rPr>
          <w:rFonts w:ascii="Arial" w:hAnsi="Arial" w:cs="Arial"/>
          <w:b/>
          <w:lang w:val="en-GB"/>
        </w:rPr>
      </w:pPr>
    </w:p>
    <w:p w14:paraId="35D8EB22" w14:textId="77777777" w:rsidR="004144B4" w:rsidRDefault="004144B4" w:rsidP="004144B4">
      <w:pPr>
        <w:rPr>
          <w:rFonts w:ascii="Arial" w:hAnsi="Arial" w:cs="Arial"/>
          <w:b/>
          <w:lang w:val="en-GB"/>
        </w:rPr>
      </w:pPr>
      <w:r>
        <w:rPr>
          <w:rFonts w:ascii="Arial" w:hAnsi="Arial" w:cs="Arial"/>
          <w:b/>
          <w:lang w:val="en-GB"/>
        </w:rPr>
        <w:br w:type="page"/>
      </w:r>
      <w:r>
        <w:rPr>
          <w:rFonts w:ascii="Arial" w:hAnsi="Arial" w:cs="Arial"/>
          <w:b/>
          <w:lang w:val="en-GB"/>
        </w:rPr>
        <w:lastRenderedPageBreak/>
        <w:t xml:space="preserve"> </w:t>
      </w:r>
    </w:p>
    <w:p w14:paraId="5DC14606" w14:textId="70FD91BC" w:rsidR="004144B4" w:rsidRPr="005F6FEC" w:rsidRDefault="004144B4" w:rsidP="004144B4">
      <w:pPr>
        <w:pStyle w:val="Normal1"/>
        <w:spacing w:line="360" w:lineRule="auto"/>
        <w:jc w:val="center"/>
        <w:rPr>
          <w:b/>
          <w:sz w:val="32"/>
          <w:szCs w:val="32"/>
          <w:lang w:val="en-GB"/>
        </w:rPr>
      </w:pPr>
      <w:r w:rsidRPr="005F6FEC">
        <w:rPr>
          <w:b/>
          <w:sz w:val="32"/>
          <w:szCs w:val="32"/>
          <w:lang w:val="en-GB"/>
        </w:rPr>
        <w:t xml:space="preserve">Executive summary </w:t>
      </w:r>
    </w:p>
    <w:p w14:paraId="4ACCC053" w14:textId="77777777" w:rsidR="005F6FEC" w:rsidRDefault="005F6FEC" w:rsidP="004144B4">
      <w:pPr>
        <w:pStyle w:val="Normal1"/>
        <w:spacing w:line="360" w:lineRule="auto"/>
        <w:jc w:val="center"/>
        <w:rPr>
          <w:b/>
          <w:sz w:val="28"/>
          <w:szCs w:val="28"/>
          <w:lang w:val="en-GB"/>
        </w:rPr>
      </w:pPr>
    </w:p>
    <w:p w14:paraId="5AA849BE" w14:textId="77777777" w:rsidR="004144B4" w:rsidRDefault="004144B4" w:rsidP="004144B4">
      <w:pPr>
        <w:pStyle w:val="Normal1"/>
        <w:spacing w:line="360" w:lineRule="auto"/>
        <w:jc w:val="both"/>
        <w:rPr>
          <w:sz w:val="24"/>
          <w:szCs w:val="24"/>
          <w:lang w:val="en-GB"/>
        </w:rPr>
      </w:pPr>
      <w:r>
        <w:rPr>
          <w:sz w:val="24"/>
          <w:szCs w:val="24"/>
          <w:lang w:val="en-GB"/>
        </w:rPr>
        <w:t xml:space="preserve">         Employee engagement is considered as the working approach that helps the employees in terms of creating a supportive environment. The study illustrated different perspectives of employee engagement and illustrated the theory of employee engagement. In addition to that, the research paper also illustrated the different tools of employee engagement </w:t>
      </w:r>
      <w:proofErr w:type="gramStart"/>
      <w:r>
        <w:rPr>
          <w:sz w:val="24"/>
          <w:szCs w:val="24"/>
          <w:lang w:val="en-GB"/>
        </w:rPr>
        <w:t>and also</w:t>
      </w:r>
      <w:proofErr w:type="gramEnd"/>
      <w:r>
        <w:rPr>
          <w:sz w:val="24"/>
          <w:szCs w:val="24"/>
          <w:lang w:val="en-GB"/>
        </w:rPr>
        <w:t xml:space="preserve"> emphasized the internal and external factors of the business organization that impact the managerial decisions of the business. </w:t>
      </w:r>
    </w:p>
    <w:p w14:paraId="0521D7A4" w14:textId="77777777" w:rsidR="004144B4" w:rsidRDefault="004144B4" w:rsidP="004144B4">
      <w:pPr>
        <w:pStyle w:val="Normal1"/>
        <w:spacing w:line="360" w:lineRule="auto"/>
        <w:jc w:val="both"/>
        <w:rPr>
          <w:sz w:val="24"/>
          <w:szCs w:val="24"/>
          <w:lang w:val="en-GB"/>
        </w:rPr>
      </w:pPr>
      <w:r>
        <w:rPr>
          <w:sz w:val="24"/>
          <w:szCs w:val="24"/>
          <w:lang w:val="en-GB"/>
        </w:rPr>
        <w:t xml:space="preserve">      Along with that, the research paper also focused on the various strategies of employee engagement and the strategies that organizations follow in their performance activities. Based on the above discussion, the study also offered a structured conclusion. </w:t>
      </w:r>
    </w:p>
    <w:p w14:paraId="7E5A6B57" w14:textId="77777777" w:rsidR="004144B4" w:rsidRDefault="004144B4" w:rsidP="004144B4">
      <w:pPr>
        <w:pStyle w:val="Normal1"/>
        <w:spacing w:line="360" w:lineRule="auto"/>
        <w:jc w:val="both"/>
        <w:rPr>
          <w:sz w:val="24"/>
          <w:szCs w:val="24"/>
          <w:lang w:val="en-GB"/>
        </w:rPr>
      </w:pPr>
    </w:p>
    <w:p w14:paraId="6DD4F4B8" w14:textId="77777777" w:rsidR="004144B4" w:rsidRDefault="004144B4" w:rsidP="004144B4">
      <w:pPr>
        <w:pStyle w:val="Normal1"/>
        <w:spacing w:line="360" w:lineRule="auto"/>
        <w:rPr>
          <w:b/>
          <w:sz w:val="24"/>
          <w:szCs w:val="24"/>
          <w:lang w:val="en-GB"/>
        </w:rPr>
      </w:pPr>
      <w:r>
        <w:rPr>
          <w:lang w:val="en-GB"/>
        </w:rPr>
        <w:br w:type="page"/>
      </w:r>
    </w:p>
    <w:p w14:paraId="1DBD2A76" w14:textId="77777777" w:rsidR="004144B4" w:rsidRDefault="004144B4" w:rsidP="004144B4">
      <w:pPr>
        <w:rPr>
          <w:rFonts w:ascii="Arial" w:hAnsi="Arial" w:cs="Arial"/>
          <w:b/>
          <w:lang w:val="en-GB"/>
        </w:rPr>
      </w:pPr>
    </w:p>
    <w:sdt>
      <w:sdtPr>
        <w:rPr>
          <w:rFonts w:ascii="Arial" w:eastAsia="Arial" w:hAnsi="Arial" w:cs="Arial"/>
          <w:b w:val="0"/>
          <w:bCs w:val="0"/>
          <w:color w:val="auto"/>
          <w:sz w:val="24"/>
          <w:szCs w:val="24"/>
          <w:lang w:val="en-GB" w:eastAsia="en-IN"/>
        </w:rPr>
        <w:id w:val="8259127"/>
        <w:docPartObj>
          <w:docPartGallery w:val="Table of Contents"/>
          <w:docPartUnique/>
        </w:docPartObj>
      </w:sdtPr>
      <w:sdtContent>
        <w:p w14:paraId="7D12AED4" w14:textId="77777777" w:rsidR="004144B4" w:rsidRDefault="004144B4" w:rsidP="004144B4">
          <w:pPr>
            <w:pStyle w:val="TOCHeading"/>
            <w:jc w:val="center"/>
            <w:rPr>
              <w:rFonts w:ascii="Arial" w:hAnsi="Arial" w:cs="Arial"/>
              <w:color w:val="auto"/>
              <w:sz w:val="24"/>
              <w:szCs w:val="24"/>
              <w:lang w:val="en-GB"/>
            </w:rPr>
          </w:pPr>
          <w:r>
            <w:rPr>
              <w:rFonts w:ascii="Arial" w:hAnsi="Arial" w:cs="Arial"/>
              <w:color w:val="auto"/>
              <w:sz w:val="24"/>
              <w:szCs w:val="24"/>
              <w:lang w:val="en-GB"/>
            </w:rPr>
            <w:t>Table of Contents</w:t>
          </w:r>
        </w:p>
        <w:p w14:paraId="50CA0389" w14:textId="11955C1D" w:rsidR="004144B4" w:rsidRDefault="004144B4" w:rsidP="004144B4">
          <w:pPr>
            <w:pStyle w:val="TOC1"/>
            <w:tabs>
              <w:tab w:val="right" w:leader="dot" w:pos="9019"/>
            </w:tabs>
            <w:spacing w:line="360" w:lineRule="auto"/>
            <w:rPr>
              <w:noProof/>
              <w:sz w:val="24"/>
              <w:szCs w:val="24"/>
              <w:lang w:val="en-GB"/>
            </w:rPr>
          </w:pPr>
          <w:r>
            <w:rPr>
              <w:sz w:val="24"/>
              <w:szCs w:val="24"/>
              <w:lang w:val="en-GB"/>
            </w:rPr>
            <w:fldChar w:fldCharType="begin"/>
          </w:r>
          <w:r>
            <w:rPr>
              <w:sz w:val="24"/>
              <w:szCs w:val="24"/>
              <w:lang w:val="en-GB"/>
            </w:rPr>
            <w:instrText xml:space="preserve"> TOC \o "1-3" \h \z \u </w:instrText>
          </w:r>
          <w:r>
            <w:rPr>
              <w:sz w:val="24"/>
              <w:szCs w:val="24"/>
              <w:lang w:val="en-GB"/>
            </w:rPr>
            <w:fldChar w:fldCharType="separate"/>
          </w:r>
          <w:hyperlink r:id="rId6" w:anchor="_Toc90739997" w:history="1">
            <w:r>
              <w:rPr>
                <w:rStyle w:val="Hyperlink"/>
                <w:noProof/>
                <w:sz w:val="24"/>
                <w:szCs w:val="24"/>
                <w:lang w:val="en-GB"/>
              </w:rPr>
              <w:t>Introduction</w:t>
            </w:r>
            <w:r>
              <w:rPr>
                <w:rStyle w:val="Hyperlink"/>
                <w:noProof/>
                <w:webHidden/>
                <w:sz w:val="24"/>
                <w:szCs w:val="24"/>
                <w:lang w:val="en-GB"/>
              </w:rPr>
              <w:tab/>
            </w:r>
            <w:r w:rsidR="007073E6">
              <w:rPr>
                <w:rStyle w:val="Hyperlink"/>
                <w:noProof/>
                <w:webHidden/>
                <w:sz w:val="24"/>
                <w:szCs w:val="24"/>
                <w:lang w:val="en-GB"/>
              </w:rPr>
              <w:t>4</w:t>
            </w:r>
          </w:hyperlink>
        </w:p>
        <w:p w14:paraId="70F676CF" w14:textId="32DB32DC" w:rsidR="004144B4" w:rsidRDefault="004144B4" w:rsidP="004144B4">
          <w:pPr>
            <w:pStyle w:val="TOC1"/>
            <w:tabs>
              <w:tab w:val="right" w:leader="dot" w:pos="9019"/>
            </w:tabs>
            <w:spacing w:line="360" w:lineRule="auto"/>
            <w:rPr>
              <w:noProof/>
              <w:sz w:val="24"/>
              <w:szCs w:val="24"/>
              <w:lang w:val="en-GB"/>
            </w:rPr>
          </w:pPr>
          <w:hyperlink r:id="rId7" w:anchor="_Toc90739998" w:history="1">
            <w:r>
              <w:rPr>
                <w:rStyle w:val="Hyperlink"/>
                <w:noProof/>
                <w:sz w:val="24"/>
                <w:szCs w:val="24"/>
                <w:lang w:val="en-GB"/>
              </w:rPr>
              <w:t>Concepts and drivers of employees engagement</w:t>
            </w:r>
            <w:r>
              <w:rPr>
                <w:rStyle w:val="Hyperlink"/>
                <w:noProof/>
                <w:webHidden/>
                <w:sz w:val="24"/>
                <w:szCs w:val="24"/>
                <w:lang w:val="en-GB"/>
              </w:rPr>
              <w:tab/>
            </w:r>
            <w:r w:rsidR="007073E6">
              <w:rPr>
                <w:rStyle w:val="Hyperlink"/>
                <w:noProof/>
                <w:webHidden/>
                <w:sz w:val="24"/>
                <w:szCs w:val="24"/>
                <w:lang w:val="en-GB"/>
              </w:rPr>
              <w:t>4</w:t>
            </w:r>
          </w:hyperlink>
        </w:p>
        <w:p w14:paraId="3A38CD73" w14:textId="58E76D5B" w:rsidR="004144B4" w:rsidRDefault="004144B4" w:rsidP="004144B4">
          <w:pPr>
            <w:pStyle w:val="TOC1"/>
            <w:tabs>
              <w:tab w:val="right" w:leader="dot" w:pos="9019"/>
            </w:tabs>
            <w:spacing w:line="360" w:lineRule="auto"/>
            <w:rPr>
              <w:noProof/>
              <w:sz w:val="24"/>
              <w:szCs w:val="24"/>
              <w:lang w:val="en-GB"/>
            </w:rPr>
          </w:pPr>
          <w:hyperlink r:id="rId8" w:anchor="_Toc90739999" w:history="1">
            <w:r>
              <w:rPr>
                <w:rStyle w:val="Hyperlink"/>
                <w:noProof/>
                <w:sz w:val="24"/>
                <w:szCs w:val="24"/>
                <w:lang w:val="en-GB"/>
              </w:rPr>
              <w:t>Kahn’s employee engagement theory</w:t>
            </w:r>
            <w:r>
              <w:rPr>
                <w:rStyle w:val="Hyperlink"/>
                <w:noProof/>
                <w:webHidden/>
                <w:sz w:val="24"/>
                <w:szCs w:val="24"/>
                <w:lang w:val="en-GB"/>
              </w:rPr>
              <w:tab/>
            </w:r>
            <w:r w:rsidR="007073E6">
              <w:rPr>
                <w:rStyle w:val="Hyperlink"/>
                <w:noProof/>
                <w:webHidden/>
                <w:sz w:val="24"/>
                <w:szCs w:val="24"/>
                <w:lang w:val="en-GB"/>
              </w:rPr>
              <w:t>5</w:t>
            </w:r>
          </w:hyperlink>
        </w:p>
        <w:p w14:paraId="302E7E22" w14:textId="5DC2F178" w:rsidR="004144B4" w:rsidRDefault="004144B4" w:rsidP="004144B4">
          <w:pPr>
            <w:pStyle w:val="TOC1"/>
            <w:tabs>
              <w:tab w:val="right" w:leader="dot" w:pos="9019"/>
            </w:tabs>
            <w:spacing w:line="360" w:lineRule="auto"/>
            <w:rPr>
              <w:noProof/>
              <w:sz w:val="24"/>
              <w:szCs w:val="24"/>
              <w:lang w:val="en-GB"/>
            </w:rPr>
          </w:pPr>
          <w:hyperlink r:id="rId9" w:anchor="_Toc90740000" w:history="1">
            <w:r>
              <w:rPr>
                <w:rStyle w:val="Hyperlink"/>
                <w:noProof/>
                <w:sz w:val="24"/>
                <w:szCs w:val="24"/>
                <w:lang w:val="en-GB"/>
              </w:rPr>
              <w:t>Evaluate diagnostic tools to measure the engagement</w:t>
            </w:r>
            <w:r>
              <w:rPr>
                <w:rStyle w:val="Hyperlink"/>
                <w:noProof/>
                <w:webHidden/>
                <w:sz w:val="24"/>
                <w:szCs w:val="24"/>
                <w:lang w:val="en-GB"/>
              </w:rPr>
              <w:tab/>
            </w:r>
            <w:r w:rsidR="007073E6">
              <w:rPr>
                <w:rStyle w:val="Hyperlink"/>
                <w:noProof/>
                <w:webHidden/>
                <w:sz w:val="24"/>
                <w:szCs w:val="24"/>
                <w:lang w:val="en-GB"/>
              </w:rPr>
              <w:t>6</w:t>
            </w:r>
          </w:hyperlink>
        </w:p>
        <w:p w14:paraId="02A9B187" w14:textId="61F0CDBC" w:rsidR="004144B4" w:rsidRDefault="004144B4" w:rsidP="004144B4">
          <w:pPr>
            <w:pStyle w:val="TOC1"/>
            <w:tabs>
              <w:tab w:val="right" w:leader="dot" w:pos="9019"/>
            </w:tabs>
            <w:spacing w:line="360" w:lineRule="auto"/>
            <w:rPr>
              <w:noProof/>
              <w:sz w:val="24"/>
              <w:szCs w:val="24"/>
              <w:lang w:val="en-GB"/>
            </w:rPr>
          </w:pPr>
          <w:hyperlink r:id="rId10" w:anchor="_Toc90740001" w:history="1">
            <w:r>
              <w:rPr>
                <w:rStyle w:val="Hyperlink"/>
                <w:noProof/>
                <w:sz w:val="24"/>
                <w:szCs w:val="24"/>
                <w:lang w:val="en-GB"/>
              </w:rPr>
              <w:t>How the management of the business organization is influenced by internal and external factors</w:t>
            </w:r>
            <w:r>
              <w:rPr>
                <w:rStyle w:val="Hyperlink"/>
                <w:noProof/>
                <w:webHidden/>
                <w:sz w:val="24"/>
                <w:szCs w:val="24"/>
                <w:lang w:val="en-GB"/>
              </w:rPr>
              <w:tab/>
            </w:r>
            <w:r w:rsidR="007073E6">
              <w:rPr>
                <w:rStyle w:val="Hyperlink"/>
                <w:noProof/>
                <w:webHidden/>
                <w:sz w:val="24"/>
                <w:szCs w:val="24"/>
                <w:lang w:val="en-GB"/>
              </w:rPr>
              <w:t>7</w:t>
            </w:r>
          </w:hyperlink>
        </w:p>
        <w:p w14:paraId="430C2CFC" w14:textId="2FC2DF52" w:rsidR="004144B4" w:rsidRDefault="004144B4" w:rsidP="004144B4">
          <w:pPr>
            <w:pStyle w:val="TOC1"/>
            <w:tabs>
              <w:tab w:val="right" w:leader="dot" w:pos="9019"/>
            </w:tabs>
            <w:spacing w:line="360" w:lineRule="auto"/>
            <w:rPr>
              <w:noProof/>
              <w:sz w:val="24"/>
              <w:szCs w:val="24"/>
              <w:lang w:val="en-GB"/>
            </w:rPr>
          </w:pPr>
          <w:hyperlink r:id="rId11" w:anchor="_Toc90740002" w:history="1">
            <w:r>
              <w:rPr>
                <w:rStyle w:val="Hyperlink"/>
                <w:noProof/>
                <w:sz w:val="24"/>
                <w:szCs w:val="24"/>
                <w:lang w:val="en-GB"/>
              </w:rPr>
              <w:t>The value proposition of employees from the above section</w:t>
            </w:r>
            <w:r>
              <w:rPr>
                <w:rStyle w:val="Hyperlink"/>
                <w:noProof/>
                <w:webHidden/>
                <w:sz w:val="24"/>
                <w:szCs w:val="24"/>
                <w:lang w:val="en-GB"/>
              </w:rPr>
              <w:tab/>
            </w:r>
            <w:r w:rsidR="007073E6">
              <w:rPr>
                <w:rStyle w:val="Hyperlink"/>
                <w:noProof/>
                <w:webHidden/>
                <w:sz w:val="24"/>
                <w:szCs w:val="24"/>
                <w:lang w:val="en-GB"/>
              </w:rPr>
              <w:t>8</w:t>
            </w:r>
          </w:hyperlink>
        </w:p>
        <w:p w14:paraId="45268814" w14:textId="42E10F46" w:rsidR="004144B4" w:rsidRDefault="004144B4" w:rsidP="004144B4">
          <w:pPr>
            <w:pStyle w:val="TOC1"/>
            <w:tabs>
              <w:tab w:val="right" w:leader="dot" w:pos="9019"/>
            </w:tabs>
            <w:spacing w:line="360" w:lineRule="auto"/>
            <w:rPr>
              <w:noProof/>
              <w:sz w:val="24"/>
              <w:szCs w:val="24"/>
              <w:lang w:val="en-GB"/>
            </w:rPr>
          </w:pPr>
          <w:hyperlink r:id="rId12" w:anchor="_Toc90740003" w:history="1">
            <w:r>
              <w:rPr>
                <w:rStyle w:val="Hyperlink"/>
                <w:noProof/>
                <w:sz w:val="24"/>
                <w:szCs w:val="24"/>
                <w:lang w:val="en-GB"/>
              </w:rPr>
              <w:t>Strategies to raise the level of employee’s engagement</w:t>
            </w:r>
            <w:r>
              <w:rPr>
                <w:rStyle w:val="Hyperlink"/>
                <w:noProof/>
                <w:webHidden/>
                <w:sz w:val="24"/>
                <w:szCs w:val="24"/>
                <w:lang w:val="en-GB"/>
              </w:rPr>
              <w:tab/>
            </w:r>
            <w:r w:rsidR="007073E6">
              <w:rPr>
                <w:rStyle w:val="Hyperlink"/>
                <w:noProof/>
                <w:webHidden/>
                <w:sz w:val="24"/>
                <w:szCs w:val="24"/>
                <w:lang w:val="en-GB"/>
              </w:rPr>
              <w:t>9</w:t>
            </w:r>
          </w:hyperlink>
        </w:p>
        <w:p w14:paraId="723F5183" w14:textId="25D43DC5" w:rsidR="004144B4" w:rsidRDefault="004144B4" w:rsidP="004144B4">
          <w:pPr>
            <w:pStyle w:val="TOC1"/>
            <w:tabs>
              <w:tab w:val="right" w:leader="dot" w:pos="9019"/>
            </w:tabs>
            <w:spacing w:line="360" w:lineRule="auto"/>
            <w:rPr>
              <w:noProof/>
              <w:sz w:val="24"/>
              <w:szCs w:val="24"/>
              <w:lang w:val="en-GB"/>
            </w:rPr>
          </w:pPr>
          <w:hyperlink r:id="rId13" w:anchor="_Toc90740004" w:history="1">
            <w:r>
              <w:rPr>
                <w:rStyle w:val="Hyperlink"/>
                <w:noProof/>
                <w:sz w:val="24"/>
                <w:szCs w:val="24"/>
                <w:lang w:val="en-GB"/>
              </w:rPr>
              <w:t>Conclusion</w:t>
            </w:r>
            <w:r>
              <w:rPr>
                <w:rStyle w:val="Hyperlink"/>
                <w:noProof/>
                <w:webHidden/>
                <w:sz w:val="24"/>
                <w:szCs w:val="24"/>
                <w:lang w:val="en-GB"/>
              </w:rPr>
              <w:tab/>
            </w:r>
            <w:r w:rsidR="007073E6">
              <w:rPr>
                <w:rStyle w:val="Hyperlink"/>
                <w:noProof/>
                <w:webHidden/>
                <w:sz w:val="24"/>
                <w:szCs w:val="24"/>
                <w:lang w:val="en-GB"/>
              </w:rPr>
              <w:t>10</w:t>
            </w:r>
          </w:hyperlink>
        </w:p>
        <w:p w14:paraId="0226FE2A" w14:textId="7D8A0010" w:rsidR="004144B4" w:rsidRDefault="004144B4" w:rsidP="004144B4">
          <w:pPr>
            <w:pStyle w:val="TOC1"/>
            <w:tabs>
              <w:tab w:val="right" w:leader="dot" w:pos="9019"/>
            </w:tabs>
            <w:spacing w:line="360" w:lineRule="auto"/>
            <w:rPr>
              <w:noProof/>
              <w:sz w:val="24"/>
              <w:szCs w:val="24"/>
              <w:lang w:val="en-GB"/>
            </w:rPr>
          </w:pPr>
          <w:hyperlink r:id="rId14" w:anchor="_Toc90740005" w:history="1">
            <w:r>
              <w:rPr>
                <w:rStyle w:val="Hyperlink"/>
                <w:noProof/>
                <w:sz w:val="24"/>
                <w:szCs w:val="24"/>
                <w:lang w:val="en-GB"/>
              </w:rPr>
              <w:t>References</w:t>
            </w:r>
            <w:r>
              <w:rPr>
                <w:rStyle w:val="Hyperlink"/>
                <w:noProof/>
                <w:webHidden/>
                <w:sz w:val="24"/>
                <w:szCs w:val="24"/>
                <w:lang w:val="en-GB"/>
              </w:rPr>
              <w:tab/>
            </w:r>
            <w:r w:rsidR="007073E6">
              <w:rPr>
                <w:rStyle w:val="Hyperlink"/>
                <w:noProof/>
                <w:webHidden/>
                <w:sz w:val="24"/>
                <w:szCs w:val="24"/>
                <w:lang w:val="en-GB"/>
              </w:rPr>
              <w:t>11</w:t>
            </w:r>
          </w:hyperlink>
        </w:p>
        <w:p w14:paraId="2CF13034" w14:textId="77777777" w:rsidR="004144B4" w:rsidRDefault="004144B4" w:rsidP="004144B4">
          <w:pPr>
            <w:rPr>
              <w:rFonts w:ascii="Arial" w:hAnsi="Arial" w:cs="Arial"/>
              <w:lang w:val="en-GB"/>
            </w:rPr>
          </w:pPr>
          <w:r>
            <w:rPr>
              <w:rFonts w:ascii="Arial" w:hAnsi="Arial" w:cs="Arial"/>
              <w:lang w:val="en-GB"/>
            </w:rPr>
            <w:fldChar w:fldCharType="end"/>
          </w:r>
        </w:p>
      </w:sdtContent>
    </w:sdt>
    <w:p w14:paraId="3BD31568" w14:textId="77777777" w:rsidR="004144B4" w:rsidRDefault="004144B4" w:rsidP="004144B4">
      <w:pPr>
        <w:rPr>
          <w:rFonts w:ascii="Arial" w:hAnsi="Arial" w:cs="Arial"/>
          <w:b/>
          <w:lang w:val="en-GB"/>
        </w:rPr>
      </w:pPr>
    </w:p>
    <w:p w14:paraId="2BE91172" w14:textId="77777777" w:rsidR="004144B4" w:rsidRDefault="004144B4" w:rsidP="004144B4">
      <w:pPr>
        <w:rPr>
          <w:rFonts w:ascii="Arial" w:hAnsi="Arial" w:cs="Arial"/>
          <w:b/>
          <w:lang w:val="en-GB"/>
        </w:rPr>
      </w:pPr>
      <w:r>
        <w:rPr>
          <w:rFonts w:ascii="Arial" w:hAnsi="Arial" w:cs="Arial"/>
          <w:lang w:val="en-GB"/>
        </w:rPr>
        <w:br w:type="page"/>
      </w:r>
      <w:bookmarkStart w:id="0" w:name="_Toc90739997"/>
    </w:p>
    <w:p w14:paraId="274F1403" w14:textId="37810B74" w:rsidR="004144B4" w:rsidRDefault="004144B4" w:rsidP="004144B4">
      <w:pPr>
        <w:pStyle w:val="Heading1"/>
        <w:rPr>
          <w:rFonts w:ascii="Arial" w:eastAsia="Calibri" w:hAnsi="Arial" w:cs="Arial"/>
          <w:szCs w:val="24"/>
          <w:lang w:val="en-GB"/>
        </w:rPr>
      </w:pPr>
      <w:r>
        <w:rPr>
          <w:rFonts w:ascii="Arial" w:eastAsia="Calibri" w:hAnsi="Arial" w:cs="Arial"/>
          <w:szCs w:val="24"/>
          <w:lang w:val="en-GB"/>
        </w:rPr>
        <w:lastRenderedPageBreak/>
        <w:t>Introduction</w:t>
      </w:r>
      <w:bookmarkEnd w:id="0"/>
    </w:p>
    <w:p w14:paraId="6CA132BC" w14:textId="77777777" w:rsidR="004144B4" w:rsidRPr="004144B4" w:rsidRDefault="004144B4" w:rsidP="004144B4">
      <w:pPr>
        <w:rPr>
          <w:lang w:val="en-GB"/>
        </w:rPr>
      </w:pPr>
    </w:p>
    <w:p w14:paraId="1FBF8983" w14:textId="77777777" w:rsidR="004144B4" w:rsidRDefault="004144B4" w:rsidP="004144B4">
      <w:pPr>
        <w:pStyle w:val="Normal1"/>
        <w:spacing w:line="360" w:lineRule="auto"/>
        <w:jc w:val="both"/>
        <w:rPr>
          <w:sz w:val="24"/>
          <w:szCs w:val="24"/>
          <w:lang w:val="en-GB"/>
        </w:rPr>
      </w:pPr>
      <w:r>
        <w:rPr>
          <w:sz w:val="24"/>
          <w:szCs w:val="24"/>
          <w:lang w:val="en-GB"/>
        </w:rPr>
        <w:t xml:space="preserve">           Employee engagement is considered as the fundamental perspective of Human Resource Management that illustrates the total level of dedication and enthusiasm towards their activity. At the same time, employee engagement is considered as the emotional and mental connection that workers do share with their job. Within the workplace settings, an engaged employee is conscious about the activities and the overall performance level of the organization and as per the belief of engaged employees, their contribution could make a major difference to the organization.         </w:t>
      </w:r>
    </w:p>
    <w:p w14:paraId="120B38F0" w14:textId="5FC021BC" w:rsidR="004144B4" w:rsidRDefault="004144B4" w:rsidP="004144B4">
      <w:pPr>
        <w:pStyle w:val="Normal1"/>
        <w:spacing w:line="360" w:lineRule="auto"/>
        <w:jc w:val="both"/>
        <w:rPr>
          <w:sz w:val="24"/>
          <w:szCs w:val="24"/>
          <w:lang w:val="en-GB"/>
        </w:rPr>
      </w:pPr>
      <w:r>
        <w:rPr>
          <w:sz w:val="24"/>
          <w:szCs w:val="24"/>
          <w:lang w:val="en-GB"/>
        </w:rPr>
        <w:t xml:space="preserve">         However, in this study, the different tools and drivers of the employee engagement model are being discussed and the study also includes the external and internal factors that can influence the managerial perspective of the business entity. In addition to that, the study also focuses on the different strategies that most organizations implement in terms of increasing the coverall level of employee engagement. </w:t>
      </w:r>
    </w:p>
    <w:p w14:paraId="68DB1351" w14:textId="77777777" w:rsidR="004144B4" w:rsidRDefault="004144B4" w:rsidP="004144B4">
      <w:pPr>
        <w:pStyle w:val="Normal1"/>
        <w:spacing w:line="360" w:lineRule="auto"/>
        <w:jc w:val="both"/>
        <w:rPr>
          <w:sz w:val="24"/>
          <w:szCs w:val="24"/>
          <w:lang w:val="en-GB"/>
        </w:rPr>
      </w:pPr>
    </w:p>
    <w:p w14:paraId="53941A91" w14:textId="797ABF00" w:rsidR="004144B4" w:rsidRDefault="004144B4" w:rsidP="004144B4">
      <w:pPr>
        <w:pStyle w:val="Heading1"/>
        <w:rPr>
          <w:rFonts w:ascii="Arial" w:eastAsia="Calibri" w:hAnsi="Arial" w:cs="Arial"/>
          <w:szCs w:val="24"/>
          <w:lang w:val="en-GB"/>
        </w:rPr>
      </w:pPr>
      <w:bookmarkStart w:id="1" w:name="_Toc90739998"/>
      <w:r>
        <w:rPr>
          <w:rFonts w:ascii="Arial" w:eastAsia="Calibri" w:hAnsi="Arial" w:cs="Arial"/>
          <w:szCs w:val="24"/>
          <w:lang w:val="en-GB"/>
        </w:rPr>
        <w:t xml:space="preserve">Concepts and drivers of </w:t>
      </w:r>
      <w:proofErr w:type="gramStart"/>
      <w:r>
        <w:rPr>
          <w:rFonts w:ascii="Arial" w:eastAsia="Calibri" w:hAnsi="Arial" w:cs="Arial"/>
          <w:szCs w:val="24"/>
          <w:lang w:val="en-GB"/>
        </w:rPr>
        <w:t>employees</w:t>
      </w:r>
      <w:proofErr w:type="gramEnd"/>
      <w:r>
        <w:rPr>
          <w:rFonts w:ascii="Arial" w:eastAsia="Calibri" w:hAnsi="Arial" w:cs="Arial"/>
          <w:szCs w:val="24"/>
          <w:lang w:val="en-GB"/>
        </w:rPr>
        <w:t xml:space="preserve"> engagement</w:t>
      </w:r>
      <w:bookmarkEnd w:id="1"/>
      <w:r>
        <w:rPr>
          <w:rFonts w:ascii="Arial" w:eastAsia="Calibri" w:hAnsi="Arial" w:cs="Arial"/>
          <w:szCs w:val="24"/>
          <w:lang w:val="en-GB"/>
        </w:rPr>
        <w:t xml:space="preserve"> </w:t>
      </w:r>
    </w:p>
    <w:p w14:paraId="74FE6D9D" w14:textId="77777777" w:rsidR="004144B4" w:rsidRPr="004144B4" w:rsidRDefault="004144B4" w:rsidP="004144B4">
      <w:pPr>
        <w:rPr>
          <w:lang w:val="en-GB"/>
        </w:rPr>
      </w:pPr>
    </w:p>
    <w:p w14:paraId="73CBFC2C" w14:textId="77777777" w:rsidR="004144B4" w:rsidRDefault="004144B4" w:rsidP="004144B4">
      <w:pPr>
        <w:pStyle w:val="Normal1"/>
        <w:spacing w:line="360" w:lineRule="auto"/>
        <w:jc w:val="both"/>
        <w:rPr>
          <w:sz w:val="24"/>
          <w:szCs w:val="24"/>
          <w:lang w:val="en-GB"/>
        </w:rPr>
      </w:pPr>
      <w:r>
        <w:rPr>
          <w:sz w:val="24"/>
          <w:szCs w:val="24"/>
          <w:lang w:val="en-GB"/>
        </w:rPr>
        <w:t xml:space="preserve">       In general means, an engaged employee is highly aware of the organizational context and operates with their subordinates </w:t>
      </w:r>
      <w:proofErr w:type="gramStart"/>
      <w:r>
        <w:rPr>
          <w:sz w:val="24"/>
          <w:szCs w:val="24"/>
          <w:lang w:val="en-GB"/>
        </w:rPr>
        <w:t>in order to</w:t>
      </w:r>
      <w:proofErr w:type="gramEnd"/>
      <w:r>
        <w:rPr>
          <w:sz w:val="24"/>
          <w:szCs w:val="24"/>
          <w:lang w:val="en-GB"/>
        </w:rPr>
        <w:t xml:space="preserve"> improve the performance level within the job activity for the business benefit of the organization. As per the perspective of </w:t>
      </w:r>
      <w:proofErr w:type="spellStart"/>
      <w:r>
        <w:rPr>
          <w:sz w:val="24"/>
          <w:szCs w:val="24"/>
          <w:lang w:val="en-GB"/>
        </w:rPr>
        <w:t>Giacom</w:t>
      </w:r>
      <w:proofErr w:type="spellEnd"/>
      <w:r>
        <w:rPr>
          <w:sz w:val="24"/>
          <w:szCs w:val="24"/>
          <w:lang w:val="en-GB"/>
        </w:rPr>
        <w:t xml:space="preserve">, </w:t>
      </w:r>
      <w:proofErr w:type="gramStart"/>
      <w:r>
        <w:rPr>
          <w:sz w:val="24"/>
          <w:szCs w:val="24"/>
          <w:lang w:val="en-GB"/>
        </w:rPr>
        <w:t>in order to</w:t>
      </w:r>
      <w:proofErr w:type="gramEnd"/>
      <w:r>
        <w:rPr>
          <w:sz w:val="24"/>
          <w:szCs w:val="24"/>
          <w:lang w:val="en-GB"/>
        </w:rPr>
        <w:t xml:space="preserve"> increase the overall level of employee engagement, the organization establishes “</w:t>
      </w:r>
      <w:r>
        <w:rPr>
          <w:b/>
          <w:sz w:val="24"/>
          <w:szCs w:val="24"/>
          <w:lang w:val="en-GB"/>
        </w:rPr>
        <w:t>flexible operating options”</w:t>
      </w:r>
      <w:r>
        <w:rPr>
          <w:sz w:val="24"/>
          <w:szCs w:val="24"/>
          <w:lang w:val="en-GB"/>
        </w:rPr>
        <w:t xml:space="preserve"> for their workers during the covid (</w:t>
      </w:r>
      <w:r>
        <w:rPr>
          <w:color w:val="222222"/>
          <w:sz w:val="24"/>
          <w:szCs w:val="24"/>
          <w:highlight w:val="white"/>
          <w:lang w:val="en-GB"/>
        </w:rPr>
        <w:t>Osborne and Hammoud, 2017, p. 4)</w:t>
      </w:r>
      <w:r>
        <w:rPr>
          <w:sz w:val="24"/>
          <w:szCs w:val="24"/>
          <w:lang w:val="en-GB"/>
        </w:rPr>
        <w:t xml:space="preserve">. In addition to that, the organization also implements remote working options during the pandemic </w:t>
      </w:r>
      <w:proofErr w:type="gramStart"/>
      <w:r>
        <w:rPr>
          <w:sz w:val="24"/>
          <w:szCs w:val="24"/>
          <w:lang w:val="en-GB"/>
        </w:rPr>
        <w:t>in order to</w:t>
      </w:r>
      <w:proofErr w:type="gramEnd"/>
      <w:r>
        <w:rPr>
          <w:sz w:val="24"/>
          <w:szCs w:val="24"/>
          <w:lang w:val="en-GB"/>
        </w:rPr>
        <w:t xml:space="preserve"> decrease the dissatisfaction level and extreme stress amongst the workers. At the same time, the UK-based cloud provider also creates a people-oriented environment that offers enough opportunities to the workers related to self-development and designs the activities in such a way that could boost employee morale. In addition to that, the organization also conducts some social events and office-based virtual games that are completely handled by the management team in terms of increasing the employee engagement level and strengthening connectivity. </w:t>
      </w:r>
    </w:p>
    <w:p w14:paraId="73961978" w14:textId="79DF8D8E" w:rsidR="004144B4" w:rsidRDefault="004144B4" w:rsidP="004144B4">
      <w:pPr>
        <w:pStyle w:val="Heading1"/>
        <w:rPr>
          <w:rFonts w:ascii="Arial" w:eastAsia="Calibri" w:hAnsi="Arial" w:cs="Arial"/>
          <w:szCs w:val="24"/>
          <w:lang w:val="en-GB"/>
        </w:rPr>
      </w:pPr>
      <w:bookmarkStart w:id="2" w:name="_Toc90739999"/>
      <w:r>
        <w:rPr>
          <w:rFonts w:ascii="Arial" w:eastAsia="Calibri" w:hAnsi="Arial" w:cs="Arial"/>
          <w:szCs w:val="24"/>
          <w:lang w:val="en-GB"/>
        </w:rPr>
        <w:lastRenderedPageBreak/>
        <w:t>Kahn’s employee engagement theory</w:t>
      </w:r>
      <w:bookmarkEnd w:id="2"/>
      <w:r>
        <w:rPr>
          <w:rFonts w:ascii="Arial" w:eastAsia="Calibri" w:hAnsi="Arial" w:cs="Arial"/>
          <w:szCs w:val="24"/>
          <w:lang w:val="en-GB"/>
        </w:rPr>
        <w:t xml:space="preserve"> </w:t>
      </w:r>
    </w:p>
    <w:p w14:paraId="104679F9" w14:textId="77777777" w:rsidR="004144B4" w:rsidRPr="004144B4" w:rsidRDefault="004144B4" w:rsidP="004144B4">
      <w:pPr>
        <w:rPr>
          <w:lang w:val="en-GB"/>
        </w:rPr>
      </w:pPr>
    </w:p>
    <w:p w14:paraId="605C099A" w14:textId="2EA89F32" w:rsidR="004144B4" w:rsidRDefault="004144B4" w:rsidP="004144B4">
      <w:pPr>
        <w:pStyle w:val="Normal1"/>
        <w:spacing w:line="360" w:lineRule="auto"/>
        <w:jc w:val="both"/>
        <w:rPr>
          <w:sz w:val="24"/>
          <w:szCs w:val="24"/>
          <w:lang w:val="en-GB"/>
        </w:rPr>
      </w:pPr>
      <w:r>
        <w:rPr>
          <w:sz w:val="24"/>
          <w:szCs w:val="24"/>
          <w:lang w:val="en-GB"/>
        </w:rPr>
        <w:t xml:space="preserve">           </w:t>
      </w:r>
      <w:r>
        <w:rPr>
          <w:sz w:val="24"/>
          <w:szCs w:val="24"/>
          <w:lang w:val="en-GB"/>
        </w:rPr>
        <w:t xml:space="preserve">The entire perspective of employee engagement theories is considered as the bedrock of all employee engagement strategies. The employee engagement theory influences the overall approach of the internal communication and human resource and most importantly the engaging drivers the create an engaged circumstance within the workplace settings. Kahn’s engagement theory is one of the theoretical concepts that majorly focuses on the three concepts as cognitive, physical, and emotional engagement. As per the opinion of Kahn, within the workplace settings, an employee considers him as “flying around” and the ability to increase physical engagement is mostly linked with the confidence level of the workers. As per the perspective of </w:t>
      </w:r>
      <w:proofErr w:type="spellStart"/>
      <w:r>
        <w:rPr>
          <w:sz w:val="24"/>
          <w:szCs w:val="24"/>
          <w:lang w:val="en-GB"/>
        </w:rPr>
        <w:t>Giacom</w:t>
      </w:r>
      <w:proofErr w:type="spellEnd"/>
      <w:r>
        <w:rPr>
          <w:sz w:val="24"/>
          <w:szCs w:val="24"/>
          <w:lang w:val="en-GB"/>
        </w:rPr>
        <w:t xml:space="preserve">, the organization could focus on those specific performance activities where the existing workforce could increase their overall confidence level. </w:t>
      </w:r>
    </w:p>
    <w:p w14:paraId="45E94045" w14:textId="572A2701" w:rsidR="004144B4" w:rsidRDefault="004144B4" w:rsidP="004144B4">
      <w:pPr>
        <w:pStyle w:val="Normal1"/>
        <w:spacing w:line="360" w:lineRule="auto"/>
        <w:jc w:val="both"/>
        <w:rPr>
          <w:sz w:val="24"/>
          <w:szCs w:val="24"/>
          <w:lang w:val="en-GB"/>
        </w:rPr>
      </w:pPr>
      <w:r>
        <w:rPr>
          <w:sz w:val="24"/>
          <w:szCs w:val="24"/>
          <w:lang w:val="en-GB"/>
        </w:rPr>
        <w:t xml:space="preserve">         </w:t>
      </w:r>
      <w:r>
        <w:rPr>
          <w:sz w:val="24"/>
          <w:szCs w:val="24"/>
          <w:lang w:val="en-GB"/>
        </w:rPr>
        <w:t xml:space="preserve">On the other hand, as per the basis of the cognitive engagement, the employees need to have a detailed idea regarding the organization’s vision and mission, and a high level of knowledge-based operational environment could increase the engagement level through focusing more on confidence decision making and creativity. As per the perspective of </w:t>
      </w:r>
      <w:proofErr w:type="spellStart"/>
      <w:r>
        <w:rPr>
          <w:sz w:val="24"/>
          <w:szCs w:val="24"/>
          <w:lang w:val="en-GB"/>
        </w:rPr>
        <w:t>Giacom</w:t>
      </w:r>
      <w:proofErr w:type="spellEnd"/>
      <w:r>
        <w:rPr>
          <w:sz w:val="24"/>
          <w:szCs w:val="24"/>
          <w:lang w:val="en-GB"/>
        </w:rPr>
        <w:t xml:space="preserve">, the workplace settings need to be very </w:t>
      </w:r>
      <w:r>
        <w:rPr>
          <w:sz w:val="24"/>
          <w:szCs w:val="24"/>
          <w:lang w:val="en-GB"/>
        </w:rPr>
        <w:t>innovative,</w:t>
      </w:r>
      <w:r>
        <w:rPr>
          <w:sz w:val="24"/>
          <w:szCs w:val="24"/>
          <w:lang w:val="en-GB"/>
        </w:rPr>
        <w:t xml:space="preserve"> and the organization needs to offer a high level of opportunities </w:t>
      </w:r>
      <w:proofErr w:type="spellStart"/>
      <w:r>
        <w:rPr>
          <w:sz w:val="24"/>
          <w:szCs w:val="24"/>
          <w:lang w:val="en-GB"/>
        </w:rPr>
        <w:t>o</w:t>
      </w:r>
      <w:proofErr w:type="spellEnd"/>
      <w:r>
        <w:rPr>
          <w:sz w:val="24"/>
          <w:szCs w:val="24"/>
          <w:lang w:val="en-GB"/>
        </w:rPr>
        <w:t xml:space="preserve"> their workers in terms of gathering knowledge </w:t>
      </w:r>
      <w:proofErr w:type="gramStart"/>
      <w:r>
        <w:rPr>
          <w:sz w:val="24"/>
          <w:szCs w:val="24"/>
          <w:lang w:val="en-GB"/>
        </w:rPr>
        <w:t>in order to</w:t>
      </w:r>
      <w:proofErr w:type="gramEnd"/>
      <w:r>
        <w:rPr>
          <w:sz w:val="24"/>
          <w:szCs w:val="24"/>
          <w:lang w:val="en-GB"/>
        </w:rPr>
        <w:t xml:space="preserve"> get an engaged workforce. As per the perspective of emotional engagement, </w:t>
      </w:r>
      <w:proofErr w:type="spellStart"/>
      <w:r>
        <w:rPr>
          <w:sz w:val="24"/>
          <w:szCs w:val="24"/>
          <w:lang w:val="en-GB"/>
        </w:rPr>
        <w:t>favorable</w:t>
      </w:r>
      <w:proofErr w:type="spellEnd"/>
      <w:r>
        <w:rPr>
          <w:sz w:val="24"/>
          <w:szCs w:val="24"/>
          <w:lang w:val="en-GB"/>
        </w:rPr>
        <w:t xml:space="preserve"> interpersonal relations, effective management policies, and practices are some of the key components of emotional engagement. As per the perspective of </w:t>
      </w:r>
      <w:proofErr w:type="spellStart"/>
      <w:r>
        <w:rPr>
          <w:sz w:val="24"/>
          <w:szCs w:val="24"/>
          <w:lang w:val="en-GB"/>
        </w:rPr>
        <w:t>Giacom</w:t>
      </w:r>
      <w:proofErr w:type="spellEnd"/>
      <w:r>
        <w:rPr>
          <w:sz w:val="24"/>
          <w:szCs w:val="24"/>
          <w:lang w:val="en-GB"/>
        </w:rPr>
        <w:t xml:space="preserve">, the organization also focuses on creating an environment that offers enough scope to the employees in terms of upgrading their performance abilities. </w:t>
      </w:r>
    </w:p>
    <w:p w14:paraId="6CB3E864" w14:textId="4CA3CBDA" w:rsidR="004144B4" w:rsidRDefault="004144B4" w:rsidP="004144B4">
      <w:pPr>
        <w:pStyle w:val="Normal1"/>
        <w:spacing w:line="360" w:lineRule="auto"/>
        <w:jc w:val="both"/>
        <w:rPr>
          <w:sz w:val="24"/>
          <w:szCs w:val="24"/>
          <w:lang w:val="en-GB"/>
        </w:rPr>
      </w:pPr>
      <w:r>
        <w:rPr>
          <w:sz w:val="24"/>
          <w:szCs w:val="24"/>
          <w:lang w:val="en-GB"/>
        </w:rPr>
        <w:t xml:space="preserve">         </w:t>
      </w:r>
      <w:r>
        <w:rPr>
          <w:sz w:val="24"/>
          <w:szCs w:val="24"/>
          <w:lang w:val="en-GB"/>
        </w:rPr>
        <w:t>On the other hand, there are some arguments related to Kahn’s employee engagement theory. Time is one of the vital factors within the vas perspective of employee engagement and selecting the correct employee at the correct time helps the workers to create an engaged workforce. At the same time, the vast perspective of employee engagement is linked to the individual attitude of the workers.</w:t>
      </w:r>
    </w:p>
    <w:p w14:paraId="42D03918" w14:textId="492B31D3" w:rsidR="004144B4" w:rsidRDefault="004144B4" w:rsidP="004144B4">
      <w:pPr>
        <w:pStyle w:val="Normal1"/>
        <w:spacing w:line="360" w:lineRule="auto"/>
        <w:jc w:val="both"/>
        <w:rPr>
          <w:sz w:val="24"/>
          <w:szCs w:val="24"/>
          <w:lang w:val="en-GB"/>
        </w:rPr>
      </w:pPr>
    </w:p>
    <w:p w14:paraId="192338E8" w14:textId="77777777" w:rsidR="004144B4" w:rsidRDefault="004144B4" w:rsidP="004144B4">
      <w:pPr>
        <w:pStyle w:val="Normal1"/>
        <w:spacing w:line="360" w:lineRule="auto"/>
        <w:jc w:val="both"/>
        <w:rPr>
          <w:sz w:val="24"/>
          <w:szCs w:val="24"/>
          <w:lang w:val="en-GB"/>
        </w:rPr>
      </w:pPr>
    </w:p>
    <w:p w14:paraId="2053836A" w14:textId="47D90C26" w:rsidR="004144B4" w:rsidRDefault="004144B4" w:rsidP="004144B4">
      <w:pPr>
        <w:pStyle w:val="Normal1"/>
        <w:spacing w:line="360" w:lineRule="auto"/>
        <w:jc w:val="both"/>
        <w:rPr>
          <w:b/>
          <w:sz w:val="24"/>
          <w:szCs w:val="24"/>
          <w:lang w:val="en-GB"/>
        </w:rPr>
      </w:pPr>
      <w:r>
        <w:rPr>
          <w:sz w:val="24"/>
          <w:szCs w:val="24"/>
          <w:lang w:val="en-GB"/>
        </w:rPr>
        <w:t xml:space="preserve"> </w:t>
      </w:r>
    </w:p>
    <w:p w14:paraId="3EE54603" w14:textId="4CE73552" w:rsidR="004144B4" w:rsidRDefault="004144B4" w:rsidP="004144B4">
      <w:pPr>
        <w:pStyle w:val="Heading1"/>
        <w:rPr>
          <w:rFonts w:ascii="Arial" w:eastAsia="Calibri" w:hAnsi="Arial" w:cs="Arial"/>
          <w:szCs w:val="24"/>
          <w:lang w:val="en-GB"/>
        </w:rPr>
      </w:pPr>
      <w:bookmarkStart w:id="3" w:name="_Toc90740000"/>
      <w:r>
        <w:rPr>
          <w:rFonts w:ascii="Arial" w:eastAsia="Calibri" w:hAnsi="Arial" w:cs="Arial"/>
          <w:szCs w:val="24"/>
          <w:lang w:val="en-GB"/>
        </w:rPr>
        <w:lastRenderedPageBreak/>
        <w:t>Evaluate diagnostic tools to measure the engagement</w:t>
      </w:r>
      <w:bookmarkEnd w:id="3"/>
    </w:p>
    <w:p w14:paraId="5CF56154" w14:textId="77777777" w:rsidR="004144B4" w:rsidRPr="004144B4" w:rsidRDefault="004144B4" w:rsidP="004144B4">
      <w:pPr>
        <w:rPr>
          <w:lang w:val="en-GB"/>
        </w:rPr>
      </w:pPr>
    </w:p>
    <w:p w14:paraId="7CBBA605" w14:textId="6EC7DF77" w:rsidR="004144B4" w:rsidRDefault="004144B4" w:rsidP="004144B4">
      <w:pPr>
        <w:pStyle w:val="Normal1"/>
        <w:spacing w:line="360" w:lineRule="auto"/>
        <w:jc w:val="both"/>
        <w:rPr>
          <w:sz w:val="24"/>
          <w:szCs w:val="24"/>
          <w:lang w:val="en-GB"/>
        </w:rPr>
      </w:pPr>
      <w:r>
        <w:rPr>
          <w:sz w:val="24"/>
          <w:szCs w:val="24"/>
          <w:lang w:val="en-GB"/>
        </w:rPr>
        <w:t xml:space="preserve">            </w:t>
      </w:r>
      <w:r>
        <w:rPr>
          <w:sz w:val="24"/>
          <w:szCs w:val="24"/>
          <w:lang w:val="en-GB"/>
        </w:rPr>
        <w:t xml:space="preserve">As per the current market perspective, with the excessive usage of the mobile and multi-generational workforce, most business leaders face a high level of challenges in terms of forming a well-connected team-based culture that could drive long-term business success. As per the perspective of </w:t>
      </w:r>
      <w:proofErr w:type="spellStart"/>
      <w:r>
        <w:rPr>
          <w:sz w:val="24"/>
          <w:szCs w:val="24"/>
          <w:lang w:val="en-GB"/>
        </w:rPr>
        <w:t>Giacom</w:t>
      </w:r>
      <w:proofErr w:type="spellEnd"/>
      <w:r>
        <w:rPr>
          <w:sz w:val="24"/>
          <w:szCs w:val="24"/>
          <w:lang w:val="en-GB"/>
        </w:rPr>
        <w:t xml:space="preserve">, the organization uses different employee engagement tools such as HR tools, Key performance indicators, and surveys. The HR platform of </w:t>
      </w:r>
      <w:proofErr w:type="spellStart"/>
      <w:r>
        <w:rPr>
          <w:sz w:val="24"/>
          <w:szCs w:val="24"/>
          <w:lang w:val="en-GB"/>
        </w:rPr>
        <w:t>Giacom</w:t>
      </w:r>
      <w:proofErr w:type="spellEnd"/>
      <w:r>
        <w:rPr>
          <w:sz w:val="24"/>
          <w:szCs w:val="24"/>
          <w:lang w:val="en-GB"/>
        </w:rPr>
        <w:t xml:space="preserve"> conducts a session </w:t>
      </w:r>
      <w:proofErr w:type="gramStart"/>
      <w:r>
        <w:rPr>
          <w:sz w:val="24"/>
          <w:szCs w:val="24"/>
          <w:lang w:val="en-GB"/>
        </w:rPr>
        <w:t>in order to</w:t>
      </w:r>
      <w:proofErr w:type="gramEnd"/>
      <w:r>
        <w:rPr>
          <w:sz w:val="24"/>
          <w:szCs w:val="24"/>
          <w:lang w:val="en-GB"/>
        </w:rPr>
        <w:t xml:space="preserve"> collect employee feedback and measure the overall worker’s satisfaction (</w:t>
      </w:r>
      <w:r>
        <w:rPr>
          <w:color w:val="222222"/>
          <w:sz w:val="24"/>
          <w:szCs w:val="24"/>
          <w:highlight w:val="white"/>
          <w:lang w:val="en-GB"/>
        </w:rPr>
        <w:t xml:space="preserve">Shuck </w:t>
      </w:r>
      <w:r>
        <w:rPr>
          <w:i/>
          <w:color w:val="222222"/>
          <w:sz w:val="24"/>
          <w:szCs w:val="24"/>
          <w:highlight w:val="white"/>
          <w:lang w:val="en-GB"/>
        </w:rPr>
        <w:t xml:space="preserve">et al., </w:t>
      </w:r>
      <w:r>
        <w:rPr>
          <w:color w:val="222222"/>
          <w:sz w:val="24"/>
          <w:szCs w:val="24"/>
          <w:highlight w:val="white"/>
          <w:lang w:val="en-GB"/>
        </w:rPr>
        <w:t>2017, p.270)</w:t>
      </w:r>
      <w:r>
        <w:rPr>
          <w:sz w:val="24"/>
          <w:szCs w:val="24"/>
          <w:lang w:val="en-GB"/>
        </w:rPr>
        <w:t xml:space="preserve">. On the other hand, the organization also adopts performance management software that could track the employees as per their productivity levels. Along with that, </w:t>
      </w:r>
      <w:proofErr w:type="spellStart"/>
      <w:r>
        <w:rPr>
          <w:sz w:val="24"/>
          <w:szCs w:val="24"/>
          <w:lang w:val="en-GB"/>
        </w:rPr>
        <w:t>Giacom</w:t>
      </w:r>
      <w:proofErr w:type="spellEnd"/>
      <w:r>
        <w:rPr>
          <w:sz w:val="24"/>
          <w:szCs w:val="24"/>
          <w:lang w:val="en-GB"/>
        </w:rPr>
        <w:t xml:space="preserve"> also implements the “</w:t>
      </w:r>
      <w:r>
        <w:rPr>
          <w:b/>
          <w:sz w:val="24"/>
          <w:szCs w:val="24"/>
          <w:lang w:val="en-GB"/>
        </w:rPr>
        <w:t>Key performance indicator</w:t>
      </w:r>
      <w:r>
        <w:rPr>
          <w:sz w:val="24"/>
          <w:szCs w:val="24"/>
          <w:lang w:val="en-GB"/>
        </w:rPr>
        <w:t xml:space="preserve">” </w:t>
      </w:r>
      <w:proofErr w:type="gramStart"/>
      <w:r>
        <w:rPr>
          <w:sz w:val="24"/>
          <w:szCs w:val="24"/>
          <w:lang w:val="en-GB"/>
        </w:rPr>
        <w:t>in order to</w:t>
      </w:r>
      <w:proofErr w:type="gramEnd"/>
      <w:r>
        <w:rPr>
          <w:sz w:val="24"/>
          <w:szCs w:val="24"/>
          <w:lang w:val="en-GB"/>
        </w:rPr>
        <w:t xml:space="preserve"> measure employee engagement and also helps the organization in terms of </w:t>
      </w:r>
      <w:proofErr w:type="spellStart"/>
      <w:r>
        <w:rPr>
          <w:sz w:val="24"/>
          <w:szCs w:val="24"/>
          <w:lang w:val="en-GB"/>
        </w:rPr>
        <w:t>analyzing</w:t>
      </w:r>
      <w:proofErr w:type="spellEnd"/>
      <w:r>
        <w:rPr>
          <w:sz w:val="24"/>
          <w:szCs w:val="24"/>
          <w:lang w:val="en-GB"/>
        </w:rPr>
        <w:t xml:space="preserve"> whether the organization could meet its goals or not. Along with that, through the adaptability of KPOI, the organization not only measure employee engagement, </w:t>
      </w:r>
      <w:proofErr w:type="gramStart"/>
      <w:r>
        <w:rPr>
          <w:sz w:val="24"/>
          <w:szCs w:val="24"/>
          <w:lang w:val="en-GB"/>
        </w:rPr>
        <w:t>it</w:t>
      </w:r>
      <w:proofErr w:type="gramEnd"/>
      <w:r>
        <w:rPr>
          <w:sz w:val="24"/>
          <w:szCs w:val="24"/>
          <w:lang w:val="en-GB"/>
        </w:rPr>
        <w:t xml:space="preserve"> also illustrates the specified area where the organization needs some attention. As per the perspective of </w:t>
      </w:r>
      <w:proofErr w:type="spellStart"/>
      <w:r>
        <w:rPr>
          <w:sz w:val="24"/>
          <w:szCs w:val="24"/>
          <w:lang w:val="en-GB"/>
        </w:rPr>
        <w:t>Giacom</w:t>
      </w:r>
      <w:proofErr w:type="spellEnd"/>
      <w:r>
        <w:rPr>
          <w:sz w:val="24"/>
          <w:szCs w:val="24"/>
          <w:lang w:val="en-GB"/>
        </w:rPr>
        <w:t xml:space="preserve">, through the adaptability of KPI, the organization focuses on certain areas like </w:t>
      </w:r>
      <w:proofErr w:type="gramStart"/>
      <w:r>
        <w:rPr>
          <w:sz w:val="24"/>
          <w:szCs w:val="24"/>
          <w:lang w:val="en-GB"/>
        </w:rPr>
        <w:t>“ Employee</w:t>
      </w:r>
      <w:proofErr w:type="gramEnd"/>
      <w:r>
        <w:rPr>
          <w:sz w:val="24"/>
          <w:szCs w:val="24"/>
          <w:lang w:val="en-GB"/>
        </w:rPr>
        <w:t xml:space="preserve"> Net Promoter Score”, Retention/turnover, production/ profitability, absenteeism rate. In addition to that, </w:t>
      </w:r>
      <w:proofErr w:type="spellStart"/>
      <w:r>
        <w:rPr>
          <w:sz w:val="24"/>
          <w:szCs w:val="24"/>
          <w:lang w:val="en-GB"/>
        </w:rPr>
        <w:t>Giacom</w:t>
      </w:r>
      <w:proofErr w:type="spellEnd"/>
      <w:r>
        <w:rPr>
          <w:sz w:val="24"/>
          <w:szCs w:val="24"/>
          <w:lang w:val="en-GB"/>
        </w:rPr>
        <w:t xml:space="preserve"> majorly depends on the retention rate and productivity metrics that determine the overall rate of employee engagement. More specifically, employee engagement has a direct impact on productivity metrics and retention rate. In addition to the above all points, </w:t>
      </w:r>
      <w:proofErr w:type="spellStart"/>
      <w:r>
        <w:rPr>
          <w:sz w:val="24"/>
          <w:szCs w:val="24"/>
          <w:lang w:val="en-GB"/>
        </w:rPr>
        <w:t>Giacom</w:t>
      </w:r>
      <w:proofErr w:type="spellEnd"/>
      <w:r>
        <w:rPr>
          <w:sz w:val="24"/>
          <w:szCs w:val="24"/>
          <w:lang w:val="en-GB"/>
        </w:rPr>
        <w:t xml:space="preserve"> also conducts exit and stay interviews for their existing workforce </w:t>
      </w:r>
      <w:proofErr w:type="gramStart"/>
      <w:r>
        <w:rPr>
          <w:sz w:val="24"/>
          <w:szCs w:val="24"/>
          <w:lang w:val="en-GB"/>
        </w:rPr>
        <w:t>in order to</w:t>
      </w:r>
      <w:proofErr w:type="gramEnd"/>
      <w:r>
        <w:rPr>
          <w:sz w:val="24"/>
          <w:szCs w:val="24"/>
          <w:lang w:val="en-GB"/>
        </w:rPr>
        <w:t xml:space="preserve"> improve their employee engagement initiatives. </w:t>
      </w:r>
    </w:p>
    <w:p w14:paraId="45DD1237" w14:textId="05E1E7BD" w:rsidR="004144B4" w:rsidRDefault="004144B4" w:rsidP="004144B4">
      <w:pPr>
        <w:pStyle w:val="Normal1"/>
        <w:spacing w:line="360" w:lineRule="auto"/>
        <w:jc w:val="both"/>
        <w:rPr>
          <w:sz w:val="24"/>
          <w:szCs w:val="24"/>
          <w:lang w:val="en-GB"/>
        </w:rPr>
      </w:pPr>
      <w:r>
        <w:rPr>
          <w:sz w:val="24"/>
          <w:szCs w:val="24"/>
          <w:lang w:val="en-GB"/>
        </w:rPr>
        <w:t xml:space="preserve">          </w:t>
      </w:r>
      <w:r>
        <w:rPr>
          <w:sz w:val="24"/>
          <w:szCs w:val="24"/>
          <w:lang w:val="en-GB"/>
        </w:rPr>
        <w:t xml:space="preserve">In addition to that, </w:t>
      </w:r>
      <w:proofErr w:type="spellStart"/>
      <w:r>
        <w:rPr>
          <w:sz w:val="24"/>
          <w:szCs w:val="24"/>
          <w:lang w:val="en-GB"/>
        </w:rPr>
        <w:t>Giacom</w:t>
      </w:r>
      <w:proofErr w:type="spellEnd"/>
      <w:r>
        <w:rPr>
          <w:sz w:val="24"/>
          <w:szCs w:val="24"/>
          <w:lang w:val="en-GB"/>
        </w:rPr>
        <w:t xml:space="preserve"> also forms a “peer-to-peer recognition” program for their workers </w:t>
      </w:r>
      <w:proofErr w:type="gramStart"/>
      <w:r>
        <w:rPr>
          <w:sz w:val="24"/>
          <w:szCs w:val="24"/>
          <w:lang w:val="en-GB"/>
        </w:rPr>
        <w:t>in order to</w:t>
      </w:r>
      <w:proofErr w:type="gramEnd"/>
      <w:r>
        <w:rPr>
          <w:sz w:val="24"/>
          <w:szCs w:val="24"/>
          <w:lang w:val="en-GB"/>
        </w:rPr>
        <w:t xml:space="preserve"> create a productive culture that majorly celebrates employee accomplishments and performance progress rate. The diverse working approach or creating a culture where every worker feels more secure and well connected. At the same time, providing maximum growth opportunities to the workers could support the organization in terms of creating a sense of belongingness amongst the workers.</w:t>
      </w:r>
    </w:p>
    <w:p w14:paraId="4683E1B3" w14:textId="77777777" w:rsidR="00B11570" w:rsidRDefault="00B11570" w:rsidP="004144B4">
      <w:pPr>
        <w:pStyle w:val="Normal1"/>
        <w:spacing w:line="360" w:lineRule="auto"/>
        <w:jc w:val="both"/>
        <w:rPr>
          <w:b/>
          <w:sz w:val="24"/>
          <w:szCs w:val="24"/>
          <w:lang w:val="en-GB"/>
        </w:rPr>
      </w:pPr>
    </w:p>
    <w:p w14:paraId="4D10A052" w14:textId="178EDBF2" w:rsidR="004144B4" w:rsidRDefault="00B11570" w:rsidP="004144B4">
      <w:pPr>
        <w:pStyle w:val="Heading1"/>
        <w:rPr>
          <w:rFonts w:ascii="Arial" w:eastAsia="Calibri" w:hAnsi="Arial" w:cs="Arial"/>
          <w:szCs w:val="24"/>
          <w:lang w:val="en-GB"/>
        </w:rPr>
      </w:pPr>
      <w:bookmarkStart w:id="4" w:name="_Toc90740001"/>
      <w:r>
        <w:rPr>
          <w:rFonts w:ascii="Arial" w:eastAsia="Calibri" w:hAnsi="Arial" w:cs="Arial"/>
          <w:szCs w:val="24"/>
          <w:lang w:val="en-GB"/>
        </w:rPr>
        <w:lastRenderedPageBreak/>
        <w:t xml:space="preserve">   </w:t>
      </w:r>
      <w:r w:rsidR="004144B4">
        <w:rPr>
          <w:rFonts w:ascii="Arial" w:eastAsia="Calibri" w:hAnsi="Arial" w:cs="Arial"/>
          <w:szCs w:val="24"/>
          <w:lang w:val="en-GB"/>
        </w:rPr>
        <w:t>How the management of the business organization is influenced by internal and external factors</w:t>
      </w:r>
      <w:bookmarkEnd w:id="4"/>
      <w:r w:rsidR="004144B4">
        <w:rPr>
          <w:rFonts w:ascii="Arial" w:eastAsia="Calibri" w:hAnsi="Arial" w:cs="Arial"/>
          <w:szCs w:val="24"/>
          <w:lang w:val="en-GB"/>
        </w:rPr>
        <w:t xml:space="preserve"> </w:t>
      </w:r>
    </w:p>
    <w:p w14:paraId="111DCF6D" w14:textId="77777777" w:rsidR="00B11570" w:rsidRDefault="00B11570" w:rsidP="004144B4">
      <w:pPr>
        <w:pStyle w:val="Normal1"/>
        <w:spacing w:line="360" w:lineRule="auto"/>
        <w:jc w:val="both"/>
        <w:rPr>
          <w:sz w:val="24"/>
          <w:szCs w:val="24"/>
          <w:lang w:val="en-GB"/>
        </w:rPr>
      </w:pPr>
      <w:r>
        <w:rPr>
          <w:sz w:val="24"/>
          <w:szCs w:val="24"/>
          <w:lang w:val="en-GB"/>
        </w:rPr>
        <w:t xml:space="preserve">      </w:t>
      </w:r>
      <w:r w:rsidR="004144B4">
        <w:rPr>
          <w:sz w:val="24"/>
          <w:szCs w:val="24"/>
          <w:lang w:val="en-GB"/>
        </w:rPr>
        <w:t xml:space="preserve">Within the high-performing workplace, there are certain internal factors that dominate the organization in terms of its decision-making activities and performance standards. Within the operational settings, internal factors like the organization’s operational </w:t>
      </w:r>
      <w:proofErr w:type="gramStart"/>
      <w:r w:rsidR="004144B4">
        <w:rPr>
          <w:sz w:val="24"/>
          <w:szCs w:val="24"/>
          <w:lang w:val="en-GB"/>
        </w:rPr>
        <w:t>departments,  strategic</w:t>
      </w:r>
      <w:proofErr w:type="gramEnd"/>
      <w:r w:rsidR="004144B4">
        <w:rPr>
          <w:sz w:val="24"/>
          <w:szCs w:val="24"/>
          <w:lang w:val="en-GB"/>
        </w:rPr>
        <w:t xml:space="preserve"> risks, innovation level, financial department, and employee risks are some of the dominant factors that lead their business scenario. </w:t>
      </w:r>
      <w:r>
        <w:rPr>
          <w:sz w:val="24"/>
          <w:szCs w:val="24"/>
          <w:lang w:val="en-GB"/>
        </w:rPr>
        <w:t xml:space="preserve">   </w:t>
      </w:r>
    </w:p>
    <w:p w14:paraId="161580E2" w14:textId="77777777" w:rsidR="00B11570" w:rsidRDefault="00B11570" w:rsidP="004144B4">
      <w:pPr>
        <w:pStyle w:val="Normal1"/>
        <w:spacing w:line="360" w:lineRule="auto"/>
        <w:jc w:val="both"/>
        <w:rPr>
          <w:sz w:val="24"/>
          <w:szCs w:val="24"/>
          <w:lang w:val="en-GB"/>
        </w:rPr>
      </w:pPr>
      <w:r>
        <w:rPr>
          <w:sz w:val="24"/>
          <w:szCs w:val="24"/>
          <w:lang w:val="en-GB"/>
        </w:rPr>
        <w:t xml:space="preserve">       </w:t>
      </w:r>
      <w:r w:rsidR="004144B4">
        <w:rPr>
          <w:sz w:val="24"/>
          <w:szCs w:val="24"/>
          <w:lang w:val="en-GB"/>
        </w:rPr>
        <w:t xml:space="preserve">Along with the above all points, the organizational cultural perspectives and business image are also some of the vital components that dominate the business organization within their business market. As per the perspective of </w:t>
      </w:r>
      <w:proofErr w:type="spellStart"/>
      <w:r w:rsidR="004144B4">
        <w:rPr>
          <w:sz w:val="24"/>
          <w:szCs w:val="24"/>
          <w:lang w:val="en-GB"/>
        </w:rPr>
        <w:t>Giacom</w:t>
      </w:r>
      <w:proofErr w:type="spellEnd"/>
      <w:r w:rsidR="004144B4">
        <w:rPr>
          <w:sz w:val="24"/>
          <w:szCs w:val="24"/>
          <w:lang w:val="en-GB"/>
        </w:rPr>
        <w:t xml:space="preserve">, certain internal factors dominate the business organization. Innovation capacities of the organization are one of the major internal factors that helps the companies to stay ahead of their competitors. and as per the perspective of </w:t>
      </w:r>
      <w:proofErr w:type="spellStart"/>
      <w:r w:rsidR="004144B4">
        <w:rPr>
          <w:sz w:val="24"/>
          <w:szCs w:val="24"/>
          <w:lang w:val="en-GB"/>
        </w:rPr>
        <w:t>Giacom</w:t>
      </w:r>
      <w:proofErr w:type="spellEnd"/>
      <w:r w:rsidR="004144B4">
        <w:rPr>
          <w:sz w:val="24"/>
          <w:szCs w:val="24"/>
          <w:lang w:val="en-GB"/>
        </w:rPr>
        <w:t xml:space="preserve">, the organization upgrade its innovative cloud market, and its IT team is always on a mission to provide quality services to its customers. At the same time, </w:t>
      </w:r>
      <w:proofErr w:type="spellStart"/>
      <w:r w:rsidR="004144B4">
        <w:rPr>
          <w:sz w:val="24"/>
          <w:szCs w:val="24"/>
          <w:lang w:val="en-GB"/>
        </w:rPr>
        <w:t>Giacom</w:t>
      </w:r>
      <w:proofErr w:type="spellEnd"/>
      <w:r w:rsidR="004144B4">
        <w:rPr>
          <w:sz w:val="24"/>
          <w:szCs w:val="24"/>
          <w:lang w:val="en-GB"/>
        </w:rPr>
        <w:t xml:space="preserve"> also uses the competitive pricing policy for their services </w:t>
      </w:r>
      <w:proofErr w:type="gramStart"/>
      <w:r w:rsidR="004144B4">
        <w:rPr>
          <w:sz w:val="24"/>
          <w:szCs w:val="24"/>
          <w:lang w:val="en-GB"/>
        </w:rPr>
        <w:t>in order to</w:t>
      </w:r>
      <w:proofErr w:type="gramEnd"/>
      <w:r w:rsidR="004144B4">
        <w:rPr>
          <w:sz w:val="24"/>
          <w:szCs w:val="24"/>
          <w:lang w:val="en-GB"/>
        </w:rPr>
        <w:t xml:space="preserve"> create a separate identity amongst the other rival companies (</w:t>
      </w:r>
      <w:proofErr w:type="spellStart"/>
      <w:r w:rsidR="004144B4">
        <w:rPr>
          <w:color w:val="222222"/>
          <w:sz w:val="24"/>
          <w:szCs w:val="24"/>
          <w:highlight w:val="white"/>
          <w:lang w:val="en-GB"/>
        </w:rPr>
        <w:t>Vorina</w:t>
      </w:r>
      <w:proofErr w:type="spellEnd"/>
      <w:r w:rsidR="004144B4">
        <w:rPr>
          <w:color w:val="222222"/>
          <w:sz w:val="24"/>
          <w:szCs w:val="24"/>
          <w:highlight w:val="white"/>
          <w:lang w:val="en-GB"/>
        </w:rPr>
        <w:t xml:space="preserve"> </w:t>
      </w:r>
      <w:r w:rsidR="004144B4">
        <w:rPr>
          <w:i/>
          <w:color w:val="222222"/>
          <w:sz w:val="24"/>
          <w:szCs w:val="24"/>
          <w:highlight w:val="white"/>
          <w:lang w:val="en-GB"/>
        </w:rPr>
        <w:t>et al.</w:t>
      </w:r>
      <w:r w:rsidR="004144B4">
        <w:rPr>
          <w:color w:val="222222"/>
          <w:sz w:val="24"/>
          <w:szCs w:val="24"/>
          <w:highlight w:val="white"/>
          <w:lang w:val="en-GB"/>
        </w:rPr>
        <w:t>, 2017, p. 250)</w:t>
      </w:r>
      <w:r w:rsidR="004144B4">
        <w:rPr>
          <w:sz w:val="24"/>
          <w:szCs w:val="24"/>
          <w:lang w:val="en-GB"/>
        </w:rPr>
        <w:t xml:space="preserve">. Apart from innovation, the operational and organizational procedure also has a lot of impact on business management. </w:t>
      </w:r>
      <w:r>
        <w:rPr>
          <w:sz w:val="24"/>
          <w:szCs w:val="24"/>
          <w:lang w:val="en-GB"/>
        </w:rPr>
        <w:t xml:space="preserve">   </w:t>
      </w:r>
    </w:p>
    <w:p w14:paraId="11E3498D" w14:textId="72C2DE0F" w:rsidR="004144B4" w:rsidRDefault="00B11570" w:rsidP="004144B4">
      <w:pPr>
        <w:pStyle w:val="Normal1"/>
        <w:spacing w:line="360" w:lineRule="auto"/>
        <w:jc w:val="both"/>
        <w:rPr>
          <w:sz w:val="24"/>
          <w:szCs w:val="24"/>
          <w:lang w:val="en-GB"/>
        </w:rPr>
      </w:pPr>
      <w:r>
        <w:rPr>
          <w:sz w:val="24"/>
          <w:szCs w:val="24"/>
          <w:lang w:val="en-GB"/>
        </w:rPr>
        <w:t xml:space="preserve">           </w:t>
      </w:r>
      <w:proofErr w:type="spellStart"/>
      <w:r w:rsidR="004144B4">
        <w:rPr>
          <w:sz w:val="24"/>
          <w:szCs w:val="24"/>
          <w:lang w:val="en-GB"/>
        </w:rPr>
        <w:t>Giacom</w:t>
      </w:r>
      <w:proofErr w:type="spellEnd"/>
      <w:r w:rsidR="004144B4">
        <w:rPr>
          <w:sz w:val="24"/>
          <w:szCs w:val="24"/>
          <w:lang w:val="en-GB"/>
        </w:rPr>
        <w:t xml:space="preserve"> implements rapid provisioning and management </w:t>
      </w:r>
      <w:proofErr w:type="gramStart"/>
      <w:r w:rsidR="004144B4">
        <w:rPr>
          <w:sz w:val="24"/>
          <w:szCs w:val="24"/>
          <w:lang w:val="en-GB"/>
        </w:rPr>
        <w:t>in order to</w:t>
      </w:r>
      <w:proofErr w:type="gramEnd"/>
      <w:r w:rsidR="004144B4">
        <w:rPr>
          <w:sz w:val="24"/>
          <w:szCs w:val="24"/>
          <w:lang w:val="en-GB"/>
        </w:rPr>
        <w:t xml:space="preserve"> deliver the services to their customers in a systematic manner. At the same time, the organization also offers tech-based support and resources for their subordinates </w:t>
      </w:r>
      <w:proofErr w:type="gramStart"/>
      <w:r w:rsidR="004144B4">
        <w:rPr>
          <w:sz w:val="24"/>
          <w:szCs w:val="24"/>
          <w:lang w:val="en-GB"/>
        </w:rPr>
        <w:t>in order to</w:t>
      </w:r>
      <w:proofErr w:type="gramEnd"/>
      <w:r w:rsidR="004144B4">
        <w:rPr>
          <w:sz w:val="24"/>
          <w:szCs w:val="24"/>
          <w:lang w:val="en-GB"/>
        </w:rPr>
        <w:t xml:space="preserve"> understand the employee’s needs and requirements. Financial uncertainties are one of the major internal factors that are directly linked with business management, and as per the business perspective of </w:t>
      </w:r>
      <w:proofErr w:type="spellStart"/>
      <w:r w:rsidR="004144B4">
        <w:rPr>
          <w:sz w:val="24"/>
          <w:szCs w:val="24"/>
          <w:lang w:val="en-GB"/>
        </w:rPr>
        <w:t>Giacom</w:t>
      </w:r>
      <w:proofErr w:type="spellEnd"/>
      <w:r w:rsidR="004144B4">
        <w:rPr>
          <w:sz w:val="24"/>
          <w:szCs w:val="24"/>
          <w:lang w:val="en-GB"/>
        </w:rPr>
        <w:t xml:space="preserve">, the cloud provider uses one invoice and one specific bill for their customers </w:t>
      </w:r>
      <w:proofErr w:type="gramStart"/>
      <w:r w:rsidR="004144B4">
        <w:rPr>
          <w:sz w:val="24"/>
          <w:szCs w:val="24"/>
          <w:lang w:val="en-GB"/>
        </w:rPr>
        <w:t>in order to</w:t>
      </w:r>
      <w:proofErr w:type="gramEnd"/>
      <w:r w:rsidR="004144B4">
        <w:rPr>
          <w:sz w:val="24"/>
          <w:szCs w:val="24"/>
          <w:lang w:val="en-GB"/>
        </w:rPr>
        <w:t xml:space="preserve"> simplify the transaction procedures. The existing organizational culture is also one of the major internal factors that are directly linked with business management and performance. As per the business scenario of </w:t>
      </w:r>
      <w:proofErr w:type="spellStart"/>
      <w:r w:rsidR="004144B4">
        <w:rPr>
          <w:sz w:val="24"/>
          <w:szCs w:val="24"/>
          <w:lang w:val="en-GB"/>
        </w:rPr>
        <w:t>Giacom</w:t>
      </w:r>
      <w:proofErr w:type="spellEnd"/>
      <w:r w:rsidR="004144B4">
        <w:rPr>
          <w:sz w:val="24"/>
          <w:szCs w:val="24"/>
          <w:lang w:val="en-GB"/>
        </w:rPr>
        <w:t>, the organization implements a flexible working culture where an employee’s well-being is considered the top priority for the management.</w:t>
      </w:r>
    </w:p>
    <w:p w14:paraId="57895EF1" w14:textId="77777777" w:rsidR="004144B4" w:rsidRDefault="004144B4" w:rsidP="004144B4">
      <w:pPr>
        <w:pStyle w:val="Normal1"/>
        <w:spacing w:line="360" w:lineRule="auto"/>
        <w:rPr>
          <w:b/>
          <w:sz w:val="24"/>
          <w:szCs w:val="24"/>
          <w:lang w:val="en-GB"/>
        </w:rPr>
      </w:pPr>
      <w:r>
        <w:rPr>
          <w:b/>
          <w:sz w:val="24"/>
          <w:szCs w:val="24"/>
          <w:lang w:val="en-GB"/>
        </w:rPr>
        <w:t>External factors</w:t>
      </w:r>
    </w:p>
    <w:p w14:paraId="0BC02DFE" w14:textId="77777777" w:rsidR="00B11570" w:rsidRDefault="00B11570" w:rsidP="004144B4">
      <w:pPr>
        <w:pStyle w:val="Normal1"/>
        <w:spacing w:line="360" w:lineRule="auto"/>
        <w:jc w:val="both"/>
        <w:rPr>
          <w:sz w:val="24"/>
          <w:szCs w:val="24"/>
          <w:lang w:val="en-GB"/>
        </w:rPr>
      </w:pPr>
      <w:r>
        <w:rPr>
          <w:sz w:val="24"/>
          <w:szCs w:val="24"/>
          <w:lang w:val="en-GB"/>
        </w:rPr>
        <w:t xml:space="preserve">        </w:t>
      </w:r>
      <w:r w:rsidR="004144B4">
        <w:rPr>
          <w:sz w:val="24"/>
          <w:szCs w:val="24"/>
          <w:lang w:val="en-GB"/>
        </w:rPr>
        <w:t xml:space="preserve">In the above section, the different internal factors of the organization that has a massive impact on the business management are discussed, however, in this section, the different external factors are going to be evaluated </w:t>
      </w:r>
      <w:proofErr w:type="gramStart"/>
      <w:r w:rsidR="004144B4">
        <w:rPr>
          <w:sz w:val="24"/>
          <w:szCs w:val="24"/>
          <w:lang w:val="en-GB"/>
        </w:rPr>
        <w:t>on the basis of</w:t>
      </w:r>
      <w:proofErr w:type="gramEnd"/>
      <w:r w:rsidR="004144B4">
        <w:rPr>
          <w:sz w:val="24"/>
          <w:szCs w:val="24"/>
          <w:lang w:val="en-GB"/>
        </w:rPr>
        <w:t xml:space="preserve"> the organization. </w:t>
      </w:r>
      <w:r w:rsidR="004144B4">
        <w:rPr>
          <w:sz w:val="24"/>
          <w:szCs w:val="24"/>
          <w:lang w:val="en-GB"/>
        </w:rPr>
        <w:lastRenderedPageBreak/>
        <w:t>Politics and governmental policies are some of the major determinants that regulate the decision-making activities of the business (</w:t>
      </w:r>
      <w:r w:rsidR="004144B4">
        <w:rPr>
          <w:color w:val="222222"/>
          <w:sz w:val="24"/>
          <w:szCs w:val="24"/>
          <w:highlight w:val="white"/>
          <w:lang w:val="en-GB"/>
        </w:rPr>
        <w:t xml:space="preserve">Lemon and </w:t>
      </w:r>
      <w:proofErr w:type="spellStart"/>
      <w:r w:rsidR="004144B4">
        <w:rPr>
          <w:color w:val="222222"/>
          <w:sz w:val="24"/>
          <w:szCs w:val="24"/>
          <w:highlight w:val="white"/>
          <w:lang w:val="en-GB"/>
        </w:rPr>
        <w:t>Palenchar</w:t>
      </w:r>
      <w:proofErr w:type="spellEnd"/>
      <w:r w:rsidR="004144B4">
        <w:rPr>
          <w:color w:val="222222"/>
          <w:sz w:val="24"/>
          <w:szCs w:val="24"/>
          <w:highlight w:val="white"/>
          <w:lang w:val="en-GB"/>
        </w:rPr>
        <w:t>, 2018, p. 150)</w:t>
      </w:r>
      <w:r w:rsidR="004144B4">
        <w:rPr>
          <w:sz w:val="24"/>
          <w:szCs w:val="24"/>
          <w:lang w:val="en-GB"/>
        </w:rPr>
        <w:t xml:space="preserve">. </w:t>
      </w:r>
      <w:r>
        <w:rPr>
          <w:sz w:val="24"/>
          <w:szCs w:val="24"/>
          <w:lang w:val="en-GB"/>
        </w:rPr>
        <w:t xml:space="preserve">   </w:t>
      </w:r>
    </w:p>
    <w:p w14:paraId="56F281AB" w14:textId="77777777" w:rsidR="00B11570" w:rsidRDefault="00B11570" w:rsidP="004144B4">
      <w:pPr>
        <w:pStyle w:val="Normal1"/>
        <w:spacing w:line="360" w:lineRule="auto"/>
        <w:jc w:val="both"/>
        <w:rPr>
          <w:sz w:val="24"/>
          <w:szCs w:val="24"/>
          <w:lang w:val="en-GB"/>
        </w:rPr>
      </w:pPr>
      <w:r>
        <w:rPr>
          <w:sz w:val="24"/>
          <w:szCs w:val="24"/>
          <w:lang w:val="en-GB"/>
        </w:rPr>
        <w:t xml:space="preserve">        </w:t>
      </w:r>
      <w:r w:rsidR="004144B4">
        <w:rPr>
          <w:sz w:val="24"/>
          <w:szCs w:val="24"/>
          <w:lang w:val="en-GB"/>
        </w:rPr>
        <w:t xml:space="preserve">As per the perspective of the UK political system, the governmental bodies launch some benefits such as offering some monetary schemes and business loans </w:t>
      </w:r>
      <w:proofErr w:type="gramStart"/>
      <w:r w:rsidR="004144B4">
        <w:rPr>
          <w:sz w:val="24"/>
          <w:szCs w:val="24"/>
          <w:lang w:val="en-GB"/>
        </w:rPr>
        <w:t>in order to</w:t>
      </w:r>
      <w:proofErr w:type="gramEnd"/>
      <w:r w:rsidR="004144B4">
        <w:rPr>
          <w:sz w:val="24"/>
          <w:szCs w:val="24"/>
          <w:lang w:val="en-GB"/>
        </w:rPr>
        <w:t xml:space="preserve"> increase the sustainability of the organization within the Highly competitive UK firm. Within the economic spectrum, due to the poor economic performance and global economic slowdown, all the business entities within the UK face major operational challenges, and the UK government extended their loan schemes and restarted their business grants </w:t>
      </w:r>
      <w:proofErr w:type="gramStart"/>
      <w:r w:rsidR="004144B4">
        <w:rPr>
          <w:sz w:val="24"/>
          <w:szCs w:val="24"/>
          <w:lang w:val="en-GB"/>
        </w:rPr>
        <w:t>in order to</w:t>
      </w:r>
      <w:proofErr w:type="gramEnd"/>
      <w:r w:rsidR="004144B4">
        <w:rPr>
          <w:sz w:val="24"/>
          <w:szCs w:val="24"/>
          <w:lang w:val="en-GB"/>
        </w:rPr>
        <w:t xml:space="preserve"> increase the overall business value of the organizations (</w:t>
      </w:r>
      <w:r w:rsidR="004144B4">
        <w:rPr>
          <w:color w:val="263238"/>
          <w:sz w:val="24"/>
          <w:szCs w:val="24"/>
          <w:highlight w:val="white"/>
          <w:lang w:val="en-GB"/>
        </w:rPr>
        <w:t>Ltd, G. 2021)</w:t>
      </w:r>
      <w:r w:rsidR="004144B4">
        <w:rPr>
          <w:sz w:val="24"/>
          <w:szCs w:val="24"/>
          <w:lang w:val="en-GB"/>
        </w:rPr>
        <w:t xml:space="preserve">. Within the social spectrum, there are some challenges such as lower level of income, unequal distribution to the social power, poor lifestyle </w:t>
      </w:r>
      <w:proofErr w:type="gramStart"/>
      <w:r w:rsidR="004144B4">
        <w:rPr>
          <w:sz w:val="24"/>
          <w:szCs w:val="24"/>
          <w:lang w:val="en-GB"/>
        </w:rPr>
        <w:t>are</w:t>
      </w:r>
      <w:proofErr w:type="gramEnd"/>
      <w:r w:rsidR="004144B4">
        <w:rPr>
          <w:sz w:val="24"/>
          <w:szCs w:val="24"/>
          <w:lang w:val="en-GB"/>
        </w:rPr>
        <w:t xml:space="preserve"> some of the major loopholes that are directly linked with the managerial activities of the business. </w:t>
      </w:r>
      <w:r>
        <w:rPr>
          <w:sz w:val="24"/>
          <w:szCs w:val="24"/>
          <w:lang w:val="en-GB"/>
        </w:rPr>
        <w:t xml:space="preserve">   </w:t>
      </w:r>
    </w:p>
    <w:p w14:paraId="4C0C30A5" w14:textId="49794D2C" w:rsidR="004144B4" w:rsidRDefault="00B11570" w:rsidP="004144B4">
      <w:pPr>
        <w:pStyle w:val="Normal1"/>
        <w:spacing w:line="360" w:lineRule="auto"/>
        <w:jc w:val="both"/>
        <w:rPr>
          <w:sz w:val="24"/>
          <w:szCs w:val="24"/>
          <w:lang w:val="en-GB"/>
        </w:rPr>
      </w:pPr>
      <w:r>
        <w:rPr>
          <w:sz w:val="24"/>
          <w:szCs w:val="24"/>
          <w:lang w:val="en-GB"/>
        </w:rPr>
        <w:t xml:space="preserve">      </w:t>
      </w:r>
      <w:r w:rsidR="004144B4">
        <w:rPr>
          <w:sz w:val="24"/>
          <w:szCs w:val="24"/>
          <w:lang w:val="en-GB"/>
        </w:rPr>
        <w:t xml:space="preserve">Within the legal spectrum, the issues related to the business registration, copyright act, and the increasing rate of cybercrimes are some of the major factors that influence business management to some great extent. </w:t>
      </w:r>
    </w:p>
    <w:p w14:paraId="4D925A6A" w14:textId="5B1E8D51" w:rsidR="00B11570" w:rsidRDefault="00B11570" w:rsidP="004144B4">
      <w:pPr>
        <w:pStyle w:val="Normal1"/>
        <w:spacing w:line="360" w:lineRule="auto"/>
        <w:jc w:val="both"/>
        <w:rPr>
          <w:b/>
          <w:sz w:val="24"/>
          <w:szCs w:val="24"/>
          <w:lang w:val="en-GB"/>
        </w:rPr>
      </w:pPr>
      <w:r>
        <w:rPr>
          <w:sz w:val="24"/>
          <w:szCs w:val="24"/>
          <w:lang w:val="en-GB"/>
        </w:rPr>
        <w:t xml:space="preserve"> </w:t>
      </w:r>
    </w:p>
    <w:p w14:paraId="0AB315C4" w14:textId="3E204327" w:rsidR="004144B4" w:rsidRDefault="004144B4" w:rsidP="004144B4">
      <w:pPr>
        <w:pStyle w:val="Heading1"/>
        <w:rPr>
          <w:rFonts w:ascii="Arial" w:eastAsia="Calibri" w:hAnsi="Arial" w:cs="Arial"/>
          <w:szCs w:val="24"/>
          <w:lang w:val="en-GB"/>
        </w:rPr>
      </w:pPr>
      <w:bookmarkStart w:id="5" w:name="_Toc90740002"/>
      <w:r>
        <w:rPr>
          <w:rFonts w:ascii="Arial" w:eastAsia="Calibri" w:hAnsi="Arial" w:cs="Arial"/>
          <w:szCs w:val="24"/>
          <w:lang w:val="en-GB"/>
        </w:rPr>
        <w:t>The value proposition of employees from the above section</w:t>
      </w:r>
      <w:bookmarkEnd w:id="5"/>
      <w:r>
        <w:rPr>
          <w:rFonts w:ascii="Arial" w:eastAsia="Calibri" w:hAnsi="Arial" w:cs="Arial"/>
          <w:szCs w:val="24"/>
          <w:lang w:val="en-GB"/>
        </w:rPr>
        <w:t xml:space="preserve"> </w:t>
      </w:r>
    </w:p>
    <w:p w14:paraId="76BD0A21" w14:textId="77777777" w:rsidR="00B11570" w:rsidRPr="00B11570" w:rsidRDefault="00B11570" w:rsidP="00B11570">
      <w:pPr>
        <w:rPr>
          <w:lang w:val="en-GB"/>
        </w:rPr>
      </w:pPr>
    </w:p>
    <w:p w14:paraId="27FA8408" w14:textId="77777777" w:rsidR="0009423A" w:rsidRDefault="0009423A" w:rsidP="004144B4">
      <w:pPr>
        <w:pStyle w:val="Normal1"/>
        <w:spacing w:line="360" w:lineRule="auto"/>
        <w:jc w:val="both"/>
        <w:rPr>
          <w:color w:val="222222"/>
          <w:sz w:val="24"/>
          <w:szCs w:val="24"/>
          <w:lang w:val="en-GB"/>
        </w:rPr>
      </w:pPr>
      <w:r>
        <w:rPr>
          <w:sz w:val="24"/>
          <w:szCs w:val="24"/>
          <w:lang w:val="en-GB"/>
        </w:rPr>
        <w:t xml:space="preserve">      </w:t>
      </w:r>
      <w:r w:rsidR="004144B4">
        <w:rPr>
          <w:sz w:val="24"/>
          <w:szCs w:val="24"/>
          <w:lang w:val="en-GB"/>
        </w:rPr>
        <w:t>The employee value proposition is considered as the set of non-monetary and monetary benefits offered by an organization to its workers, in return for the capabilities, skills, and overall experience that the employees bring and contribute to their company (</w:t>
      </w:r>
      <w:proofErr w:type="spellStart"/>
      <w:r w:rsidR="004144B4">
        <w:rPr>
          <w:color w:val="222222"/>
          <w:sz w:val="24"/>
          <w:szCs w:val="24"/>
          <w:highlight w:val="white"/>
          <w:lang w:val="en-GB"/>
        </w:rPr>
        <w:t>Motyka</w:t>
      </w:r>
      <w:proofErr w:type="spellEnd"/>
      <w:r w:rsidR="004144B4">
        <w:rPr>
          <w:color w:val="222222"/>
          <w:sz w:val="24"/>
          <w:szCs w:val="24"/>
          <w:highlight w:val="white"/>
          <w:lang w:val="en-GB"/>
        </w:rPr>
        <w:t>, 2018, p. 280).</w:t>
      </w:r>
    </w:p>
    <w:p w14:paraId="1356C24B" w14:textId="143A263A" w:rsidR="004144B4" w:rsidRDefault="0009423A" w:rsidP="004144B4">
      <w:pPr>
        <w:pStyle w:val="Normal1"/>
        <w:spacing w:line="360" w:lineRule="auto"/>
        <w:jc w:val="both"/>
        <w:rPr>
          <w:sz w:val="24"/>
          <w:szCs w:val="24"/>
          <w:lang w:val="en-GB"/>
        </w:rPr>
      </w:pPr>
      <w:r>
        <w:rPr>
          <w:color w:val="222222"/>
          <w:sz w:val="24"/>
          <w:szCs w:val="24"/>
          <w:lang w:val="en-GB"/>
        </w:rPr>
        <w:t xml:space="preserve">    </w:t>
      </w:r>
      <w:r w:rsidR="004144B4">
        <w:rPr>
          <w:sz w:val="24"/>
          <w:szCs w:val="24"/>
          <w:lang w:val="en-GB"/>
        </w:rPr>
        <w:t xml:space="preserve"> As per the perspective of employee engagement, adopting a supportive culture is one of the major perspectives </w:t>
      </w:r>
      <w:proofErr w:type="spellStart"/>
      <w:r w:rsidR="004144B4">
        <w:rPr>
          <w:sz w:val="24"/>
          <w:szCs w:val="24"/>
          <w:lang w:val="en-GB"/>
        </w:rPr>
        <w:t>thst</w:t>
      </w:r>
      <w:proofErr w:type="spellEnd"/>
      <w:r w:rsidR="004144B4">
        <w:rPr>
          <w:sz w:val="24"/>
          <w:szCs w:val="24"/>
          <w:lang w:val="en-GB"/>
        </w:rPr>
        <w:t xml:space="preserve"> helps the workers to grow in their operational area </w:t>
      </w:r>
      <w:proofErr w:type="gramStart"/>
      <w:r w:rsidR="004144B4">
        <w:rPr>
          <w:sz w:val="24"/>
          <w:szCs w:val="24"/>
          <w:lang w:val="en-GB"/>
        </w:rPr>
        <w:t>In</w:t>
      </w:r>
      <w:proofErr w:type="gramEnd"/>
      <w:r w:rsidR="004144B4">
        <w:rPr>
          <w:sz w:val="24"/>
          <w:szCs w:val="24"/>
          <w:lang w:val="en-GB"/>
        </w:rPr>
        <w:t xml:space="preserve"> addition, creating a supportive environment within the employee engagement policies also offered a structured framework to their employees in terms of focusing on the collective up-gradation (</w:t>
      </w:r>
      <w:proofErr w:type="spellStart"/>
      <w:r w:rsidR="004144B4">
        <w:rPr>
          <w:color w:val="222222"/>
          <w:sz w:val="24"/>
          <w:szCs w:val="24"/>
          <w:highlight w:val="white"/>
          <w:lang w:val="en-GB"/>
        </w:rPr>
        <w:t>Heslina</w:t>
      </w:r>
      <w:proofErr w:type="spellEnd"/>
      <w:r w:rsidR="004144B4">
        <w:rPr>
          <w:color w:val="222222"/>
          <w:sz w:val="24"/>
          <w:szCs w:val="24"/>
          <w:highlight w:val="white"/>
          <w:lang w:val="en-GB"/>
        </w:rPr>
        <w:t xml:space="preserve"> and </w:t>
      </w:r>
      <w:proofErr w:type="spellStart"/>
      <w:r w:rsidR="004144B4">
        <w:rPr>
          <w:color w:val="222222"/>
          <w:sz w:val="24"/>
          <w:szCs w:val="24"/>
          <w:highlight w:val="white"/>
          <w:lang w:val="en-GB"/>
        </w:rPr>
        <w:t>Syahruni</w:t>
      </w:r>
      <w:proofErr w:type="spellEnd"/>
      <w:r w:rsidR="004144B4">
        <w:rPr>
          <w:color w:val="222222"/>
          <w:sz w:val="24"/>
          <w:szCs w:val="24"/>
          <w:highlight w:val="white"/>
          <w:lang w:val="en-GB"/>
        </w:rPr>
        <w:t>, 2021, p. 9)</w:t>
      </w:r>
      <w:r w:rsidR="004144B4">
        <w:rPr>
          <w:sz w:val="24"/>
          <w:szCs w:val="24"/>
          <w:lang w:val="en-GB"/>
        </w:rPr>
        <w:t xml:space="preserve">. At the same time, offering massive opportunities for employee growth and increasing the knowledge levels might help the employees to increase their performance effectiveness, and this pacific way also ensure the fact that employees are properly </w:t>
      </w:r>
      <w:proofErr w:type="gramStart"/>
      <w:r w:rsidR="004144B4">
        <w:rPr>
          <w:sz w:val="24"/>
          <w:szCs w:val="24"/>
          <w:lang w:val="en-GB"/>
        </w:rPr>
        <w:t>valued</w:t>
      </w:r>
      <w:proofErr w:type="gramEnd"/>
      <w:r w:rsidR="004144B4">
        <w:rPr>
          <w:sz w:val="24"/>
          <w:szCs w:val="24"/>
          <w:lang w:val="en-GB"/>
        </w:rPr>
        <w:t xml:space="preserve"> and their emotions are maintained. In addition to that, creating an effective bond between the workers and management within the employee management program helps the workers in terms of maintaining a sustainable relationship at the workplace with lower levels of workplace conflicts. In the above section, the KPI is discussed and through the </w:t>
      </w:r>
      <w:r w:rsidR="004144B4">
        <w:rPr>
          <w:sz w:val="24"/>
          <w:szCs w:val="24"/>
          <w:lang w:val="en-GB"/>
        </w:rPr>
        <w:lastRenderedPageBreak/>
        <w:t xml:space="preserve">adaption of KPI the employee retention rates are being addressed and this specific aspect helps the workers to understand the value of their job and helps them to become responsible within their performance area. </w:t>
      </w:r>
    </w:p>
    <w:p w14:paraId="026872AB" w14:textId="568CFAB4" w:rsidR="004144B4" w:rsidRDefault="004144B4" w:rsidP="004144B4">
      <w:pPr>
        <w:pStyle w:val="Normal1"/>
        <w:spacing w:line="360" w:lineRule="auto"/>
        <w:jc w:val="center"/>
        <w:rPr>
          <w:sz w:val="24"/>
          <w:szCs w:val="24"/>
          <w:lang w:val="en-GB"/>
        </w:rPr>
      </w:pPr>
      <w:r>
        <w:rPr>
          <w:noProof/>
        </w:rPr>
        <mc:AlternateContent>
          <mc:Choice Requires="wps">
            <w:drawing>
              <wp:inline distT="0" distB="0" distL="0" distR="0" wp14:anchorId="53091FB6" wp14:editId="50729362">
                <wp:extent cx="304800" cy="304800"/>
                <wp:effectExtent l="0" t="0" r="0" b="0"/>
                <wp:docPr id="2" name="Rectangle 2" descr="Employee Value Proposition: The Complete Guide to Building a Great EV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821429" id="Rectangle 2" o:spid="_x0000_s1026" alt="Employee Value Proposition: The Complete Guide to Building a Great EV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sz w:val="24"/>
          <w:szCs w:val="24"/>
        </w:rPr>
        <w:drawing>
          <wp:inline distT="0" distB="0" distL="0" distR="0" wp14:anchorId="7C5423B5" wp14:editId="0BDEB56C">
            <wp:extent cx="4114800" cy="2674620"/>
            <wp:effectExtent l="0" t="0" r="0" b="0"/>
            <wp:docPr id="1" name="Picture 1" descr="Employee Value Proposition | EVP | Attract and Retain the best talent |  Services | Laws of Att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ployee Value Proposition | EVP | Attract and Retain the best talent |  Services | Laws of Attrac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14800" cy="2674620"/>
                    </a:xfrm>
                    <a:prstGeom prst="rect">
                      <a:avLst/>
                    </a:prstGeom>
                    <a:noFill/>
                    <a:ln>
                      <a:noFill/>
                    </a:ln>
                  </pic:spPr>
                </pic:pic>
              </a:graphicData>
            </a:graphic>
          </wp:inline>
        </w:drawing>
      </w:r>
    </w:p>
    <w:p w14:paraId="7C03BF2B" w14:textId="77777777" w:rsidR="004144B4" w:rsidRDefault="004144B4" w:rsidP="004144B4">
      <w:pPr>
        <w:pStyle w:val="Normal1"/>
        <w:spacing w:line="360" w:lineRule="auto"/>
        <w:jc w:val="center"/>
        <w:rPr>
          <w:b/>
          <w:sz w:val="24"/>
          <w:szCs w:val="24"/>
          <w:lang w:val="en-GB"/>
        </w:rPr>
      </w:pPr>
      <w:r>
        <w:rPr>
          <w:b/>
          <w:sz w:val="24"/>
          <w:szCs w:val="24"/>
          <w:lang w:val="en-GB"/>
        </w:rPr>
        <w:t xml:space="preserve">Figure 1: Value Proposition Model </w:t>
      </w:r>
    </w:p>
    <w:p w14:paraId="36C9C58B" w14:textId="7EC42C00" w:rsidR="004144B4" w:rsidRDefault="004144B4" w:rsidP="004144B4">
      <w:pPr>
        <w:pStyle w:val="Normal1"/>
        <w:spacing w:line="360" w:lineRule="auto"/>
        <w:jc w:val="center"/>
        <w:rPr>
          <w:color w:val="222222"/>
          <w:sz w:val="24"/>
          <w:szCs w:val="24"/>
          <w:lang w:val="en-GB"/>
        </w:rPr>
      </w:pPr>
      <w:r>
        <w:rPr>
          <w:sz w:val="24"/>
          <w:szCs w:val="24"/>
          <w:lang w:val="en-GB"/>
        </w:rPr>
        <w:t xml:space="preserve">(Source: </w:t>
      </w:r>
      <w:proofErr w:type="spellStart"/>
      <w:r>
        <w:rPr>
          <w:color w:val="222222"/>
          <w:sz w:val="24"/>
          <w:szCs w:val="24"/>
          <w:highlight w:val="white"/>
          <w:lang w:val="en-GB"/>
        </w:rPr>
        <w:t>Heslina</w:t>
      </w:r>
      <w:proofErr w:type="spellEnd"/>
      <w:r>
        <w:rPr>
          <w:color w:val="222222"/>
          <w:sz w:val="24"/>
          <w:szCs w:val="24"/>
          <w:highlight w:val="white"/>
          <w:lang w:val="en-GB"/>
        </w:rPr>
        <w:t xml:space="preserve"> and </w:t>
      </w:r>
      <w:proofErr w:type="spellStart"/>
      <w:r>
        <w:rPr>
          <w:color w:val="222222"/>
          <w:sz w:val="24"/>
          <w:szCs w:val="24"/>
          <w:highlight w:val="white"/>
          <w:lang w:val="en-GB"/>
        </w:rPr>
        <w:t>Syahruni</w:t>
      </w:r>
      <w:proofErr w:type="spellEnd"/>
      <w:r>
        <w:rPr>
          <w:color w:val="222222"/>
          <w:sz w:val="24"/>
          <w:szCs w:val="24"/>
          <w:highlight w:val="white"/>
          <w:lang w:val="en-GB"/>
        </w:rPr>
        <w:t>, 2021</w:t>
      </w:r>
      <w:r>
        <w:rPr>
          <w:color w:val="222222"/>
          <w:sz w:val="24"/>
          <w:szCs w:val="24"/>
          <w:lang w:val="en-GB"/>
        </w:rPr>
        <w:t>)</w:t>
      </w:r>
    </w:p>
    <w:p w14:paraId="46D9092A" w14:textId="77777777" w:rsidR="0009423A" w:rsidRDefault="0009423A" w:rsidP="004144B4">
      <w:pPr>
        <w:pStyle w:val="Normal1"/>
        <w:spacing w:line="360" w:lineRule="auto"/>
        <w:jc w:val="center"/>
        <w:rPr>
          <w:sz w:val="24"/>
          <w:szCs w:val="24"/>
          <w:lang w:val="en-GB"/>
        </w:rPr>
      </w:pPr>
    </w:p>
    <w:p w14:paraId="75AC25B5" w14:textId="0F417231" w:rsidR="004144B4" w:rsidRDefault="004144B4" w:rsidP="004144B4">
      <w:pPr>
        <w:pStyle w:val="Heading1"/>
        <w:rPr>
          <w:rFonts w:ascii="Arial" w:eastAsia="Calibri" w:hAnsi="Arial" w:cs="Arial"/>
          <w:szCs w:val="24"/>
          <w:lang w:val="en-GB"/>
        </w:rPr>
      </w:pPr>
      <w:bookmarkStart w:id="6" w:name="_Toc90740003"/>
      <w:r>
        <w:rPr>
          <w:rFonts w:ascii="Arial" w:eastAsia="Calibri" w:hAnsi="Arial" w:cs="Arial"/>
          <w:szCs w:val="24"/>
          <w:lang w:val="en-GB"/>
        </w:rPr>
        <w:t>Strategies to raise the level of employee’s engagement</w:t>
      </w:r>
      <w:bookmarkEnd w:id="6"/>
    </w:p>
    <w:p w14:paraId="5CC684C9" w14:textId="77777777" w:rsidR="0009423A" w:rsidRPr="0009423A" w:rsidRDefault="0009423A" w:rsidP="0009423A">
      <w:pPr>
        <w:rPr>
          <w:lang w:val="en-GB"/>
        </w:rPr>
      </w:pPr>
    </w:p>
    <w:p w14:paraId="19939249" w14:textId="77777777" w:rsidR="0009423A" w:rsidRDefault="0009423A" w:rsidP="004144B4">
      <w:pPr>
        <w:pStyle w:val="Normal1"/>
        <w:spacing w:line="360" w:lineRule="auto"/>
        <w:jc w:val="both"/>
        <w:rPr>
          <w:sz w:val="24"/>
          <w:szCs w:val="24"/>
          <w:lang w:val="en-GB"/>
        </w:rPr>
      </w:pPr>
      <w:r>
        <w:rPr>
          <w:sz w:val="24"/>
          <w:szCs w:val="24"/>
          <w:lang w:val="en-GB"/>
        </w:rPr>
        <w:t xml:space="preserve">       </w:t>
      </w:r>
      <w:r w:rsidR="004144B4">
        <w:rPr>
          <w:sz w:val="24"/>
          <w:szCs w:val="24"/>
          <w:lang w:val="en-GB"/>
        </w:rPr>
        <w:t xml:space="preserve">In general means, a higher level of employee engagement within the workplace promotes a high level of retention of the talent, improves the overall organizational performance, strengthens customer loyalty, and most importantly maintains the stakeholder value. However, within an organization, there are some core ideas or strategies that are extensively used to increase employee engagement levels. As per the perspective of </w:t>
      </w:r>
      <w:proofErr w:type="spellStart"/>
      <w:r w:rsidR="004144B4">
        <w:rPr>
          <w:sz w:val="24"/>
          <w:szCs w:val="24"/>
          <w:lang w:val="en-GB"/>
        </w:rPr>
        <w:t>Giacom</w:t>
      </w:r>
      <w:proofErr w:type="spellEnd"/>
      <w:r w:rsidR="004144B4">
        <w:rPr>
          <w:sz w:val="24"/>
          <w:szCs w:val="24"/>
          <w:lang w:val="en-GB"/>
        </w:rPr>
        <w:t>, the organization sets the business goals, and through measuring the business goals, the organization could set a benchmark for themselves that specifically keeps the engagement level high (</w:t>
      </w:r>
      <w:proofErr w:type="spellStart"/>
      <w:r w:rsidR="004144B4">
        <w:rPr>
          <w:color w:val="222222"/>
          <w:sz w:val="24"/>
          <w:szCs w:val="24"/>
          <w:highlight w:val="white"/>
          <w:lang w:val="en-GB"/>
        </w:rPr>
        <w:t>Tepayakul</w:t>
      </w:r>
      <w:proofErr w:type="spellEnd"/>
      <w:r w:rsidR="004144B4">
        <w:rPr>
          <w:color w:val="222222"/>
          <w:sz w:val="24"/>
          <w:szCs w:val="24"/>
          <w:highlight w:val="white"/>
          <w:lang w:val="en-GB"/>
        </w:rPr>
        <w:t xml:space="preserve"> and </w:t>
      </w:r>
      <w:proofErr w:type="spellStart"/>
      <w:r w:rsidR="004144B4">
        <w:rPr>
          <w:color w:val="222222"/>
          <w:sz w:val="24"/>
          <w:szCs w:val="24"/>
          <w:highlight w:val="white"/>
          <w:lang w:val="en-GB"/>
        </w:rPr>
        <w:t>Rinthaisong</w:t>
      </w:r>
      <w:proofErr w:type="spellEnd"/>
      <w:r w:rsidR="004144B4">
        <w:rPr>
          <w:color w:val="222222"/>
          <w:sz w:val="24"/>
          <w:szCs w:val="24"/>
          <w:highlight w:val="white"/>
          <w:lang w:val="en-GB"/>
        </w:rPr>
        <w:t>, 2018, p. 70)</w:t>
      </w:r>
      <w:r w:rsidR="004144B4">
        <w:rPr>
          <w:sz w:val="24"/>
          <w:szCs w:val="24"/>
          <w:lang w:val="en-GB"/>
        </w:rPr>
        <w:t xml:space="preserve">. In addition to that, </w:t>
      </w:r>
      <w:proofErr w:type="spellStart"/>
      <w:r w:rsidR="004144B4">
        <w:rPr>
          <w:sz w:val="24"/>
          <w:szCs w:val="24"/>
          <w:lang w:val="en-GB"/>
        </w:rPr>
        <w:t>Giacom</w:t>
      </w:r>
      <w:proofErr w:type="spellEnd"/>
      <w:r w:rsidR="004144B4">
        <w:rPr>
          <w:sz w:val="24"/>
          <w:szCs w:val="24"/>
          <w:lang w:val="en-GB"/>
        </w:rPr>
        <w:t xml:space="preserve"> also promotes reward innovation tactics, where the employees are inspired through the innovation and have been able to create a performance environment that is highly innovative in nature.</w:t>
      </w:r>
    </w:p>
    <w:p w14:paraId="682F8424" w14:textId="502B0C41" w:rsidR="004144B4" w:rsidRDefault="0009423A" w:rsidP="004144B4">
      <w:pPr>
        <w:pStyle w:val="Normal1"/>
        <w:spacing w:line="360" w:lineRule="auto"/>
        <w:jc w:val="both"/>
        <w:rPr>
          <w:sz w:val="24"/>
          <w:szCs w:val="24"/>
          <w:lang w:val="en-GB"/>
        </w:rPr>
      </w:pPr>
      <w:r>
        <w:rPr>
          <w:sz w:val="24"/>
          <w:szCs w:val="24"/>
          <w:lang w:val="en-GB"/>
        </w:rPr>
        <w:t xml:space="preserve">         </w:t>
      </w:r>
      <w:r w:rsidR="004144B4">
        <w:rPr>
          <w:sz w:val="24"/>
          <w:szCs w:val="24"/>
          <w:lang w:val="en-GB"/>
        </w:rPr>
        <w:t xml:space="preserve"> Apart from that, the organization also taking major steps in terms of creating an environment that specifically focuses on employee wellbeing, and in their employee wellbeing program, the organization offers health insurance, flexible working options, and offers financial benefits. </w:t>
      </w:r>
    </w:p>
    <w:p w14:paraId="01ED4ECB" w14:textId="77777777" w:rsidR="004144B4" w:rsidRDefault="004144B4" w:rsidP="004144B4">
      <w:pPr>
        <w:pStyle w:val="Heading1"/>
        <w:rPr>
          <w:rFonts w:ascii="Arial" w:eastAsia="Calibri" w:hAnsi="Arial" w:cs="Arial"/>
          <w:szCs w:val="24"/>
          <w:lang w:val="en-GB"/>
        </w:rPr>
      </w:pPr>
      <w:bookmarkStart w:id="7" w:name="_Toc90740004"/>
      <w:r>
        <w:rPr>
          <w:rFonts w:ascii="Arial" w:eastAsia="Calibri" w:hAnsi="Arial" w:cs="Arial"/>
          <w:szCs w:val="24"/>
          <w:lang w:val="en-GB"/>
        </w:rPr>
        <w:lastRenderedPageBreak/>
        <w:t>Conclusion</w:t>
      </w:r>
      <w:bookmarkEnd w:id="7"/>
      <w:r>
        <w:rPr>
          <w:rFonts w:ascii="Arial" w:eastAsia="Calibri" w:hAnsi="Arial" w:cs="Arial"/>
          <w:szCs w:val="24"/>
          <w:lang w:val="en-GB"/>
        </w:rPr>
        <w:t xml:space="preserve"> </w:t>
      </w:r>
    </w:p>
    <w:p w14:paraId="07F482F0" w14:textId="417D4B72" w:rsidR="004144B4" w:rsidRDefault="0009423A" w:rsidP="004144B4">
      <w:pPr>
        <w:pStyle w:val="Normal1"/>
        <w:spacing w:line="360" w:lineRule="auto"/>
        <w:jc w:val="both"/>
        <w:rPr>
          <w:sz w:val="24"/>
          <w:szCs w:val="24"/>
          <w:lang w:val="en-GB"/>
        </w:rPr>
      </w:pPr>
      <w:r>
        <w:rPr>
          <w:sz w:val="24"/>
          <w:szCs w:val="24"/>
          <w:lang w:val="en-GB"/>
        </w:rPr>
        <w:t xml:space="preserve">       </w:t>
      </w:r>
      <w:r w:rsidR="004144B4">
        <w:rPr>
          <w:sz w:val="24"/>
          <w:szCs w:val="24"/>
          <w:lang w:val="en-GB"/>
        </w:rPr>
        <w:t xml:space="preserve">From the above discussion it can be concluded, the employee engagement procedure is one of the effective parts of the organizational development program. At the same time, </w:t>
      </w:r>
      <w:proofErr w:type="gramStart"/>
      <w:r w:rsidR="004144B4">
        <w:rPr>
          <w:sz w:val="24"/>
          <w:szCs w:val="24"/>
          <w:lang w:val="en-GB"/>
        </w:rPr>
        <w:t>in order to</w:t>
      </w:r>
      <w:proofErr w:type="gramEnd"/>
      <w:r w:rsidR="004144B4">
        <w:rPr>
          <w:sz w:val="24"/>
          <w:szCs w:val="24"/>
          <w:lang w:val="en-GB"/>
        </w:rPr>
        <w:t xml:space="preserve"> increase employee engagement levels, the organization needs to promote a supportive culture and a healthy working atmosphere. The study offered a vast perspective of Kahn’s employee engagement theory that could be applied </w:t>
      </w:r>
      <w:proofErr w:type="gramStart"/>
      <w:r w:rsidR="004144B4">
        <w:rPr>
          <w:sz w:val="24"/>
          <w:szCs w:val="24"/>
          <w:lang w:val="en-GB"/>
        </w:rPr>
        <w:t>in order to</w:t>
      </w:r>
      <w:proofErr w:type="gramEnd"/>
      <w:r w:rsidR="004144B4">
        <w:rPr>
          <w:sz w:val="24"/>
          <w:szCs w:val="24"/>
          <w:lang w:val="en-GB"/>
        </w:rPr>
        <w:t xml:space="preserve"> increase employee engagement. </w:t>
      </w:r>
      <w:r w:rsidR="004144B4">
        <w:rPr>
          <w:sz w:val="24"/>
          <w:szCs w:val="24"/>
          <w:lang w:val="en-GB"/>
        </w:rPr>
        <w:br w:type="page"/>
      </w:r>
    </w:p>
    <w:p w14:paraId="4A4FE5B7" w14:textId="77777777" w:rsidR="004144B4" w:rsidRDefault="004144B4" w:rsidP="004144B4">
      <w:pPr>
        <w:pStyle w:val="Heading1"/>
        <w:rPr>
          <w:rFonts w:ascii="Arial" w:eastAsia="Calibri" w:hAnsi="Arial" w:cs="Arial"/>
          <w:szCs w:val="24"/>
          <w:lang w:val="en-GB"/>
        </w:rPr>
      </w:pPr>
      <w:bookmarkStart w:id="8" w:name="_Toc90740005"/>
      <w:r>
        <w:rPr>
          <w:rFonts w:ascii="Arial" w:eastAsia="Calibri" w:hAnsi="Arial" w:cs="Arial"/>
          <w:szCs w:val="24"/>
          <w:lang w:val="en-GB"/>
        </w:rPr>
        <w:lastRenderedPageBreak/>
        <w:t>References</w:t>
      </w:r>
      <w:bookmarkEnd w:id="8"/>
      <w:r>
        <w:rPr>
          <w:rFonts w:ascii="Arial" w:eastAsia="Calibri" w:hAnsi="Arial" w:cs="Arial"/>
          <w:szCs w:val="24"/>
          <w:lang w:val="en-GB"/>
        </w:rPr>
        <w:t xml:space="preserve"> </w:t>
      </w:r>
    </w:p>
    <w:p w14:paraId="762C749C" w14:textId="77777777" w:rsidR="004144B4" w:rsidRDefault="004144B4" w:rsidP="004144B4">
      <w:pPr>
        <w:pStyle w:val="Normal1"/>
        <w:spacing w:line="360" w:lineRule="auto"/>
        <w:jc w:val="both"/>
        <w:rPr>
          <w:color w:val="222222"/>
          <w:sz w:val="24"/>
          <w:szCs w:val="24"/>
          <w:highlight w:val="white"/>
          <w:lang w:val="en-GB"/>
        </w:rPr>
      </w:pPr>
      <w:proofErr w:type="spellStart"/>
      <w:r>
        <w:rPr>
          <w:color w:val="222222"/>
          <w:sz w:val="24"/>
          <w:szCs w:val="24"/>
          <w:highlight w:val="white"/>
          <w:lang w:val="en-GB"/>
        </w:rPr>
        <w:t>Heslina</w:t>
      </w:r>
      <w:proofErr w:type="spellEnd"/>
      <w:r>
        <w:rPr>
          <w:color w:val="222222"/>
          <w:sz w:val="24"/>
          <w:szCs w:val="24"/>
          <w:highlight w:val="white"/>
          <w:lang w:val="en-GB"/>
        </w:rPr>
        <w:t xml:space="preserve">, H. and </w:t>
      </w:r>
      <w:proofErr w:type="spellStart"/>
      <w:r>
        <w:rPr>
          <w:color w:val="222222"/>
          <w:sz w:val="24"/>
          <w:szCs w:val="24"/>
          <w:highlight w:val="white"/>
          <w:lang w:val="en-GB"/>
        </w:rPr>
        <w:t>Syahruni</w:t>
      </w:r>
      <w:proofErr w:type="spellEnd"/>
      <w:r>
        <w:rPr>
          <w:color w:val="222222"/>
          <w:sz w:val="24"/>
          <w:szCs w:val="24"/>
          <w:highlight w:val="white"/>
          <w:lang w:val="en-GB"/>
        </w:rPr>
        <w:t xml:space="preserve">, A., 2021. The Influence of Information Technology, Human Resources Competency and Employee Engagement on Performance of Employees. </w:t>
      </w:r>
      <w:r>
        <w:rPr>
          <w:i/>
          <w:color w:val="222222"/>
          <w:sz w:val="24"/>
          <w:szCs w:val="24"/>
          <w:highlight w:val="white"/>
          <w:lang w:val="en-GB"/>
        </w:rPr>
        <w:t>Golden Ratio of Human Resource Management</w:t>
      </w:r>
      <w:r>
        <w:rPr>
          <w:color w:val="222222"/>
          <w:sz w:val="24"/>
          <w:szCs w:val="24"/>
          <w:highlight w:val="white"/>
          <w:lang w:val="en-GB"/>
        </w:rPr>
        <w:t xml:space="preserve">, </w:t>
      </w:r>
      <w:r>
        <w:rPr>
          <w:i/>
          <w:color w:val="222222"/>
          <w:sz w:val="24"/>
          <w:szCs w:val="24"/>
          <w:highlight w:val="white"/>
          <w:lang w:val="en-GB"/>
        </w:rPr>
        <w:t>1</w:t>
      </w:r>
      <w:r>
        <w:rPr>
          <w:color w:val="222222"/>
          <w:sz w:val="24"/>
          <w:szCs w:val="24"/>
          <w:highlight w:val="white"/>
          <w:lang w:val="en-GB"/>
        </w:rPr>
        <w:t>(1), pp.01-12.</w:t>
      </w:r>
    </w:p>
    <w:p w14:paraId="22827F1B" w14:textId="77777777" w:rsidR="004144B4" w:rsidRDefault="004144B4" w:rsidP="004144B4">
      <w:pPr>
        <w:pStyle w:val="Normal1"/>
        <w:spacing w:line="360" w:lineRule="auto"/>
        <w:jc w:val="both"/>
        <w:rPr>
          <w:color w:val="222222"/>
          <w:sz w:val="24"/>
          <w:szCs w:val="24"/>
          <w:highlight w:val="white"/>
          <w:lang w:val="en-GB"/>
        </w:rPr>
      </w:pPr>
      <w:r>
        <w:rPr>
          <w:color w:val="222222"/>
          <w:sz w:val="24"/>
          <w:szCs w:val="24"/>
          <w:highlight w:val="white"/>
          <w:lang w:val="en-GB"/>
        </w:rPr>
        <w:t xml:space="preserve">Lemon, L.L. and </w:t>
      </w:r>
      <w:proofErr w:type="spellStart"/>
      <w:r>
        <w:rPr>
          <w:color w:val="222222"/>
          <w:sz w:val="24"/>
          <w:szCs w:val="24"/>
          <w:highlight w:val="white"/>
          <w:lang w:val="en-GB"/>
        </w:rPr>
        <w:t>Palenchar</w:t>
      </w:r>
      <w:proofErr w:type="spellEnd"/>
      <w:r>
        <w:rPr>
          <w:color w:val="222222"/>
          <w:sz w:val="24"/>
          <w:szCs w:val="24"/>
          <w:highlight w:val="white"/>
          <w:lang w:val="en-GB"/>
        </w:rPr>
        <w:t xml:space="preserve">, M.J., 2018. Public relations and zones of engagement: Employees’ lived experiences and the fundamental nature of employee engagement. </w:t>
      </w:r>
      <w:r>
        <w:rPr>
          <w:i/>
          <w:color w:val="222222"/>
          <w:sz w:val="24"/>
          <w:szCs w:val="24"/>
          <w:highlight w:val="white"/>
          <w:lang w:val="en-GB"/>
        </w:rPr>
        <w:t>Public Relations Review</w:t>
      </w:r>
      <w:r>
        <w:rPr>
          <w:color w:val="222222"/>
          <w:sz w:val="24"/>
          <w:szCs w:val="24"/>
          <w:highlight w:val="white"/>
          <w:lang w:val="en-GB"/>
        </w:rPr>
        <w:t xml:space="preserve">, </w:t>
      </w:r>
      <w:r>
        <w:rPr>
          <w:i/>
          <w:color w:val="222222"/>
          <w:sz w:val="24"/>
          <w:szCs w:val="24"/>
          <w:highlight w:val="white"/>
          <w:lang w:val="en-GB"/>
        </w:rPr>
        <w:t>44</w:t>
      </w:r>
      <w:r>
        <w:rPr>
          <w:color w:val="222222"/>
          <w:sz w:val="24"/>
          <w:szCs w:val="24"/>
          <w:highlight w:val="white"/>
          <w:lang w:val="en-GB"/>
        </w:rPr>
        <w:t>(1), pp.142-155.</w:t>
      </w:r>
    </w:p>
    <w:p w14:paraId="03530129" w14:textId="77777777" w:rsidR="004144B4" w:rsidRDefault="004144B4" w:rsidP="004144B4">
      <w:pPr>
        <w:pStyle w:val="Normal1"/>
        <w:spacing w:line="360" w:lineRule="auto"/>
        <w:jc w:val="both"/>
        <w:rPr>
          <w:color w:val="222222"/>
          <w:sz w:val="24"/>
          <w:szCs w:val="24"/>
          <w:highlight w:val="white"/>
          <w:lang w:val="en-GB"/>
        </w:rPr>
      </w:pPr>
      <w:r>
        <w:rPr>
          <w:color w:val="263238"/>
          <w:sz w:val="24"/>
          <w:szCs w:val="24"/>
          <w:highlight w:val="white"/>
          <w:lang w:val="en-GB"/>
        </w:rPr>
        <w:t xml:space="preserve">Ltd, G. (2021) Reselling cloud services the easy way starts with </w:t>
      </w:r>
      <w:proofErr w:type="spellStart"/>
      <w:r>
        <w:rPr>
          <w:color w:val="263238"/>
          <w:sz w:val="24"/>
          <w:szCs w:val="24"/>
          <w:highlight w:val="white"/>
          <w:lang w:val="en-GB"/>
        </w:rPr>
        <w:t>Giacom</w:t>
      </w:r>
      <w:proofErr w:type="spellEnd"/>
      <w:r>
        <w:rPr>
          <w:color w:val="263238"/>
          <w:sz w:val="24"/>
          <w:szCs w:val="24"/>
          <w:highlight w:val="white"/>
          <w:lang w:val="en-GB"/>
        </w:rPr>
        <w:t xml:space="preserve">, Cloudmarket.com. Available at: </w:t>
      </w:r>
      <w:hyperlink r:id="rId16" w:history="1">
        <w:r>
          <w:rPr>
            <w:rStyle w:val="Hyperlink"/>
            <w:color w:val="263238"/>
            <w:sz w:val="24"/>
            <w:szCs w:val="24"/>
            <w:highlight w:val="white"/>
            <w:lang w:val="en-GB"/>
          </w:rPr>
          <w:t>https://cloudmarket.com/about</w:t>
        </w:r>
      </w:hyperlink>
      <w:r>
        <w:rPr>
          <w:color w:val="263238"/>
          <w:sz w:val="24"/>
          <w:szCs w:val="24"/>
          <w:highlight w:val="white"/>
          <w:lang w:val="en-GB"/>
        </w:rPr>
        <w:t xml:space="preserve"> (Accessed: 18 December 2021).</w:t>
      </w:r>
    </w:p>
    <w:p w14:paraId="226026E9" w14:textId="77777777" w:rsidR="004144B4" w:rsidRDefault="004144B4" w:rsidP="004144B4">
      <w:pPr>
        <w:pStyle w:val="Normal1"/>
        <w:spacing w:line="360" w:lineRule="auto"/>
        <w:jc w:val="both"/>
        <w:rPr>
          <w:color w:val="222222"/>
          <w:sz w:val="24"/>
          <w:szCs w:val="24"/>
          <w:highlight w:val="white"/>
          <w:lang w:val="en-GB"/>
        </w:rPr>
      </w:pPr>
      <w:proofErr w:type="spellStart"/>
      <w:r>
        <w:rPr>
          <w:color w:val="222222"/>
          <w:sz w:val="24"/>
          <w:szCs w:val="24"/>
          <w:highlight w:val="white"/>
          <w:lang w:val="en-GB"/>
        </w:rPr>
        <w:t>Motyka</w:t>
      </w:r>
      <w:proofErr w:type="spellEnd"/>
      <w:r>
        <w:rPr>
          <w:color w:val="222222"/>
          <w:sz w:val="24"/>
          <w:szCs w:val="24"/>
          <w:highlight w:val="white"/>
          <w:lang w:val="en-GB"/>
        </w:rPr>
        <w:t xml:space="preserve">, B., 2018. Employee engagement and performance: a systematic literature review. </w:t>
      </w:r>
      <w:r>
        <w:rPr>
          <w:i/>
          <w:color w:val="222222"/>
          <w:sz w:val="24"/>
          <w:szCs w:val="24"/>
          <w:highlight w:val="white"/>
          <w:lang w:val="en-GB"/>
        </w:rPr>
        <w:t>International Journal of Management and Economics</w:t>
      </w:r>
      <w:r>
        <w:rPr>
          <w:color w:val="222222"/>
          <w:sz w:val="24"/>
          <w:szCs w:val="24"/>
          <w:highlight w:val="white"/>
          <w:lang w:val="en-GB"/>
        </w:rPr>
        <w:t xml:space="preserve">, </w:t>
      </w:r>
      <w:r>
        <w:rPr>
          <w:i/>
          <w:color w:val="222222"/>
          <w:sz w:val="24"/>
          <w:szCs w:val="24"/>
          <w:highlight w:val="white"/>
          <w:lang w:val="en-GB"/>
        </w:rPr>
        <w:t>54</w:t>
      </w:r>
      <w:r>
        <w:rPr>
          <w:color w:val="222222"/>
          <w:sz w:val="24"/>
          <w:szCs w:val="24"/>
          <w:highlight w:val="white"/>
          <w:lang w:val="en-GB"/>
        </w:rPr>
        <w:t>(3), pp.227-244.</w:t>
      </w:r>
    </w:p>
    <w:p w14:paraId="5DC18825" w14:textId="77777777" w:rsidR="004144B4" w:rsidRDefault="004144B4" w:rsidP="004144B4">
      <w:pPr>
        <w:pStyle w:val="Normal1"/>
        <w:spacing w:line="360" w:lineRule="auto"/>
        <w:jc w:val="both"/>
        <w:rPr>
          <w:color w:val="222222"/>
          <w:sz w:val="24"/>
          <w:szCs w:val="24"/>
          <w:highlight w:val="white"/>
          <w:lang w:val="en-GB"/>
        </w:rPr>
      </w:pPr>
      <w:r>
        <w:rPr>
          <w:color w:val="222222"/>
          <w:sz w:val="24"/>
          <w:szCs w:val="24"/>
          <w:highlight w:val="white"/>
          <w:lang w:val="en-GB"/>
        </w:rPr>
        <w:t xml:space="preserve">Osborne, S. and Hammoud, M.S., 2017. Effective employee engagement in the workplace. </w:t>
      </w:r>
      <w:r>
        <w:rPr>
          <w:i/>
          <w:color w:val="222222"/>
          <w:sz w:val="24"/>
          <w:szCs w:val="24"/>
          <w:highlight w:val="white"/>
          <w:lang w:val="en-GB"/>
        </w:rPr>
        <w:t>International Journal of Applied Management and Technology</w:t>
      </w:r>
      <w:r>
        <w:rPr>
          <w:color w:val="222222"/>
          <w:sz w:val="24"/>
          <w:szCs w:val="24"/>
          <w:highlight w:val="white"/>
          <w:lang w:val="en-GB"/>
        </w:rPr>
        <w:t xml:space="preserve">, </w:t>
      </w:r>
      <w:r>
        <w:rPr>
          <w:i/>
          <w:color w:val="222222"/>
          <w:sz w:val="24"/>
          <w:szCs w:val="24"/>
          <w:highlight w:val="white"/>
          <w:lang w:val="en-GB"/>
        </w:rPr>
        <w:t>16</w:t>
      </w:r>
      <w:r>
        <w:rPr>
          <w:color w:val="222222"/>
          <w:sz w:val="24"/>
          <w:szCs w:val="24"/>
          <w:highlight w:val="white"/>
          <w:lang w:val="en-GB"/>
        </w:rPr>
        <w:t>(1), p.4.</w:t>
      </w:r>
    </w:p>
    <w:p w14:paraId="6490D991" w14:textId="77777777" w:rsidR="004144B4" w:rsidRDefault="004144B4" w:rsidP="004144B4">
      <w:pPr>
        <w:pStyle w:val="Normal1"/>
        <w:spacing w:line="360" w:lineRule="auto"/>
        <w:jc w:val="both"/>
        <w:rPr>
          <w:color w:val="222222"/>
          <w:sz w:val="24"/>
          <w:szCs w:val="24"/>
          <w:highlight w:val="white"/>
          <w:lang w:val="en-GB"/>
        </w:rPr>
      </w:pPr>
      <w:r>
        <w:rPr>
          <w:color w:val="222222"/>
          <w:sz w:val="24"/>
          <w:szCs w:val="24"/>
          <w:highlight w:val="white"/>
          <w:lang w:val="en-GB"/>
        </w:rPr>
        <w:t xml:space="preserve">Shuck, B., </w:t>
      </w:r>
      <w:proofErr w:type="spellStart"/>
      <w:r>
        <w:rPr>
          <w:color w:val="222222"/>
          <w:sz w:val="24"/>
          <w:szCs w:val="24"/>
          <w:highlight w:val="white"/>
          <w:lang w:val="en-GB"/>
        </w:rPr>
        <w:t>Osam</w:t>
      </w:r>
      <w:proofErr w:type="spellEnd"/>
      <w:r>
        <w:rPr>
          <w:color w:val="222222"/>
          <w:sz w:val="24"/>
          <w:szCs w:val="24"/>
          <w:highlight w:val="white"/>
          <w:lang w:val="en-GB"/>
        </w:rPr>
        <w:t xml:space="preserve">, K., </w:t>
      </w:r>
      <w:proofErr w:type="spellStart"/>
      <w:r>
        <w:rPr>
          <w:color w:val="222222"/>
          <w:sz w:val="24"/>
          <w:szCs w:val="24"/>
          <w:highlight w:val="white"/>
          <w:lang w:val="en-GB"/>
        </w:rPr>
        <w:t>Zigarmi</w:t>
      </w:r>
      <w:proofErr w:type="spellEnd"/>
      <w:r>
        <w:rPr>
          <w:color w:val="222222"/>
          <w:sz w:val="24"/>
          <w:szCs w:val="24"/>
          <w:highlight w:val="white"/>
          <w:lang w:val="en-GB"/>
        </w:rPr>
        <w:t xml:space="preserve">, D. and </w:t>
      </w:r>
      <w:proofErr w:type="spellStart"/>
      <w:r>
        <w:rPr>
          <w:color w:val="222222"/>
          <w:sz w:val="24"/>
          <w:szCs w:val="24"/>
          <w:highlight w:val="white"/>
          <w:lang w:val="en-GB"/>
        </w:rPr>
        <w:t>Nimon</w:t>
      </w:r>
      <w:proofErr w:type="spellEnd"/>
      <w:r>
        <w:rPr>
          <w:color w:val="222222"/>
          <w:sz w:val="24"/>
          <w:szCs w:val="24"/>
          <w:highlight w:val="white"/>
          <w:lang w:val="en-GB"/>
        </w:rPr>
        <w:t xml:space="preserve">, K., 2017. Definitional and conceptual muddling: Identifying the positionality of employee engagement and defining the construct. </w:t>
      </w:r>
      <w:r>
        <w:rPr>
          <w:i/>
          <w:color w:val="222222"/>
          <w:sz w:val="24"/>
          <w:szCs w:val="24"/>
          <w:highlight w:val="white"/>
          <w:lang w:val="en-GB"/>
        </w:rPr>
        <w:t>Human Resource Development Review</w:t>
      </w:r>
      <w:r>
        <w:rPr>
          <w:color w:val="222222"/>
          <w:sz w:val="24"/>
          <w:szCs w:val="24"/>
          <w:highlight w:val="white"/>
          <w:lang w:val="en-GB"/>
        </w:rPr>
        <w:t xml:space="preserve">, </w:t>
      </w:r>
      <w:r>
        <w:rPr>
          <w:i/>
          <w:color w:val="222222"/>
          <w:sz w:val="24"/>
          <w:szCs w:val="24"/>
          <w:highlight w:val="white"/>
          <w:lang w:val="en-GB"/>
        </w:rPr>
        <w:t>16</w:t>
      </w:r>
      <w:r>
        <w:rPr>
          <w:color w:val="222222"/>
          <w:sz w:val="24"/>
          <w:szCs w:val="24"/>
          <w:highlight w:val="white"/>
          <w:lang w:val="en-GB"/>
        </w:rPr>
        <w:t>(3), pp.263-293.</w:t>
      </w:r>
    </w:p>
    <w:p w14:paraId="23F77F9F" w14:textId="77777777" w:rsidR="004144B4" w:rsidRDefault="004144B4" w:rsidP="004144B4">
      <w:pPr>
        <w:pStyle w:val="Normal1"/>
        <w:spacing w:line="360" w:lineRule="auto"/>
        <w:jc w:val="both"/>
        <w:rPr>
          <w:color w:val="222222"/>
          <w:sz w:val="24"/>
          <w:szCs w:val="24"/>
          <w:highlight w:val="white"/>
          <w:lang w:val="en-GB"/>
        </w:rPr>
      </w:pPr>
      <w:r>
        <w:rPr>
          <w:color w:val="222222"/>
          <w:sz w:val="24"/>
          <w:szCs w:val="24"/>
          <w:highlight w:val="white"/>
          <w:lang w:val="en-GB"/>
        </w:rPr>
        <w:t xml:space="preserve">Shuck, B., </w:t>
      </w:r>
      <w:proofErr w:type="spellStart"/>
      <w:r>
        <w:rPr>
          <w:color w:val="222222"/>
          <w:sz w:val="24"/>
          <w:szCs w:val="24"/>
          <w:highlight w:val="white"/>
          <w:lang w:val="en-GB"/>
        </w:rPr>
        <w:t>Osam</w:t>
      </w:r>
      <w:proofErr w:type="spellEnd"/>
      <w:r>
        <w:rPr>
          <w:color w:val="222222"/>
          <w:sz w:val="24"/>
          <w:szCs w:val="24"/>
          <w:highlight w:val="white"/>
          <w:lang w:val="en-GB"/>
        </w:rPr>
        <w:t xml:space="preserve">, K., </w:t>
      </w:r>
      <w:proofErr w:type="spellStart"/>
      <w:r>
        <w:rPr>
          <w:color w:val="222222"/>
          <w:sz w:val="24"/>
          <w:szCs w:val="24"/>
          <w:highlight w:val="white"/>
          <w:lang w:val="en-GB"/>
        </w:rPr>
        <w:t>Zigarmi</w:t>
      </w:r>
      <w:proofErr w:type="spellEnd"/>
      <w:r>
        <w:rPr>
          <w:color w:val="222222"/>
          <w:sz w:val="24"/>
          <w:szCs w:val="24"/>
          <w:highlight w:val="white"/>
          <w:lang w:val="en-GB"/>
        </w:rPr>
        <w:t xml:space="preserve">, D. and </w:t>
      </w:r>
      <w:proofErr w:type="spellStart"/>
      <w:r>
        <w:rPr>
          <w:color w:val="222222"/>
          <w:sz w:val="24"/>
          <w:szCs w:val="24"/>
          <w:highlight w:val="white"/>
          <w:lang w:val="en-GB"/>
        </w:rPr>
        <w:t>Nimon</w:t>
      </w:r>
      <w:proofErr w:type="spellEnd"/>
      <w:r>
        <w:rPr>
          <w:color w:val="222222"/>
          <w:sz w:val="24"/>
          <w:szCs w:val="24"/>
          <w:highlight w:val="white"/>
          <w:lang w:val="en-GB"/>
        </w:rPr>
        <w:t xml:space="preserve">, K., 2017. Definitional and conceptual muddling: Identifying the positionality of employee engagement and defining the construct. </w:t>
      </w:r>
      <w:r>
        <w:rPr>
          <w:i/>
          <w:color w:val="222222"/>
          <w:sz w:val="24"/>
          <w:szCs w:val="24"/>
          <w:highlight w:val="white"/>
          <w:lang w:val="en-GB"/>
        </w:rPr>
        <w:t>Human Resource Development Review</w:t>
      </w:r>
      <w:r>
        <w:rPr>
          <w:color w:val="222222"/>
          <w:sz w:val="24"/>
          <w:szCs w:val="24"/>
          <w:highlight w:val="white"/>
          <w:lang w:val="en-GB"/>
        </w:rPr>
        <w:t xml:space="preserve">, </w:t>
      </w:r>
      <w:r>
        <w:rPr>
          <w:i/>
          <w:color w:val="222222"/>
          <w:sz w:val="24"/>
          <w:szCs w:val="24"/>
          <w:highlight w:val="white"/>
          <w:lang w:val="en-GB"/>
        </w:rPr>
        <w:t>16</w:t>
      </w:r>
      <w:r>
        <w:rPr>
          <w:color w:val="222222"/>
          <w:sz w:val="24"/>
          <w:szCs w:val="24"/>
          <w:highlight w:val="white"/>
          <w:lang w:val="en-GB"/>
        </w:rPr>
        <w:t>(3), pp.263-293.</w:t>
      </w:r>
    </w:p>
    <w:p w14:paraId="68E7B879" w14:textId="77777777" w:rsidR="004144B4" w:rsidRDefault="004144B4" w:rsidP="004144B4">
      <w:pPr>
        <w:pStyle w:val="Normal1"/>
        <w:spacing w:line="360" w:lineRule="auto"/>
        <w:jc w:val="both"/>
        <w:rPr>
          <w:color w:val="222222"/>
          <w:sz w:val="24"/>
          <w:szCs w:val="24"/>
          <w:highlight w:val="white"/>
          <w:lang w:val="en-GB"/>
        </w:rPr>
      </w:pPr>
      <w:proofErr w:type="spellStart"/>
      <w:r>
        <w:rPr>
          <w:color w:val="222222"/>
          <w:sz w:val="24"/>
          <w:szCs w:val="24"/>
          <w:highlight w:val="white"/>
          <w:lang w:val="en-GB"/>
        </w:rPr>
        <w:t>Tepayakul</w:t>
      </w:r>
      <w:proofErr w:type="spellEnd"/>
      <w:r>
        <w:rPr>
          <w:color w:val="222222"/>
          <w:sz w:val="24"/>
          <w:szCs w:val="24"/>
          <w:highlight w:val="white"/>
          <w:lang w:val="en-GB"/>
        </w:rPr>
        <w:t xml:space="preserve">, R. and </w:t>
      </w:r>
      <w:proofErr w:type="spellStart"/>
      <w:r>
        <w:rPr>
          <w:color w:val="222222"/>
          <w:sz w:val="24"/>
          <w:szCs w:val="24"/>
          <w:highlight w:val="white"/>
          <w:lang w:val="en-GB"/>
        </w:rPr>
        <w:t>Rinthaisong</w:t>
      </w:r>
      <w:proofErr w:type="spellEnd"/>
      <w:r>
        <w:rPr>
          <w:color w:val="222222"/>
          <w:sz w:val="24"/>
          <w:szCs w:val="24"/>
          <w:highlight w:val="white"/>
          <w:lang w:val="en-GB"/>
        </w:rPr>
        <w:t xml:space="preserve">, I., 2018. Job satisfaction and employee engagement among human resources staff of Thai private higher education institutions. </w:t>
      </w:r>
      <w:r>
        <w:rPr>
          <w:i/>
          <w:color w:val="222222"/>
          <w:sz w:val="24"/>
          <w:szCs w:val="24"/>
          <w:highlight w:val="white"/>
          <w:lang w:val="en-GB"/>
        </w:rPr>
        <w:t xml:space="preserve">The Journal of </w:t>
      </w:r>
      <w:proofErr w:type="spellStart"/>
      <w:r>
        <w:rPr>
          <w:i/>
          <w:color w:val="222222"/>
          <w:sz w:val="24"/>
          <w:szCs w:val="24"/>
          <w:highlight w:val="white"/>
          <w:lang w:val="en-GB"/>
        </w:rPr>
        <w:t>Behavioral</w:t>
      </w:r>
      <w:proofErr w:type="spellEnd"/>
      <w:r>
        <w:rPr>
          <w:i/>
          <w:color w:val="222222"/>
          <w:sz w:val="24"/>
          <w:szCs w:val="24"/>
          <w:highlight w:val="white"/>
          <w:lang w:val="en-GB"/>
        </w:rPr>
        <w:t xml:space="preserve"> Science</w:t>
      </w:r>
      <w:r>
        <w:rPr>
          <w:color w:val="222222"/>
          <w:sz w:val="24"/>
          <w:szCs w:val="24"/>
          <w:highlight w:val="white"/>
          <w:lang w:val="en-GB"/>
        </w:rPr>
        <w:t xml:space="preserve">, </w:t>
      </w:r>
      <w:r>
        <w:rPr>
          <w:i/>
          <w:color w:val="222222"/>
          <w:sz w:val="24"/>
          <w:szCs w:val="24"/>
          <w:highlight w:val="white"/>
          <w:lang w:val="en-GB"/>
        </w:rPr>
        <w:t>13</w:t>
      </w:r>
      <w:r>
        <w:rPr>
          <w:color w:val="222222"/>
          <w:sz w:val="24"/>
          <w:szCs w:val="24"/>
          <w:highlight w:val="white"/>
          <w:lang w:val="en-GB"/>
        </w:rPr>
        <w:t>(2), pp.68-81.</w:t>
      </w:r>
    </w:p>
    <w:p w14:paraId="1C9CDF43" w14:textId="77777777" w:rsidR="004144B4" w:rsidRDefault="004144B4" w:rsidP="004144B4">
      <w:pPr>
        <w:pStyle w:val="Normal1"/>
        <w:spacing w:line="360" w:lineRule="auto"/>
        <w:jc w:val="both"/>
        <w:rPr>
          <w:color w:val="222222"/>
          <w:sz w:val="24"/>
          <w:szCs w:val="24"/>
          <w:highlight w:val="white"/>
          <w:lang w:val="en-GB"/>
        </w:rPr>
      </w:pPr>
      <w:proofErr w:type="spellStart"/>
      <w:r>
        <w:rPr>
          <w:color w:val="222222"/>
          <w:sz w:val="24"/>
          <w:szCs w:val="24"/>
          <w:highlight w:val="white"/>
          <w:lang w:val="en-GB"/>
        </w:rPr>
        <w:t>Vorina</w:t>
      </w:r>
      <w:proofErr w:type="spellEnd"/>
      <w:r>
        <w:rPr>
          <w:color w:val="222222"/>
          <w:sz w:val="24"/>
          <w:szCs w:val="24"/>
          <w:highlight w:val="white"/>
          <w:lang w:val="en-GB"/>
        </w:rPr>
        <w:t xml:space="preserve">, A., </w:t>
      </w:r>
      <w:proofErr w:type="spellStart"/>
      <w:r>
        <w:rPr>
          <w:color w:val="222222"/>
          <w:sz w:val="24"/>
          <w:szCs w:val="24"/>
          <w:highlight w:val="white"/>
          <w:lang w:val="en-GB"/>
        </w:rPr>
        <w:t>Simonič</w:t>
      </w:r>
      <w:proofErr w:type="spellEnd"/>
      <w:r>
        <w:rPr>
          <w:color w:val="222222"/>
          <w:sz w:val="24"/>
          <w:szCs w:val="24"/>
          <w:highlight w:val="white"/>
          <w:lang w:val="en-GB"/>
        </w:rPr>
        <w:t xml:space="preserve">, M. and </w:t>
      </w:r>
      <w:proofErr w:type="spellStart"/>
      <w:r>
        <w:rPr>
          <w:color w:val="222222"/>
          <w:sz w:val="24"/>
          <w:szCs w:val="24"/>
          <w:highlight w:val="white"/>
          <w:lang w:val="en-GB"/>
        </w:rPr>
        <w:t>Vlasova</w:t>
      </w:r>
      <w:proofErr w:type="spellEnd"/>
      <w:r>
        <w:rPr>
          <w:color w:val="222222"/>
          <w:sz w:val="24"/>
          <w:szCs w:val="24"/>
          <w:highlight w:val="white"/>
          <w:lang w:val="en-GB"/>
        </w:rPr>
        <w:t xml:space="preserve">, M., 2017. An analysis of the relationship between job satisfaction and employee engagement. </w:t>
      </w:r>
      <w:r>
        <w:rPr>
          <w:i/>
          <w:color w:val="222222"/>
          <w:sz w:val="24"/>
          <w:szCs w:val="24"/>
          <w:highlight w:val="white"/>
          <w:lang w:val="en-GB"/>
        </w:rPr>
        <w:t>Economic themes</w:t>
      </w:r>
      <w:r>
        <w:rPr>
          <w:color w:val="222222"/>
          <w:sz w:val="24"/>
          <w:szCs w:val="24"/>
          <w:highlight w:val="white"/>
          <w:lang w:val="en-GB"/>
        </w:rPr>
        <w:t xml:space="preserve">, </w:t>
      </w:r>
      <w:r>
        <w:rPr>
          <w:i/>
          <w:color w:val="222222"/>
          <w:sz w:val="24"/>
          <w:szCs w:val="24"/>
          <w:highlight w:val="white"/>
          <w:lang w:val="en-GB"/>
        </w:rPr>
        <w:t>55</w:t>
      </w:r>
      <w:r>
        <w:rPr>
          <w:color w:val="222222"/>
          <w:sz w:val="24"/>
          <w:szCs w:val="24"/>
          <w:highlight w:val="white"/>
          <w:lang w:val="en-GB"/>
        </w:rPr>
        <w:t>(2), pp.243-262.</w:t>
      </w:r>
    </w:p>
    <w:p w14:paraId="492DD6FE" w14:textId="77777777" w:rsidR="004144B4" w:rsidRDefault="004144B4" w:rsidP="004144B4">
      <w:pPr>
        <w:rPr>
          <w:rFonts w:ascii="Arial" w:hAnsi="Arial" w:cs="Arial"/>
        </w:rPr>
      </w:pPr>
    </w:p>
    <w:p w14:paraId="1A6C292A" w14:textId="4241A450" w:rsidR="008F7442" w:rsidRPr="008F7442" w:rsidRDefault="008F7442">
      <w:pPr>
        <w:rPr>
          <w:b/>
          <w:bCs/>
        </w:rPr>
      </w:pPr>
    </w:p>
    <w:sectPr w:rsidR="008F7442" w:rsidRPr="008F7442" w:rsidSect="007073E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659CB" w14:textId="77777777" w:rsidR="00794C0A" w:rsidRDefault="00794C0A" w:rsidP="009308D3">
      <w:pPr>
        <w:spacing w:line="240" w:lineRule="auto"/>
      </w:pPr>
      <w:r>
        <w:separator/>
      </w:r>
    </w:p>
  </w:endnote>
  <w:endnote w:type="continuationSeparator" w:id="0">
    <w:p w14:paraId="6FA6E1E9" w14:textId="77777777" w:rsidR="00794C0A" w:rsidRDefault="00794C0A" w:rsidP="009308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739413"/>
      <w:docPartObj>
        <w:docPartGallery w:val="Page Numbers (Bottom of Page)"/>
        <w:docPartUnique/>
      </w:docPartObj>
    </w:sdtPr>
    <w:sdtEndPr>
      <w:rPr>
        <w:noProof/>
      </w:rPr>
    </w:sdtEndPr>
    <w:sdtContent>
      <w:p w14:paraId="6BC4CF10" w14:textId="0F6E9651" w:rsidR="007073E6" w:rsidRDefault="007073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62869" w14:textId="4FF1011E" w:rsidR="009308D3" w:rsidRDefault="009308D3" w:rsidP="007073E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F9972" w14:textId="77777777" w:rsidR="00794C0A" w:rsidRDefault="00794C0A" w:rsidP="009308D3">
      <w:pPr>
        <w:spacing w:line="240" w:lineRule="auto"/>
      </w:pPr>
      <w:r>
        <w:separator/>
      </w:r>
    </w:p>
  </w:footnote>
  <w:footnote w:type="continuationSeparator" w:id="0">
    <w:p w14:paraId="7C562E55" w14:textId="77777777" w:rsidR="00794C0A" w:rsidRDefault="00794C0A" w:rsidP="009308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5BA"/>
    <w:rsid w:val="00055EE2"/>
    <w:rsid w:val="00067027"/>
    <w:rsid w:val="0009423A"/>
    <w:rsid w:val="0027301A"/>
    <w:rsid w:val="003C61C7"/>
    <w:rsid w:val="004144B4"/>
    <w:rsid w:val="005A4E50"/>
    <w:rsid w:val="005F6FEC"/>
    <w:rsid w:val="007073E6"/>
    <w:rsid w:val="00794C0A"/>
    <w:rsid w:val="007D464B"/>
    <w:rsid w:val="0087574E"/>
    <w:rsid w:val="008947C6"/>
    <w:rsid w:val="008F7442"/>
    <w:rsid w:val="00905FD7"/>
    <w:rsid w:val="009308D3"/>
    <w:rsid w:val="00A305BA"/>
    <w:rsid w:val="00B11570"/>
    <w:rsid w:val="00B71774"/>
    <w:rsid w:val="00D56B00"/>
    <w:rsid w:val="00E12215"/>
    <w:rsid w:val="00F22524"/>
    <w:rsid w:val="00F678B4"/>
    <w:rsid w:val="00F73DA2"/>
    <w:rsid w:val="00FD4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00E59"/>
  <w15:chartTrackingRefBased/>
  <w15:docId w15:val="{BB66EF7A-7750-4567-A96F-B526614A2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7C6"/>
    <w:pPr>
      <w:jc w:val="both"/>
    </w:pPr>
    <w:rPr>
      <w:rFonts w:ascii="Times New Roman" w:eastAsia="Calibri" w:hAnsi="Times New Roman" w:cs="Calibri"/>
      <w:color w:val="000000" w:themeColor="text1"/>
      <w:sz w:val="24"/>
      <w:szCs w:val="24"/>
      <w:lang w:val="en-US" w:eastAsia="en-GB"/>
    </w:rPr>
  </w:style>
  <w:style w:type="paragraph" w:styleId="Heading1">
    <w:name w:val="heading 1"/>
    <w:basedOn w:val="Normal"/>
    <w:next w:val="Normal"/>
    <w:link w:val="Heading1Char"/>
    <w:autoRedefine/>
    <w:uiPriority w:val="9"/>
    <w:qFormat/>
    <w:rsid w:val="004144B4"/>
    <w:pPr>
      <w:keepNext/>
      <w:keepLines/>
      <w:outlineLvl w:val="0"/>
    </w:pPr>
    <w:rPr>
      <w:rFonts w:eastAsia="Times New Roman"/>
      <w:b/>
      <w:color w:val="0E101A"/>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47C6"/>
    <w:pPr>
      <w:spacing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144B4"/>
    <w:rPr>
      <w:rFonts w:ascii="Times New Roman" w:eastAsia="Times New Roman" w:hAnsi="Times New Roman" w:cs="Calibri"/>
      <w:b/>
      <w:color w:val="0E101A"/>
      <w:kern w:val="36"/>
      <w:sz w:val="24"/>
      <w:szCs w:val="48"/>
      <w:lang w:val="en-US" w:eastAsia="en-GB"/>
    </w:rPr>
  </w:style>
  <w:style w:type="character" w:styleId="Hyperlink">
    <w:name w:val="Hyperlink"/>
    <w:basedOn w:val="DefaultParagraphFont"/>
    <w:uiPriority w:val="99"/>
    <w:semiHidden/>
    <w:unhideWhenUsed/>
    <w:rsid w:val="004144B4"/>
    <w:rPr>
      <w:color w:val="0563C1" w:themeColor="hyperlink"/>
      <w:u w:val="single"/>
    </w:rPr>
  </w:style>
  <w:style w:type="paragraph" w:styleId="TOC1">
    <w:name w:val="toc 1"/>
    <w:basedOn w:val="Normal"/>
    <w:next w:val="Normal"/>
    <w:autoRedefine/>
    <w:uiPriority w:val="39"/>
    <w:semiHidden/>
    <w:unhideWhenUsed/>
    <w:rsid w:val="004144B4"/>
    <w:pPr>
      <w:spacing w:after="100" w:line="276" w:lineRule="auto"/>
      <w:jc w:val="left"/>
    </w:pPr>
    <w:rPr>
      <w:rFonts w:ascii="Arial" w:eastAsia="Arial" w:hAnsi="Arial" w:cs="Arial"/>
      <w:color w:val="auto"/>
      <w:sz w:val="22"/>
      <w:szCs w:val="22"/>
      <w:lang w:val="en-IN" w:eastAsia="en-IN"/>
    </w:rPr>
  </w:style>
  <w:style w:type="paragraph" w:styleId="TOCHeading">
    <w:name w:val="TOC Heading"/>
    <w:basedOn w:val="Heading1"/>
    <w:next w:val="Normal"/>
    <w:uiPriority w:val="39"/>
    <w:semiHidden/>
    <w:unhideWhenUsed/>
    <w:qFormat/>
    <w:rsid w:val="004144B4"/>
    <w:pPr>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eastAsia="en-US"/>
    </w:rPr>
  </w:style>
  <w:style w:type="paragraph" w:customStyle="1" w:styleId="Normal1">
    <w:name w:val="Normal1"/>
    <w:rsid w:val="004144B4"/>
    <w:pPr>
      <w:spacing w:line="276" w:lineRule="auto"/>
    </w:pPr>
    <w:rPr>
      <w:rFonts w:ascii="Arial" w:eastAsia="Arial" w:hAnsi="Arial" w:cs="Arial"/>
      <w:lang w:val="en-IN" w:eastAsia="en-IN"/>
    </w:rPr>
  </w:style>
  <w:style w:type="paragraph" w:styleId="Header">
    <w:name w:val="header"/>
    <w:basedOn w:val="Normal"/>
    <w:link w:val="HeaderChar"/>
    <w:uiPriority w:val="99"/>
    <w:unhideWhenUsed/>
    <w:rsid w:val="009308D3"/>
    <w:pPr>
      <w:tabs>
        <w:tab w:val="center" w:pos="4513"/>
        <w:tab w:val="right" w:pos="9026"/>
      </w:tabs>
      <w:spacing w:line="240" w:lineRule="auto"/>
    </w:pPr>
  </w:style>
  <w:style w:type="character" w:customStyle="1" w:styleId="HeaderChar">
    <w:name w:val="Header Char"/>
    <w:basedOn w:val="DefaultParagraphFont"/>
    <w:link w:val="Header"/>
    <w:uiPriority w:val="99"/>
    <w:rsid w:val="009308D3"/>
    <w:rPr>
      <w:rFonts w:ascii="Times New Roman" w:eastAsia="Calibri" w:hAnsi="Times New Roman" w:cs="Calibri"/>
      <w:color w:val="000000" w:themeColor="text1"/>
      <w:sz w:val="24"/>
      <w:szCs w:val="24"/>
      <w:lang w:val="en-US" w:eastAsia="en-GB"/>
    </w:rPr>
  </w:style>
  <w:style w:type="paragraph" w:styleId="Footer">
    <w:name w:val="footer"/>
    <w:basedOn w:val="Normal"/>
    <w:link w:val="FooterChar"/>
    <w:uiPriority w:val="99"/>
    <w:unhideWhenUsed/>
    <w:rsid w:val="009308D3"/>
    <w:pPr>
      <w:tabs>
        <w:tab w:val="center" w:pos="4513"/>
        <w:tab w:val="right" w:pos="9026"/>
      </w:tabs>
      <w:spacing w:line="240" w:lineRule="auto"/>
    </w:pPr>
  </w:style>
  <w:style w:type="character" w:customStyle="1" w:styleId="FooterChar">
    <w:name w:val="Footer Char"/>
    <w:basedOn w:val="DefaultParagraphFont"/>
    <w:link w:val="Footer"/>
    <w:uiPriority w:val="99"/>
    <w:rsid w:val="009308D3"/>
    <w:rPr>
      <w:rFonts w:ascii="Times New Roman" w:eastAsia="Calibri" w:hAnsi="Times New Roman" w:cs="Calibri"/>
      <w:color w:val="000000" w:themeColor="text1"/>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00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44793\Desktop\dragos%20managing%20%20People%20assesment%20%20(2).docx" TargetMode="External"/><Relationship Id="rId13" Type="http://schemas.openxmlformats.org/officeDocument/2006/relationships/hyperlink" Target="file:///C:\Users\44793\Desktop\dragos%20managing%20%20People%20assesment%20%20(2).docx"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44793\Desktop\dragos%20managing%20%20People%20assesment%20%20(2).docx" TargetMode="External"/><Relationship Id="rId12" Type="http://schemas.openxmlformats.org/officeDocument/2006/relationships/hyperlink" Target="file:///C:\Users\44793\Desktop\dragos%20managing%20%20People%20assesment%20%20(2).docx"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cloudmarket.com/about" TargetMode="External"/><Relationship Id="rId1" Type="http://schemas.openxmlformats.org/officeDocument/2006/relationships/styles" Target="styles.xml"/><Relationship Id="rId6" Type="http://schemas.openxmlformats.org/officeDocument/2006/relationships/hyperlink" Target="file:///C:\Users\44793\Desktop\dragos%20managing%20%20People%20assesment%20%20(2).docx" TargetMode="External"/><Relationship Id="rId11" Type="http://schemas.openxmlformats.org/officeDocument/2006/relationships/hyperlink" Target="file:///C:\Users\44793\Desktop\dragos%20managing%20%20People%20assesment%20%20(2).docx" TargetMode="External"/><Relationship Id="rId5" Type="http://schemas.openxmlformats.org/officeDocument/2006/relationships/endnotes" Target="endnotes.xml"/><Relationship Id="rId15" Type="http://schemas.openxmlformats.org/officeDocument/2006/relationships/image" Target="media/image1.png"/><Relationship Id="rId10" Type="http://schemas.openxmlformats.org/officeDocument/2006/relationships/hyperlink" Target="file:///C:\Users\44793\Desktop\dragos%20managing%20%20People%20assesment%20%20(2).docx"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file:///C:\Users\44793\Desktop\dragos%20managing%20%20People%20assesment%20%20(2).docx" TargetMode="External"/><Relationship Id="rId14" Type="http://schemas.openxmlformats.org/officeDocument/2006/relationships/hyperlink" Target="file:///C:\Users\44793\Desktop\dragos%20managing%20%20People%20assesment%20%2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11</Pages>
  <Words>2738</Words>
  <Characters>15612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Nicolae Bucataru (1919242)</dc:creator>
  <cp:keywords/>
  <dc:description/>
  <cp:lastModifiedBy>Dragos Nicolae Bucataru (1919242)</cp:lastModifiedBy>
  <cp:revision>6</cp:revision>
  <cp:lastPrinted>2021-12-18T14:14:00Z</cp:lastPrinted>
  <dcterms:created xsi:type="dcterms:W3CDTF">2021-12-18T12:36:00Z</dcterms:created>
  <dcterms:modified xsi:type="dcterms:W3CDTF">2022-01-03T19:00:00Z</dcterms:modified>
</cp:coreProperties>
</file>